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09D4B" w14:textId="2B270FAB" w:rsidR="00C17FAB" w:rsidRDefault="00C17FAB">
      <w:pPr>
        <w:spacing w:before="120"/>
        <w:rPr>
          <w:rFonts w:ascii="Arial" w:hAnsi="Arial" w:cs="Arial"/>
        </w:rPr>
      </w:pPr>
      <w:bookmarkStart w:id="0" w:name="_Toc44738651"/>
      <w:r>
        <w:rPr>
          <w:rFonts w:ascii="Arial" w:hAnsi="Arial" w:cs="Arial"/>
        </w:rPr>
        <w:t>Australian Capital Territory</w:t>
      </w:r>
    </w:p>
    <w:p w14:paraId="7B8E32F2" w14:textId="7DECDEDB" w:rsidR="00B04869" w:rsidRDefault="00B04869" w:rsidP="00B04869">
      <w:pPr>
        <w:pStyle w:val="Billname"/>
        <w:spacing w:before="700"/>
      </w:pPr>
      <w:r>
        <w:t>Domestic Animals (Fees) Determination 202</w:t>
      </w:r>
      <w:r w:rsidR="002A3990">
        <w:t>1</w:t>
      </w:r>
      <w:r>
        <w:t xml:space="preserve"> (No </w:t>
      </w:r>
      <w:r w:rsidR="00FE1CCE">
        <w:t>2</w:t>
      </w:r>
      <w:r>
        <w:t>)</w:t>
      </w:r>
    </w:p>
    <w:p w14:paraId="4411A9D6" w14:textId="66B73670" w:rsidR="00C17FAB" w:rsidRDefault="002D7C60" w:rsidP="00DA3B00">
      <w:pPr>
        <w:spacing w:before="340"/>
        <w:rPr>
          <w:rFonts w:ascii="Arial" w:hAnsi="Arial" w:cs="Arial"/>
          <w:b/>
          <w:bCs/>
        </w:rPr>
      </w:pPr>
      <w:r>
        <w:rPr>
          <w:rFonts w:ascii="Arial" w:hAnsi="Arial" w:cs="Arial"/>
          <w:b/>
          <w:bCs/>
        </w:rPr>
        <w:t xml:space="preserve">Disallowable instrument </w:t>
      </w:r>
      <w:r w:rsidRPr="003C48E7">
        <w:rPr>
          <w:rFonts w:ascii="Arial" w:hAnsi="Arial" w:cs="Arial"/>
          <w:b/>
          <w:bCs/>
        </w:rPr>
        <w:t>DI</w:t>
      </w:r>
      <w:r w:rsidR="00084B1B" w:rsidRPr="003C48E7">
        <w:rPr>
          <w:rFonts w:ascii="Arial" w:hAnsi="Arial" w:cs="Arial"/>
          <w:b/>
          <w:bCs/>
        </w:rPr>
        <w:t>202</w:t>
      </w:r>
      <w:r w:rsidR="00FA2C69">
        <w:rPr>
          <w:rFonts w:ascii="Arial" w:hAnsi="Arial" w:cs="Arial"/>
          <w:b/>
          <w:bCs/>
        </w:rPr>
        <w:t>1</w:t>
      </w:r>
      <w:r w:rsidR="004C06C1">
        <w:rPr>
          <w:rFonts w:ascii="Arial" w:hAnsi="Arial" w:cs="Arial"/>
          <w:b/>
          <w:bCs/>
        </w:rPr>
        <w:t>-96</w:t>
      </w:r>
    </w:p>
    <w:p w14:paraId="74AD5A8B" w14:textId="77777777" w:rsidR="00C17FAB" w:rsidRDefault="00C17FAB" w:rsidP="00DA3B00">
      <w:pPr>
        <w:pStyle w:val="madeunder"/>
        <w:spacing w:before="300" w:after="0"/>
      </w:pPr>
      <w:r>
        <w:t xml:space="preserve">made under the  </w:t>
      </w:r>
    </w:p>
    <w:p w14:paraId="05D781DE" w14:textId="77777777" w:rsidR="008A6A13" w:rsidRDefault="008A6A13" w:rsidP="008A6A13">
      <w:pPr>
        <w:pStyle w:val="CoverActName"/>
        <w:spacing w:before="320" w:after="0"/>
        <w:rPr>
          <w:rFonts w:cs="Arial"/>
          <w:sz w:val="20"/>
        </w:rPr>
      </w:pPr>
      <w:r>
        <w:rPr>
          <w:rFonts w:cs="Arial"/>
          <w:sz w:val="20"/>
        </w:rPr>
        <w:t>Domestic Animals Act 2000, Section 144 (Determination of fees)</w:t>
      </w:r>
    </w:p>
    <w:p w14:paraId="3926D665"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1FBC15A" w14:textId="77777777" w:rsidR="00C17FAB" w:rsidRDefault="00C17FAB">
      <w:pPr>
        <w:pStyle w:val="N-line3"/>
        <w:pBdr>
          <w:bottom w:val="none" w:sz="0" w:space="0" w:color="auto"/>
        </w:pBdr>
      </w:pPr>
    </w:p>
    <w:p w14:paraId="5235594F" w14:textId="77777777" w:rsidR="00C17FAB" w:rsidRDefault="00C17FAB">
      <w:pPr>
        <w:pStyle w:val="N-line3"/>
        <w:pBdr>
          <w:top w:val="single" w:sz="12" w:space="1" w:color="auto"/>
          <w:bottom w:val="none" w:sz="0" w:space="0" w:color="auto"/>
        </w:pBdr>
      </w:pPr>
    </w:p>
    <w:bookmarkEnd w:id="0"/>
    <w:p w14:paraId="352B2FBA" w14:textId="77777777" w:rsidR="00523FB6" w:rsidRPr="00523FB6" w:rsidRDefault="00C95666" w:rsidP="00523FB6">
      <w:pPr>
        <w:spacing w:before="140"/>
      </w:pPr>
      <w:r>
        <w:t xml:space="preserve">Section 144 of the </w:t>
      </w:r>
      <w:r>
        <w:rPr>
          <w:i/>
        </w:rPr>
        <w:t xml:space="preserve">Domestic Animals Act 2000 </w:t>
      </w:r>
      <w:r>
        <w:t xml:space="preserve">(the Act) provides that the Minister may determine fees for the Act. </w:t>
      </w:r>
      <w:r w:rsidR="00523FB6" w:rsidRPr="00523FB6">
        <w:t>This instrument commences on 1 July 2021.</w:t>
      </w:r>
    </w:p>
    <w:p w14:paraId="337987D2" w14:textId="585C5FE6" w:rsidR="00C95666" w:rsidRDefault="00C95666" w:rsidP="00C95666"/>
    <w:p w14:paraId="63D951F2" w14:textId="64E3E6E7" w:rsidR="00C95666" w:rsidRDefault="00C95666" w:rsidP="00C95666">
      <w:r>
        <w:t xml:space="preserve">This determination sets application fees for licences and permits that may be granted under the Act. </w:t>
      </w:r>
      <w:r w:rsidR="00160F28">
        <w:t>The determination also deals with the waiver, refund or extension of time to pay fees in certain situation</w:t>
      </w:r>
      <w:r w:rsidR="00FE1CCE">
        <w:t>s</w:t>
      </w:r>
      <w:r w:rsidR="00160F28">
        <w:t>. Section 5</w:t>
      </w:r>
      <w:r w:rsidR="00EC453F">
        <w:t xml:space="preserve"> </w:t>
      </w:r>
      <w:r w:rsidR="00C62709">
        <w:t>permit</w:t>
      </w:r>
      <w:r w:rsidR="00FE1CCE">
        <w:t>s</w:t>
      </w:r>
      <w:r w:rsidR="00C62709">
        <w:t xml:space="preserve"> the </w:t>
      </w:r>
      <w:r w:rsidR="00EC453F">
        <w:t xml:space="preserve">Registrar </w:t>
      </w:r>
      <w:r w:rsidR="00C62709">
        <w:t>to</w:t>
      </w:r>
      <w:r>
        <w:t xml:space="preserve"> waive</w:t>
      </w:r>
      <w:r w:rsidR="00160F28">
        <w:t xml:space="preserve"> </w:t>
      </w:r>
      <w:r>
        <w:t xml:space="preserve">fees </w:t>
      </w:r>
      <w:r w:rsidR="00160F28">
        <w:t>as</w:t>
      </w:r>
      <w:r w:rsidR="006F272D">
        <w:t xml:space="preserve"> part of partnership</w:t>
      </w:r>
      <w:r w:rsidR="000C75F6">
        <w:t xml:space="preserve"> initiatives</w:t>
      </w:r>
      <w:r w:rsidR="00B33AE2">
        <w:t xml:space="preserve"> with </w:t>
      </w:r>
      <w:r w:rsidR="000C75F6">
        <w:t xml:space="preserve">animal centred </w:t>
      </w:r>
      <w:r w:rsidR="00A258EE">
        <w:t>organisations</w:t>
      </w:r>
      <w:r w:rsidR="00160F28">
        <w:t xml:space="preserve">. </w:t>
      </w:r>
      <w:r w:rsidR="003165EA">
        <w:t xml:space="preserve">Providing waivers to certain organisations </w:t>
      </w:r>
      <w:r w:rsidR="00447E6A">
        <w:t xml:space="preserve">will contribute to building </w:t>
      </w:r>
      <w:r w:rsidR="00263E9B">
        <w:t>productive partnership</w:t>
      </w:r>
      <w:r w:rsidR="00447E6A">
        <w:t xml:space="preserve">s as committed to in the Canberra Dog Model and help encourage responsible dog ownership, promote high animal welfare </w:t>
      </w:r>
      <w:r w:rsidR="003165EA">
        <w:t>standards,</w:t>
      </w:r>
      <w:r w:rsidR="00447E6A">
        <w:t xml:space="preserve"> and </w:t>
      </w:r>
      <w:r w:rsidR="00263E9B">
        <w:t>support best-practice animal management</w:t>
      </w:r>
      <w:r w:rsidR="000C75F6">
        <w:t xml:space="preserve"> in the Territory. </w:t>
      </w:r>
    </w:p>
    <w:p w14:paraId="3E75253B" w14:textId="2F223036" w:rsidR="00C95666" w:rsidRDefault="00C95666" w:rsidP="00C95666"/>
    <w:p w14:paraId="774258D7" w14:textId="6417EFA4" w:rsidR="00C95666" w:rsidRDefault="00C95666" w:rsidP="00C95666">
      <w:pPr>
        <w:pStyle w:val="LongTitle"/>
        <w:spacing w:before="0" w:after="0"/>
        <w:jc w:val="left"/>
        <w:rPr>
          <w:color w:val="000000"/>
        </w:rPr>
      </w:pPr>
      <w:r>
        <w:rPr>
          <w:color w:val="000000"/>
        </w:rPr>
        <w:t>Schedule 2 of the instrument deals with refunds where the amount of the refund is specified. The Domestic Animals Registrar has the power to determine whether waivers, refunds or extension of time to pay are consistent with the instrumen</w:t>
      </w:r>
      <w:r w:rsidR="00B04869">
        <w:rPr>
          <w:color w:val="000000"/>
        </w:rPr>
        <w:t>t</w:t>
      </w:r>
      <w:r w:rsidR="00FE43F3">
        <w:rPr>
          <w:color w:val="000000"/>
        </w:rPr>
        <w:t>.</w:t>
      </w:r>
    </w:p>
    <w:p w14:paraId="4DA0510C" w14:textId="37C22EE3" w:rsidR="00C95666" w:rsidRDefault="00C95666" w:rsidP="00C95666"/>
    <w:p w14:paraId="61FE6E5B" w14:textId="4CACA82A" w:rsidR="00EC453F" w:rsidRDefault="00EC453F" w:rsidP="00EC453F">
      <w:pPr>
        <w:rPr>
          <w:b/>
          <w:i/>
        </w:rPr>
      </w:pPr>
      <w:r w:rsidRPr="009A6AAD">
        <w:rPr>
          <w:b/>
          <w:i/>
        </w:rPr>
        <w:t>Indexed Fees</w:t>
      </w:r>
    </w:p>
    <w:p w14:paraId="16BC20BD" w14:textId="77777777" w:rsidR="00160F28" w:rsidRPr="009A6AAD" w:rsidRDefault="00160F28" w:rsidP="00EC453F">
      <w:pPr>
        <w:rPr>
          <w:b/>
          <w:i/>
        </w:rPr>
      </w:pPr>
    </w:p>
    <w:p w14:paraId="7D69CC0B" w14:textId="67C0CBD9" w:rsidR="00FE1CCE" w:rsidRDefault="00EC453F" w:rsidP="00EC453F">
      <w:r w:rsidRPr="00E26D20">
        <w:t xml:space="preserve">This determination maintains </w:t>
      </w:r>
      <w:r w:rsidR="00FE1CCE" w:rsidRPr="00E26D20">
        <w:t>dog registration fees</w:t>
      </w:r>
      <w:r w:rsidR="00E26D20" w:rsidRPr="00E26D20">
        <w:t xml:space="preserve">, items 1.1 and 1.2 of Schedule 1, </w:t>
      </w:r>
      <w:r w:rsidR="00FE1CCE" w:rsidRPr="00E26D20">
        <w:t xml:space="preserve">at </w:t>
      </w:r>
      <w:r w:rsidRPr="00E26D20">
        <w:t>20</w:t>
      </w:r>
      <w:r w:rsidR="00FE1CCE" w:rsidRPr="00E26D20">
        <w:t>20</w:t>
      </w:r>
      <w:r w:rsidRPr="00E26D20">
        <w:t>-2</w:t>
      </w:r>
      <w:r w:rsidR="00FE1CCE" w:rsidRPr="00E26D20">
        <w:t>1</w:t>
      </w:r>
      <w:r w:rsidRPr="00E26D20">
        <w:t xml:space="preserve"> </w:t>
      </w:r>
      <w:r w:rsidR="00FE1CCE" w:rsidRPr="00E26D20">
        <w:t>levels</w:t>
      </w:r>
      <w:r w:rsidR="00EF4527">
        <w:t>.</w:t>
      </w:r>
    </w:p>
    <w:p w14:paraId="17E1E1AF" w14:textId="6CF193DA" w:rsidR="00EF4527" w:rsidRDefault="00EF4527" w:rsidP="00EC453F"/>
    <w:p w14:paraId="0AC20D3B" w14:textId="6A592875" w:rsidR="00EF4527" w:rsidRDefault="00EF4527" w:rsidP="00EC453F">
      <w:r>
        <w:t xml:space="preserve">The fee at item 6.1, relating to desexing of a male dog, has been deleted, this fee is no longer applicable. </w:t>
      </w:r>
    </w:p>
    <w:p w14:paraId="621A02E5" w14:textId="77777777" w:rsidR="00FE1CCE" w:rsidRDefault="00FE1CCE" w:rsidP="00EC453F"/>
    <w:p w14:paraId="094DB011" w14:textId="2B006942" w:rsidR="00FE1CCE" w:rsidRPr="00FE1CCE" w:rsidRDefault="00FE1CCE" w:rsidP="00FE1CCE">
      <w:pPr>
        <w:rPr>
          <w:szCs w:val="24"/>
        </w:rPr>
      </w:pPr>
      <w:r w:rsidRPr="00FE1CCE">
        <w:rPr>
          <w:szCs w:val="24"/>
        </w:rPr>
        <w:t xml:space="preserve">This determination increases </w:t>
      </w:r>
      <w:r>
        <w:rPr>
          <w:szCs w:val="24"/>
        </w:rPr>
        <w:t xml:space="preserve">all other </w:t>
      </w:r>
      <w:r w:rsidRPr="00FE1CCE">
        <w:rPr>
          <w:szCs w:val="24"/>
        </w:rPr>
        <w:t>fees contained in DI202</w:t>
      </w:r>
      <w:r>
        <w:rPr>
          <w:szCs w:val="24"/>
        </w:rPr>
        <w:t>1</w:t>
      </w:r>
      <w:r w:rsidRPr="00FE1CCE">
        <w:rPr>
          <w:szCs w:val="24"/>
        </w:rPr>
        <w:t xml:space="preserve">-15 by </w:t>
      </w:r>
      <w:r>
        <w:rPr>
          <w:szCs w:val="24"/>
        </w:rPr>
        <w:t xml:space="preserve">the </w:t>
      </w:r>
      <w:r w:rsidRPr="00FE1CCE">
        <w:rPr>
          <w:szCs w:val="24"/>
        </w:rPr>
        <w:t xml:space="preserve">forecast Wage Price index (WPI) 1.75% as per Budget Memo 2021/08, rounded for cash handling and other purposes. </w:t>
      </w:r>
    </w:p>
    <w:p w14:paraId="740F4818" w14:textId="77777777" w:rsidR="00FE1CCE" w:rsidRDefault="00FE1CCE" w:rsidP="00EC453F"/>
    <w:p w14:paraId="564F4940" w14:textId="77777777" w:rsidR="00EC453F" w:rsidRPr="00794E07" w:rsidRDefault="00EC453F" w:rsidP="00EC453F">
      <w:pPr>
        <w:rPr>
          <w:b/>
          <w:i/>
        </w:rPr>
      </w:pPr>
      <w:r w:rsidRPr="00794E07">
        <w:rPr>
          <w:b/>
          <w:i/>
        </w:rPr>
        <w:t>Revocation</w:t>
      </w:r>
    </w:p>
    <w:p w14:paraId="3AB9FE68" w14:textId="77777777" w:rsidR="00EC453F" w:rsidRDefault="00EC453F" w:rsidP="00EC453F"/>
    <w:p w14:paraId="63B00DB4" w14:textId="62C6DD83" w:rsidR="00C17FAB" w:rsidRDefault="00EC453F" w:rsidP="00EF4527">
      <w:pPr>
        <w:pStyle w:val="LongTitle"/>
        <w:spacing w:before="0" w:after="0"/>
        <w:jc w:val="left"/>
      </w:pPr>
      <w:r>
        <w:rPr>
          <w:color w:val="000000"/>
        </w:rPr>
        <w:t>This determination revokes the previous fee determination [</w:t>
      </w:r>
      <w:r>
        <w:t>DI202</w:t>
      </w:r>
      <w:r w:rsidR="00FE1CCE">
        <w:t>1</w:t>
      </w:r>
      <w:r>
        <w:t>-</w:t>
      </w:r>
      <w:r w:rsidR="00FE1CCE">
        <w:t>15</w:t>
      </w:r>
      <w:r>
        <w:rPr>
          <w:color w:val="000000"/>
        </w:rPr>
        <w:t>] that set fees for the 20</w:t>
      </w:r>
      <w:r w:rsidR="00FE1CCE">
        <w:rPr>
          <w:color w:val="000000"/>
        </w:rPr>
        <w:t>20</w:t>
      </w:r>
      <w:r>
        <w:rPr>
          <w:color w:val="000000"/>
        </w:rPr>
        <w:t>-202</w:t>
      </w:r>
      <w:r w:rsidR="00FE1CCE">
        <w:rPr>
          <w:color w:val="000000"/>
        </w:rPr>
        <w:t>1</w:t>
      </w:r>
      <w:r>
        <w:rPr>
          <w:color w:val="000000"/>
        </w:rPr>
        <w:t xml:space="preserve"> financial year.</w:t>
      </w:r>
      <w:r w:rsidR="008A6A13">
        <w:t xml:space="preserve"> </w:t>
      </w:r>
      <w:r>
        <w:t xml:space="preserve"> </w:t>
      </w:r>
    </w:p>
    <w:sectPr w:rsidR="00C17FAB" w:rsidSect="00EF4527">
      <w:headerReference w:type="even" r:id="rId7"/>
      <w:headerReference w:type="default" r:id="rId8"/>
      <w:footerReference w:type="even" r:id="rId9"/>
      <w:footerReference w:type="default" r:id="rId10"/>
      <w:headerReference w:type="first" r:id="rId11"/>
      <w:footerReference w:type="first" r:id="rId12"/>
      <w:pgSz w:w="11907" w:h="16839" w:code="9"/>
      <w:pgMar w:top="1276"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BC4D8" w14:textId="77777777" w:rsidR="005A2FF6" w:rsidRDefault="005A2FF6" w:rsidP="00C17FAB">
      <w:r>
        <w:separator/>
      </w:r>
    </w:p>
  </w:endnote>
  <w:endnote w:type="continuationSeparator" w:id="0">
    <w:p w14:paraId="40F85982" w14:textId="77777777" w:rsidR="005A2FF6" w:rsidRDefault="005A2FF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E0715" w14:textId="77777777" w:rsidR="00BA15B8" w:rsidRDefault="00BA1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EA4C" w14:textId="522B0A67" w:rsidR="00BA15B8" w:rsidRPr="00BA15B8" w:rsidRDefault="00BA15B8" w:rsidP="00BA15B8">
    <w:pPr>
      <w:pStyle w:val="Footer"/>
      <w:jc w:val="center"/>
      <w:rPr>
        <w:rFonts w:cs="Arial"/>
        <w:sz w:val="14"/>
      </w:rPr>
    </w:pPr>
    <w:r w:rsidRPr="00BA15B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CAAA4" w14:textId="77777777" w:rsidR="00BA15B8" w:rsidRDefault="00BA1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9CCD0" w14:textId="77777777" w:rsidR="005A2FF6" w:rsidRDefault="005A2FF6" w:rsidP="00C17FAB">
      <w:r>
        <w:separator/>
      </w:r>
    </w:p>
  </w:footnote>
  <w:footnote w:type="continuationSeparator" w:id="0">
    <w:p w14:paraId="7F5BB645" w14:textId="77777777" w:rsidR="005A2FF6" w:rsidRDefault="005A2FF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85B9B" w14:textId="77777777" w:rsidR="00BA15B8" w:rsidRDefault="00BA1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7DD32" w14:textId="77777777" w:rsidR="00BA15B8" w:rsidRDefault="00BA1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A6E13" w14:textId="77777777" w:rsidR="00BA15B8" w:rsidRDefault="00BA1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84B1B"/>
    <w:rsid w:val="000C75F6"/>
    <w:rsid w:val="000E5FE1"/>
    <w:rsid w:val="00103404"/>
    <w:rsid w:val="0011590D"/>
    <w:rsid w:val="00160F28"/>
    <w:rsid w:val="001D4F89"/>
    <w:rsid w:val="00243469"/>
    <w:rsid w:val="00263E9B"/>
    <w:rsid w:val="002A3990"/>
    <w:rsid w:val="002D7C60"/>
    <w:rsid w:val="002E0E17"/>
    <w:rsid w:val="003165EA"/>
    <w:rsid w:val="003C48E7"/>
    <w:rsid w:val="00431B12"/>
    <w:rsid w:val="00447E6A"/>
    <w:rsid w:val="004C06C1"/>
    <w:rsid w:val="004D02E6"/>
    <w:rsid w:val="00523FB6"/>
    <w:rsid w:val="00575F89"/>
    <w:rsid w:val="005A2FF6"/>
    <w:rsid w:val="00690E83"/>
    <w:rsid w:val="006F272D"/>
    <w:rsid w:val="007346AC"/>
    <w:rsid w:val="00744A40"/>
    <w:rsid w:val="00751CE0"/>
    <w:rsid w:val="007568FF"/>
    <w:rsid w:val="007E02A8"/>
    <w:rsid w:val="008A6A13"/>
    <w:rsid w:val="009508A5"/>
    <w:rsid w:val="009B30F5"/>
    <w:rsid w:val="00A121BB"/>
    <w:rsid w:val="00A258EE"/>
    <w:rsid w:val="00A945DE"/>
    <w:rsid w:val="00AE52F3"/>
    <w:rsid w:val="00B04869"/>
    <w:rsid w:val="00B2720B"/>
    <w:rsid w:val="00B33AE2"/>
    <w:rsid w:val="00BA15B8"/>
    <w:rsid w:val="00C17FAB"/>
    <w:rsid w:val="00C62709"/>
    <w:rsid w:val="00C95666"/>
    <w:rsid w:val="00CE599C"/>
    <w:rsid w:val="00D77040"/>
    <w:rsid w:val="00DA3B00"/>
    <w:rsid w:val="00DD4569"/>
    <w:rsid w:val="00E07473"/>
    <w:rsid w:val="00E26D20"/>
    <w:rsid w:val="00E926E4"/>
    <w:rsid w:val="00EC453F"/>
    <w:rsid w:val="00ED20A0"/>
    <w:rsid w:val="00EF4527"/>
    <w:rsid w:val="00F47AAE"/>
    <w:rsid w:val="00F67FB2"/>
    <w:rsid w:val="00F9453E"/>
    <w:rsid w:val="00FA2C69"/>
    <w:rsid w:val="00FD75CE"/>
    <w:rsid w:val="00FE1CCE"/>
    <w:rsid w:val="00FE43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9A91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LongTitle">
    <w:name w:val="LongTitle"/>
    <w:basedOn w:val="Normal"/>
    <w:uiPriority w:val="99"/>
    <w:rsid w:val="00C95666"/>
    <w:pPr>
      <w:spacing w:before="240" w:after="60"/>
      <w:jc w:val="both"/>
    </w:pPr>
    <w:rPr>
      <w:szCs w:val="24"/>
    </w:rPr>
  </w:style>
  <w:style w:type="paragraph" w:styleId="BalloonText">
    <w:name w:val="Balloon Text"/>
    <w:basedOn w:val="Normal"/>
    <w:link w:val="BalloonTextChar"/>
    <w:uiPriority w:val="99"/>
    <w:semiHidden/>
    <w:unhideWhenUsed/>
    <w:rsid w:val="003C4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77040"/>
    <w:rPr>
      <w:sz w:val="16"/>
      <w:szCs w:val="16"/>
    </w:rPr>
  </w:style>
  <w:style w:type="paragraph" w:styleId="CommentText">
    <w:name w:val="annotation text"/>
    <w:basedOn w:val="Normal"/>
    <w:link w:val="CommentTextChar"/>
    <w:uiPriority w:val="99"/>
    <w:semiHidden/>
    <w:unhideWhenUsed/>
    <w:rsid w:val="00D77040"/>
    <w:rPr>
      <w:sz w:val="20"/>
    </w:rPr>
  </w:style>
  <w:style w:type="character" w:customStyle="1" w:styleId="CommentTextChar">
    <w:name w:val="Comment Text Char"/>
    <w:basedOn w:val="DefaultParagraphFont"/>
    <w:link w:val="CommentText"/>
    <w:uiPriority w:val="99"/>
    <w:semiHidden/>
    <w:rsid w:val="00D77040"/>
    <w:rPr>
      <w:lang w:eastAsia="en-US"/>
    </w:rPr>
  </w:style>
  <w:style w:type="paragraph" w:styleId="CommentSubject">
    <w:name w:val="annotation subject"/>
    <w:basedOn w:val="CommentText"/>
    <w:next w:val="CommentText"/>
    <w:link w:val="CommentSubjectChar"/>
    <w:uiPriority w:val="99"/>
    <w:semiHidden/>
    <w:unhideWhenUsed/>
    <w:rsid w:val="00D77040"/>
    <w:rPr>
      <w:b/>
      <w:bCs/>
    </w:rPr>
  </w:style>
  <w:style w:type="character" w:customStyle="1" w:styleId="CommentSubjectChar">
    <w:name w:val="Comment Subject Char"/>
    <w:basedOn w:val="CommentTextChar"/>
    <w:link w:val="CommentSubject"/>
    <w:uiPriority w:val="99"/>
    <w:semiHidden/>
    <w:rsid w:val="00D770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1493</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2021-06-01T07:32:00Z</dcterms:created>
  <dcterms:modified xsi:type="dcterms:W3CDTF">2021-06-01T07:32:00Z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A29461478</vt:lpwstr>
  </property>
  <property fmtid="{D5CDD505-2E9C-101B-9397-08002B2CF9AE}" pid="4" name="Objective-Title">
    <vt:lpwstr>ES - 21-22 Domestic Animals Act  2000 ES</vt:lpwstr>
  </property>
  <property fmtid="{D5CDD505-2E9C-101B-9397-08002B2CF9AE}" pid="5" name="Objective-Comment">
    <vt:lpwstr/>
  </property>
  <property fmtid="{D5CDD505-2E9C-101B-9397-08002B2CF9AE}" pid="6" name="Objective-CreationStamp">
    <vt:filetime>2021-06-01T07:28:56Z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2021-06-01T07:28:56Z</vt:filetime>
  </property>
  <property fmtid="{D5CDD505-2E9C-101B-9397-08002B2CF9AE}" pid="10" name="Objective-ModificationStamp">
    <vt:filetime>2021-06-01T07:29:05Z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Unit:09. Instruments and subordinate law:2021:Disallowable Instruments:Domestic Animals (Fees) Determination 2021 (No 2):</vt:lpwstr>
  </property>
  <property fmtid="{D5CDD505-2E9C-101B-9397-08002B2CF9AE}" pid="13" name="Objective-Parent">
    <vt:lpwstr>Domestic Animals (Fees) Determination 2021 (No 2)</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OM Author">
    <vt:lpwstr/>
  </property>
  <property fmtid="{D5CDD505-2E9C-101B-9397-08002B2CF9AE}" pid="42" name="Objective-OM Author Organisation">
    <vt:lpwstr/>
  </property>
  <property fmtid="{D5CDD505-2E9C-101B-9397-08002B2CF9AE}" pid="43" name="Objective-OM Author Type">
    <vt:lpwstr/>
  </property>
  <property fmtid="{D5CDD505-2E9C-101B-9397-08002B2CF9AE}" pid="44" name="Objective-OM Date Received">
    <vt:lpwstr/>
  </property>
  <property fmtid="{D5CDD505-2E9C-101B-9397-08002B2CF9AE}" pid="45" name="Objective-OM Date of Document">
    <vt:lpwstr/>
  </property>
  <property fmtid="{D5CDD505-2E9C-101B-9397-08002B2CF9AE}" pid="46" name="Objective-OM External Reference">
    <vt:lpwstr/>
  </property>
  <property fmtid="{D5CDD505-2E9C-101B-9397-08002B2CF9AE}" pid="47" name="Objective-OM Reference">
    <vt:lpwstr/>
  </property>
  <property fmtid="{D5CDD505-2E9C-101B-9397-08002B2CF9AE}" pid="48" name="Objective-OM Topic">
    <vt:lpwstr/>
  </property>
  <property fmtid="{D5CDD505-2E9C-101B-9397-08002B2CF9AE}" pid="49" name="Objective-Suburb">
    <vt:lpwstr/>
  </property>
</Properties>
</file>