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48FE" w14:textId="77777777" w:rsidR="008311EA" w:rsidRPr="00BF6113" w:rsidRDefault="008311EA" w:rsidP="00BF6113">
      <w:pPr>
        <w:spacing w:before="120"/>
        <w:rPr>
          <w:rFonts w:ascii="Arial" w:hAnsi="Arial"/>
          <w:color w:val="auto"/>
          <w:szCs w:val="20"/>
        </w:rPr>
      </w:pPr>
      <w:smartTag w:uri="urn:schemas-microsoft-com:office:smarttags" w:element="State">
        <w:smartTag w:uri="urn:schemas-microsoft-com:office:smarttags" w:element="place">
          <w:r w:rsidRPr="00BF6113">
            <w:rPr>
              <w:rFonts w:ascii="Arial" w:hAnsi="Arial"/>
              <w:color w:val="auto"/>
              <w:szCs w:val="20"/>
            </w:rPr>
            <w:t>Australian Capital Territory</w:t>
          </w:r>
        </w:smartTag>
      </w:smartTag>
    </w:p>
    <w:p w14:paraId="4612F51D" w14:textId="68C7F0B4" w:rsidR="008311EA" w:rsidRPr="00567994" w:rsidRDefault="008311EA" w:rsidP="009E5A57">
      <w:pPr>
        <w:pStyle w:val="Billname"/>
        <w:spacing w:before="700"/>
      </w:pPr>
      <w:r>
        <w:t>Public Unleased Land (Fees) Determination 20</w:t>
      </w:r>
      <w:r w:rsidR="004520C0">
        <w:t>2</w:t>
      </w:r>
      <w:r w:rsidR="00EF6041">
        <w:t>1 (No 1)</w:t>
      </w:r>
    </w:p>
    <w:p w14:paraId="60524641" w14:textId="13176878" w:rsidR="008311EA" w:rsidRPr="002F3DBD" w:rsidRDefault="009721F4" w:rsidP="009E5A57">
      <w:pPr>
        <w:spacing w:before="340"/>
        <w:rPr>
          <w:rFonts w:ascii="Arial" w:hAnsi="Arial"/>
          <w:b/>
          <w:bCs/>
          <w:color w:val="FF0000"/>
          <w:szCs w:val="20"/>
        </w:rPr>
      </w:pPr>
      <w:r w:rsidRPr="009E5A57">
        <w:rPr>
          <w:rFonts w:ascii="Arial" w:hAnsi="Arial"/>
          <w:b/>
          <w:bCs/>
          <w:color w:val="auto"/>
          <w:szCs w:val="20"/>
        </w:rPr>
        <w:t>Disallowable Instrument DI20</w:t>
      </w:r>
      <w:r w:rsidR="004B3FF7">
        <w:rPr>
          <w:rFonts w:ascii="Arial" w:hAnsi="Arial"/>
          <w:b/>
          <w:bCs/>
          <w:color w:val="auto"/>
          <w:szCs w:val="20"/>
        </w:rPr>
        <w:t>2</w:t>
      </w:r>
      <w:r w:rsidR="00EF6041">
        <w:rPr>
          <w:rFonts w:ascii="Arial" w:hAnsi="Arial"/>
          <w:b/>
          <w:bCs/>
          <w:color w:val="auto"/>
          <w:szCs w:val="20"/>
        </w:rPr>
        <w:t>1</w:t>
      </w:r>
      <w:r w:rsidR="00274FA7">
        <w:rPr>
          <w:rFonts w:ascii="Arial" w:hAnsi="Arial"/>
          <w:b/>
          <w:bCs/>
          <w:color w:val="auto"/>
          <w:szCs w:val="20"/>
        </w:rPr>
        <w:t>-97</w:t>
      </w:r>
    </w:p>
    <w:p w14:paraId="4F5E1AF5" w14:textId="77777777" w:rsidR="008311EA" w:rsidRPr="00567994" w:rsidRDefault="008311EA" w:rsidP="009E5A57">
      <w:pPr>
        <w:pStyle w:val="madeunder"/>
        <w:spacing w:before="300" w:after="0"/>
      </w:pPr>
      <w:r w:rsidRPr="00567994">
        <w:t>made under the</w:t>
      </w:r>
    </w:p>
    <w:p w14:paraId="683CFFB2" w14:textId="77777777" w:rsidR="008311EA" w:rsidRPr="009E5A57" w:rsidRDefault="008311EA" w:rsidP="009E5A57">
      <w:pPr>
        <w:pStyle w:val="CoverActName"/>
        <w:spacing w:before="320" w:after="0"/>
        <w:rPr>
          <w:rFonts w:cs="Arial"/>
          <w:sz w:val="20"/>
        </w:rPr>
      </w:pPr>
      <w:r w:rsidRPr="009E5A57">
        <w:rPr>
          <w:rFonts w:cs="Arial"/>
          <w:sz w:val="20"/>
        </w:rPr>
        <w:t>Public Unleased Land Act 2013, section 130 (Determination of fees)</w:t>
      </w:r>
    </w:p>
    <w:p w14:paraId="072A2F93" w14:textId="77777777" w:rsidR="008F671C" w:rsidRDefault="008311EA" w:rsidP="00BF6113">
      <w:pPr>
        <w:spacing w:before="360"/>
        <w:ind w:right="565"/>
        <w:rPr>
          <w:rFonts w:ascii="Arial" w:hAnsi="Arial"/>
          <w:b/>
          <w:bCs/>
          <w:color w:val="auto"/>
          <w:sz w:val="28"/>
          <w:szCs w:val="28"/>
        </w:rPr>
      </w:pPr>
      <w:r w:rsidRPr="009E5A57">
        <w:rPr>
          <w:rFonts w:ascii="Arial" w:hAnsi="Arial"/>
          <w:b/>
          <w:bCs/>
          <w:color w:val="auto"/>
          <w:sz w:val="28"/>
          <w:szCs w:val="28"/>
        </w:rPr>
        <w:t>EXPLANATORY STATEMENT</w:t>
      </w:r>
    </w:p>
    <w:p w14:paraId="786FE10E" w14:textId="77777777" w:rsidR="008311EA" w:rsidRPr="00567994" w:rsidRDefault="008311EA" w:rsidP="008311EA">
      <w:pPr>
        <w:pStyle w:val="N-line3"/>
        <w:pBdr>
          <w:top w:val="single" w:sz="12" w:space="1" w:color="auto"/>
          <w:bottom w:val="none" w:sz="0" w:space="0" w:color="auto"/>
        </w:pBdr>
      </w:pPr>
    </w:p>
    <w:p w14:paraId="1E3F0ECC" w14:textId="77777777" w:rsidR="00EF6041" w:rsidRPr="00EF6041" w:rsidRDefault="008311EA" w:rsidP="00EF6041">
      <w:pPr>
        <w:pStyle w:val="LongTitle"/>
        <w:spacing w:before="0" w:after="0"/>
        <w:jc w:val="left"/>
        <w:rPr>
          <w:color w:val="000000"/>
        </w:rPr>
      </w:pPr>
      <w:r w:rsidRPr="008311EA">
        <w:rPr>
          <w:color w:val="000000"/>
        </w:rPr>
        <w:t xml:space="preserve">Section 130 of the </w:t>
      </w:r>
      <w:r w:rsidRPr="00EF6041">
        <w:rPr>
          <w:color w:val="000000"/>
        </w:rPr>
        <w:t>Public Unleased Land Act 2013</w:t>
      </w:r>
      <w:r w:rsidRPr="008311EA">
        <w:rPr>
          <w:color w:val="000000"/>
        </w:rPr>
        <w:t xml:space="preserve"> </w:t>
      </w:r>
      <w:r w:rsidR="00FD4896">
        <w:rPr>
          <w:color w:val="000000"/>
        </w:rPr>
        <w:t xml:space="preserve">(Act) </w:t>
      </w:r>
      <w:r w:rsidR="009E5A57">
        <w:rPr>
          <w:color w:val="000000"/>
        </w:rPr>
        <w:t xml:space="preserve">provides that </w:t>
      </w:r>
      <w:r w:rsidRPr="008311EA">
        <w:rPr>
          <w:color w:val="000000"/>
        </w:rPr>
        <w:t xml:space="preserve">the Minister </w:t>
      </w:r>
      <w:r w:rsidR="009E5A57">
        <w:rPr>
          <w:color w:val="000000"/>
        </w:rPr>
        <w:t>may</w:t>
      </w:r>
      <w:r w:rsidR="009E5A57" w:rsidRPr="008311EA">
        <w:rPr>
          <w:color w:val="000000"/>
        </w:rPr>
        <w:t xml:space="preserve"> determine</w:t>
      </w:r>
      <w:r w:rsidRPr="008311EA">
        <w:rPr>
          <w:color w:val="000000"/>
        </w:rPr>
        <w:t xml:space="preserve"> fees for </w:t>
      </w:r>
      <w:r w:rsidR="00A2631E">
        <w:rPr>
          <w:color w:val="000000"/>
        </w:rPr>
        <w:t xml:space="preserve">the </w:t>
      </w:r>
      <w:r w:rsidRPr="008311EA">
        <w:rPr>
          <w:color w:val="000000"/>
        </w:rPr>
        <w:t xml:space="preserve">Act. </w:t>
      </w:r>
      <w:r w:rsidR="00EF6041" w:rsidRPr="00EF6041">
        <w:rPr>
          <w:color w:val="000000"/>
        </w:rPr>
        <w:t>This instrument commences on 1 July 2021.</w:t>
      </w:r>
    </w:p>
    <w:p w14:paraId="36E533B2" w14:textId="682E6B14" w:rsidR="008311EA" w:rsidRPr="008311EA" w:rsidRDefault="008311EA" w:rsidP="008311EA">
      <w:pPr>
        <w:pStyle w:val="LongTitle"/>
        <w:spacing w:before="0" w:after="0"/>
        <w:jc w:val="left"/>
        <w:rPr>
          <w:color w:val="000000"/>
        </w:rPr>
      </w:pPr>
    </w:p>
    <w:p w14:paraId="7AEDA1CE" w14:textId="77777777" w:rsidR="003700E6" w:rsidRPr="00640667" w:rsidRDefault="003700E6" w:rsidP="003700E6">
      <w:pPr>
        <w:pStyle w:val="LongTitle"/>
        <w:spacing w:before="0" w:after="0"/>
        <w:jc w:val="left"/>
        <w:rPr>
          <w:b/>
          <w:i/>
          <w:color w:val="000000"/>
        </w:rPr>
      </w:pPr>
      <w:r w:rsidRPr="00640667">
        <w:rPr>
          <w:b/>
          <w:i/>
          <w:color w:val="000000"/>
        </w:rPr>
        <w:t>Exemption of fees</w:t>
      </w:r>
    </w:p>
    <w:p w14:paraId="096567A3" w14:textId="77777777" w:rsidR="003700E6" w:rsidRPr="00CA0226" w:rsidRDefault="003700E6" w:rsidP="003700E6">
      <w:pPr>
        <w:pStyle w:val="LongTitle"/>
        <w:spacing w:before="0" w:after="0"/>
        <w:jc w:val="left"/>
        <w:rPr>
          <w:b/>
          <w:color w:val="000000"/>
        </w:rPr>
      </w:pPr>
    </w:p>
    <w:p w14:paraId="12459163" w14:textId="77777777" w:rsidR="003700E6" w:rsidRPr="00432959" w:rsidRDefault="003700E6" w:rsidP="003700E6">
      <w:pPr>
        <w:pStyle w:val="LongTitle"/>
        <w:spacing w:before="0" w:after="0"/>
        <w:jc w:val="left"/>
        <w:rPr>
          <w:color w:val="000000"/>
        </w:rPr>
      </w:pPr>
      <w:r w:rsidRPr="00432959">
        <w:rPr>
          <w:color w:val="000000"/>
        </w:rPr>
        <w:t xml:space="preserve">Paragraph 6 of the determination exempts </w:t>
      </w:r>
      <w:r>
        <w:rPr>
          <w:color w:val="000000"/>
        </w:rPr>
        <w:t xml:space="preserve">registered </w:t>
      </w:r>
      <w:r w:rsidRPr="00432959">
        <w:rPr>
          <w:color w:val="000000"/>
        </w:rPr>
        <w:t xml:space="preserve">charities and Territory Authorities from various fees referred to in schedule 1. </w:t>
      </w:r>
    </w:p>
    <w:p w14:paraId="11E74D26" w14:textId="77777777" w:rsidR="003700E6" w:rsidRDefault="003700E6" w:rsidP="003700E6">
      <w:pPr>
        <w:pStyle w:val="LongTitle"/>
        <w:spacing w:before="0" w:after="0"/>
        <w:jc w:val="left"/>
        <w:rPr>
          <w:color w:val="000000"/>
        </w:rPr>
      </w:pPr>
    </w:p>
    <w:p w14:paraId="71875789" w14:textId="77777777" w:rsidR="003700E6" w:rsidRPr="00640667" w:rsidRDefault="003700E6" w:rsidP="003700E6">
      <w:pPr>
        <w:pStyle w:val="LongTitle"/>
        <w:spacing w:before="0" w:after="0"/>
        <w:jc w:val="left"/>
        <w:rPr>
          <w:b/>
          <w:i/>
          <w:color w:val="000000"/>
        </w:rPr>
      </w:pPr>
      <w:r w:rsidRPr="00640667">
        <w:rPr>
          <w:b/>
          <w:i/>
          <w:color w:val="000000"/>
        </w:rPr>
        <w:t>Waiver of fees</w:t>
      </w:r>
    </w:p>
    <w:p w14:paraId="70360D77" w14:textId="77777777" w:rsidR="003700E6" w:rsidRDefault="003700E6" w:rsidP="003700E6">
      <w:pPr>
        <w:pStyle w:val="LongTitle"/>
        <w:spacing w:before="0" w:after="0"/>
        <w:jc w:val="left"/>
        <w:rPr>
          <w:color w:val="000000"/>
        </w:rPr>
      </w:pPr>
    </w:p>
    <w:p w14:paraId="64AF813E" w14:textId="7173B5FE" w:rsidR="003700E6" w:rsidRDefault="003700E6" w:rsidP="003700E6">
      <w:pPr>
        <w:autoSpaceDE w:val="0"/>
        <w:autoSpaceDN w:val="0"/>
        <w:adjustRightInd w:val="0"/>
        <w:rPr>
          <w:rFonts w:ascii="Times New Roman" w:hAnsi="Times New Roman" w:cs="Times New Roman"/>
          <w:color w:val="000000" w:themeColor="text1"/>
          <w:lang w:eastAsia="en-AU"/>
        </w:rPr>
      </w:pPr>
      <w:r w:rsidRPr="00B96BBB">
        <w:rPr>
          <w:rFonts w:ascii="Times New Roman" w:hAnsi="Times New Roman" w:cs="Times New Roman"/>
          <w:color w:val="000000" w:themeColor="text1"/>
          <w:lang w:eastAsia="en-AU"/>
        </w:rPr>
        <w:t xml:space="preserve">The determination permits the Director-General Transport Canberra and City Services, the Deputy Director-General City Services and the </w:t>
      </w:r>
      <w:r w:rsidR="00E376D0" w:rsidRPr="00B96BBB">
        <w:rPr>
          <w:rFonts w:ascii="Times New Roman" w:hAnsi="Times New Roman" w:cs="Times New Roman"/>
          <w:color w:val="000000" w:themeColor="text1"/>
          <w:lang w:eastAsia="en-AU"/>
        </w:rPr>
        <w:t xml:space="preserve">Executive Group Manager City Operations </w:t>
      </w:r>
      <w:r w:rsidRPr="00B96BBB">
        <w:rPr>
          <w:rFonts w:ascii="Times New Roman" w:hAnsi="Times New Roman" w:cs="Times New Roman"/>
          <w:color w:val="000000" w:themeColor="text1"/>
          <w:lang w:eastAsia="en-AU"/>
        </w:rPr>
        <w:t>to waive fees in specified circumstances.</w:t>
      </w:r>
    </w:p>
    <w:p w14:paraId="7F19C5EF" w14:textId="1ACB5AFC" w:rsidR="00664985" w:rsidRPr="00664985" w:rsidRDefault="00664985" w:rsidP="00664985">
      <w:pPr>
        <w:pStyle w:val="LongTitle"/>
        <w:spacing w:before="0" w:after="0"/>
        <w:jc w:val="left"/>
        <w:rPr>
          <w:color w:val="000000"/>
        </w:rPr>
      </w:pPr>
    </w:p>
    <w:p w14:paraId="50C66587" w14:textId="09577624" w:rsidR="00E376D0" w:rsidRPr="00664985" w:rsidRDefault="00664985" w:rsidP="00664985">
      <w:pPr>
        <w:pStyle w:val="LongTitle"/>
        <w:spacing w:before="0" w:after="0"/>
        <w:jc w:val="left"/>
        <w:rPr>
          <w:color w:val="000000"/>
        </w:rPr>
      </w:pPr>
      <w:r w:rsidRPr="00664985">
        <w:rPr>
          <w:color w:val="000000"/>
        </w:rPr>
        <w:t>Paragraph 7(4) of the determination exempts Transport Canberra and City Services Directorate from fees related to public unleased land for construction or other development work related activities contracted or conducted by, or on behalf of, the Directorate.</w:t>
      </w:r>
    </w:p>
    <w:p w14:paraId="14F8EB8F" w14:textId="77777777" w:rsidR="00664985" w:rsidRPr="00664985" w:rsidRDefault="00664985" w:rsidP="00664985">
      <w:pPr>
        <w:pStyle w:val="LongTitle"/>
        <w:spacing w:before="0" w:after="0"/>
        <w:jc w:val="left"/>
        <w:rPr>
          <w:color w:val="000000"/>
        </w:rPr>
      </w:pPr>
    </w:p>
    <w:p w14:paraId="1F3E6824" w14:textId="77777777" w:rsidR="003700E6" w:rsidRPr="00640667" w:rsidRDefault="003700E6" w:rsidP="003700E6">
      <w:pPr>
        <w:pStyle w:val="LongTitle"/>
        <w:spacing w:before="0" w:after="0"/>
        <w:jc w:val="left"/>
        <w:rPr>
          <w:b/>
          <w:i/>
          <w:color w:val="000000"/>
        </w:rPr>
      </w:pPr>
      <w:r w:rsidRPr="00640667">
        <w:rPr>
          <w:b/>
          <w:i/>
          <w:color w:val="000000"/>
        </w:rPr>
        <w:t>Indexed Fees</w:t>
      </w:r>
      <w:r w:rsidRPr="00640667">
        <w:rPr>
          <w:b/>
          <w:i/>
          <w:color w:val="000000"/>
        </w:rPr>
        <w:br/>
      </w:r>
    </w:p>
    <w:p w14:paraId="382E01F9" w14:textId="74D76FAD" w:rsidR="003700E6" w:rsidRDefault="003700E6" w:rsidP="003700E6">
      <w:pPr>
        <w:rPr>
          <w:rFonts w:ascii="Times New Roman" w:hAnsi="Times New Roman" w:cs="Times New Roman"/>
          <w:color w:val="auto"/>
        </w:rPr>
      </w:pPr>
      <w:r w:rsidRPr="00432959">
        <w:rPr>
          <w:rFonts w:ascii="Times New Roman" w:hAnsi="Times New Roman" w:cs="Times New Roman"/>
          <w:color w:val="auto"/>
        </w:rPr>
        <w:t xml:space="preserve">This determination increases fees </w:t>
      </w:r>
      <w:r>
        <w:rPr>
          <w:rFonts w:ascii="Times New Roman" w:hAnsi="Times New Roman" w:cs="Times New Roman"/>
          <w:color w:val="auto"/>
        </w:rPr>
        <w:t>contained in DI20</w:t>
      </w:r>
      <w:r w:rsidR="002F3DBD">
        <w:rPr>
          <w:rFonts w:ascii="Times New Roman" w:hAnsi="Times New Roman" w:cs="Times New Roman"/>
          <w:color w:val="auto"/>
        </w:rPr>
        <w:t>20</w:t>
      </w:r>
      <w:r>
        <w:rPr>
          <w:rFonts w:ascii="Times New Roman" w:hAnsi="Times New Roman" w:cs="Times New Roman"/>
          <w:color w:val="auto"/>
        </w:rPr>
        <w:t>-</w:t>
      </w:r>
      <w:r w:rsidR="00300F1B">
        <w:rPr>
          <w:rFonts w:ascii="Times New Roman" w:hAnsi="Times New Roman" w:cs="Times New Roman"/>
          <w:color w:val="auto"/>
        </w:rPr>
        <w:t>274</w:t>
      </w:r>
      <w:r w:rsidRPr="00432959">
        <w:rPr>
          <w:rFonts w:ascii="Times New Roman" w:hAnsi="Times New Roman" w:cs="Times New Roman"/>
          <w:color w:val="auto"/>
        </w:rPr>
        <w:t xml:space="preserve"> </w:t>
      </w:r>
      <w:r w:rsidRPr="00561E2B">
        <w:rPr>
          <w:rFonts w:ascii="Times New Roman" w:hAnsi="Times New Roman" w:cs="Times New Roman"/>
          <w:color w:val="auto"/>
        </w:rPr>
        <w:t xml:space="preserve">by forecast Wage Price index (WPI) </w:t>
      </w:r>
      <w:r w:rsidR="00300F1B">
        <w:rPr>
          <w:rFonts w:ascii="Times New Roman" w:hAnsi="Times New Roman" w:cs="Times New Roman"/>
          <w:color w:val="auto"/>
        </w:rPr>
        <w:t>1.75%</w:t>
      </w:r>
      <w:r w:rsidRPr="00561E2B">
        <w:rPr>
          <w:rFonts w:ascii="Times New Roman" w:hAnsi="Times New Roman" w:cs="Times New Roman"/>
          <w:color w:val="auto"/>
        </w:rPr>
        <w:t xml:space="preserve"> as per Budget Memo 20</w:t>
      </w:r>
      <w:r>
        <w:rPr>
          <w:rFonts w:ascii="Times New Roman" w:hAnsi="Times New Roman" w:cs="Times New Roman"/>
          <w:color w:val="auto"/>
        </w:rPr>
        <w:t>2</w:t>
      </w:r>
      <w:r w:rsidR="00300F1B">
        <w:rPr>
          <w:rFonts w:ascii="Times New Roman" w:hAnsi="Times New Roman" w:cs="Times New Roman"/>
          <w:color w:val="auto"/>
        </w:rPr>
        <w:t>1</w:t>
      </w:r>
      <w:r w:rsidRPr="00561E2B">
        <w:rPr>
          <w:rFonts w:ascii="Times New Roman" w:hAnsi="Times New Roman" w:cs="Times New Roman"/>
          <w:color w:val="auto"/>
        </w:rPr>
        <w:t>/0</w:t>
      </w:r>
      <w:r w:rsidR="00300F1B">
        <w:rPr>
          <w:rFonts w:ascii="Times New Roman" w:hAnsi="Times New Roman" w:cs="Times New Roman"/>
          <w:color w:val="auto"/>
        </w:rPr>
        <w:t>8</w:t>
      </w:r>
      <w:r w:rsidRPr="00432959">
        <w:rPr>
          <w:rFonts w:ascii="Times New Roman" w:hAnsi="Times New Roman" w:cs="Times New Roman"/>
          <w:color w:val="auto"/>
        </w:rPr>
        <w:t xml:space="preserve">, rounded for cash handling and other purposes. </w:t>
      </w:r>
    </w:p>
    <w:p w14:paraId="07E448BF" w14:textId="5BC77577" w:rsidR="00664985" w:rsidRDefault="00664985" w:rsidP="003700E6">
      <w:pPr>
        <w:rPr>
          <w:rFonts w:ascii="Times New Roman" w:hAnsi="Times New Roman" w:cs="Times New Roman"/>
          <w:color w:val="auto"/>
        </w:rPr>
      </w:pPr>
    </w:p>
    <w:p w14:paraId="233E6545" w14:textId="77777777" w:rsidR="00664985" w:rsidRPr="00E733F4" w:rsidRDefault="00664985" w:rsidP="00664985">
      <w:pPr>
        <w:pStyle w:val="tablenormal0"/>
        <w:rPr>
          <w:snapToGrid w:val="0"/>
          <w:sz w:val="24"/>
          <w:szCs w:val="24"/>
        </w:rPr>
      </w:pPr>
      <w:r w:rsidRPr="00E733F4">
        <w:rPr>
          <w:snapToGrid w:val="0"/>
          <w:sz w:val="24"/>
          <w:szCs w:val="24"/>
        </w:rPr>
        <w:t>As part of an independent review of GST related revenue the Directorate has adopted changes to the following fees:</w:t>
      </w:r>
    </w:p>
    <w:p w14:paraId="2BBFBB52" w14:textId="77777777" w:rsidR="00664985" w:rsidRDefault="00664985" w:rsidP="00664985">
      <w:pPr>
        <w:pStyle w:val="tablenormal0"/>
        <w:rPr>
          <w:snapToGrid w:val="0"/>
          <w:sz w:val="24"/>
          <w:szCs w:val="24"/>
        </w:rPr>
      </w:pPr>
    </w:p>
    <w:p w14:paraId="7581F58E" w14:textId="351FB7B4" w:rsidR="00664985" w:rsidRPr="00E733F4" w:rsidRDefault="00664985" w:rsidP="00664985">
      <w:pPr>
        <w:pStyle w:val="tablenormal0"/>
        <w:numPr>
          <w:ilvl w:val="0"/>
          <w:numId w:val="13"/>
        </w:numPr>
        <w:rPr>
          <w:snapToGrid w:val="0"/>
          <w:sz w:val="24"/>
          <w:szCs w:val="24"/>
        </w:rPr>
      </w:pPr>
      <w:r w:rsidRPr="00E733F4">
        <w:rPr>
          <w:snapToGrid w:val="0"/>
          <w:sz w:val="24"/>
          <w:szCs w:val="24"/>
        </w:rPr>
        <w:t xml:space="preserve">Fees at </w:t>
      </w:r>
      <w:r>
        <w:rPr>
          <w:snapToGrid w:val="0"/>
          <w:sz w:val="24"/>
          <w:szCs w:val="24"/>
        </w:rPr>
        <w:t xml:space="preserve">1.4, 1.5, 1.6 and 1.7 </w:t>
      </w:r>
      <w:r w:rsidRPr="00E733F4">
        <w:rPr>
          <w:snapToGrid w:val="0"/>
          <w:sz w:val="24"/>
          <w:szCs w:val="24"/>
        </w:rPr>
        <w:t>of Schedule 1 now include GST.</w:t>
      </w:r>
    </w:p>
    <w:p w14:paraId="580E7F94" w14:textId="0BC10A43" w:rsidR="003700E6" w:rsidRDefault="003700E6" w:rsidP="003700E6">
      <w:pPr>
        <w:rPr>
          <w:rFonts w:ascii="Times New Roman" w:hAnsi="Times New Roman" w:cs="Times New Roman"/>
          <w:color w:val="auto"/>
        </w:rPr>
      </w:pPr>
    </w:p>
    <w:p w14:paraId="13254AB7" w14:textId="77777777" w:rsidR="00664985" w:rsidRDefault="00664985" w:rsidP="003700E6">
      <w:pPr>
        <w:pStyle w:val="LongTitle"/>
        <w:spacing w:before="0" w:after="0"/>
        <w:jc w:val="left"/>
        <w:rPr>
          <w:b/>
          <w:i/>
          <w:color w:val="000000"/>
        </w:rPr>
      </w:pPr>
    </w:p>
    <w:p w14:paraId="368F3FEA" w14:textId="77777777" w:rsidR="00664985" w:rsidRDefault="00664985" w:rsidP="003700E6">
      <w:pPr>
        <w:pStyle w:val="LongTitle"/>
        <w:spacing w:before="0" w:after="0"/>
        <w:jc w:val="left"/>
        <w:rPr>
          <w:b/>
          <w:i/>
          <w:color w:val="000000"/>
        </w:rPr>
      </w:pPr>
    </w:p>
    <w:p w14:paraId="3F412D9A" w14:textId="18B017D7" w:rsidR="003700E6" w:rsidRPr="00640667" w:rsidRDefault="003700E6" w:rsidP="003700E6">
      <w:pPr>
        <w:pStyle w:val="LongTitle"/>
        <w:spacing w:before="0" w:after="0"/>
        <w:jc w:val="left"/>
        <w:rPr>
          <w:b/>
          <w:i/>
          <w:color w:val="000000"/>
        </w:rPr>
      </w:pPr>
      <w:r w:rsidRPr="00640667">
        <w:rPr>
          <w:b/>
          <w:i/>
          <w:color w:val="000000"/>
        </w:rPr>
        <w:lastRenderedPageBreak/>
        <w:t>Revocation</w:t>
      </w:r>
    </w:p>
    <w:p w14:paraId="427F48CF" w14:textId="77777777" w:rsidR="003700E6" w:rsidRPr="00432959" w:rsidRDefault="003700E6" w:rsidP="003700E6">
      <w:pPr>
        <w:rPr>
          <w:rFonts w:ascii="Times New Roman" w:hAnsi="Times New Roman" w:cs="Times New Roman"/>
          <w:color w:val="auto"/>
        </w:rPr>
      </w:pPr>
    </w:p>
    <w:p w14:paraId="2818FB34" w14:textId="77C1A053" w:rsidR="003700E6" w:rsidRDefault="003700E6" w:rsidP="003700E6">
      <w:pPr>
        <w:rPr>
          <w:rFonts w:ascii="Times New Roman" w:hAnsi="Times New Roman" w:cs="Times New Roman"/>
        </w:rPr>
      </w:pPr>
      <w:r w:rsidRPr="00432959">
        <w:rPr>
          <w:rFonts w:ascii="Times New Roman" w:hAnsi="Times New Roman" w:cs="Times New Roman"/>
        </w:rPr>
        <w:t>This determination revokes the previous fee determination (DI20</w:t>
      </w:r>
      <w:r w:rsidR="002F3DBD">
        <w:rPr>
          <w:rFonts w:ascii="Times New Roman" w:hAnsi="Times New Roman" w:cs="Times New Roman"/>
        </w:rPr>
        <w:t>20</w:t>
      </w:r>
      <w:r w:rsidRPr="00432959">
        <w:rPr>
          <w:rFonts w:ascii="Times New Roman" w:hAnsi="Times New Roman" w:cs="Times New Roman"/>
        </w:rPr>
        <w:t>–</w:t>
      </w:r>
      <w:r w:rsidR="00EF6041">
        <w:rPr>
          <w:rFonts w:ascii="Times New Roman" w:hAnsi="Times New Roman" w:cs="Times New Roman"/>
        </w:rPr>
        <w:t>274</w:t>
      </w:r>
      <w:r w:rsidRPr="00432959">
        <w:rPr>
          <w:rFonts w:ascii="Times New Roman" w:hAnsi="Times New Roman" w:cs="Times New Roman"/>
        </w:rPr>
        <w:t>) that set fees for the 20</w:t>
      </w:r>
      <w:r>
        <w:rPr>
          <w:rFonts w:ascii="Times New Roman" w:hAnsi="Times New Roman" w:cs="Times New Roman"/>
        </w:rPr>
        <w:t>20</w:t>
      </w:r>
      <w:r w:rsidRPr="00432959">
        <w:rPr>
          <w:rFonts w:ascii="Times New Roman" w:hAnsi="Times New Roman" w:cs="Times New Roman"/>
        </w:rPr>
        <w:t>-20</w:t>
      </w:r>
      <w:r>
        <w:rPr>
          <w:rFonts w:ascii="Times New Roman" w:hAnsi="Times New Roman" w:cs="Times New Roman"/>
        </w:rPr>
        <w:t>21</w:t>
      </w:r>
      <w:r w:rsidRPr="00432959">
        <w:rPr>
          <w:rFonts w:ascii="Times New Roman" w:hAnsi="Times New Roman" w:cs="Times New Roman"/>
        </w:rPr>
        <w:t xml:space="preserve"> financial year</w:t>
      </w:r>
      <w:r>
        <w:rPr>
          <w:rFonts w:ascii="Times New Roman" w:hAnsi="Times New Roman" w:cs="Times New Roman"/>
        </w:rPr>
        <w:t>.</w:t>
      </w:r>
    </w:p>
    <w:p w14:paraId="79AEE5FC" w14:textId="77777777" w:rsidR="003700E6" w:rsidRPr="00432959" w:rsidRDefault="003700E6" w:rsidP="003700E6">
      <w:pPr>
        <w:rPr>
          <w:rFonts w:ascii="Times New Roman" w:hAnsi="Times New Roman" w:cs="Times New Roman"/>
        </w:rPr>
      </w:pPr>
    </w:p>
    <w:p w14:paraId="146410BE" w14:textId="77777777" w:rsidR="004520C0" w:rsidRPr="003700E6" w:rsidRDefault="004520C0" w:rsidP="004520C0">
      <w:pPr>
        <w:pStyle w:val="LongTitle"/>
        <w:spacing w:before="0" w:after="0"/>
        <w:jc w:val="left"/>
        <w:rPr>
          <w:color w:val="FF0000"/>
        </w:rPr>
      </w:pPr>
    </w:p>
    <w:p w14:paraId="14F81B50" w14:textId="77777777" w:rsidR="0083623C" w:rsidRDefault="0083623C" w:rsidP="00B52CE8">
      <w:pPr>
        <w:pStyle w:val="Header"/>
        <w:rPr>
          <w:rFonts w:ascii="Times New Roman" w:hAnsi="Times New Roman" w:cs="Times New Roman"/>
        </w:rPr>
      </w:pPr>
    </w:p>
    <w:sectPr w:rsidR="0083623C" w:rsidSect="00AD1983">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40A6" w14:textId="77777777" w:rsidR="008E065C" w:rsidRDefault="008E065C" w:rsidP="00EF586A">
      <w:r>
        <w:separator/>
      </w:r>
    </w:p>
  </w:endnote>
  <w:endnote w:type="continuationSeparator" w:id="0">
    <w:p w14:paraId="2D5BC673" w14:textId="77777777" w:rsidR="008E065C" w:rsidRDefault="008E065C" w:rsidP="00EF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73DA" w14:textId="77777777" w:rsidR="00E84A63" w:rsidRDefault="00E8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EE34" w14:textId="7E3E3017" w:rsidR="00E84A63" w:rsidRPr="00E84A63" w:rsidRDefault="00E84A63" w:rsidP="00E84A63">
    <w:pPr>
      <w:pStyle w:val="Footer"/>
      <w:jc w:val="center"/>
      <w:rPr>
        <w:rFonts w:ascii="Arial" w:hAnsi="Arial"/>
        <w:sz w:val="14"/>
      </w:rPr>
    </w:pPr>
    <w:r w:rsidRPr="00E84A63">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F3E3" w14:textId="77777777" w:rsidR="00E84A63" w:rsidRDefault="00E8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5D47A" w14:textId="77777777" w:rsidR="008E065C" w:rsidRDefault="008E065C" w:rsidP="00EF586A">
      <w:r>
        <w:separator/>
      </w:r>
    </w:p>
  </w:footnote>
  <w:footnote w:type="continuationSeparator" w:id="0">
    <w:p w14:paraId="11B92D1F" w14:textId="77777777" w:rsidR="008E065C" w:rsidRDefault="008E065C" w:rsidP="00EF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D145" w14:textId="77777777" w:rsidR="00E84A63" w:rsidRDefault="00E8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B8A2" w14:textId="77777777" w:rsidR="00B97922" w:rsidRPr="003F10F6" w:rsidRDefault="00B97922" w:rsidP="003F10F6">
    <w:pPr>
      <w:pStyle w:val="Header"/>
      <w:tabs>
        <w:tab w:val="left" w:pos="496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200E" w14:textId="77777777" w:rsidR="00E84A63" w:rsidRDefault="00E8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936EA"/>
    <w:multiLevelType w:val="hybridMultilevel"/>
    <w:tmpl w:val="F8905620"/>
    <w:lvl w:ilvl="0" w:tplc="912CF0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F83160"/>
    <w:multiLevelType w:val="hybridMultilevel"/>
    <w:tmpl w:val="E42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05A76"/>
    <w:rsid w:val="00027253"/>
    <w:rsid w:val="00037421"/>
    <w:rsid w:val="000410C7"/>
    <w:rsid w:val="00057A7C"/>
    <w:rsid w:val="00063AF7"/>
    <w:rsid w:val="00083C56"/>
    <w:rsid w:val="00092C05"/>
    <w:rsid w:val="000B1E37"/>
    <w:rsid w:val="000D04AC"/>
    <w:rsid w:val="000D7543"/>
    <w:rsid w:val="000F669D"/>
    <w:rsid w:val="001036B9"/>
    <w:rsid w:val="00103B86"/>
    <w:rsid w:val="00110F33"/>
    <w:rsid w:val="001117D6"/>
    <w:rsid w:val="00125662"/>
    <w:rsid w:val="001537D0"/>
    <w:rsid w:val="00161825"/>
    <w:rsid w:val="001624D8"/>
    <w:rsid w:val="00163ECB"/>
    <w:rsid w:val="001738CC"/>
    <w:rsid w:val="001909DA"/>
    <w:rsid w:val="001957E4"/>
    <w:rsid w:val="00195D95"/>
    <w:rsid w:val="00195F54"/>
    <w:rsid w:val="001A19C0"/>
    <w:rsid w:val="001C302F"/>
    <w:rsid w:val="002040BA"/>
    <w:rsid w:val="0020741D"/>
    <w:rsid w:val="00223996"/>
    <w:rsid w:val="002271FA"/>
    <w:rsid w:val="00227B32"/>
    <w:rsid w:val="002351A1"/>
    <w:rsid w:val="00240E9C"/>
    <w:rsid w:val="00242427"/>
    <w:rsid w:val="00251FD9"/>
    <w:rsid w:val="00262B4D"/>
    <w:rsid w:val="00264F0D"/>
    <w:rsid w:val="0027371A"/>
    <w:rsid w:val="00274FA7"/>
    <w:rsid w:val="00282205"/>
    <w:rsid w:val="002824CA"/>
    <w:rsid w:val="002A741F"/>
    <w:rsid w:val="002B05B2"/>
    <w:rsid w:val="002D18D6"/>
    <w:rsid w:val="002D4677"/>
    <w:rsid w:val="002D5B34"/>
    <w:rsid w:val="002D7E15"/>
    <w:rsid w:val="002E04D1"/>
    <w:rsid w:val="002E1F99"/>
    <w:rsid w:val="002E21D3"/>
    <w:rsid w:val="002F3DBD"/>
    <w:rsid w:val="00300F1B"/>
    <w:rsid w:val="003103D5"/>
    <w:rsid w:val="003119E2"/>
    <w:rsid w:val="00312A58"/>
    <w:rsid w:val="00317505"/>
    <w:rsid w:val="00326668"/>
    <w:rsid w:val="0033448D"/>
    <w:rsid w:val="003366CC"/>
    <w:rsid w:val="00336A43"/>
    <w:rsid w:val="003372A7"/>
    <w:rsid w:val="003609D0"/>
    <w:rsid w:val="003700E6"/>
    <w:rsid w:val="003740EA"/>
    <w:rsid w:val="00380FF4"/>
    <w:rsid w:val="00383131"/>
    <w:rsid w:val="00397609"/>
    <w:rsid w:val="00397FE0"/>
    <w:rsid w:val="003A5268"/>
    <w:rsid w:val="003B698B"/>
    <w:rsid w:val="003D49F8"/>
    <w:rsid w:val="003E10B2"/>
    <w:rsid w:val="003F00F9"/>
    <w:rsid w:val="003F10F6"/>
    <w:rsid w:val="004054A0"/>
    <w:rsid w:val="004208BF"/>
    <w:rsid w:val="00421503"/>
    <w:rsid w:val="00421593"/>
    <w:rsid w:val="00421CB0"/>
    <w:rsid w:val="004220A5"/>
    <w:rsid w:val="00432959"/>
    <w:rsid w:val="00447218"/>
    <w:rsid w:val="004520C0"/>
    <w:rsid w:val="00470085"/>
    <w:rsid w:val="00472908"/>
    <w:rsid w:val="00477876"/>
    <w:rsid w:val="00483A5F"/>
    <w:rsid w:val="00487C7B"/>
    <w:rsid w:val="004942D6"/>
    <w:rsid w:val="004A045E"/>
    <w:rsid w:val="004A154F"/>
    <w:rsid w:val="004A1B15"/>
    <w:rsid w:val="004B3FF7"/>
    <w:rsid w:val="004D37E4"/>
    <w:rsid w:val="004E18CE"/>
    <w:rsid w:val="00512975"/>
    <w:rsid w:val="00513507"/>
    <w:rsid w:val="00520D29"/>
    <w:rsid w:val="00523E71"/>
    <w:rsid w:val="005254E6"/>
    <w:rsid w:val="00527458"/>
    <w:rsid w:val="005500F1"/>
    <w:rsid w:val="00556E6E"/>
    <w:rsid w:val="00561E2B"/>
    <w:rsid w:val="00567994"/>
    <w:rsid w:val="005A026B"/>
    <w:rsid w:val="005A0A2F"/>
    <w:rsid w:val="005B5F48"/>
    <w:rsid w:val="005B6114"/>
    <w:rsid w:val="005C1973"/>
    <w:rsid w:val="005C548E"/>
    <w:rsid w:val="005D7112"/>
    <w:rsid w:val="005D734A"/>
    <w:rsid w:val="005E1382"/>
    <w:rsid w:val="005F3844"/>
    <w:rsid w:val="006366EE"/>
    <w:rsid w:val="00640667"/>
    <w:rsid w:val="006419DE"/>
    <w:rsid w:val="00643636"/>
    <w:rsid w:val="00656902"/>
    <w:rsid w:val="00664985"/>
    <w:rsid w:val="00670BC3"/>
    <w:rsid w:val="00674F9F"/>
    <w:rsid w:val="00685268"/>
    <w:rsid w:val="006A2F45"/>
    <w:rsid w:val="006A3111"/>
    <w:rsid w:val="006A58D0"/>
    <w:rsid w:val="006B4983"/>
    <w:rsid w:val="006B5214"/>
    <w:rsid w:val="006C345E"/>
    <w:rsid w:val="006C5D20"/>
    <w:rsid w:val="006D7FCF"/>
    <w:rsid w:val="006E141B"/>
    <w:rsid w:val="006F702C"/>
    <w:rsid w:val="00702F98"/>
    <w:rsid w:val="0071198B"/>
    <w:rsid w:val="00730C0E"/>
    <w:rsid w:val="00734ED5"/>
    <w:rsid w:val="00742EDE"/>
    <w:rsid w:val="00746B1B"/>
    <w:rsid w:val="00777616"/>
    <w:rsid w:val="00781031"/>
    <w:rsid w:val="00786501"/>
    <w:rsid w:val="007B0B6D"/>
    <w:rsid w:val="007B212D"/>
    <w:rsid w:val="007D307E"/>
    <w:rsid w:val="007D7543"/>
    <w:rsid w:val="007F1657"/>
    <w:rsid w:val="007F59B5"/>
    <w:rsid w:val="008000D0"/>
    <w:rsid w:val="0080292D"/>
    <w:rsid w:val="00807B85"/>
    <w:rsid w:val="0081236E"/>
    <w:rsid w:val="0081474E"/>
    <w:rsid w:val="008177F0"/>
    <w:rsid w:val="00822EFB"/>
    <w:rsid w:val="00824299"/>
    <w:rsid w:val="0082542B"/>
    <w:rsid w:val="008311EA"/>
    <w:rsid w:val="00834542"/>
    <w:rsid w:val="0083623C"/>
    <w:rsid w:val="00856737"/>
    <w:rsid w:val="00877DEA"/>
    <w:rsid w:val="00883DDD"/>
    <w:rsid w:val="00887454"/>
    <w:rsid w:val="00891712"/>
    <w:rsid w:val="008A4248"/>
    <w:rsid w:val="008A66E0"/>
    <w:rsid w:val="008D4952"/>
    <w:rsid w:val="008D617B"/>
    <w:rsid w:val="008E065C"/>
    <w:rsid w:val="008E0DD8"/>
    <w:rsid w:val="008F671C"/>
    <w:rsid w:val="008F7406"/>
    <w:rsid w:val="00910043"/>
    <w:rsid w:val="00912ADB"/>
    <w:rsid w:val="0092297F"/>
    <w:rsid w:val="00927898"/>
    <w:rsid w:val="00934247"/>
    <w:rsid w:val="0093515A"/>
    <w:rsid w:val="009412FB"/>
    <w:rsid w:val="009416C2"/>
    <w:rsid w:val="00957E98"/>
    <w:rsid w:val="00961B4F"/>
    <w:rsid w:val="00962365"/>
    <w:rsid w:val="00963847"/>
    <w:rsid w:val="00963E6A"/>
    <w:rsid w:val="00971C97"/>
    <w:rsid w:val="009721F4"/>
    <w:rsid w:val="00990B03"/>
    <w:rsid w:val="00994164"/>
    <w:rsid w:val="00994EC2"/>
    <w:rsid w:val="009C754C"/>
    <w:rsid w:val="009D63E5"/>
    <w:rsid w:val="009E3F4B"/>
    <w:rsid w:val="009E5A57"/>
    <w:rsid w:val="009F21BC"/>
    <w:rsid w:val="00A12C76"/>
    <w:rsid w:val="00A14EB3"/>
    <w:rsid w:val="00A2631E"/>
    <w:rsid w:val="00A442A9"/>
    <w:rsid w:val="00A46E9E"/>
    <w:rsid w:val="00A62439"/>
    <w:rsid w:val="00A66E2C"/>
    <w:rsid w:val="00A71E5F"/>
    <w:rsid w:val="00A74295"/>
    <w:rsid w:val="00A82767"/>
    <w:rsid w:val="00A84AF7"/>
    <w:rsid w:val="00A92554"/>
    <w:rsid w:val="00A93A54"/>
    <w:rsid w:val="00A94689"/>
    <w:rsid w:val="00AB2B6F"/>
    <w:rsid w:val="00AB2F75"/>
    <w:rsid w:val="00AB4076"/>
    <w:rsid w:val="00AB47B6"/>
    <w:rsid w:val="00AD1983"/>
    <w:rsid w:val="00AD25FC"/>
    <w:rsid w:val="00AD300E"/>
    <w:rsid w:val="00AD33F5"/>
    <w:rsid w:val="00AF0CD6"/>
    <w:rsid w:val="00AF512B"/>
    <w:rsid w:val="00B061A0"/>
    <w:rsid w:val="00B07DD1"/>
    <w:rsid w:val="00B117D6"/>
    <w:rsid w:val="00B36998"/>
    <w:rsid w:val="00B446B9"/>
    <w:rsid w:val="00B52CE8"/>
    <w:rsid w:val="00B533CA"/>
    <w:rsid w:val="00B54C09"/>
    <w:rsid w:val="00B63BA2"/>
    <w:rsid w:val="00B73BCD"/>
    <w:rsid w:val="00B73D3D"/>
    <w:rsid w:val="00B74422"/>
    <w:rsid w:val="00B87DC4"/>
    <w:rsid w:val="00B96899"/>
    <w:rsid w:val="00B96BBB"/>
    <w:rsid w:val="00B97922"/>
    <w:rsid w:val="00BA2E21"/>
    <w:rsid w:val="00BB38EE"/>
    <w:rsid w:val="00BB436F"/>
    <w:rsid w:val="00BF6113"/>
    <w:rsid w:val="00C10998"/>
    <w:rsid w:val="00C420E0"/>
    <w:rsid w:val="00C479DB"/>
    <w:rsid w:val="00C5041A"/>
    <w:rsid w:val="00C54B16"/>
    <w:rsid w:val="00C57DF8"/>
    <w:rsid w:val="00C60583"/>
    <w:rsid w:val="00C80439"/>
    <w:rsid w:val="00C84020"/>
    <w:rsid w:val="00C929DF"/>
    <w:rsid w:val="00C947A7"/>
    <w:rsid w:val="00C967ED"/>
    <w:rsid w:val="00CA0226"/>
    <w:rsid w:val="00CB6152"/>
    <w:rsid w:val="00CD0480"/>
    <w:rsid w:val="00CD2ABD"/>
    <w:rsid w:val="00CE0745"/>
    <w:rsid w:val="00CE5C12"/>
    <w:rsid w:val="00CF1EC5"/>
    <w:rsid w:val="00D016C1"/>
    <w:rsid w:val="00D130A6"/>
    <w:rsid w:val="00D32EEF"/>
    <w:rsid w:val="00D40592"/>
    <w:rsid w:val="00D412BB"/>
    <w:rsid w:val="00D4524E"/>
    <w:rsid w:val="00D466A5"/>
    <w:rsid w:val="00D51447"/>
    <w:rsid w:val="00D534A3"/>
    <w:rsid w:val="00D54F94"/>
    <w:rsid w:val="00D940C7"/>
    <w:rsid w:val="00DA31B2"/>
    <w:rsid w:val="00DC6872"/>
    <w:rsid w:val="00DC79AF"/>
    <w:rsid w:val="00DD67A1"/>
    <w:rsid w:val="00DE54A4"/>
    <w:rsid w:val="00DE7E07"/>
    <w:rsid w:val="00DF4A81"/>
    <w:rsid w:val="00E00542"/>
    <w:rsid w:val="00E01C81"/>
    <w:rsid w:val="00E054A4"/>
    <w:rsid w:val="00E1215F"/>
    <w:rsid w:val="00E23A5F"/>
    <w:rsid w:val="00E376D0"/>
    <w:rsid w:val="00E4332E"/>
    <w:rsid w:val="00E534C5"/>
    <w:rsid w:val="00E72EEA"/>
    <w:rsid w:val="00E74053"/>
    <w:rsid w:val="00E75C6F"/>
    <w:rsid w:val="00E768A0"/>
    <w:rsid w:val="00E83C6B"/>
    <w:rsid w:val="00E84A63"/>
    <w:rsid w:val="00E85767"/>
    <w:rsid w:val="00E8667C"/>
    <w:rsid w:val="00E87537"/>
    <w:rsid w:val="00E87E18"/>
    <w:rsid w:val="00E90F57"/>
    <w:rsid w:val="00EA3DEF"/>
    <w:rsid w:val="00EC032B"/>
    <w:rsid w:val="00EC5AD1"/>
    <w:rsid w:val="00EC6D38"/>
    <w:rsid w:val="00ED211F"/>
    <w:rsid w:val="00EE3E29"/>
    <w:rsid w:val="00EE70EF"/>
    <w:rsid w:val="00EF586A"/>
    <w:rsid w:val="00EF6041"/>
    <w:rsid w:val="00EF79D8"/>
    <w:rsid w:val="00F1371C"/>
    <w:rsid w:val="00F153C4"/>
    <w:rsid w:val="00F23478"/>
    <w:rsid w:val="00F36964"/>
    <w:rsid w:val="00F46D8E"/>
    <w:rsid w:val="00F54E81"/>
    <w:rsid w:val="00F556B5"/>
    <w:rsid w:val="00F62202"/>
    <w:rsid w:val="00F6486E"/>
    <w:rsid w:val="00F73D29"/>
    <w:rsid w:val="00F7448B"/>
    <w:rsid w:val="00F82AF0"/>
    <w:rsid w:val="00F91B36"/>
    <w:rsid w:val="00F9355A"/>
    <w:rsid w:val="00FC4619"/>
    <w:rsid w:val="00FD4896"/>
    <w:rsid w:val="00FD5703"/>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2B6021"/>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983"/>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515A"/>
    <w:rPr>
      <w:rFonts w:ascii="Cambria" w:hAnsi="Cambria"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character" w:styleId="CommentReference">
    <w:name w:val="annotation reference"/>
    <w:basedOn w:val="DefaultParagraphFont"/>
    <w:uiPriority w:val="99"/>
    <w:rsid w:val="00B87DC4"/>
    <w:rPr>
      <w:rFonts w:cs="Times New Roman"/>
      <w:sz w:val="16"/>
      <w:szCs w:val="16"/>
    </w:rPr>
  </w:style>
  <w:style w:type="paragraph" w:styleId="CommentText">
    <w:name w:val="annotation text"/>
    <w:basedOn w:val="Normal"/>
    <w:link w:val="CommentTextChar"/>
    <w:uiPriority w:val="99"/>
    <w:rsid w:val="00B87DC4"/>
    <w:rPr>
      <w:sz w:val="20"/>
      <w:szCs w:val="20"/>
    </w:rPr>
  </w:style>
  <w:style w:type="character" w:customStyle="1" w:styleId="CommentTextChar">
    <w:name w:val="Comment Text Char"/>
    <w:basedOn w:val="DefaultParagraphFont"/>
    <w:link w:val="CommentText"/>
    <w:uiPriority w:val="99"/>
    <w:locked/>
    <w:rsid w:val="00B87DC4"/>
    <w:rPr>
      <w:rFonts w:ascii="Arial (W1)" w:hAnsi="Arial (W1)" w:cs="Arial"/>
      <w:color w:val="000000"/>
      <w:lang w:val="x-none" w:eastAsia="en-US"/>
    </w:rPr>
  </w:style>
  <w:style w:type="paragraph" w:styleId="CommentSubject">
    <w:name w:val="annotation subject"/>
    <w:basedOn w:val="CommentText"/>
    <w:next w:val="CommentText"/>
    <w:link w:val="CommentSubjectChar"/>
    <w:uiPriority w:val="99"/>
    <w:rsid w:val="00B87DC4"/>
    <w:rPr>
      <w:b/>
      <w:bCs/>
    </w:rPr>
  </w:style>
  <w:style w:type="character" w:customStyle="1" w:styleId="CommentSubjectChar">
    <w:name w:val="Comment Subject Char"/>
    <w:basedOn w:val="CommentTextChar"/>
    <w:link w:val="CommentSubject"/>
    <w:uiPriority w:val="99"/>
    <w:locked/>
    <w:rsid w:val="00B87DC4"/>
    <w:rPr>
      <w:rFonts w:ascii="Arial (W1)" w:hAnsi="Arial (W1)" w:cs="Arial"/>
      <w:b/>
      <w:bCs/>
      <w:color w:val="000000"/>
      <w:lang w:val="x-none" w:eastAsia="en-US"/>
    </w:rPr>
  </w:style>
  <w:style w:type="paragraph" w:styleId="BalloonText">
    <w:name w:val="Balloon Text"/>
    <w:basedOn w:val="Normal"/>
    <w:link w:val="BalloonTextChar"/>
    <w:uiPriority w:val="99"/>
    <w:rsid w:val="00B87DC4"/>
    <w:rPr>
      <w:rFonts w:ascii="Tahoma" w:hAnsi="Tahoma" w:cs="Tahoma"/>
      <w:sz w:val="16"/>
      <w:szCs w:val="16"/>
    </w:rPr>
  </w:style>
  <w:style w:type="character" w:customStyle="1" w:styleId="BalloonTextChar">
    <w:name w:val="Balloon Text Char"/>
    <w:basedOn w:val="DefaultParagraphFont"/>
    <w:link w:val="BalloonText"/>
    <w:uiPriority w:val="99"/>
    <w:locked/>
    <w:rsid w:val="00B87DC4"/>
    <w:rPr>
      <w:rFonts w:ascii="Tahoma" w:hAnsi="Tahoma" w:cs="Tahoma"/>
      <w:color w:val="000000"/>
      <w:sz w:val="16"/>
      <w:szCs w:val="16"/>
      <w:lang w:val="x-none" w:eastAsia="en-US"/>
    </w:rPr>
  </w:style>
  <w:style w:type="paragraph" w:styleId="Header">
    <w:name w:val="header"/>
    <w:basedOn w:val="Normal"/>
    <w:link w:val="HeaderChar"/>
    <w:uiPriority w:val="99"/>
    <w:rsid w:val="00EF586A"/>
    <w:pPr>
      <w:tabs>
        <w:tab w:val="center" w:pos="4513"/>
        <w:tab w:val="right" w:pos="9026"/>
      </w:tabs>
    </w:pPr>
  </w:style>
  <w:style w:type="character" w:customStyle="1" w:styleId="HeaderChar">
    <w:name w:val="Header Char"/>
    <w:basedOn w:val="DefaultParagraphFont"/>
    <w:link w:val="Header"/>
    <w:uiPriority w:val="99"/>
    <w:locked/>
    <w:rsid w:val="00EF586A"/>
    <w:rPr>
      <w:rFonts w:ascii="Arial (W1)" w:hAnsi="Arial (W1)" w:cs="Arial"/>
      <w:color w:val="000000"/>
      <w:sz w:val="24"/>
      <w:szCs w:val="24"/>
      <w:lang w:val="x-none" w:eastAsia="en-US"/>
    </w:rPr>
  </w:style>
  <w:style w:type="paragraph" w:styleId="Footer">
    <w:name w:val="footer"/>
    <w:basedOn w:val="Normal"/>
    <w:link w:val="FooterChar"/>
    <w:uiPriority w:val="99"/>
    <w:rsid w:val="00EF586A"/>
    <w:pPr>
      <w:tabs>
        <w:tab w:val="center" w:pos="4513"/>
        <w:tab w:val="right" w:pos="9026"/>
      </w:tabs>
    </w:pPr>
  </w:style>
  <w:style w:type="character" w:customStyle="1" w:styleId="FooterChar">
    <w:name w:val="Footer Char"/>
    <w:basedOn w:val="DefaultParagraphFont"/>
    <w:link w:val="Footer"/>
    <w:uiPriority w:val="99"/>
    <w:locked/>
    <w:rsid w:val="00EF586A"/>
    <w:rPr>
      <w:rFonts w:ascii="Arial (W1)" w:hAnsi="Arial (W1)" w:cs="Arial"/>
      <w:color w:val="000000"/>
      <w:sz w:val="24"/>
      <w:szCs w:val="24"/>
      <w:lang w:val="x-none" w:eastAsia="en-US"/>
    </w:rPr>
  </w:style>
  <w:style w:type="paragraph" w:customStyle="1" w:styleId="Billname">
    <w:name w:val="Billname"/>
    <w:basedOn w:val="Normal"/>
    <w:rsid w:val="009E5A57"/>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9E5A57"/>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9E5A57"/>
    <w:pPr>
      <w:tabs>
        <w:tab w:val="left" w:pos="2600"/>
      </w:tabs>
      <w:spacing w:before="200" w:after="60"/>
      <w:jc w:val="both"/>
    </w:pPr>
    <w:rPr>
      <w:rFonts w:ascii="Arial" w:hAnsi="Arial" w:cs="Times New Roman"/>
      <w:b/>
      <w:color w:val="auto"/>
      <w:szCs w:val="20"/>
    </w:rPr>
  </w:style>
  <w:style w:type="character" w:customStyle="1" w:styleId="Calibri12">
    <w:name w:val="Calibri 12"/>
    <w:basedOn w:val="DefaultParagraphFont"/>
    <w:uiPriority w:val="1"/>
    <w:qFormat/>
    <w:rsid w:val="004520C0"/>
    <w:rPr>
      <w:rFonts w:ascii="Calibri" w:hAnsi="Calibri"/>
      <w:sz w:val="24"/>
    </w:rPr>
  </w:style>
  <w:style w:type="paragraph" w:styleId="ListParagraph">
    <w:name w:val="List Paragraph"/>
    <w:basedOn w:val="Normal"/>
    <w:uiPriority w:val="34"/>
    <w:qFormat/>
    <w:rsid w:val="004520C0"/>
    <w:pPr>
      <w:widowControl w:val="0"/>
      <w:ind w:left="720"/>
      <w:contextualSpacing/>
    </w:pPr>
    <w:rPr>
      <w:rFonts w:ascii="Times New Roman" w:hAnsi="Times New Roman" w:cs="Times New Roman"/>
      <w:iCs/>
      <w:color w:val="auto"/>
      <w:lang w:val="en-US"/>
    </w:rPr>
  </w:style>
  <w:style w:type="paragraph" w:customStyle="1" w:styleId="tablenormal0">
    <w:name w:val="table normal"/>
    <w:basedOn w:val="Normal"/>
    <w:uiPriority w:val="99"/>
    <w:rsid w:val="00664985"/>
    <w:pPr>
      <w:spacing w:before="80" w:after="80"/>
    </w:pPr>
    <w:rPr>
      <w:rFonts w:ascii="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3561">
      <w:marLeft w:val="0"/>
      <w:marRight w:val="0"/>
      <w:marTop w:val="0"/>
      <w:marBottom w:val="0"/>
      <w:divBdr>
        <w:top w:val="none" w:sz="0" w:space="0" w:color="auto"/>
        <w:left w:val="none" w:sz="0" w:space="0" w:color="auto"/>
        <w:bottom w:val="none" w:sz="0" w:space="0" w:color="auto"/>
        <w:right w:val="none" w:sz="0" w:space="0" w:color="auto"/>
      </w:divBdr>
      <w:divsChild>
        <w:div w:id="984353565">
          <w:marLeft w:val="0"/>
          <w:marRight w:val="0"/>
          <w:marTop w:val="0"/>
          <w:marBottom w:val="0"/>
          <w:divBdr>
            <w:top w:val="none" w:sz="0" w:space="0" w:color="auto"/>
            <w:left w:val="none" w:sz="0" w:space="0" w:color="auto"/>
            <w:bottom w:val="none" w:sz="0" w:space="0" w:color="auto"/>
            <w:right w:val="none" w:sz="0" w:space="0" w:color="auto"/>
          </w:divBdr>
          <w:divsChild>
            <w:div w:id="984353564">
              <w:marLeft w:val="0"/>
              <w:marRight w:val="0"/>
              <w:marTop w:val="0"/>
              <w:marBottom w:val="0"/>
              <w:divBdr>
                <w:top w:val="none" w:sz="0" w:space="0" w:color="auto"/>
                <w:left w:val="none" w:sz="0" w:space="0" w:color="auto"/>
                <w:bottom w:val="none" w:sz="0" w:space="0" w:color="auto"/>
                <w:right w:val="none" w:sz="0" w:space="0" w:color="auto"/>
              </w:divBdr>
              <w:divsChild>
                <w:div w:id="984353562">
                  <w:marLeft w:val="75"/>
                  <w:marRight w:val="75"/>
                  <w:marTop w:val="0"/>
                  <w:marBottom w:val="0"/>
                  <w:divBdr>
                    <w:top w:val="none" w:sz="0" w:space="0" w:color="auto"/>
                    <w:left w:val="none" w:sz="0" w:space="0" w:color="auto"/>
                    <w:bottom w:val="none" w:sz="0" w:space="0" w:color="auto"/>
                    <w:right w:val="none" w:sz="0" w:space="0" w:color="auto"/>
                  </w:divBdr>
                  <w:divsChild>
                    <w:div w:id="984353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5072383">
      <w:bodyDiv w:val="1"/>
      <w:marLeft w:val="0"/>
      <w:marRight w:val="0"/>
      <w:marTop w:val="0"/>
      <w:marBottom w:val="0"/>
      <w:divBdr>
        <w:top w:val="none" w:sz="0" w:space="0" w:color="auto"/>
        <w:left w:val="none" w:sz="0" w:space="0" w:color="auto"/>
        <w:bottom w:val="none" w:sz="0" w:space="0" w:color="auto"/>
        <w:right w:val="none" w:sz="0" w:space="0" w:color="auto"/>
      </w:divBdr>
    </w:div>
    <w:div w:id="18467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F2E7944-1C36-4D03-93CE-3B57171410DF}">
  <ds:schemaRefs>
    <ds:schemaRef ds:uri="http://schemas.openxmlformats.org/officeDocument/2006/bibliography"/>
  </ds:schemaRefs>
</ds:datastoreItem>
</file>

<file path=customXml/itemProps2.xml><?xml version="1.0" encoding="utf-8"?>
<ds:datastoreItem xmlns:ds="http://schemas.openxmlformats.org/officeDocument/2006/customXml" ds:itemID="{BCA33B82-D6D9-4AC5-A235-7D6C1DDA3E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Moxon, KarenL</cp:lastModifiedBy>
  <cp:revision>4</cp:revision>
  <cp:lastPrinted>2017-06-21T07:09:00Z</cp:lastPrinted>
  <dcterms:created xsi:type="dcterms:W3CDTF">2021-06-01T07:36:00Z</dcterms:created>
  <dcterms:modified xsi:type="dcterms:W3CDTF">2021-06-01T07:36:00Z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58920248-d030-4bfb-b621-ed02738080f5</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A29194511</vt:lpwstr>
  </property>
  <property fmtid="{D5CDD505-2E9C-101B-9397-08002B2CF9AE}" pid="10" name="Objective-Title">
    <vt:lpwstr>Attach D - 21-22 Public Unleased Land Act 2013 ES (Final)</vt:lpwstr>
  </property>
  <property fmtid="{D5CDD505-2E9C-101B-9397-08002B2CF9AE}" pid="11" name="Objective-Comment">
    <vt:lpwstr/>
  </property>
  <property fmtid="{D5CDD505-2E9C-101B-9397-08002B2CF9AE}" pid="12" name="Objective-CreationStamp">
    <vt:filetime>2021-05-06T05:05:37Z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2021-05-14T00:39:02Z</vt:filetime>
  </property>
  <property fmtid="{D5CDD505-2E9C-101B-9397-08002B2CF9AE}" pid="16" name="Objective-ModificationStamp">
    <vt:filetime>2021-05-14T00:39:02Z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Ministerials:02. Active:Meeting Brief:COO - MIN S2021/00204 - 21-22 TCCS Fees and Charges - Minister Brief:</vt:lpwstr>
  </property>
  <property fmtid="{D5CDD505-2E9C-101B-9397-08002B2CF9AE}" pid="19" name="Objective-Parent">
    <vt:lpwstr>COO - MIN S2021/00204 - 21-22 TCCS Fees and Charges - Minister Brief</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change critical date</vt:lpwstr>
  </property>
  <property fmtid="{D5CDD505-2E9C-101B-9397-08002B2CF9AE}" pid="24" name="Objective-FileNumber">
    <vt:lpwstr>qA920960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