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14B4D" w14:textId="77777777" w:rsidR="007C6B96" w:rsidRPr="00881ADD" w:rsidRDefault="00814F29" w:rsidP="00881ADD">
      <w:pPr>
        <w:widowControl/>
        <w:autoSpaceDE/>
        <w:autoSpaceDN/>
        <w:spacing w:before="120"/>
        <w:rPr>
          <w:rFonts w:ascii="Arial" w:hAnsi="Arial" w:cs="Arial"/>
          <w:sz w:val="24"/>
          <w:szCs w:val="20"/>
        </w:rPr>
      </w:pPr>
      <w:r w:rsidRPr="00881ADD">
        <w:rPr>
          <w:rFonts w:ascii="Arial" w:hAnsi="Arial" w:cs="Arial"/>
          <w:sz w:val="24"/>
          <w:szCs w:val="20"/>
        </w:rPr>
        <w:t>Australian Capital Territory</w:t>
      </w:r>
    </w:p>
    <w:p w14:paraId="0C58E306" w14:textId="0ECC9366" w:rsidR="007C6B96" w:rsidRDefault="00814F29" w:rsidP="00881ADD">
      <w:pPr>
        <w:pStyle w:val="Billname"/>
        <w:spacing w:before="700"/>
      </w:pPr>
      <w:r>
        <w:t>Pest Plants and Animals (Pest Animal</w:t>
      </w:r>
      <w:r w:rsidR="00401B34">
        <w:t>s</w:t>
      </w:r>
      <w:r>
        <w:t>) Declaration 2021 (No 1)</w:t>
      </w:r>
    </w:p>
    <w:p w14:paraId="490A197F" w14:textId="664FFD93" w:rsidR="007C6B96" w:rsidRPr="00881ADD" w:rsidRDefault="00814F29" w:rsidP="00881ADD">
      <w:pPr>
        <w:widowControl/>
        <w:autoSpaceDE/>
        <w:autoSpaceDN/>
        <w:spacing w:before="340"/>
        <w:rPr>
          <w:rFonts w:ascii="Arial" w:hAnsi="Arial" w:cs="Arial"/>
          <w:b/>
          <w:bCs/>
          <w:sz w:val="24"/>
          <w:szCs w:val="20"/>
        </w:rPr>
      </w:pPr>
      <w:r w:rsidRPr="00881ADD">
        <w:rPr>
          <w:rFonts w:ascii="Arial" w:hAnsi="Arial" w:cs="Arial"/>
          <w:b/>
          <w:bCs/>
          <w:sz w:val="24"/>
          <w:szCs w:val="20"/>
        </w:rPr>
        <w:t>Disallowable instrument DI2021–</w:t>
      </w:r>
      <w:r w:rsidR="00877401">
        <w:rPr>
          <w:rFonts w:ascii="Arial" w:hAnsi="Arial" w:cs="Arial"/>
          <w:b/>
          <w:bCs/>
          <w:sz w:val="24"/>
          <w:szCs w:val="20"/>
        </w:rPr>
        <w:t>133</w:t>
      </w:r>
    </w:p>
    <w:p w14:paraId="26D477E1" w14:textId="77777777" w:rsidR="007C6B96" w:rsidRDefault="00814F29" w:rsidP="00881ADD">
      <w:pPr>
        <w:pStyle w:val="madeunder"/>
        <w:spacing w:before="300" w:after="0"/>
      </w:pPr>
      <w:r>
        <w:t>made under the</w:t>
      </w:r>
    </w:p>
    <w:p w14:paraId="0562C566" w14:textId="77777777" w:rsidR="007C6B96" w:rsidRPr="00881ADD" w:rsidRDefault="00814F29" w:rsidP="00881ADD">
      <w:pPr>
        <w:pStyle w:val="CoverActName"/>
        <w:spacing w:before="320" w:after="0"/>
        <w:rPr>
          <w:rFonts w:cs="Arial"/>
          <w:sz w:val="20"/>
        </w:rPr>
      </w:pPr>
      <w:r w:rsidRPr="00881ADD">
        <w:rPr>
          <w:rFonts w:cs="Arial"/>
          <w:sz w:val="20"/>
        </w:rPr>
        <w:t>Pest Plants and Animals Act 2005, s 16 (Declaration of pest animal)</w:t>
      </w:r>
    </w:p>
    <w:p w14:paraId="3E2FBAE1" w14:textId="77777777" w:rsidR="007C6B96" w:rsidRPr="00881ADD" w:rsidRDefault="00814F29" w:rsidP="00401B34">
      <w:pPr>
        <w:widowControl/>
        <w:autoSpaceDE/>
        <w:autoSpaceDN/>
        <w:spacing w:before="360"/>
        <w:ind w:right="567"/>
        <w:rPr>
          <w:rFonts w:ascii="Arial" w:hAnsi="Arial" w:cs="Arial"/>
          <w:b/>
          <w:bCs/>
          <w:sz w:val="28"/>
          <w:szCs w:val="28"/>
        </w:rPr>
      </w:pPr>
      <w:r w:rsidRPr="00881ADD">
        <w:rPr>
          <w:rFonts w:ascii="Arial" w:hAnsi="Arial" w:cs="Arial"/>
          <w:b/>
          <w:bCs/>
          <w:sz w:val="28"/>
          <w:szCs w:val="28"/>
        </w:rPr>
        <w:t>EXPLANATORY STATEMENT</w:t>
      </w:r>
    </w:p>
    <w:p w14:paraId="2FC44BA6" w14:textId="77777777" w:rsidR="00881ADD" w:rsidRDefault="00881ADD" w:rsidP="00881ADD">
      <w:pPr>
        <w:pStyle w:val="N-line3"/>
        <w:pBdr>
          <w:bottom w:val="none" w:sz="0" w:space="0" w:color="auto"/>
        </w:pBdr>
      </w:pPr>
    </w:p>
    <w:p w14:paraId="1896F46D" w14:textId="77777777" w:rsidR="00881ADD" w:rsidRDefault="00881ADD" w:rsidP="00881ADD">
      <w:pPr>
        <w:pStyle w:val="N-line3"/>
        <w:pBdr>
          <w:top w:val="single" w:sz="12" w:space="1" w:color="auto"/>
          <w:bottom w:val="none" w:sz="0" w:space="0" w:color="auto"/>
        </w:pBdr>
      </w:pPr>
    </w:p>
    <w:p w14:paraId="767476CD" w14:textId="1342D4FC" w:rsidR="007C6B96" w:rsidRDefault="00814F29" w:rsidP="00881ADD">
      <w:pPr>
        <w:pStyle w:val="BodyText"/>
        <w:spacing w:before="90"/>
      </w:pPr>
      <w:r>
        <w:t xml:space="preserve">This explanatory statement relates to the </w:t>
      </w:r>
      <w:r>
        <w:rPr>
          <w:i/>
        </w:rPr>
        <w:t>Pest Plants and Animals (Pest Animal</w:t>
      </w:r>
      <w:r w:rsidR="00401B34">
        <w:rPr>
          <w:i/>
        </w:rPr>
        <w:t>s</w:t>
      </w:r>
      <w:r>
        <w:rPr>
          <w:i/>
        </w:rPr>
        <w:t>) Declaration 202</w:t>
      </w:r>
      <w:r w:rsidR="00F4274C">
        <w:rPr>
          <w:i/>
        </w:rPr>
        <w:t>1</w:t>
      </w:r>
      <w:r>
        <w:rPr>
          <w:i/>
        </w:rPr>
        <w:t xml:space="preserve"> (No 1) </w:t>
      </w:r>
      <w:r>
        <w:t>as declared by the Minister for the Environment. It has been prepared in order to assist the reader of the disallowable instrument and to help inform debate on it. It does not form part of the disallowable instrument and has not been endorsed by the Assembly.</w:t>
      </w:r>
    </w:p>
    <w:p w14:paraId="6CFE9E77" w14:textId="77777777" w:rsidR="007C6B96" w:rsidRDefault="007C6B96">
      <w:pPr>
        <w:pStyle w:val="BodyText"/>
        <w:spacing w:before="11"/>
        <w:rPr>
          <w:sz w:val="23"/>
        </w:rPr>
      </w:pPr>
    </w:p>
    <w:p w14:paraId="7F122F24" w14:textId="77777777" w:rsidR="007C6B96" w:rsidRDefault="00814F29" w:rsidP="00881ADD">
      <w:pPr>
        <w:pStyle w:val="Heading1"/>
        <w:ind w:left="0"/>
      </w:pPr>
      <w:r>
        <w:t>Overview</w:t>
      </w:r>
    </w:p>
    <w:p w14:paraId="77A77847" w14:textId="77777777" w:rsidR="007C6B96" w:rsidRDefault="00814F29" w:rsidP="00881ADD">
      <w:pPr>
        <w:pStyle w:val="BodyText"/>
        <w:spacing w:before="120"/>
      </w:pPr>
      <w:r>
        <w:t xml:space="preserve">The main objects of the </w:t>
      </w:r>
      <w:r>
        <w:rPr>
          <w:i/>
        </w:rPr>
        <w:t xml:space="preserve">Pest Plants and Animals Act 2005 </w:t>
      </w:r>
      <w:r>
        <w:t xml:space="preserve">(the </w:t>
      </w:r>
      <w:r w:rsidRPr="00401B34">
        <w:rPr>
          <w:b/>
          <w:bCs/>
          <w:i/>
          <w:iCs/>
        </w:rPr>
        <w:t>Act</w:t>
      </w:r>
      <w:r>
        <w:t>) are to protect the ACT’s land and aquatic resources from threats from pest plants and animals, to promote a strategic and sustainable approach to pest management, to identify pest plants and animals, and to manage pest plants and animals.</w:t>
      </w:r>
    </w:p>
    <w:p w14:paraId="6EBE33E7" w14:textId="77777777" w:rsidR="007C6B96" w:rsidRDefault="007C6B96">
      <w:pPr>
        <w:pStyle w:val="BodyText"/>
      </w:pPr>
    </w:p>
    <w:p w14:paraId="11DA055B" w14:textId="77777777" w:rsidR="007C6B96" w:rsidRDefault="00814F29" w:rsidP="00881ADD">
      <w:pPr>
        <w:pStyle w:val="BodyText"/>
      </w:pPr>
      <w:r>
        <w:t>Section 16 of the Act provides that the Minister may declare an animal to be a pest animal. A declaration may declare that an animal is a pest animal whose presence must be notified to the Director-General (a notifiable pest animal) or that an animal is a pest animal whose supply or keeping is prohibited (a prohibited pest animal). Some pest animals have been declared to be both notifiable and prohibited. A declaration is a disallowable instrument.</w:t>
      </w:r>
    </w:p>
    <w:p w14:paraId="740C1ED7" w14:textId="77777777" w:rsidR="007C6B96" w:rsidRDefault="007C6B96">
      <w:pPr>
        <w:pStyle w:val="BodyText"/>
      </w:pPr>
    </w:p>
    <w:p w14:paraId="10081372" w14:textId="2E17B1B3" w:rsidR="007C6B96" w:rsidRDefault="00814F29" w:rsidP="00881ADD">
      <w:pPr>
        <w:pStyle w:val="BodyText"/>
      </w:pPr>
      <w:r>
        <w:t xml:space="preserve">This instrument declares </w:t>
      </w:r>
      <w:r w:rsidR="00401B34">
        <w:t xml:space="preserve">the common or Indian </w:t>
      </w:r>
      <w:proofErr w:type="spellStart"/>
      <w:r w:rsidR="00401B34">
        <w:t>myna</w:t>
      </w:r>
      <w:proofErr w:type="spellEnd"/>
      <w:r w:rsidR="00401B34">
        <w:t xml:space="preserve"> </w:t>
      </w:r>
      <w:r>
        <w:t>(</w:t>
      </w:r>
      <w:proofErr w:type="spellStart"/>
      <w:r w:rsidR="00401B34">
        <w:rPr>
          <w:i/>
        </w:rPr>
        <w:t>Acridotheres</w:t>
      </w:r>
      <w:proofErr w:type="spellEnd"/>
      <w:r w:rsidR="00401B34">
        <w:rPr>
          <w:i/>
        </w:rPr>
        <w:t xml:space="preserve"> tristis</w:t>
      </w:r>
      <w:r>
        <w:t xml:space="preserve">) as a </w:t>
      </w:r>
      <w:r w:rsidR="00715264">
        <w:t xml:space="preserve">prohibited </w:t>
      </w:r>
      <w:r>
        <w:t>pest animal in the ACT.</w:t>
      </w:r>
      <w:r w:rsidR="00715264">
        <w:t xml:space="preserve"> Under sections 20 and 22 of the Act, a prohibited pest animal may not be supplied or kept, without a permit issued by the Director-General.</w:t>
      </w:r>
    </w:p>
    <w:p w14:paraId="20DEC147" w14:textId="77777777" w:rsidR="007C6B96" w:rsidRDefault="007C6B96">
      <w:pPr>
        <w:pStyle w:val="BodyText"/>
        <w:spacing w:before="9"/>
        <w:rPr>
          <w:sz w:val="23"/>
        </w:rPr>
      </w:pPr>
    </w:p>
    <w:p w14:paraId="13D9873B" w14:textId="1B4D26CB" w:rsidR="00715264" w:rsidRPr="00715264" w:rsidRDefault="00715264" w:rsidP="00715264">
      <w:pPr>
        <w:autoSpaceDE/>
        <w:autoSpaceDN/>
        <w:ind w:right="-45"/>
        <w:rPr>
          <w:rStyle w:val="Calibri12"/>
          <w:rFonts w:ascii="Times New Roman" w:hAnsi="Times New Roman"/>
        </w:rPr>
      </w:pPr>
      <w:r w:rsidRPr="00715264">
        <w:rPr>
          <w:rStyle w:val="Calibri12"/>
          <w:rFonts w:ascii="Times New Roman" w:hAnsi="Times New Roman"/>
        </w:rPr>
        <w:t xml:space="preserve">The Environment, Planning and Sustainable Development Directorate conducted public consultation on future pest animal declarations through a discussion paper in 2019. Multiple public submissions supported the declaration of the Indian </w:t>
      </w:r>
      <w:proofErr w:type="spellStart"/>
      <w:r>
        <w:rPr>
          <w:rStyle w:val="Calibri12"/>
          <w:rFonts w:ascii="Times New Roman" w:hAnsi="Times New Roman"/>
        </w:rPr>
        <w:t>m</w:t>
      </w:r>
      <w:r w:rsidRPr="00715264">
        <w:rPr>
          <w:rStyle w:val="Calibri12"/>
          <w:rFonts w:ascii="Times New Roman" w:hAnsi="Times New Roman"/>
        </w:rPr>
        <w:t>yna</w:t>
      </w:r>
      <w:proofErr w:type="spellEnd"/>
      <w:r w:rsidRPr="00715264">
        <w:rPr>
          <w:rStyle w:val="Calibri12"/>
          <w:rFonts w:ascii="Times New Roman" w:hAnsi="Times New Roman"/>
        </w:rPr>
        <w:t xml:space="preserve"> as a prohibited pest animal and/or supported management and community group efforts to control them.</w:t>
      </w:r>
    </w:p>
    <w:p w14:paraId="79572143" w14:textId="77777777" w:rsidR="00715264" w:rsidRDefault="00715264" w:rsidP="00881ADD">
      <w:pPr>
        <w:pStyle w:val="BodyText"/>
      </w:pPr>
    </w:p>
    <w:p w14:paraId="655DB7AB" w14:textId="062759B0" w:rsidR="00401B34" w:rsidRDefault="00814F29" w:rsidP="00715264">
      <w:pPr>
        <w:widowControl/>
        <w:spacing w:before="1"/>
        <w:rPr>
          <w:sz w:val="24"/>
        </w:rPr>
      </w:pPr>
      <w:r>
        <w:rPr>
          <w:sz w:val="24"/>
        </w:rPr>
        <w:lastRenderedPageBreak/>
        <w:t xml:space="preserve">This instrument </w:t>
      </w:r>
      <w:r w:rsidR="00401B34">
        <w:rPr>
          <w:sz w:val="24"/>
        </w:rPr>
        <w:t xml:space="preserve">also consolidates the declaration of the khapra beetle, made by the </w:t>
      </w:r>
      <w:r w:rsidR="00401B34" w:rsidRPr="00401B34">
        <w:rPr>
          <w:i/>
          <w:iCs/>
          <w:sz w:val="24"/>
        </w:rPr>
        <w:t>Pest Plants and Animals (Pest Animal) Declaration 2021 (No 1)</w:t>
      </w:r>
      <w:r w:rsidR="00401B34">
        <w:rPr>
          <w:sz w:val="24"/>
        </w:rPr>
        <w:t xml:space="preserve"> (DI2021-40) into the declaration, so that there is one source instrument for all pest animal declarations in the ACT.</w:t>
      </w:r>
      <w:r>
        <w:rPr>
          <w:sz w:val="24"/>
        </w:rPr>
        <w:t xml:space="preserve"> </w:t>
      </w:r>
    </w:p>
    <w:p w14:paraId="7F4CC1F7" w14:textId="77777777" w:rsidR="00401B34" w:rsidRDefault="00401B34" w:rsidP="004B51AF">
      <w:pPr>
        <w:spacing w:before="1"/>
        <w:rPr>
          <w:sz w:val="24"/>
        </w:rPr>
      </w:pPr>
    </w:p>
    <w:p w14:paraId="6254DD60" w14:textId="47CB51B8" w:rsidR="007C6B96" w:rsidRDefault="00401B34" w:rsidP="004B51AF">
      <w:pPr>
        <w:spacing w:before="1"/>
        <w:rPr>
          <w:sz w:val="24"/>
        </w:rPr>
      </w:pPr>
      <w:r>
        <w:rPr>
          <w:sz w:val="24"/>
        </w:rPr>
        <w:t>T</w:t>
      </w:r>
      <w:r w:rsidR="00814F29">
        <w:rPr>
          <w:sz w:val="24"/>
        </w:rPr>
        <w:t xml:space="preserve">he </w:t>
      </w:r>
      <w:r>
        <w:rPr>
          <w:sz w:val="24"/>
        </w:rPr>
        <w:t xml:space="preserve">instrument revokes the </w:t>
      </w:r>
      <w:r w:rsidR="00814F29">
        <w:rPr>
          <w:i/>
          <w:sz w:val="24"/>
        </w:rPr>
        <w:t>Pest Plants and Animals (Pest Animals) Declaration</w:t>
      </w:r>
      <w:r w:rsidR="004363B3">
        <w:rPr>
          <w:i/>
          <w:sz w:val="24"/>
        </w:rPr>
        <w:t xml:space="preserve"> </w:t>
      </w:r>
      <w:r w:rsidR="00814F29">
        <w:rPr>
          <w:i/>
          <w:sz w:val="24"/>
        </w:rPr>
        <w:t xml:space="preserve">2016 (No 1) </w:t>
      </w:r>
      <w:r>
        <w:rPr>
          <w:sz w:val="24"/>
        </w:rPr>
        <w:t>(</w:t>
      </w:r>
      <w:r w:rsidR="00814F29">
        <w:rPr>
          <w:sz w:val="24"/>
        </w:rPr>
        <w:t>DI2016-312</w:t>
      </w:r>
      <w:r>
        <w:rPr>
          <w:sz w:val="24"/>
        </w:rPr>
        <w:t>)</w:t>
      </w:r>
      <w:r w:rsidR="00814F29">
        <w:rPr>
          <w:sz w:val="24"/>
        </w:rPr>
        <w:t>.</w:t>
      </w:r>
    </w:p>
    <w:p w14:paraId="5E0AD7F5" w14:textId="77777777" w:rsidR="00715264" w:rsidRDefault="00715264" w:rsidP="004B51AF">
      <w:pPr>
        <w:spacing w:before="1"/>
        <w:rPr>
          <w:sz w:val="24"/>
        </w:rPr>
      </w:pPr>
    </w:p>
    <w:p w14:paraId="40B0AD45" w14:textId="77777777" w:rsidR="007C6B96" w:rsidRDefault="00814F29" w:rsidP="004B51AF">
      <w:pPr>
        <w:pStyle w:val="Heading1"/>
        <w:ind w:left="0"/>
      </w:pPr>
      <w:r>
        <w:t>Regulatory Impact Statement (RIS)</w:t>
      </w:r>
    </w:p>
    <w:p w14:paraId="54F403E9" w14:textId="6DFD8428" w:rsidR="007C6B96" w:rsidRDefault="00814F29" w:rsidP="004363B3">
      <w:pPr>
        <w:pStyle w:val="BodyText"/>
        <w:spacing w:before="120"/>
        <w:ind w:right="116"/>
      </w:pPr>
      <w:r>
        <w:t xml:space="preserve">The </w:t>
      </w:r>
      <w:r>
        <w:rPr>
          <w:i/>
        </w:rPr>
        <w:t xml:space="preserve">Legislation Act 2001 </w:t>
      </w:r>
      <w:r>
        <w:t>(Legislation Act) requires a RIS for regulations and disallowable instruments subject to specified exceptions. A RIS is not required for this instrument because the declaration of a pest animal does not impose any appreciable costs on the community or part of the community (s 34</w:t>
      </w:r>
      <w:r w:rsidR="00401B34">
        <w:t xml:space="preserve"> </w:t>
      </w:r>
      <w:r>
        <w:t>(1) of the Legislation Act).</w:t>
      </w:r>
    </w:p>
    <w:p w14:paraId="3046E54D" w14:textId="77777777" w:rsidR="007C6B96" w:rsidRDefault="007C6B96">
      <w:pPr>
        <w:pStyle w:val="BodyText"/>
      </w:pPr>
    </w:p>
    <w:p w14:paraId="2AD784C7" w14:textId="77777777" w:rsidR="007C6B96" w:rsidRDefault="00814F29" w:rsidP="004B51AF">
      <w:pPr>
        <w:pStyle w:val="Heading1"/>
        <w:ind w:left="0"/>
      </w:pPr>
      <w:r>
        <w:t>Human Rights implications</w:t>
      </w:r>
    </w:p>
    <w:p w14:paraId="290D9CE9" w14:textId="77777777" w:rsidR="007C6B96" w:rsidRDefault="00814F29" w:rsidP="004B51AF">
      <w:pPr>
        <w:pStyle w:val="BodyText"/>
        <w:spacing w:before="120"/>
      </w:pPr>
      <w:r>
        <w:t xml:space="preserve">There are no human rights implications arising from the declaration of a pest animal. The instrument does not engage any rights under the </w:t>
      </w:r>
      <w:r>
        <w:rPr>
          <w:i/>
        </w:rPr>
        <w:t>Human Rights Act 2004</w:t>
      </w:r>
      <w:r>
        <w:t>.</w:t>
      </w:r>
    </w:p>
    <w:p w14:paraId="0A496F97" w14:textId="77777777" w:rsidR="007C6B96" w:rsidRDefault="007C6B96">
      <w:pPr>
        <w:pStyle w:val="BodyText"/>
      </w:pPr>
    </w:p>
    <w:sectPr w:rsidR="007C6B96" w:rsidSect="00715264">
      <w:headerReference w:type="even" r:id="rId7"/>
      <w:headerReference w:type="default" r:id="rId8"/>
      <w:footerReference w:type="even" r:id="rId9"/>
      <w:footerReference w:type="default" r:id="rId10"/>
      <w:headerReference w:type="first" r:id="rId11"/>
      <w:footerReference w:type="first" r:id="rId12"/>
      <w:pgSz w:w="11910"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C4D6" w14:textId="77777777" w:rsidR="004541ED" w:rsidRDefault="004541ED" w:rsidP="00814F29">
      <w:r>
        <w:separator/>
      </w:r>
    </w:p>
  </w:endnote>
  <w:endnote w:type="continuationSeparator" w:id="0">
    <w:p w14:paraId="3D46CA39" w14:textId="77777777" w:rsidR="004541ED" w:rsidRDefault="004541ED" w:rsidP="008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71D1" w14:textId="77777777" w:rsidR="002478DF" w:rsidRDefault="0024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49B4" w14:textId="0A105583" w:rsidR="002478DF" w:rsidRPr="00D4511D" w:rsidRDefault="00D4511D" w:rsidP="00D4511D">
    <w:pPr>
      <w:pStyle w:val="Footer"/>
      <w:jc w:val="center"/>
      <w:rPr>
        <w:rFonts w:ascii="Arial" w:hAnsi="Arial" w:cs="Arial"/>
        <w:sz w:val="14"/>
      </w:rPr>
    </w:pPr>
    <w:r w:rsidRPr="00D4511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42B1" w14:textId="77777777" w:rsidR="002478DF" w:rsidRDefault="0024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2EE6C" w14:textId="77777777" w:rsidR="004541ED" w:rsidRDefault="004541ED" w:rsidP="00814F29">
      <w:r>
        <w:separator/>
      </w:r>
    </w:p>
  </w:footnote>
  <w:footnote w:type="continuationSeparator" w:id="0">
    <w:p w14:paraId="049ACDC9" w14:textId="77777777" w:rsidR="004541ED" w:rsidRDefault="004541ED" w:rsidP="0081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5176D" w14:textId="77777777" w:rsidR="002478DF" w:rsidRDefault="00247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34CF" w14:textId="77777777" w:rsidR="002478DF" w:rsidRDefault="00247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F872" w14:textId="77777777" w:rsidR="002478DF" w:rsidRDefault="00247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C6D74"/>
    <w:multiLevelType w:val="hybridMultilevel"/>
    <w:tmpl w:val="B2501A44"/>
    <w:lvl w:ilvl="0" w:tplc="B17EC832">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96"/>
    <w:rsid w:val="00024C87"/>
    <w:rsid w:val="00175E90"/>
    <w:rsid w:val="00186D4C"/>
    <w:rsid w:val="00216D2C"/>
    <w:rsid w:val="002478DF"/>
    <w:rsid w:val="00401B34"/>
    <w:rsid w:val="004363B3"/>
    <w:rsid w:val="004541ED"/>
    <w:rsid w:val="004B51AF"/>
    <w:rsid w:val="00633B8D"/>
    <w:rsid w:val="00715264"/>
    <w:rsid w:val="00745A3F"/>
    <w:rsid w:val="00753A6C"/>
    <w:rsid w:val="007C610C"/>
    <w:rsid w:val="007C6B96"/>
    <w:rsid w:val="00814F29"/>
    <w:rsid w:val="00877401"/>
    <w:rsid w:val="00881ADD"/>
    <w:rsid w:val="009824D0"/>
    <w:rsid w:val="009B6C57"/>
    <w:rsid w:val="00B309AA"/>
    <w:rsid w:val="00CB58BA"/>
    <w:rsid w:val="00D4511D"/>
    <w:rsid w:val="00F13FD3"/>
    <w:rsid w:val="00F42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F38F2"/>
  <w15:docId w15:val="{4C0E9947-E87A-4525-8CDB-195162F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0" w:right="1116"/>
    </w:pPr>
    <w:rPr>
      <w:rFonts w:ascii="Arial" w:eastAsia="Arial" w:hAnsi="Arial" w:cs="Arial"/>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4F29"/>
    <w:pPr>
      <w:tabs>
        <w:tab w:val="center" w:pos="4513"/>
        <w:tab w:val="right" w:pos="9026"/>
      </w:tabs>
    </w:pPr>
  </w:style>
  <w:style w:type="character" w:customStyle="1" w:styleId="HeaderChar">
    <w:name w:val="Header Char"/>
    <w:basedOn w:val="DefaultParagraphFont"/>
    <w:link w:val="Header"/>
    <w:uiPriority w:val="99"/>
    <w:rsid w:val="00814F29"/>
    <w:rPr>
      <w:rFonts w:ascii="Times New Roman" w:eastAsia="Times New Roman" w:hAnsi="Times New Roman" w:cs="Times New Roman"/>
      <w:lang w:val="en-AU"/>
    </w:rPr>
  </w:style>
  <w:style w:type="paragraph" w:styleId="Footer">
    <w:name w:val="footer"/>
    <w:basedOn w:val="Normal"/>
    <w:link w:val="FooterChar"/>
    <w:uiPriority w:val="99"/>
    <w:unhideWhenUsed/>
    <w:rsid w:val="00814F29"/>
    <w:pPr>
      <w:tabs>
        <w:tab w:val="center" w:pos="4513"/>
        <w:tab w:val="right" w:pos="9026"/>
      </w:tabs>
    </w:pPr>
  </w:style>
  <w:style w:type="character" w:customStyle="1" w:styleId="FooterChar">
    <w:name w:val="Footer Char"/>
    <w:basedOn w:val="DefaultParagraphFont"/>
    <w:link w:val="Footer"/>
    <w:uiPriority w:val="99"/>
    <w:rsid w:val="00814F29"/>
    <w:rPr>
      <w:rFonts w:ascii="Times New Roman" w:eastAsia="Times New Roman" w:hAnsi="Times New Roman" w:cs="Times New Roman"/>
      <w:lang w:val="en-AU"/>
    </w:rPr>
  </w:style>
  <w:style w:type="paragraph" w:customStyle="1" w:styleId="Billname">
    <w:name w:val="Billname"/>
    <w:basedOn w:val="Normal"/>
    <w:rsid w:val="00881ADD"/>
    <w:pPr>
      <w:widowControl/>
      <w:tabs>
        <w:tab w:val="left" w:pos="2400"/>
        <w:tab w:val="left" w:pos="2880"/>
      </w:tabs>
      <w:autoSpaceDE/>
      <w:autoSpaceDN/>
      <w:spacing w:before="1220" w:after="100"/>
    </w:pPr>
    <w:rPr>
      <w:rFonts w:ascii="Arial" w:hAnsi="Arial"/>
      <w:b/>
      <w:sz w:val="40"/>
      <w:szCs w:val="20"/>
    </w:rPr>
  </w:style>
  <w:style w:type="paragraph" w:customStyle="1" w:styleId="madeunder">
    <w:name w:val="made under"/>
    <w:basedOn w:val="Normal"/>
    <w:rsid w:val="00881ADD"/>
    <w:pPr>
      <w:widowControl/>
      <w:autoSpaceDE/>
      <w:autoSpaceDN/>
      <w:spacing w:before="180" w:after="60"/>
      <w:jc w:val="both"/>
    </w:pPr>
    <w:rPr>
      <w:sz w:val="24"/>
      <w:szCs w:val="20"/>
    </w:rPr>
  </w:style>
  <w:style w:type="paragraph" w:customStyle="1" w:styleId="CoverActName">
    <w:name w:val="CoverActName"/>
    <w:basedOn w:val="Normal"/>
    <w:rsid w:val="00881ADD"/>
    <w:pPr>
      <w:widowControl/>
      <w:tabs>
        <w:tab w:val="left" w:pos="2600"/>
      </w:tabs>
      <w:autoSpaceDE/>
      <w:autoSpaceDN/>
      <w:spacing w:before="200" w:after="60"/>
      <w:jc w:val="both"/>
    </w:pPr>
    <w:rPr>
      <w:rFonts w:ascii="Arial" w:hAnsi="Arial"/>
      <w:b/>
      <w:sz w:val="24"/>
      <w:szCs w:val="20"/>
    </w:rPr>
  </w:style>
  <w:style w:type="paragraph" w:customStyle="1" w:styleId="N-line3">
    <w:name w:val="N-line3"/>
    <w:basedOn w:val="Normal"/>
    <w:next w:val="Normal"/>
    <w:rsid w:val="00881ADD"/>
    <w:pPr>
      <w:widowControl/>
      <w:pBdr>
        <w:bottom w:val="single" w:sz="12" w:space="1" w:color="auto"/>
      </w:pBdr>
      <w:autoSpaceDE/>
      <w:autoSpaceDN/>
      <w:jc w:val="both"/>
    </w:pPr>
    <w:rPr>
      <w:sz w:val="24"/>
      <w:szCs w:val="20"/>
    </w:rPr>
  </w:style>
  <w:style w:type="character" w:customStyle="1" w:styleId="Calibri12">
    <w:name w:val="Calibri 12"/>
    <w:basedOn w:val="DefaultParagraphFont"/>
    <w:uiPriority w:val="1"/>
    <w:qFormat/>
    <w:rsid w:val="0071526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2424</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Moxon, KarenL</cp:lastModifiedBy>
  <cp:revision>4</cp:revision>
  <dcterms:created xsi:type="dcterms:W3CDTF">2021-06-18T07:23:00Z</dcterms:created>
  <dcterms:modified xsi:type="dcterms:W3CDTF">2021-06-18T07:23:00Z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Acrobat PDFMaker 20 for Word</vt:lpwstr>
  </property>
  <property fmtid="{D5CDD505-2E9C-101B-9397-08002B2CF9AE}" pid="4" name="LastSaved">
    <vt:filetime>2021-02-26T00:00:00Z</vt:filetime>
  </property>
  <property fmtid="{D5CDD505-2E9C-101B-9397-08002B2CF9AE}" pid="5" name="Objective-Id">
    <vt:lpwstr>A29555341</vt:lpwstr>
  </property>
  <property fmtid="{D5CDD505-2E9C-101B-9397-08002B2CF9AE}" pid="6" name="Objective-Title">
    <vt:lpwstr>Att B - DI2021-133 Explanatory Statement</vt:lpwstr>
  </property>
  <property fmtid="{D5CDD505-2E9C-101B-9397-08002B2CF9AE}" pid="7" name="Objective-Comment">
    <vt:lpwstr/>
  </property>
  <property fmtid="{D5CDD505-2E9C-101B-9397-08002B2CF9AE}" pid="8" name="Objective-CreationStamp">
    <vt:filetime>2021-06-10T03:46:22Z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2021-06-18T06:24:07Z</vt:filetime>
  </property>
  <property fmtid="{D5CDD505-2E9C-101B-9397-08002B2CF9AE}" pid="12" name="Objective-ModificationStamp">
    <vt:filetime>2021-06-18T06:24:07Z</vt:filetime>
  </property>
  <property fmtid="{D5CDD505-2E9C-101B-9397-08002B2CF9AE}" pid="13" name="Objective-Owner">
    <vt:lpwstr>Adam Roach</vt:lpwstr>
  </property>
  <property fmtid="{D5CDD505-2E9C-101B-9397-08002B2CF9AE}" pid="14" name="Objective-Path">
    <vt:lpwstr>Whole of ACT Government:EPSDD - Environment Planning and Sustainable Development Directorate:07. Ministerial, Cabinet and Government Relations:06. Ministerials:2021 - Ministerial and Chief Ministerial Briefs / Correspondence:Environment, Heritage and Water (And Conservator):06. June:21/52118 Ministerial Information Brief - Vassarotti - Declaration of Indian Mynas as a Pest Animal:</vt:lpwstr>
  </property>
  <property fmtid="{D5CDD505-2E9C-101B-9397-08002B2CF9AE}" pid="15" name="Objective-Parent">
    <vt:lpwstr>21/52118 Ministerial Information Brief - Vassarotti - Declaration of Indian Mynas as a Pest Animal</vt:lpwstr>
  </property>
  <property fmtid="{D5CDD505-2E9C-101B-9397-08002B2CF9AE}" pid="16" name="Objective-State">
    <vt:lpwstr>Published</vt:lpwstr>
  </property>
  <property fmtid="{D5CDD505-2E9C-101B-9397-08002B2CF9AE}" pid="17" name="Objective-Version">
    <vt:lpwstr>4.0</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1-2021/52118</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CHECKEDOUTFROMJMS">
    <vt:lpwstr/>
  </property>
  <property fmtid="{D5CDD505-2E9C-101B-9397-08002B2CF9AE}" pid="35" name="DMSID">
    <vt:lpwstr>1348483</vt:lpwstr>
  </property>
  <property fmtid="{D5CDD505-2E9C-101B-9397-08002B2CF9AE}" pid="36" name="JMSREQUIREDCHECKIN">
    <vt:lpwstr/>
  </property>
</Properties>
</file>