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16A3" w14:textId="77777777" w:rsidR="00AF0D54" w:rsidRPr="00050F68" w:rsidRDefault="00AF0D54" w:rsidP="001C3424"/>
    <w:p w14:paraId="179C0BD0" w14:textId="77777777" w:rsidR="00AF0D54" w:rsidRPr="00050F68" w:rsidRDefault="00AF0D54" w:rsidP="001C3424"/>
    <w:p w14:paraId="587DDEA3" w14:textId="69777D10" w:rsidR="0030585F" w:rsidRPr="001C3424" w:rsidRDefault="0030585F" w:rsidP="001C3424">
      <w:pPr>
        <w:jc w:val="center"/>
        <w:rPr>
          <w:b/>
          <w:bCs/>
        </w:rPr>
      </w:pPr>
      <w:r w:rsidRPr="001C3424">
        <w:rPr>
          <w:b/>
          <w:bCs/>
        </w:rPr>
        <w:t>20</w:t>
      </w:r>
      <w:r w:rsidR="00050F68" w:rsidRPr="001C3424">
        <w:rPr>
          <w:b/>
          <w:bCs/>
        </w:rPr>
        <w:t>2</w:t>
      </w:r>
      <w:r w:rsidR="001C3424" w:rsidRPr="001C3424">
        <w:rPr>
          <w:b/>
          <w:bCs/>
        </w:rPr>
        <w:t>1</w:t>
      </w:r>
    </w:p>
    <w:p w14:paraId="0B3E93DB" w14:textId="77777777" w:rsidR="0030585F" w:rsidRPr="001C3424" w:rsidRDefault="0030585F" w:rsidP="001C3424">
      <w:pPr>
        <w:rPr>
          <w:b/>
          <w:bCs/>
        </w:rPr>
      </w:pPr>
    </w:p>
    <w:p w14:paraId="7ABAE37D" w14:textId="77777777" w:rsidR="00EE32FF" w:rsidRPr="001C3424" w:rsidRDefault="00EE32FF" w:rsidP="001C3424">
      <w:pPr>
        <w:jc w:val="center"/>
        <w:rPr>
          <w:b/>
          <w:bCs/>
        </w:rPr>
      </w:pPr>
    </w:p>
    <w:p w14:paraId="6EB635AF" w14:textId="2B2519DE" w:rsidR="0030585F" w:rsidRPr="001C3424" w:rsidRDefault="00050F68" w:rsidP="001C3424">
      <w:pPr>
        <w:jc w:val="center"/>
        <w:rPr>
          <w:b/>
          <w:bCs/>
        </w:rPr>
      </w:pPr>
      <w:r w:rsidRPr="001C3424">
        <w:rPr>
          <w:b/>
          <w:bCs/>
        </w:rPr>
        <w:t xml:space="preserve">THE </w:t>
      </w:r>
      <w:r w:rsidR="0030585F" w:rsidRPr="001C3424">
        <w:rPr>
          <w:b/>
          <w:bCs/>
        </w:rPr>
        <w:t>LEGISLATIVE ASSEMBLY FOR THE</w:t>
      </w:r>
    </w:p>
    <w:p w14:paraId="5F365D67" w14:textId="77777777" w:rsidR="0030585F" w:rsidRPr="001C3424" w:rsidRDefault="0030585F" w:rsidP="001C3424">
      <w:pPr>
        <w:jc w:val="center"/>
        <w:rPr>
          <w:b/>
          <w:bCs/>
        </w:rPr>
      </w:pPr>
      <w:r w:rsidRPr="001C3424">
        <w:rPr>
          <w:b/>
          <w:bCs/>
        </w:rPr>
        <w:t>AUSTRALIAN CAPITAL TERRITORY</w:t>
      </w:r>
    </w:p>
    <w:p w14:paraId="43AA28BC" w14:textId="77777777" w:rsidR="0030585F" w:rsidRPr="001C3424" w:rsidRDefault="0030585F" w:rsidP="001C3424">
      <w:pPr>
        <w:jc w:val="center"/>
        <w:rPr>
          <w:b/>
          <w:bCs/>
        </w:rPr>
      </w:pPr>
    </w:p>
    <w:p w14:paraId="71E998D9" w14:textId="77777777" w:rsidR="0030585F" w:rsidRPr="001C3424" w:rsidRDefault="0030585F" w:rsidP="001C3424">
      <w:pPr>
        <w:jc w:val="center"/>
        <w:rPr>
          <w:b/>
          <w:bCs/>
        </w:rPr>
      </w:pPr>
    </w:p>
    <w:p w14:paraId="2999B3E5" w14:textId="1E1D08A8" w:rsidR="007326EC" w:rsidRPr="001C3424" w:rsidRDefault="001C3424" w:rsidP="001C3424">
      <w:pPr>
        <w:jc w:val="center"/>
        <w:rPr>
          <w:b/>
          <w:bCs/>
        </w:rPr>
      </w:pPr>
      <w:r w:rsidRPr="001C3424">
        <w:rPr>
          <w:b/>
          <w:bCs/>
        </w:rPr>
        <w:t>CRIMES LEGISLATION AMENDMENT BILL 2021</w:t>
      </w:r>
    </w:p>
    <w:p w14:paraId="29450727" w14:textId="77777777" w:rsidR="00EE32FF" w:rsidRPr="001C3424" w:rsidRDefault="00EE32FF" w:rsidP="001C3424">
      <w:pPr>
        <w:rPr>
          <w:b/>
          <w:bCs/>
        </w:rPr>
      </w:pPr>
    </w:p>
    <w:p w14:paraId="583025EE" w14:textId="0AFF1353" w:rsidR="0030585F" w:rsidRPr="001C3424" w:rsidRDefault="00D4621F" w:rsidP="001C3424">
      <w:pPr>
        <w:jc w:val="center"/>
        <w:rPr>
          <w:b/>
          <w:bCs/>
        </w:rPr>
      </w:pPr>
      <w:r>
        <w:rPr>
          <w:b/>
          <w:bCs/>
        </w:rPr>
        <w:t xml:space="preserve">REVISED </w:t>
      </w:r>
      <w:r w:rsidR="0030585F" w:rsidRPr="001C3424">
        <w:rPr>
          <w:b/>
          <w:bCs/>
        </w:rPr>
        <w:t>EXPLANATORY STATEMENT</w:t>
      </w:r>
    </w:p>
    <w:p w14:paraId="4A2BEF3B" w14:textId="73A4FF5A" w:rsidR="0030585F" w:rsidRDefault="0030585F" w:rsidP="001C3424"/>
    <w:p w14:paraId="1BE5224C" w14:textId="4061882A" w:rsidR="006F71AE" w:rsidRDefault="006F71AE" w:rsidP="001C3424"/>
    <w:p w14:paraId="78B182D4" w14:textId="4CF4FB79" w:rsidR="006F71AE" w:rsidRDefault="006F71AE" w:rsidP="001C3424"/>
    <w:p w14:paraId="6D601F8E" w14:textId="77777777" w:rsidR="006F71AE" w:rsidRPr="00050F68" w:rsidRDefault="006F71AE" w:rsidP="001C3424"/>
    <w:p w14:paraId="5FFECDAE" w14:textId="013483FE" w:rsidR="00852B37" w:rsidRDefault="00852B37" w:rsidP="001C3424"/>
    <w:p w14:paraId="56B869F5" w14:textId="77777777" w:rsidR="009248F6" w:rsidRPr="00050F68" w:rsidRDefault="009248F6" w:rsidP="001C3424"/>
    <w:p w14:paraId="1C478F86" w14:textId="77777777" w:rsidR="009248F6" w:rsidRDefault="009248F6" w:rsidP="001C3424">
      <w:pPr>
        <w:jc w:val="right"/>
      </w:pPr>
    </w:p>
    <w:p w14:paraId="3ED0F7CF" w14:textId="35681A5C" w:rsidR="009248F6" w:rsidRDefault="009248F6" w:rsidP="009248F6">
      <w:pPr>
        <w:spacing w:before="0" w:after="0"/>
        <w:jc w:val="right"/>
        <w:rPr>
          <w:b/>
          <w:bCs/>
        </w:rPr>
      </w:pPr>
    </w:p>
    <w:p w14:paraId="75C8084C" w14:textId="77777777" w:rsidR="009248F6" w:rsidRDefault="009248F6" w:rsidP="009248F6">
      <w:pPr>
        <w:spacing w:before="0" w:after="0"/>
        <w:jc w:val="right"/>
        <w:rPr>
          <w:b/>
          <w:bCs/>
        </w:rPr>
      </w:pPr>
    </w:p>
    <w:p w14:paraId="5E09A8DD" w14:textId="77777777" w:rsidR="009248F6" w:rsidRDefault="009248F6" w:rsidP="009248F6">
      <w:pPr>
        <w:spacing w:before="0" w:after="0"/>
        <w:jc w:val="right"/>
        <w:rPr>
          <w:b/>
          <w:bCs/>
        </w:rPr>
      </w:pPr>
    </w:p>
    <w:p w14:paraId="3BC858F4" w14:textId="71BF96D0" w:rsidR="0030585F" w:rsidRPr="001C3424" w:rsidRDefault="0030585F" w:rsidP="009248F6">
      <w:pPr>
        <w:spacing w:before="0" w:after="0"/>
        <w:jc w:val="right"/>
        <w:rPr>
          <w:b/>
          <w:bCs/>
        </w:rPr>
      </w:pPr>
      <w:r w:rsidRPr="001C3424">
        <w:rPr>
          <w:b/>
          <w:bCs/>
        </w:rPr>
        <w:t>Presented by</w:t>
      </w:r>
    </w:p>
    <w:p w14:paraId="10094C4E" w14:textId="202A73B3" w:rsidR="0030585F" w:rsidRPr="001C3424" w:rsidRDefault="008D7EB5" w:rsidP="009248F6">
      <w:pPr>
        <w:spacing w:before="0" w:after="0"/>
        <w:jc w:val="right"/>
        <w:rPr>
          <w:b/>
          <w:bCs/>
        </w:rPr>
      </w:pPr>
      <w:r w:rsidRPr="001C3424">
        <w:rPr>
          <w:b/>
          <w:bCs/>
        </w:rPr>
        <w:t>Shane Rattenbury</w:t>
      </w:r>
      <w:r w:rsidR="0030585F" w:rsidRPr="001C3424">
        <w:rPr>
          <w:b/>
          <w:bCs/>
        </w:rPr>
        <w:t xml:space="preserve"> MLA</w:t>
      </w:r>
    </w:p>
    <w:sdt>
      <w:sdtPr>
        <w:rPr>
          <w:b/>
          <w:bCs/>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3B3F23AD" w:rsidR="0030585F" w:rsidRPr="001C3424" w:rsidRDefault="008D7EB5" w:rsidP="009248F6">
          <w:pPr>
            <w:spacing w:before="0" w:after="0"/>
            <w:jc w:val="right"/>
            <w:rPr>
              <w:b/>
              <w:bCs/>
            </w:rPr>
          </w:pPr>
          <w:r w:rsidRPr="001C3424">
            <w:rPr>
              <w:b/>
              <w:bCs/>
            </w:rPr>
            <w:t>Attorney-General</w:t>
          </w:r>
        </w:p>
      </w:sdtContent>
    </w:sdt>
    <w:p w14:paraId="4F45D581" w14:textId="77777777" w:rsidR="00EE32FF" w:rsidRDefault="009428EA" w:rsidP="001C3424">
      <w:r w:rsidRPr="00050F68">
        <w:br w:type="page"/>
      </w:r>
    </w:p>
    <w:p w14:paraId="01EA732C" w14:textId="77777777" w:rsidR="006F71AE" w:rsidRDefault="006F71AE" w:rsidP="001C3424">
      <w:r>
        <w:lastRenderedPageBreak/>
        <w:br/>
      </w:r>
    </w:p>
    <w:p w14:paraId="358E46E6" w14:textId="77777777" w:rsidR="006F71AE" w:rsidRDefault="006F71AE" w:rsidP="001C3424"/>
    <w:p w14:paraId="4E661576" w14:textId="77777777" w:rsidR="006F71AE" w:rsidRDefault="006F71AE" w:rsidP="001C3424"/>
    <w:p w14:paraId="1791EE56" w14:textId="77777777" w:rsidR="006F71AE" w:rsidRDefault="006F71AE" w:rsidP="001C3424"/>
    <w:p w14:paraId="13F592FF" w14:textId="77777777" w:rsidR="006F71AE" w:rsidRDefault="006F71AE" w:rsidP="001C3424"/>
    <w:p w14:paraId="72E88291" w14:textId="77777777" w:rsidR="006F71AE" w:rsidRDefault="006F71AE" w:rsidP="001C3424"/>
    <w:p w14:paraId="0FF5572E" w14:textId="77777777" w:rsidR="006F71AE" w:rsidRPr="006F71AE" w:rsidRDefault="006F71AE" w:rsidP="006F71AE">
      <w:pPr>
        <w:jc w:val="center"/>
        <w:rPr>
          <w:color w:val="A6A6A6" w:themeColor="background1" w:themeShade="A6"/>
          <w:sz w:val="48"/>
          <w:szCs w:val="48"/>
        </w:rPr>
      </w:pPr>
      <w:r w:rsidRPr="006F71AE">
        <w:rPr>
          <w:color w:val="A6A6A6" w:themeColor="background1" w:themeShade="A6"/>
          <w:sz w:val="48"/>
          <w:szCs w:val="48"/>
        </w:rPr>
        <w:t>This page has been left intentionally blank</w:t>
      </w:r>
    </w:p>
    <w:p w14:paraId="6A53F8FB" w14:textId="77777777" w:rsidR="006F71AE" w:rsidRDefault="006F71AE" w:rsidP="001C3424"/>
    <w:p w14:paraId="3A423ED0" w14:textId="521E2A92" w:rsidR="006F71AE" w:rsidRPr="00050F68" w:rsidRDefault="006F71AE" w:rsidP="001C3424">
      <w:pPr>
        <w:sectPr w:rsidR="006F71AE"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1A7083FC" w14:textId="6E69E6FE" w:rsidR="00BF0E36" w:rsidRPr="001C3424" w:rsidRDefault="001C3424" w:rsidP="001C3424">
      <w:pPr>
        <w:jc w:val="center"/>
        <w:rPr>
          <w:b/>
          <w:bCs/>
        </w:rPr>
      </w:pPr>
      <w:r w:rsidRPr="001C3424">
        <w:rPr>
          <w:b/>
          <w:bCs/>
        </w:rPr>
        <w:lastRenderedPageBreak/>
        <w:t>CRIMES LEGISLATION AMENDMENT BILL 2021</w:t>
      </w:r>
    </w:p>
    <w:p w14:paraId="69842CE4" w14:textId="77777777" w:rsidR="006431CF" w:rsidRPr="00050F68" w:rsidRDefault="006431CF" w:rsidP="001C3424">
      <w:pPr>
        <w:pStyle w:val="Title"/>
      </w:pPr>
      <w:bookmarkStart w:id="0" w:name="_Toc426711258"/>
      <w:bookmarkStart w:id="1" w:name="_Toc429052821"/>
      <w:bookmarkStart w:id="2" w:name="_Toc75420867"/>
      <w:r w:rsidRPr="00050F68">
        <w:t>Outline</w:t>
      </w:r>
      <w:bookmarkEnd w:id="0"/>
      <w:bookmarkEnd w:id="1"/>
      <w:bookmarkEnd w:id="2"/>
    </w:p>
    <w:p w14:paraId="1B9B86F2" w14:textId="5342A80B" w:rsidR="009E76F0" w:rsidRDefault="00326167">
      <w:pPr>
        <w:pStyle w:val="TOC1"/>
        <w:tabs>
          <w:tab w:val="right" w:leader="dot" w:pos="9016"/>
        </w:tabs>
        <w:rPr>
          <w:rFonts w:asciiTheme="minorHAnsi" w:eastAsiaTheme="minorEastAsia" w:hAnsiTheme="minorHAnsi" w:cstheme="minorBidi"/>
          <w:noProof/>
          <w:sz w:val="22"/>
          <w:szCs w:val="22"/>
          <w:lang w:eastAsia="en-AU"/>
        </w:rPr>
      </w:pPr>
      <w:r w:rsidRPr="00050F68">
        <w:fldChar w:fldCharType="begin"/>
      </w:r>
      <w:r w:rsidR="00AC5B87" w:rsidRPr="00050F68">
        <w:instrText xml:space="preserve"> TOC \o "1-3" \h \z \u </w:instrText>
      </w:r>
      <w:r w:rsidRPr="00050F68">
        <w:fldChar w:fldCharType="separate"/>
      </w:r>
      <w:hyperlink w:anchor="_Toc75420867" w:history="1">
        <w:r w:rsidR="009E76F0" w:rsidRPr="00C04EEC">
          <w:rPr>
            <w:rStyle w:val="Hyperlink"/>
            <w:noProof/>
          </w:rPr>
          <w:t>Outline</w:t>
        </w:r>
        <w:r w:rsidR="009E76F0">
          <w:rPr>
            <w:noProof/>
            <w:webHidden/>
          </w:rPr>
          <w:tab/>
        </w:r>
        <w:r w:rsidR="009E76F0">
          <w:rPr>
            <w:noProof/>
            <w:webHidden/>
          </w:rPr>
          <w:fldChar w:fldCharType="begin"/>
        </w:r>
        <w:r w:rsidR="009E76F0">
          <w:rPr>
            <w:noProof/>
            <w:webHidden/>
          </w:rPr>
          <w:instrText xml:space="preserve"> PAGEREF _Toc75420867 \h </w:instrText>
        </w:r>
        <w:r w:rsidR="009E76F0">
          <w:rPr>
            <w:noProof/>
            <w:webHidden/>
          </w:rPr>
        </w:r>
        <w:r w:rsidR="009E76F0">
          <w:rPr>
            <w:noProof/>
            <w:webHidden/>
          </w:rPr>
          <w:fldChar w:fldCharType="separate"/>
        </w:r>
        <w:r w:rsidR="00D5369B">
          <w:rPr>
            <w:noProof/>
            <w:webHidden/>
          </w:rPr>
          <w:t>1</w:t>
        </w:r>
        <w:r w:rsidR="009E76F0">
          <w:rPr>
            <w:noProof/>
            <w:webHidden/>
          </w:rPr>
          <w:fldChar w:fldCharType="end"/>
        </w:r>
      </w:hyperlink>
    </w:p>
    <w:p w14:paraId="3894ABE9" w14:textId="73C8579B" w:rsidR="009E76F0" w:rsidRDefault="0012409B">
      <w:pPr>
        <w:pStyle w:val="TOC2"/>
        <w:tabs>
          <w:tab w:val="right" w:leader="dot" w:pos="9016"/>
        </w:tabs>
        <w:rPr>
          <w:rFonts w:asciiTheme="minorHAnsi" w:eastAsiaTheme="minorEastAsia" w:hAnsiTheme="minorHAnsi" w:cstheme="minorBidi"/>
          <w:noProof/>
          <w:sz w:val="22"/>
          <w:szCs w:val="22"/>
          <w:lang w:eastAsia="en-AU"/>
        </w:rPr>
      </w:pPr>
      <w:hyperlink w:anchor="_Toc75420868" w:history="1">
        <w:r w:rsidR="009E76F0" w:rsidRPr="00C04EEC">
          <w:rPr>
            <w:rStyle w:val="Hyperlink"/>
            <w:noProof/>
          </w:rPr>
          <w:t>CRIMES LEGISLATION AMENDMENT BILL 2021</w:t>
        </w:r>
        <w:r w:rsidR="009E76F0">
          <w:rPr>
            <w:noProof/>
            <w:webHidden/>
          </w:rPr>
          <w:tab/>
        </w:r>
        <w:r w:rsidR="009E76F0">
          <w:rPr>
            <w:noProof/>
            <w:webHidden/>
          </w:rPr>
          <w:fldChar w:fldCharType="begin"/>
        </w:r>
        <w:r w:rsidR="009E76F0">
          <w:rPr>
            <w:noProof/>
            <w:webHidden/>
          </w:rPr>
          <w:instrText xml:space="preserve"> PAGEREF _Toc75420868 \h </w:instrText>
        </w:r>
        <w:r w:rsidR="009E76F0">
          <w:rPr>
            <w:noProof/>
            <w:webHidden/>
          </w:rPr>
        </w:r>
        <w:r w:rsidR="009E76F0">
          <w:rPr>
            <w:noProof/>
            <w:webHidden/>
          </w:rPr>
          <w:fldChar w:fldCharType="separate"/>
        </w:r>
        <w:r w:rsidR="00D5369B">
          <w:rPr>
            <w:noProof/>
            <w:webHidden/>
          </w:rPr>
          <w:t>1</w:t>
        </w:r>
        <w:r w:rsidR="009E76F0">
          <w:rPr>
            <w:noProof/>
            <w:webHidden/>
          </w:rPr>
          <w:fldChar w:fldCharType="end"/>
        </w:r>
      </w:hyperlink>
    </w:p>
    <w:p w14:paraId="3A93D3C0" w14:textId="114A6CD2" w:rsidR="009E76F0" w:rsidRDefault="0012409B">
      <w:pPr>
        <w:pStyle w:val="TOC2"/>
        <w:tabs>
          <w:tab w:val="right" w:leader="dot" w:pos="9016"/>
        </w:tabs>
        <w:rPr>
          <w:rFonts w:asciiTheme="minorHAnsi" w:eastAsiaTheme="minorEastAsia" w:hAnsiTheme="minorHAnsi" w:cstheme="minorBidi"/>
          <w:noProof/>
          <w:sz w:val="22"/>
          <w:szCs w:val="22"/>
          <w:lang w:eastAsia="en-AU"/>
        </w:rPr>
      </w:pPr>
      <w:hyperlink w:anchor="_Toc75420869" w:history="1">
        <w:r w:rsidR="009E76F0" w:rsidRPr="00C04EEC">
          <w:rPr>
            <w:rStyle w:val="Hyperlink"/>
            <w:noProof/>
          </w:rPr>
          <w:t>OVERVIEW OF THE BILL</w:t>
        </w:r>
        <w:r w:rsidR="009E76F0">
          <w:rPr>
            <w:noProof/>
            <w:webHidden/>
          </w:rPr>
          <w:tab/>
        </w:r>
        <w:r w:rsidR="009E76F0">
          <w:rPr>
            <w:noProof/>
            <w:webHidden/>
          </w:rPr>
          <w:fldChar w:fldCharType="begin"/>
        </w:r>
        <w:r w:rsidR="009E76F0">
          <w:rPr>
            <w:noProof/>
            <w:webHidden/>
          </w:rPr>
          <w:instrText xml:space="preserve"> PAGEREF _Toc75420869 \h </w:instrText>
        </w:r>
        <w:r w:rsidR="009E76F0">
          <w:rPr>
            <w:noProof/>
            <w:webHidden/>
          </w:rPr>
        </w:r>
        <w:r w:rsidR="009E76F0">
          <w:rPr>
            <w:noProof/>
            <w:webHidden/>
          </w:rPr>
          <w:fldChar w:fldCharType="separate"/>
        </w:r>
        <w:r w:rsidR="00D5369B">
          <w:rPr>
            <w:noProof/>
            <w:webHidden/>
          </w:rPr>
          <w:t>1</w:t>
        </w:r>
        <w:r w:rsidR="009E76F0">
          <w:rPr>
            <w:noProof/>
            <w:webHidden/>
          </w:rPr>
          <w:fldChar w:fldCharType="end"/>
        </w:r>
      </w:hyperlink>
    </w:p>
    <w:p w14:paraId="542F38E0" w14:textId="21FEF929" w:rsidR="009E76F0" w:rsidRDefault="0012409B">
      <w:pPr>
        <w:pStyle w:val="TOC2"/>
        <w:tabs>
          <w:tab w:val="right" w:leader="dot" w:pos="9016"/>
        </w:tabs>
        <w:rPr>
          <w:rFonts w:asciiTheme="minorHAnsi" w:eastAsiaTheme="minorEastAsia" w:hAnsiTheme="minorHAnsi" w:cstheme="minorBidi"/>
          <w:noProof/>
          <w:sz w:val="22"/>
          <w:szCs w:val="22"/>
          <w:lang w:eastAsia="en-AU"/>
        </w:rPr>
      </w:pPr>
      <w:hyperlink w:anchor="_Toc75420870" w:history="1">
        <w:r w:rsidR="009E76F0" w:rsidRPr="00C04EEC">
          <w:rPr>
            <w:rStyle w:val="Hyperlink"/>
            <w:noProof/>
          </w:rPr>
          <w:t>CONSULTATION ON THE PROPOSED APPROACH</w:t>
        </w:r>
        <w:r w:rsidR="009E76F0">
          <w:rPr>
            <w:noProof/>
            <w:webHidden/>
          </w:rPr>
          <w:tab/>
        </w:r>
        <w:r w:rsidR="009E76F0">
          <w:rPr>
            <w:noProof/>
            <w:webHidden/>
          </w:rPr>
          <w:fldChar w:fldCharType="begin"/>
        </w:r>
        <w:r w:rsidR="009E76F0">
          <w:rPr>
            <w:noProof/>
            <w:webHidden/>
          </w:rPr>
          <w:instrText xml:space="preserve"> PAGEREF _Toc75420870 \h </w:instrText>
        </w:r>
        <w:r w:rsidR="009E76F0">
          <w:rPr>
            <w:noProof/>
            <w:webHidden/>
          </w:rPr>
        </w:r>
        <w:r w:rsidR="009E76F0">
          <w:rPr>
            <w:noProof/>
            <w:webHidden/>
          </w:rPr>
          <w:fldChar w:fldCharType="separate"/>
        </w:r>
        <w:r w:rsidR="00D5369B">
          <w:rPr>
            <w:noProof/>
            <w:webHidden/>
          </w:rPr>
          <w:t>1</w:t>
        </w:r>
        <w:r w:rsidR="009E76F0">
          <w:rPr>
            <w:noProof/>
            <w:webHidden/>
          </w:rPr>
          <w:fldChar w:fldCharType="end"/>
        </w:r>
      </w:hyperlink>
    </w:p>
    <w:p w14:paraId="32A5D832" w14:textId="7742D68E" w:rsidR="009E76F0" w:rsidRDefault="0012409B">
      <w:pPr>
        <w:pStyle w:val="TOC2"/>
        <w:tabs>
          <w:tab w:val="right" w:leader="dot" w:pos="9016"/>
        </w:tabs>
        <w:rPr>
          <w:rFonts w:asciiTheme="minorHAnsi" w:eastAsiaTheme="minorEastAsia" w:hAnsiTheme="minorHAnsi" w:cstheme="minorBidi"/>
          <w:noProof/>
          <w:sz w:val="22"/>
          <w:szCs w:val="22"/>
          <w:lang w:eastAsia="en-AU"/>
        </w:rPr>
      </w:pPr>
      <w:hyperlink w:anchor="_Toc75420871" w:history="1">
        <w:r w:rsidR="009E76F0" w:rsidRPr="00C04EEC">
          <w:rPr>
            <w:rStyle w:val="Hyperlink"/>
            <w:noProof/>
          </w:rPr>
          <w:t>CONSISTENCY WITH HUMAN RIGHTS</w:t>
        </w:r>
        <w:r w:rsidR="009E76F0">
          <w:rPr>
            <w:noProof/>
            <w:webHidden/>
          </w:rPr>
          <w:tab/>
        </w:r>
        <w:r w:rsidR="009E76F0">
          <w:rPr>
            <w:noProof/>
            <w:webHidden/>
          </w:rPr>
          <w:fldChar w:fldCharType="begin"/>
        </w:r>
        <w:r w:rsidR="009E76F0">
          <w:rPr>
            <w:noProof/>
            <w:webHidden/>
          </w:rPr>
          <w:instrText xml:space="preserve"> PAGEREF _Toc75420871 \h </w:instrText>
        </w:r>
        <w:r w:rsidR="009E76F0">
          <w:rPr>
            <w:noProof/>
            <w:webHidden/>
          </w:rPr>
        </w:r>
        <w:r w:rsidR="009E76F0">
          <w:rPr>
            <w:noProof/>
            <w:webHidden/>
          </w:rPr>
          <w:fldChar w:fldCharType="separate"/>
        </w:r>
        <w:r w:rsidR="00D5369B">
          <w:rPr>
            <w:noProof/>
            <w:webHidden/>
          </w:rPr>
          <w:t>2</w:t>
        </w:r>
        <w:r w:rsidR="009E76F0">
          <w:rPr>
            <w:noProof/>
            <w:webHidden/>
          </w:rPr>
          <w:fldChar w:fldCharType="end"/>
        </w:r>
      </w:hyperlink>
    </w:p>
    <w:p w14:paraId="1F63C272" w14:textId="3050C2C6"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2" w:history="1">
        <w:r w:rsidR="009E76F0" w:rsidRPr="00C04EEC">
          <w:rPr>
            <w:rStyle w:val="Hyperlink"/>
            <w:noProof/>
            <w:lang w:eastAsia="en-AU"/>
          </w:rPr>
          <w:t>Detail</w:t>
        </w:r>
        <w:r w:rsidR="009E76F0">
          <w:rPr>
            <w:noProof/>
            <w:webHidden/>
          </w:rPr>
          <w:tab/>
        </w:r>
        <w:r w:rsidR="009E76F0">
          <w:rPr>
            <w:noProof/>
            <w:webHidden/>
          </w:rPr>
          <w:fldChar w:fldCharType="begin"/>
        </w:r>
        <w:r w:rsidR="009E76F0">
          <w:rPr>
            <w:noProof/>
            <w:webHidden/>
          </w:rPr>
          <w:instrText xml:space="preserve"> PAGEREF _Toc75420872 \h </w:instrText>
        </w:r>
        <w:r w:rsidR="009E76F0">
          <w:rPr>
            <w:noProof/>
            <w:webHidden/>
          </w:rPr>
        </w:r>
        <w:r w:rsidR="009E76F0">
          <w:rPr>
            <w:noProof/>
            <w:webHidden/>
          </w:rPr>
          <w:fldChar w:fldCharType="separate"/>
        </w:r>
        <w:r w:rsidR="00D5369B">
          <w:rPr>
            <w:noProof/>
            <w:webHidden/>
          </w:rPr>
          <w:t>20</w:t>
        </w:r>
        <w:r w:rsidR="009E76F0">
          <w:rPr>
            <w:noProof/>
            <w:webHidden/>
          </w:rPr>
          <w:fldChar w:fldCharType="end"/>
        </w:r>
      </w:hyperlink>
    </w:p>
    <w:p w14:paraId="51273F71" w14:textId="11F508AB"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3" w:history="1">
        <w:r w:rsidR="009E76F0" w:rsidRPr="00C04EEC">
          <w:rPr>
            <w:rStyle w:val="Hyperlink"/>
            <w:noProof/>
            <w:lang w:eastAsia="en-AU"/>
          </w:rPr>
          <w:t>Part 1 – Preliminary</w:t>
        </w:r>
        <w:r w:rsidR="009E76F0">
          <w:rPr>
            <w:noProof/>
            <w:webHidden/>
          </w:rPr>
          <w:tab/>
        </w:r>
        <w:r w:rsidR="009E76F0">
          <w:rPr>
            <w:noProof/>
            <w:webHidden/>
          </w:rPr>
          <w:fldChar w:fldCharType="begin"/>
        </w:r>
        <w:r w:rsidR="009E76F0">
          <w:rPr>
            <w:noProof/>
            <w:webHidden/>
          </w:rPr>
          <w:instrText xml:space="preserve"> PAGEREF _Toc75420873 \h </w:instrText>
        </w:r>
        <w:r w:rsidR="009E76F0">
          <w:rPr>
            <w:noProof/>
            <w:webHidden/>
          </w:rPr>
        </w:r>
        <w:r w:rsidR="009E76F0">
          <w:rPr>
            <w:noProof/>
            <w:webHidden/>
          </w:rPr>
          <w:fldChar w:fldCharType="separate"/>
        </w:r>
        <w:r w:rsidR="00D5369B">
          <w:rPr>
            <w:noProof/>
            <w:webHidden/>
          </w:rPr>
          <w:t>20</w:t>
        </w:r>
        <w:r w:rsidR="009E76F0">
          <w:rPr>
            <w:noProof/>
            <w:webHidden/>
          </w:rPr>
          <w:fldChar w:fldCharType="end"/>
        </w:r>
      </w:hyperlink>
    </w:p>
    <w:p w14:paraId="69B9BC72" w14:textId="23DAA9A8"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4" w:history="1">
        <w:r w:rsidR="009E76F0" w:rsidRPr="00C04EEC">
          <w:rPr>
            <w:rStyle w:val="Hyperlink"/>
            <w:noProof/>
            <w:lang w:eastAsia="en-AU"/>
          </w:rPr>
          <w:t>Part 2 – Crimes (Child Sex Offenders) Act 2005</w:t>
        </w:r>
        <w:r w:rsidR="009E76F0">
          <w:rPr>
            <w:noProof/>
            <w:webHidden/>
          </w:rPr>
          <w:tab/>
        </w:r>
        <w:r w:rsidR="009E76F0">
          <w:rPr>
            <w:noProof/>
            <w:webHidden/>
          </w:rPr>
          <w:fldChar w:fldCharType="begin"/>
        </w:r>
        <w:r w:rsidR="009E76F0">
          <w:rPr>
            <w:noProof/>
            <w:webHidden/>
          </w:rPr>
          <w:instrText xml:space="preserve"> PAGEREF _Toc75420874 \h </w:instrText>
        </w:r>
        <w:r w:rsidR="009E76F0">
          <w:rPr>
            <w:noProof/>
            <w:webHidden/>
          </w:rPr>
        </w:r>
        <w:r w:rsidR="009E76F0">
          <w:rPr>
            <w:noProof/>
            <w:webHidden/>
          </w:rPr>
          <w:fldChar w:fldCharType="separate"/>
        </w:r>
        <w:r w:rsidR="00D5369B">
          <w:rPr>
            <w:noProof/>
            <w:webHidden/>
          </w:rPr>
          <w:t>20</w:t>
        </w:r>
        <w:r w:rsidR="009E76F0">
          <w:rPr>
            <w:noProof/>
            <w:webHidden/>
          </w:rPr>
          <w:fldChar w:fldCharType="end"/>
        </w:r>
      </w:hyperlink>
    </w:p>
    <w:p w14:paraId="157F5EEC" w14:textId="46F7A55C"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5" w:history="1">
        <w:r w:rsidR="009E76F0" w:rsidRPr="00C04EEC">
          <w:rPr>
            <w:rStyle w:val="Hyperlink"/>
            <w:noProof/>
            <w:lang w:eastAsia="en-AU"/>
          </w:rPr>
          <w:t>Part 3 – Crimes (Sentencing) Act 2005</w:t>
        </w:r>
        <w:r w:rsidR="009E76F0">
          <w:rPr>
            <w:noProof/>
            <w:webHidden/>
          </w:rPr>
          <w:tab/>
        </w:r>
        <w:r w:rsidR="009E76F0">
          <w:rPr>
            <w:noProof/>
            <w:webHidden/>
          </w:rPr>
          <w:fldChar w:fldCharType="begin"/>
        </w:r>
        <w:r w:rsidR="009E76F0">
          <w:rPr>
            <w:noProof/>
            <w:webHidden/>
          </w:rPr>
          <w:instrText xml:space="preserve"> PAGEREF _Toc75420875 \h </w:instrText>
        </w:r>
        <w:r w:rsidR="009E76F0">
          <w:rPr>
            <w:noProof/>
            <w:webHidden/>
          </w:rPr>
        </w:r>
        <w:r w:rsidR="009E76F0">
          <w:rPr>
            <w:noProof/>
            <w:webHidden/>
          </w:rPr>
          <w:fldChar w:fldCharType="separate"/>
        </w:r>
        <w:r w:rsidR="00D5369B">
          <w:rPr>
            <w:noProof/>
            <w:webHidden/>
          </w:rPr>
          <w:t>21</w:t>
        </w:r>
        <w:r w:rsidR="009E76F0">
          <w:rPr>
            <w:noProof/>
            <w:webHidden/>
          </w:rPr>
          <w:fldChar w:fldCharType="end"/>
        </w:r>
      </w:hyperlink>
    </w:p>
    <w:p w14:paraId="526940BA" w14:textId="0D82DF2F"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6" w:history="1">
        <w:r w:rsidR="009E76F0" w:rsidRPr="00C04EEC">
          <w:rPr>
            <w:rStyle w:val="Hyperlink"/>
            <w:noProof/>
            <w:lang w:eastAsia="en-AU"/>
          </w:rPr>
          <w:t xml:space="preserve">Part 4 – </w:t>
        </w:r>
        <w:r w:rsidR="009E76F0" w:rsidRPr="00C04EEC">
          <w:rPr>
            <w:rStyle w:val="Hyperlink"/>
            <w:noProof/>
          </w:rPr>
          <w:t>Crimes (Surveillance Devices) Act 2010</w:t>
        </w:r>
        <w:r w:rsidR="009E76F0">
          <w:rPr>
            <w:noProof/>
            <w:webHidden/>
          </w:rPr>
          <w:tab/>
        </w:r>
        <w:r w:rsidR="009E76F0">
          <w:rPr>
            <w:noProof/>
            <w:webHidden/>
          </w:rPr>
          <w:fldChar w:fldCharType="begin"/>
        </w:r>
        <w:r w:rsidR="009E76F0">
          <w:rPr>
            <w:noProof/>
            <w:webHidden/>
          </w:rPr>
          <w:instrText xml:space="preserve"> PAGEREF _Toc75420876 \h </w:instrText>
        </w:r>
        <w:r w:rsidR="009E76F0">
          <w:rPr>
            <w:noProof/>
            <w:webHidden/>
          </w:rPr>
        </w:r>
        <w:r w:rsidR="009E76F0">
          <w:rPr>
            <w:noProof/>
            <w:webHidden/>
          </w:rPr>
          <w:fldChar w:fldCharType="separate"/>
        </w:r>
        <w:r w:rsidR="00D5369B">
          <w:rPr>
            <w:noProof/>
            <w:webHidden/>
          </w:rPr>
          <w:t>23</w:t>
        </w:r>
        <w:r w:rsidR="009E76F0">
          <w:rPr>
            <w:noProof/>
            <w:webHidden/>
          </w:rPr>
          <w:fldChar w:fldCharType="end"/>
        </w:r>
      </w:hyperlink>
    </w:p>
    <w:p w14:paraId="2AE4F3DE" w14:textId="7A30F80A"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7" w:history="1">
        <w:r w:rsidR="009E76F0" w:rsidRPr="00C04EEC">
          <w:rPr>
            <w:rStyle w:val="Hyperlink"/>
            <w:noProof/>
            <w:lang w:eastAsia="en-AU"/>
          </w:rPr>
          <w:t xml:space="preserve">Part 5 – </w:t>
        </w:r>
        <w:r w:rsidR="009E76F0" w:rsidRPr="00C04EEC">
          <w:rPr>
            <w:rStyle w:val="Hyperlink"/>
            <w:noProof/>
          </w:rPr>
          <w:t>Inspector of Correctional Services Act 2017</w:t>
        </w:r>
        <w:r w:rsidR="009E76F0">
          <w:rPr>
            <w:noProof/>
            <w:webHidden/>
          </w:rPr>
          <w:tab/>
        </w:r>
        <w:r w:rsidR="009E76F0">
          <w:rPr>
            <w:noProof/>
            <w:webHidden/>
          </w:rPr>
          <w:fldChar w:fldCharType="begin"/>
        </w:r>
        <w:r w:rsidR="009E76F0">
          <w:rPr>
            <w:noProof/>
            <w:webHidden/>
          </w:rPr>
          <w:instrText xml:space="preserve"> PAGEREF _Toc75420877 \h </w:instrText>
        </w:r>
        <w:r w:rsidR="009E76F0">
          <w:rPr>
            <w:noProof/>
            <w:webHidden/>
          </w:rPr>
        </w:r>
        <w:r w:rsidR="009E76F0">
          <w:rPr>
            <w:noProof/>
            <w:webHidden/>
          </w:rPr>
          <w:fldChar w:fldCharType="separate"/>
        </w:r>
        <w:r w:rsidR="00D5369B">
          <w:rPr>
            <w:noProof/>
            <w:webHidden/>
          </w:rPr>
          <w:t>25</w:t>
        </w:r>
        <w:r w:rsidR="009E76F0">
          <w:rPr>
            <w:noProof/>
            <w:webHidden/>
          </w:rPr>
          <w:fldChar w:fldCharType="end"/>
        </w:r>
      </w:hyperlink>
    </w:p>
    <w:p w14:paraId="2C6C4C63" w14:textId="34714E87"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8" w:history="1">
        <w:r w:rsidR="009E76F0" w:rsidRPr="00C04EEC">
          <w:rPr>
            <w:rStyle w:val="Hyperlink"/>
            <w:noProof/>
            <w:lang w:eastAsia="en-AU"/>
          </w:rPr>
          <w:t xml:space="preserve">Part 6 – </w:t>
        </w:r>
        <w:r w:rsidR="009E76F0" w:rsidRPr="00C04EEC">
          <w:rPr>
            <w:rStyle w:val="Hyperlink"/>
            <w:noProof/>
          </w:rPr>
          <w:t>Listening Devices Act 1992</w:t>
        </w:r>
        <w:r w:rsidR="009E76F0">
          <w:rPr>
            <w:noProof/>
            <w:webHidden/>
          </w:rPr>
          <w:tab/>
        </w:r>
        <w:r w:rsidR="009E76F0">
          <w:rPr>
            <w:noProof/>
            <w:webHidden/>
          </w:rPr>
          <w:fldChar w:fldCharType="begin"/>
        </w:r>
        <w:r w:rsidR="009E76F0">
          <w:rPr>
            <w:noProof/>
            <w:webHidden/>
          </w:rPr>
          <w:instrText xml:space="preserve"> PAGEREF _Toc75420878 \h </w:instrText>
        </w:r>
        <w:r w:rsidR="009E76F0">
          <w:rPr>
            <w:noProof/>
            <w:webHidden/>
          </w:rPr>
        </w:r>
        <w:r w:rsidR="009E76F0">
          <w:rPr>
            <w:noProof/>
            <w:webHidden/>
          </w:rPr>
          <w:fldChar w:fldCharType="separate"/>
        </w:r>
        <w:r w:rsidR="00D5369B">
          <w:rPr>
            <w:noProof/>
            <w:webHidden/>
          </w:rPr>
          <w:t>25</w:t>
        </w:r>
        <w:r w:rsidR="009E76F0">
          <w:rPr>
            <w:noProof/>
            <w:webHidden/>
          </w:rPr>
          <w:fldChar w:fldCharType="end"/>
        </w:r>
      </w:hyperlink>
    </w:p>
    <w:p w14:paraId="51BB4968" w14:textId="61C8F387" w:rsidR="009E76F0" w:rsidRDefault="0012409B">
      <w:pPr>
        <w:pStyle w:val="TOC1"/>
        <w:tabs>
          <w:tab w:val="right" w:leader="dot" w:pos="9016"/>
        </w:tabs>
        <w:rPr>
          <w:rFonts w:asciiTheme="minorHAnsi" w:eastAsiaTheme="minorEastAsia" w:hAnsiTheme="minorHAnsi" w:cstheme="minorBidi"/>
          <w:noProof/>
          <w:sz w:val="22"/>
          <w:szCs w:val="22"/>
          <w:lang w:eastAsia="en-AU"/>
        </w:rPr>
      </w:pPr>
      <w:hyperlink w:anchor="_Toc75420879" w:history="1">
        <w:r w:rsidR="009E76F0" w:rsidRPr="00C04EEC">
          <w:rPr>
            <w:rStyle w:val="Hyperlink"/>
            <w:noProof/>
            <w:lang w:eastAsia="en-AU"/>
          </w:rPr>
          <w:t xml:space="preserve">Part 7 – </w:t>
        </w:r>
        <w:r w:rsidR="009E76F0" w:rsidRPr="00C04EEC">
          <w:rPr>
            <w:rStyle w:val="Hyperlink"/>
            <w:noProof/>
          </w:rPr>
          <w:t>Terrorism (Extraordinary Temporary Powers) Act 2006</w:t>
        </w:r>
        <w:r w:rsidR="009E76F0">
          <w:rPr>
            <w:noProof/>
            <w:webHidden/>
          </w:rPr>
          <w:tab/>
        </w:r>
        <w:r w:rsidR="009E76F0">
          <w:rPr>
            <w:noProof/>
            <w:webHidden/>
          </w:rPr>
          <w:fldChar w:fldCharType="begin"/>
        </w:r>
        <w:r w:rsidR="009E76F0">
          <w:rPr>
            <w:noProof/>
            <w:webHidden/>
          </w:rPr>
          <w:instrText xml:space="preserve"> PAGEREF _Toc75420879 \h </w:instrText>
        </w:r>
        <w:r w:rsidR="009E76F0">
          <w:rPr>
            <w:noProof/>
            <w:webHidden/>
          </w:rPr>
        </w:r>
        <w:r w:rsidR="009E76F0">
          <w:rPr>
            <w:noProof/>
            <w:webHidden/>
          </w:rPr>
          <w:fldChar w:fldCharType="separate"/>
        </w:r>
        <w:r w:rsidR="00D5369B">
          <w:rPr>
            <w:noProof/>
            <w:webHidden/>
          </w:rPr>
          <w:t>26</w:t>
        </w:r>
        <w:r w:rsidR="009E76F0">
          <w:rPr>
            <w:noProof/>
            <w:webHidden/>
          </w:rPr>
          <w:fldChar w:fldCharType="end"/>
        </w:r>
      </w:hyperlink>
    </w:p>
    <w:p w14:paraId="314FFBD4" w14:textId="18FBF3A6" w:rsidR="00AC5B87" w:rsidRPr="00050F68" w:rsidRDefault="00326167" w:rsidP="001C3424">
      <w:r w:rsidRPr="00050F68">
        <w:fldChar w:fldCharType="end"/>
      </w:r>
    </w:p>
    <w:p w14:paraId="7E1CC0C9" w14:textId="77777777" w:rsidR="006F71AE" w:rsidRDefault="006F71AE" w:rsidP="001C3424">
      <w:pPr>
        <w:pStyle w:val="Heading2"/>
        <w:sectPr w:rsidR="006F71AE" w:rsidSect="00EE32FF">
          <w:footerReference w:type="default" r:id="rId17"/>
          <w:pgSz w:w="11906" w:h="16838"/>
          <w:pgMar w:top="1440" w:right="1440" w:bottom="1440" w:left="1440" w:header="708" w:footer="708" w:gutter="0"/>
          <w:pgNumType w:start="1"/>
          <w:cols w:space="708"/>
          <w:titlePg/>
          <w:docGrid w:linePitch="360"/>
        </w:sectPr>
      </w:pPr>
      <w:bookmarkStart w:id="3" w:name="_Toc426711259"/>
      <w:bookmarkStart w:id="4" w:name="_Toc429052822"/>
    </w:p>
    <w:p w14:paraId="5671B9AA" w14:textId="497C4C3C" w:rsidR="0051718C" w:rsidRPr="008D7EB5" w:rsidRDefault="001C3424" w:rsidP="00825FC8">
      <w:pPr>
        <w:pStyle w:val="Heading2"/>
        <w:keepNext w:val="0"/>
        <w:jc w:val="center"/>
        <w:rPr>
          <w:rFonts w:eastAsia="Calibri"/>
          <w:u w:val="none"/>
        </w:rPr>
      </w:pPr>
      <w:bookmarkStart w:id="5" w:name="_Toc75420868"/>
      <w:r w:rsidRPr="008D7EB5">
        <w:lastRenderedPageBreak/>
        <w:t>CRIMES LEGISLATION AMENDMENT BILL 2021</w:t>
      </w:r>
      <w:bookmarkEnd w:id="5"/>
    </w:p>
    <w:p w14:paraId="15C4153C" w14:textId="79081C1A" w:rsidR="0051718C" w:rsidRPr="00050F68" w:rsidRDefault="0051718C" w:rsidP="00825FC8">
      <w:pPr>
        <w:keepNext w:val="0"/>
      </w:pPr>
      <w:r w:rsidRPr="00050F68">
        <w:t xml:space="preserve">The Bill </w:t>
      </w:r>
      <w:r w:rsidRPr="001C3424">
        <w:rPr>
          <w:b/>
          <w:bCs/>
        </w:rPr>
        <w:t>is</w:t>
      </w:r>
      <w:r w:rsidRPr="00050F68">
        <w:t xml:space="preserve"> a Significant Bill. Significant Bills are bills that have been assessed as likely to </w:t>
      </w:r>
      <w:r w:rsidR="007D4E40">
        <w:t>involve</w:t>
      </w:r>
      <w:r w:rsidRPr="00050F68">
        <w:t xml:space="preserve"> significant engagement of human rights and require more detailed reasoning in relation to compatibility with the </w:t>
      </w:r>
      <w:r w:rsidRPr="00D46112">
        <w:rPr>
          <w:i/>
          <w:iCs/>
        </w:rPr>
        <w:t>Human Rights Act 2004</w:t>
      </w:r>
      <w:r w:rsidR="00D46112">
        <w:t xml:space="preserve"> (HR Act)</w:t>
      </w:r>
      <w:r w:rsidRPr="00050F68">
        <w:t>.</w:t>
      </w:r>
    </w:p>
    <w:p w14:paraId="647CCAEE" w14:textId="3605225D" w:rsidR="0030585F" w:rsidRPr="00050F68" w:rsidRDefault="00050F68" w:rsidP="00825FC8">
      <w:pPr>
        <w:pStyle w:val="Heading2"/>
        <w:keepNext w:val="0"/>
      </w:pPr>
      <w:bookmarkStart w:id="6" w:name="_Toc75420869"/>
      <w:bookmarkEnd w:id="3"/>
      <w:bookmarkEnd w:id="4"/>
      <w:r>
        <w:t>OVERVIEW OF THE BILL</w:t>
      </w:r>
      <w:bookmarkEnd w:id="6"/>
    </w:p>
    <w:p w14:paraId="22820147" w14:textId="76BF98F1" w:rsidR="00226A09" w:rsidRPr="00050F68" w:rsidRDefault="00CE1BDF" w:rsidP="00825FC8">
      <w:pPr>
        <w:keepNext w:val="0"/>
      </w:pPr>
      <w:r w:rsidRPr="00050F68">
        <w:t>The policy objective</w:t>
      </w:r>
      <w:r w:rsidR="00DF7319" w:rsidRPr="00050F68">
        <w:t xml:space="preserve"> of this bill is to </w:t>
      </w:r>
      <w:r w:rsidR="001C3424">
        <w:t xml:space="preserve">improve the </w:t>
      </w:r>
      <w:r w:rsidR="00530D3A">
        <w:t xml:space="preserve">clarity and effectiveness </w:t>
      </w:r>
      <w:r w:rsidR="001C3424">
        <w:t>of criminal justice legislation.</w:t>
      </w:r>
    </w:p>
    <w:p w14:paraId="7077BB16" w14:textId="6A5ED44F" w:rsidR="00A26427" w:rsidRPr="00050F68" w:rsidRDefault="001C3424" w:rsidP="00825FC8">
      <w:pPr>
        <w:keepNext w:val="0"/>
      </w:pPr>
      <w:r w:rsidRPr="001C3424">
        <w:t xml:space="preserve">The Crimes Legislation Amendment Bill 2021 </w:t>
      </w:r>
      <w:r w:rsidR="00530D3A">
        <w:t>is comprised of provisions which amend</w:t>
      </w:r>
      <w:r w:rsidRPr="001C3424">
        <w:t>:</w:t>
      </w:r>
    </w:p>
    <w:p w14:paraId="0748F07C" w14:textId="77777777" w:rsidR="00825FC8" w:rsidRPr="00301B0F" w:rsidRDefault="00825FC8" w:rsidP="00825FC8">
      <w:pPr>
        <w:pStyle w:val="ListParagraph"/>
        <w:keepNext w:val="0"/>
        <w:autoSpaceDE/>
        <w:autoSpaceDN/>
        <w:adjustRightInd/>
        <w:spacing w:before="0" w:after="200" w:line="240" w:lineRule="auto"/>
      </w:pPr>
      <w:r w:rsidRPr="00301B0F">
        <w:t xml:space="preserve">the </w:t>
      </w:r>
      <w:r w:rsidRPr="00E42292">
        <w:rPr>
          <w:i/>
          <w:iCs/>
        </w:rPr>
        <w:t>Crimes (Child Sex Offenders) Act 2005</w:t>
      </w:r>
      <w:r w:rsidRPr="00301B0F">
        <w:t xml:space="preserve"> to facilitate the registration of offenders convicted of possession of child-like sex dolls;</w:t>
      </w:r>
    </w:p>
    <w:p w14:paraId="143E724E" w14:textId="77777777" w:rsidR="00825FC8" w:rsidRPr="00301B0F" w:rsidRDefault="00825FC8" w:rsidP="00825FC8">
      <w:pPr>
        <w:pStyle w:val="ListParagraph"/>
        <w:keepNext w:val="0"/>
        <w:autoSpaceDE/>
        <w:autoSpaceDN/>
        <w:adjustRightInd/>
        <w:spacing w:before="0" w:after="200" w:line="240" w:lineRule="auto"/>
      </w:pPr>
      <w:r w:rsidRPr="00301B0F">
        <w:t xml:space="preserve">the </w:t>
      </w:r>
      <w:r w:rsidRPr="00DC68F2">
        <w:rPr>
          <w:i/>
          <w:iCs/>
        </w:rPr>
        <w:t>Crimes (Sentencing) Act 2005</w:t>
      </w:r>
      <w:r w:rsidRPr="00301B0F">
        <w:t xml:space="preserve"> to:</w:t>
      </w:r>
    </w:p>
    <w:p w14:paraId="3AB3E916" w14:textId="77777777" w:rsidR="00825FC8" w:rsidRPr="0091620C" w:rsidRDefault="00825FC8" w:rsidP="00825FC8">
      <w:pPr>
        <w:pStyle w:val="ListParagraph"/>
        <w:keepNext w:val="0"/>
        <w:numPr>
          <w:ilvl w:val="2"/>
          <w:numId w:val="1"/>
        </w:numPr>
        <w:tabs>
          <w:tab w:val="clear" w:pos="1495"/>
          <w:tab w:val="num" w:pos="1980"/>
        </w:tabs>
        <w:autoSpaceDE/>
        <w:autoSpaceDN/>
        <w:adjustRightInd/>
        <w:spacing w:before="0" w:after="200" w:line="240" w:lineRule="auto"/>
        <w:ind w:left="1980"/>
      </w:pPr>
      <w:r w:rsidRPr="00A86F7D">
        <w:t xml:space="preserve">ensure that family violence is a </w:t>
      </w:r>
      <w:r w:rsidRPr="00411F60">
        <w:t xml:space="preserve">matter which the courts must consider appropriately in </w:t>
      </w:r>
      <w:r w:rsidRPr="0091620C">
        <w:t>the sentencing process</w:t>
      </w:r>
      <w:r w:rsidRPr="00E42292">
        <w:t>;</w:t>
      </w:r>
      <w:r w:rsidRPr="00411F60">
        <w:t xml:space="preserve"> and</w:t>
      </w:r>
    </w:p>
    <w:p w14:paraId="2301C729" w14:textId="77777777" w:rsidR="00825FC8" w:rsidRPr="00301B0F" w:rsidRDefault="00825FC8" w:rsidP="00825FC8">
      <w:pPr>
        <w:pStyle w:val="ListParagraph"/>
        <w:keepNext w:val="0"/>
        <w:numPr>
          <w:ilvl w:val="2"/>
          <w:numId w:val="1"/>
        </w:numPr>
        <w:tabs>
          <w:tab w:val="clear" w:pos="1495"/>
          <w:tab w:val="num" w:pos="1980"/>
        </w:tabs>
        <w:autoSpaceDE/>
        <w:autoSpaceDN/>
        <w:adjustRightInd/>
        <w:spacing w:before="0" w:after="200" w:line="240" w:lineRule="auto"/>
        <w:ind w:left="1980"/>
      </w:pPr>
      <w:bookmarkStart w:id="7" w:name="_Hlk74259405"/>
      <w:r>
        <w:t>rectify an anomaly which prevents</w:t>
      </w:r>
      <w:r w:rsidRPr="00301B0F">
        <w:t xml:space="preserve"> appeal courts </w:t>
      </w:r>
      <w:r>
        <w:t>from amending a nonparole period where the sentence for one or more offences is set aside</w:t>
      </w:r>
      <w:r w:rsidRPr="00301B0F">
        <w:t xml:space="preserve"> or amended on appeal</w:t>
      </w:r>
      <w:bookmarkEnd w:id="7"/>
      <w:r w:rsidRPr="00301B0F">
        <w:t>;</w:t>
      </w:r>
    </w:p>
    <w:p w14:paraId="6CBAD569" w14:textId="6D733C2C" w:rsidR="00C22638" w:rsidRDefault="00825FC8" w:rsidP="00C22638">
      <w:pPr>
        <w:pStyle w:val="ListParagraph"/>
        <w:keepNext w:val="0"/>
        <w:autoSpaceDE/>
        <w:autoSpaceDN/>
        <w:adjustRightInd/>
        <w:spacing w:before="0" w:after="200" w:line="240" w:lineRule="auto"/>
      </w:pPr>
      <w:r w:rsidRPr="00301B0F">
        <w:t xml:space="preserve">the </w:t>
      </w:r>
      <w:r w:rsidRPr="00C22638">
        <w:rPr>
          <w:i/>
          <w:iCs/>
        </w:rPr>
        <w:t>Crimes (Surveillance Devices) Act 2010</w:t>
      </w:r>
      <w:r w:rsidRPr="00301B0F">
        <w:t xml:space="preserve"> and the </w:t>
      </w:r>
      <w:r w:rsidRPr="00C22638">
        <w:rPr>
          <w:i/>
          <w:iCs/>
        </w:rPr>
        <w:t>Listening Devices Act 1992</w:t>
      </w:r>
      <w:r w:rsidRPr="00301B0F">
        <w:t xml:space="preserve"> to </w:t>
      </w:r>
      <w:r w:rsidR="00530D3A">
        <w:t>explicitly state the circumstances in which</w:t>
      </w:r>
      <w:r w:rsidRPr="00301B0F">
        <w:t xml:space="preserve"> </w:t>
      </w:r>
      <w:r w:rsidR="00D01582">
        <w:t>body-worn</w:t>
      </w:r>
      <w:r w:rsidR="00DC68F2">
        <w:t xml:space="preserve"> cameras (BWCs)</w:t>
      </w:r>
      <w:r w:rsidRPr="00301B0F">
        <w:t xml:space="preserve"> </w:t>
      </w:r>
      <w:r w:rsidR="00530D3A">
        <w:t xml:space="preserve">may or must be used </w:t>
      </w:r>
      <w:r w:rsidRPr="00301B0F">
        <w:t>by</w:t>
      </w:r>
      <w:r w:rsidR="007D4E40">
        <w:t xml:space="preserve"> police officers</w:t>
      </w:r>
      <w:r w:rsidRPr="00301B0F">
        <w:t>;</w:t>
      </w:r>
      <w:r w:rsidR="0023548C">
        <w:t xml:space="preserve"> </w:t>
      </w:r>
    </w:p>
    <w:p w14:paraId="076CCA79" w14:textId="2A71D5C4" w:rsidR="00825FC8" w:rsidRDefault="00825FC8" w:rsidP="00C22638">
      <w:pPr>
        <w:pStyle w:val="ListParagraph"/>
        <w:keepNext w:val="0"/>
        <w:autoSpaceDE/>
        <w:autoSpaceDN/>
        <w:adjustRightInd/>
        <w:spacing w:before="0" w:after="200" w:line="240" w:lineRule="auto"/>
      </w:pPr>
      <w:r w:rsidRPr="00301B0F">
        <w:t xml:space="preserve">the </w:t>
      </w:r>
      <w:r w:rsidRPr="00C22638">
        <w:rPr>
          <w:i/>
          <w:iCs/>
        </w:rPr>
        <w:t>Inspector of Correctional Services Act 2017</w:t>
      </w:r>
      <w:r w:rsidRPr="00301B0F">
        <w:t xml:space="preserve"> to </w:t>
      </w:r>
      <w:r w:rsidR="007D4E40">
        <w:t>change</w:t>
      </w:r>
      <w:r w:rsidRPr="00301B0F">
        <w:t xml:space="preserve"> the review period for </w:t>
      </w:r>
      <w:r>
        <w:t xml:space="preserve">the examination and review of </w:t>
      </w:r>
      <w:r w:rsidRPr="00301B0F">
        <w:t xml:space="preserve">correctional centres and places of detention </w:t>
      </w:r>
      <w:r>
        <w:t xml:space="preserve">from </w:t>
      </w:r>
      <w:r w:rsidR="00530D3A">
        <w:t xml:space="preserve">at least once every </w:t>
      </w:r>
      <w:r>
        <w:t>two</w:t>
      </w:r>
      <w:r w:rsidR="002102F3">
        <w:t xml:space="preserve"> years</w:t>
      </w:r>
      <w:r>
        <w:t xml:space="preserve"> </w:t>
      </w:r>
      <w:r w:rsidRPr="00301B0F">
        <w:t xml:space="preserve">to </w:t>
      </w:r>
      <w:r w:rsidR="00530D3A">
        <w:t xml:space="preserve">at least once every </w:t>
      </w:r>
      <w:r w:rsidRPr="00301B0F">
        <w:t>three years</w:t>
      </w:r>
      <w:r w:rsidR="00C22638">
        <w:t>; and</w:t>
      </w:r>
    </w:p>
    <w:p w14:paraId="5A7627BF" w14:textId="456225A8" w:rsidR="00C22638" w:rsidRPr="00301B0F" w:rsidRDefault="00C22638" w:rsidP="00825FC8">
      <w:pPr>
        <w:pStyle w:val="ListParagraph"/>
        <w:keepNext w:val="0"/>
        <w:autoSpaceDE/>
        <w:autoSpaceDN/>
        <w:adjustRightInd/>
        <w:spacing w:before="0" w:after="200" w:line="240" w:lineRule="auto"/>
      </w:pPr>
      <w:r>
        <w:t xml:space="preserve">the </w:t>
      </w:r>
      <w:r>
        <w:rPr>
          <w:i/>
          <w:iCs/>
        </w:rPr>
        <w:t xml:space="preserve">Terrorism (Extraordinary Temporary Powers) Act 2006 </w:t>
      </w:r>
      <w:r>
        <w:t xml:space="preserve">to extend the operation of the Act </w:t>
      </w:r>
      <w:r w:rsidRPr="00796543">
        <w:t>for 12 months.</w:t>
      </w:r>
      <w:r>
        <w:t xml:space="preserve"> </w:t>
      </w:r>
    </w:p>
    <w:p w14:paraId="2CDEB443" w14:textId="3006E5DF" w:rsidR="00B55BED" w:rsidRPr="00050F68" w:rsidRDefault="00050F68" w:rsidP="00D5731A">
      <w:pPr>
        <w:pStyle w:val="Heading2"/>
        <w:keepNext w:val="0"/>
      </w:pPr>
      <w:bookmarkStart w:id="8" w:name="_Toc75420870"/>
      <w:bookmarkStart w:id="9" w:name="_Toc426711260"/>
      <w:bookmarkStart w:id="10" w:name="_Toc429052823"/>
      <w:r>
        <w:t>CONSULTATION ON THE PROPOSED APPROACH</w:t>
      </w:r>
      <w:bookmarkEnd w:id="8"/>
    </w:p>
    <w:bookmarkEnd w:id="9"/>
    <w:bookmarkEnd w:id="10"/>
    <w:p w14:paraId="5E27AC6B" w14:textId="37CBC4BD" w:rsidR="00825FC8" w:rsidRDefault="00825FC8" w:rsidP="00D5731A">
      <w:pPr>
        <w:keepNext w:val="0"/>
      </w:pPr>
      <w:r w:rsidRPr="00445712">
        <w:t xml:space="preserve">The Crimes Legislation Amendment Bill 2021 </w:t>
      </w:r>
      <w:r>
        <w:t>amendments were</w:t>
      </w:r>
      <w:r w:rsidRPr="00445712">
        <w:t xml:space="preserve"> identified by</w:t>
      </w:r>
      <w:r w:rsidR="00530D3A">
        <w:t>,</w:t>
      </w:r>
      <w:r w:rsidRPr="00445712">
        <w:t xml:space="preserve"> and developed in consultation with</w:t>
      </w:r>
      <w:r w:rsidR="007D4E40">
        <w:t>,</w:t>
      </w:r>
      <w:r w:rsidRPr="00445712">
        <w:t xml:space="preserve"> justice stakeholders</w:t>
      </w:r>
      <w:r>
        <w:t>,</w:t>
      </w:r>
      <w:r w:rsidRPr="00445712">
        <w:t xml:space="preserve"> including the Director of Public Prosecutions (DPP), ACT Courts and Tribunal (ACTCT), ACT Policing, the ACT Human Rights Commission (ACT HRC) and the Inspector of Correction</w:t>
      </w:r>
      <w:r w:rsidR="0014193A">
        <w:t>al Services</w:t>
      </w:r>
      <w:r w:rsidRPr="00445712">
        <w:t>.</w:t>
      </w:r>
      <w:r>
        <w:t xml:space="preserve"> </w:t>
      </w:r>
    </w:p>
    <w:p w14:paraId="3DE38E27" w14:textId="399232FA" w:rsidR="00A45E85" w:rsidRDefault="00A45E85" w:rsidP="00AC6654">
      <w:pPr>
        <w:keepNext w:val="0"/>
      </w:pPr>
      <w:r>
        <w:t>All amendments were circulated to the following stakeholders:</w:t>
      </w:r>
    </w:p>
    <w:p w14:paraId="233A4CF2" w14:textId="77777777" w:rsidR="00A45E85" w:rsidRDefault="00A45E85" w:rsidP="00123BAA">
      <w:pPr>
        <w:pStyle w:val="ListParagraph"/>
        <w:keepNext w:val="0"/>
        <w:numPr>
          <w:ilvl w:val="0"/>
          <w:numId w:val="12"/>
        </w:numPr>
      </w:pPr>
      <w:r>
        <w:t>Aboriginal Torres Strait Islander Elected Body</w:t>
      </w:r>
    </w:p>
    <w:p w14:paraId="0EA69C62" w14:textId="77777777" w:rsidR="00A45E85" w:rsidRDefault="00A45E85" w:rsidP="00123BAA">
      <w:pPr>
        <w:pStyle w:val="ListParagraph"/>
        <w:keepNext w:val="0"/>
        <w:numPr>
          <w:ilvl w:val="0"/>
          <w:numId w:val="12"/>
        </w:numPr>
      </w:pPr>
      <w:r>
        <w:t>ACT Bar Association</w:t>
      </w:r>
    </w:p>
    <w:p w14:paraId="28CA257C" w14:textId="6E13E7C4" w:rsidR="00A45E85" w:rsidRDefault="00A45E85" w:rsidP="00123BAA">
      <w:pPr>
        <w:pStyle w:val="ListParagraph"/>
        <w:keepNext w:val="0"/>
        <w:numPr>
          <w:ilvl w:val="0"/>
          <w:numId w:val="12"/>
        </w:numPr>
      </w:pPr>
      <w:r>
        <w:lastRenderedPageBreak/>
        <w:t>ACT</w:t>
      </w:r>
      <w:r w:rsidR="002102F3">
        <w:t>CT</w:t>
      </w:r>
      <w:r>
        <w:t xml:space="preserve"> (including Magistrates Court and Supreme Court)</w:t>
      </w:r>
    </w:p>
    <w:p w14:paraId="6E0CBD44" w14:textId="0B795F84" w:rsidR="00A45E85" w:rsidRDefault="00A45E85" w:rsidP="00123BAA">
      <w:pPr>
        <w:pStyle w:val="ListParagraph"/>
        <w:keepNext w:val="0"/>
        <w:numPr>
          <w:ilvl w:val="0"/>
          <w:numId w:val="12"/>
        </w:numPr>
      </w:pPr>
      <w:r>
        <w:t xml:space="preserve">ACT </w:t>
      </w:r>
      <w:r w:rsidR="002102F3">
        <w:t>HRC</w:t>
      </w:r>
      <w:r>
        <w:t xml:space="preserve"> (including Victims of Crime Commissioner, Public Advocate and Children &amp; Young People Commissioner) </w:t>
      </w:r>
    </w:p>
    <w:p w14:paraId="79C5D4E2" w14:textId="77777777" w:rsidR="00A45E85" w:rsidRDefault="00A45E85" w:rsidP="00123BAA">
      <w:pPr>
        <w:pStyle w:val="ListParagraph"/>
        <w:keepNext w:val="0"/>
        <w:numPr>
          <w:ilvl w:val="0"/>
          <w:numId w:val="12"/>
        </w:numPr>
      </w:pPr>
      <w:r>
        <w:t>ACT Law Society</w:t>
      </w:r>
    </w:p>
    <w:p w14:paraId="3584D39E" w14:textId="77777777" w:rsidR="00A45E85" w:rsidRDefault="00A45E85" w:rsidP="00123BAA">
      <w:pPr>
        <w:pStyle w:val="ListParagraph"/>
        <w:keepNext w:val="0"/>
        <w:numPr>
          <w:ilvl w:val="0"/>
          <w:numId w:val="12"/>
        </w:numPr>
      </w:pPr>
      <w:r>
        <w:t>ACT Policing</w:t>
      </w:r>
    </w:p>
    <w:p w14:paraId="43B7356E" w14:textId="77777777" w:rsidR="00A45E85" w:rsidRDefault="00A45E85" w:rsidP="00123BAA">
      <w:pPr>
        <w:pStyle w:val="ListParagraph"/>
        <w:keepNext w:val="0"/>
        <w:numPr>
          <w:ilvl w:val="0"/>
          <w:numId w:val="12"/>
        </w:numPr>
      </w:pPr>
      <w:r>
        <w:t>Coordinator-General for Family Safety</w:t>
      </w:r>
    </w:p>
    <w:p w14:paraId="66899F6A" w14:textId="18977E27" w:rsidR="00A45E85" w:rsidRDefault="002102F3" w:rsidP="00123BAA">
      <w:pPr>
        <w:pStyle w:val="ListParagraph"/>
        <w:keepNext w:val="0"/>
        <w:numPr>
          <w:ilvl w:val="0"/>
          <w:numId w:val="12"/>
        </w:numPr>
      </w:pPr>
      <w:r>
        <w:t>DPP</w:t>
      </w:r>
    </w:p>
    <w:p w14:paraId="48B59946" w14:textId="77777777" w:rsidR="00A45E85" w:rsidRDefault="00A45E85" w:rsidP="00123BAA">
      <w:pPr>
        <w:pStyle w:val="ListParagraph"/>
        <w:keepNext w:val="0"/>
        <w:numPr>
          <w:ilvl w:val="0"/>
          <w:numId w:val="12"/>
        </w:numPr>
      </w:pPr>
      <w:r>
        <w:t>Domestic Violence Crisis Service</w:t>
      </w:r>
    </w:p>
    <w:p w14:paraId="79C5DE41" w14:textId="77777777" w:rsidR="00A45E85" w:rsidRDefault="00A45E85" w:rsidP="00123BAA">
      <w:pPr>
        <w:pStyle w:val="ListParagraph"/>
        <w:keepNext w:val="0"/>
        <w:numPr>
          <w:ilvl w:val="0"/>
          <w:numId w:val="12"/>
        </w:numPr>
      </w:pPr>
      <w:r>
        <w:t>Legal Aid ACT</w:t>
      </w:r>
    </w:p>
    <w:p w14:paraId="36EC5CEC" w14:textId="77777777" w:rsidR="00A45E85" w:rsidRDefault="00A45E85" w:rsidP="00123BAA">
      <w:pPr>
        <w:pStyle w:val="ListParagraph"/>
        <w:keepNext w:val="0"/>
        <w:numPr>
          <w:ilvl w:val="0"/>
          <w:numId w:val="12"/>
        </w:numPr>
      </w:pPr>
      <w:r>
        <w:t>Office of Aboriginal &amp; Torres Strait Islander Affairs</w:t>
      </w:r>
    </w:p>
    <w:p w14:paraId="75AED2F7" w14:textId="24B5A693" w:rsidR="00A45E85" w:rsidRDefault="00A45E85" w:rsidP="00123BAA">
      <w:pPr>
        <w:pStyle w:val="ListParagraph"/>
        <w:keepNext w:val="0"/>
        <w:numPr>
          <w:ilvl w:val="0"/>
          <w:numId w:val="12"/>
        </w:numPr>
      </w:pPr>
      <w:r>
        <w:t>Women’s Legal Centre</w:t>
      </w:r>
    </w:p>
    <w:p w14:paraId="5E95B65A" w14:textId="79CA97E6" w:rsidR="00A45E85" w:rsidRDefault="00A45E85" w:rsidP="00D5731A">
      <w:pPr>
        <w:keepNext w:val="0"/>
      </w:pPr>
      <w:r>
        <w:t>Other proposals were also circulated, where relevant to additional stakeholders including:</w:t>
      </w:r>
    </w:p>
    <w:p w14:paraId="30818E29" w14:textId="77777777" w:rsidR="00A45E85" w:rsidRDefault="00A45E85" w:rsidP="00123BAA">
      <w:pPr>
        <w:pStyle w:val="ListParagraph"/>
        <w:keepNext w:val="0"/>
        <w:numPr>
          <w:ilvl w:val="0"/>
          <w:numId w:val="13"/>
        </w:numPr>
      </w:pPr>
      <w:r>
        <w:t>ACT Corrective Services</w:t>
      </w:r>
    </w:p>
    <w:p w14:paraId="75379136" w14:textId="77777777" w:rsidR="00A45E85" w:rsidRDefault="00A45E85" w:rsidP="00123BAA">
      <w:pPr>
        <w:pStyle w:val="ListParagraph"/>
        <w:keepNext w:val="0"/>
        <w:numPr>
          <w:ilvl w:val="0"/>
          <w:numId w:val="13"/>
        </w:numPr>
      </w:pPr>
      <w:r>
        <w:t>ACT Ombudsman</w:t>
      </w:r>
    </w:p>
    <w:p w14:paraId="6FCAA80B" w14:textId="77777777" w:rsidR="00A45E85" w:rsidRDefault="00A45E85" w:rsidP="00123BAA">
      <w:pPr>
        <w:pStyle w:val="ListParagraph"/>
        <w:keepNext w:val="0"/>
        <w:numPr>
          <w:ilvl w:val="0"/>
          <w:numId w:val="13"/>
        </w:numPr>
      </w:pPr>
      <w:r>
        <w:t>Canberra Health Services (Justice Health Services)</w:t>
      </w:r>
    </w:p>
    <w:p w14:paraId="4C9DAFB2" w14:textId="77777777" w:rsidR="00A45E85" w:rsidRDefault="00A45E85" w:rsidP="00123BAA">
      <w:pPr>
        <w:pStyle w:val="ListParagraph"/>
        <w:keepNext w:val="0"/>
        <w:numPr>
          <w:ilvl w:val="0"/>
          <w:numId w:val="13"/>
        </w:numPr>
      </w:pPr>
      <w:r>
        <w:t xml:space="preserve">Civil Liberties Australia </w:t>
      </w:r>
    </w:p>
    <w:p w14:paraId="586A29B0" w14:textId="77777777" w:rsidR="00A45E85" w:rsidRDefault="00A45E85" w:rsidP="00123BAA">
      <w:pPr>
        <w:pStyle w:val="ListParagraph"/>
        <w:keepNext w:val="0"/>
        <w:numPr>
          <w:ilvl w:val="0"/>
          <w:numId w:val="13"/>
        </w:numPr>
      </w:pPr>
      <w:r>
        <w:t>Community Services Directorate</w:t>
      </w:r>
    </w:p>
    <w:p w14:paraId="7BCE1F99" w14:textId="77777777" w:rsidR="00A45E85" w:rsidRDefault="00A45E85" w:rsidP="00123BAA">
      <w:pPr>
        <w:pStyle w:val="ListParagraph"/>
        <w:keepNext w:val="0"/>
        <w:numPr>
          <w:ilvl w:val="0"/>
          <w:numId w:val="13"/>
        </w:numPr>
      </w:pPr>
      <w:r>
        <w:t>Sentence Administration Board</w:t>
      </w:r>
    </w:p>
    <w:p w14:paraId="5B7E361D" w14:textId="6678AF7B" w:rsidR="00050F68" w:rsidRDefault="00825FC8" w:rsidP="00AC6654">
      <w:pPr>
        <w:keepNext w:val="0"/>
      </w:pPr>
      <w:r w:rsidRPr="00445712">
        <w:t xml:space="preserve">The proposal relating to </w:t>
      </w:r>
      <w:r>
        <w:t>BWCs</w:t>
      </w:r>
      <w:r w:rsidRPr="00445712">
        <w:t xml:space="preserve"> has been the subject of community consultation through </w:t>
      </w:r>
      <w:r>
        <w:t>a</w:t>
      </w:r>
      <w:r w:rsidRPr="00445712">
        <w:t xml:space="preserve"> YourSay Community Panel survey process</w:t>
      </w:r>
      <w:r>
        <w:t>.</w:t>
      </w:r>
      <w:r w:rsidRPr="00445712">
        <w:t xml:space="preserve"> </w:t>
      </w:r>
      <w:bookmarkStart w:id="11" w:name="_Hlk72512388"/>
      <w:r w:rsidRPr="00445712">
        <w:t xml:space="preserve">In consultation with ACT Policing, </w:t>
      </w:r>
      <w:r>
        <w:t xml:space="preserve">the Justice and Community Safety Directorate (JACS) </w:t>
      </w:r>
      <w:r w:rsidRPr="00445712">
        <w:t>also prepared an information paper to seek broader community views</w:t>
      </w:r>
      <w:r>
        <w:t>. This paper was published on the JACS</w:t>
      </w:r>
      <w:r w:rsidRPr="00445712">
        <w:t xml:space="preserve"> website</w:t>
      </w:r>
      <w:r>
        <w:t xml:space="preserve"> and was the su</w:t>
      </w:r>
      <w:r w:rsidRPr="00445712">
        <w:t xml:space="preserve">bject of a media release inviting views on the </w:t>
      </w:r>
      <w:r>
        <w:t xml:space="preserve">BWC </w:t>
      </w:r>
      <w:r w:rsidRPr="00445712">
        <w:t>reforms.</w:t>
      </w:r>
      <w:bookmarkEnd w:id="11"/>
    </w:p>
    <w:p w14:paraId="0F6AAC2E" w14:textId="5F6A67CF" w:rsidR="00702566" w:rsidRPr="00050F68" w:rsidRDefault="00050F68" w:rsidP="00AC6654">
      <w:pPr>
        <w:pStyle w:val="Heading2"/>
      </w:pPr>
      <w:bookmarkStart w:id="12" w:name="_Toc75420871"/>
      <w:r>
        <w:t>CONSISTENCY WITH HUMAN RIGHTS</w:t>
      </w:r>
      <w:bookmarkEnd w:id="12"/>
    </w:p>
    <w:p w14:paraId="49ADEF49" w14:textId="4AB60FB4" w:rsidR="001E4E37" w:rsidRPr="00050F68" w:rsidRDefault="001E4E37" w:rsidP="00825FC8">
      <w:pPr>
        <w:keepNext w:val="0"/>
      </w:pPr>
      <w:r w:rsidRPr="00050F68">
        <w:t xml:space="preserve">International human rights law places obligations on governments to “respect, protect and fulfil” rights. The obligation to respect means governments must ensure </w:t>
      </w:r>
      <w:r w:rsidRPr="00050F68">
        <w:lastRenderedPageBreak/>
        <w:t xml:space="preserve">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111A48F0" w14:textId="2B50A3DC" w:rsidR="001E4E37" w:rsidRPr="00050F68" w:rsidRDefault="001E4E37" w:rsidP="00825FC8">
      <w:pPr>
        <w:keepNext w:val="0"/>
      </w:pPr>
      <w:r w:rsidRPr="00050F68">
        <w:t>The European Court of Human Rights has considered the positive obligation of governments to uphold rights in depth, noting government must put in place legislative and administrative frameworks to deter conduct that infringes rights, and to undertake operational measures to protect an individual who is at risk of rights infringement.</w:t>
      </w:r>
      <w:r w:rsidRPr="00050F68">
        <w:rPr>
          <w:rStyle w:val="FootnoteReference"/>
          <w:rFonts w:cs="Arial"/>
          <w:bCs/>
        </w:rPr>
        <w:footnoteReference w:id="1"/>
      </w:r>
    </w:p>
    <w:p w14:paraId="07DCB479" w14:textId="32646B34" w:rsidR="001E4E37" w:rsidRPr="001C3424" w:rsidRDefault="001E4E37" w:rsidP="007315B0">
      <w:pPr>
        <w:pStyle w:val="Heading4"/>
      </w:pPr>
      <w:r w:rsidRPr="001C3424">
        <w:t>Rights Promoted</w:t>
      </w:r>
      <w:r w:rsidRPr="001C3424">
        <w:tab/>
      </w:r>
    </w:p>
    <w:p w14:paraId="07E3715A" w14:textId="77777777" w:rsidR="003E590A" w:rsidRDefault="001E4E37" w:rsidP="00825FC8">
      <w:pPr>
        <w:keepNext w:val="0"/>
      </w:pPr>
      <w:r w:rsidRPr="003E590A">
        <w:rPr>
          <w:lang w:eastAsia="en-AU"/>
        </w:rPr>
        <w:t xml:space="preserve">The Bill engages and supports </w:t>
      </w:r>
      <w:r w:rsidR="003E590A" w:rsidRPr="003E590A">
        <w:t>the following rights:</w:t>
      </w:r>
    </w:p>
    <w:p w14:paraId="701EC13E" w14:textId="77777777" w:rsidR="003E590A" w:rsidRPr="00050F68" w:rsidRDefault="003E590A" w:rsidP="00123BAA">
      <w:pPr>
        <w:pStyle w:val="ListParagraph"/>
        <w:keepNext w:val="0"/>
        <w:numPr>
          <w:ilvl w:val="0"/>
          <w:numId w:val="9"/>
        </w:numPr>
      </w:pPr>
      <w:bookmarkStart w:id="13" w:name="_Hlk74252395"/>
      <w:r w:rsidRPr="00050F68">
        <w:t>Section 10 – Protection from torture and cruel, inhuman or degrading treatment</w:t>
      </w:r>
    </w:p>
    <w:p w14:paraId="66E85A76" w14:textId="77777777" w:rsidR="003E590A" w:rsidRPr="00050F68" w:rsidRDefault="003E590A" w:rsidP="00123BAA">
      <w:pPr>
        <w:pStyle w:val="ListParagraph"/>
        <w:keepNext w:val="0"/>
        <w:numPr>
          <w:ilvl w:val="0"/>
          <w:numId w:val="9"/>
        </w:numPr>
      </w:pPr>
      <w:r w:rsidRPr="00050F68">
        <w:t>Section 11 – Protection of family and children</w:t>
      </w:r>
    </w:p>
    <w:p w14:paraId="7FF27515" w14:textId="77777777" w:rsidR="003E590A" w:rsidRPr="00050F68" w:rsidRDefault="003E590A" w:rsidP="00123BAA">
      <w:pPr>
        <w:pStyle w:val="ListParagraph"/>
        <w:keepNext w:val="0"/>
        <w:numPr>
          <w:ilvl w:val="0"/>
          <w:numId w:val="9"/>
        </w:numPr>
      </w:pPr>
      <w:r w:rsidRPr="00050F68">
        <w:t xml:space="preserve">Section 12 </w:t>
      </w:r>
      <w:r>
        <w:t xml:space="preserve">(a) </w:t>
      </w:r>
      <w:r w:rsidRPr="00050F68">
        <w:t xml:space="preserve">– Right to privacy </w:t>
      </w:r>
    </w:p>
    <w:p w14:paraId="13829D65" w14:textId="15F141D8" w:rsidR="003E590A" w:rsidRDefault="003E590A" w:rsidP="00123BAA">
      <w:pPr>
        <w:pStyle w:val="ListParagraph"/>
        <w:keepNext w:val="0"/>
        <w:numPr>
          <w:ilvl w:val="0"/>
          <w:numId w:val="9"/>
        </w:numPr>
      </w:pPr>
      <w:r w:rsidRPr="00050F68">
        <w:t>Section 18 – Right to liberty and security of person</w:t>
      </w:r>
    </w:p>
    <w:p w14:paraId="26A35C09" w14:textId="003845CA" w:rsidR="003E590A" w:rsidRDefault="003E590A" w:rsidP="00123BAA">
      <w:pPr>
        <w:pStyle w:val="ListParagraph"/>
        <w:keepNext w:val="0"/>
        <w:numPr>
          <w:ilvl w:val="0"/>
          <w:numId w:val="9"/>
        </w:numPr>
      </w:pPr>
      <w:r w:rsidRPr="00050F68">
        <w:t>Section 22</w:t>
      </w:r>
      <w:r>
        <w:t xml:space="preserve"> </w:t>
      </w:r>
      <w:r w:rsidRPr="00050F68">
        <w:t>– Rights in criminal proceedings</w:t>
      </w:r>
    </w:p>
    <w:bookmarkEnd w:id="13"/>
    <w:p w14:paraId="38BE942F" w14:textId="39E8DF3D" w:rsidR="001E4E37" w:rsidRPr="00050F68" w:rsidRDefault="001E4E37" w:rsidP="00825FC8">
      <w:pPr>
        <w:keepNext w:val="0"/>
      </w:pPr>
      <w:r w:rsidRPr="00050F68">
        <w:t xml:space="preserve">These are supported by </w:t>
      </w:r>
      <w:r w:rsidR="00D82DF2">
        <w:t>the</w:t>
      </w:r>
      <w:r w:rsidRPr="00050F68">
        <w:t xml:space="preserve"> proposed amendments discussed below.</w:t>
      </w:r>
    </w:p>
    <w:p w14:paraId="3A64669A" w14:textId="7DC427FE" w:rsidR="00EA206E" w:rsidRPr="00EA206E" w:rsidRDefault="00EA206E" w:rsidP="00EA206E">
      <w:pPr>
        <w:pStyle w:val="Heading6"/>
      </w:pPr>
      <w:r w:rsidRPr="00EA206E">
        <w:t>Crimes (Child Sex Offenders) Act 2005</w:t>
      </w:r>
      <w:r w:rsidR="003C50AF">
        <w:t xml:space="preserve"> – child</w:t>
      </w:r>
      <w:r w:rsidR="00904BA0">
        <w:t>-</w:t>
      </w:r>
      <w:r w:rsidR="003C50AF">
        <w:t>like sex doll amendments</w:t>
      </w:r>
    </w:p>
    <w:p w14:paraId="16E374B7" w14:textId="500519C0" w:rsidR="00C8480D" w:rsidRDefault="00EA206E" w:rsidP="004721B3">
      <w:pPr>
        <w:keepNext w:val="0"/>
        <w:rPr>
          <w:lang w:eastAsia="en-AU"/>
        </w:rPr>
      </w:pPr>
      <w:r w:rsidRPr="00EA206E">
        <w:rPr>
          <w:lang w:eastAsia="en-AU"/>
        </w:rPr>
        <w:t xml:space="preserve">These amendments will ensure that unless </w:t>
      </w:r>
      <w:r w:rsidR="00C8480D">
        <w:rPr>
          <w:lang w:eastAsia="en-AU"/>
        </w:rPr>
        <w:t>an exception</w:t>
      </w:r>
      <w:r w:rsidRPr="00EA206E">
        <w:rPr>
          <w:lang w:eastAsia="en-AU"/>
        </w:rPr>
        <w:t xml:space="preserve"> applies, a person convicted of the Commonwealth offence of possession of a child-like sex doll or other</w:t>
      </w:r>
      <w:r w:rsidR="00B52428">
        <w:rPr>
          <w:lang w:eastAsia="en-AU"/>
        </w:rPr>
        <w:t xml:space="preserve"> similar</w:t>
      </w:r>
      <w:r w:rsidRPr="00EA206E">
        <w:rPr>
          <w:lang w:eastAsia="en-AU"/>
        </w:rPr>
        <w:t xml:space="preserve"> object, will be </w:t>
      </w:r>
      <w:r w:rsidR="00904BA0">
        <w:rPr>
          <w:lang w:eastAsia="en-AU"/>
        </w:rPr>
        <w:t xml:space="preserve">a ‘registrable offender’ and subject to the reporting requirements under the </w:t>
      </w:r>
      <w:r w:rsidR="00904BA0">
        <w:rPr>
          <w:i/>
          <w:iCs/>
          <w:lang w:eastAsia="en-AU"/>
        </w:rPr>
        <w:t>Crimes (Child Sex Offenders) Act 2005</w:t>
      </w:r>
      <w:r w:rsidR="00904BA0">
        <w:rPr>
          <w:lang w:eastAsia="en-AU"/>
        </w:rPr>
        <w:t xml:space="preserve"> which results in registration </w:t>
      </w:r>
      <w:r w:rsidR="00FB421A">
        <w:rPr>
          <w:lang w:eastAsia="en-AU"/>
        </w:rPr>
        <w:t>o</w:t>
      </w:r>
      <w:r w:rsidR="00904BA0">
        <w:rPr>
          <w:lang w:eastAsia="en-AU"/>
        </w:rPr>
        <w:t>n the child sex offender register.</w:t>
      </w:r>
    </w:p>
    <w:p w14:paraId="38C1017B" w14:textId="46D6CEF6" w:rsidR="00EA206E" w:rsidRPr="00EA206E" w:rsidRDefault="00EA7E8D" w:rsidP="004721B3">
      <w:pPr>
        <w:keepNext w:val="0"/>
        <w:rPr>
          <w:lang w:eastAsia="en-AU"/>
        </w:rPr>
      </w:pPr>
      <w:r>
        <w:t xml:space="preserve">The registration scheme is intended to protect children and reduce the likelihood that registrable offenders will re-offend by targeting those offenders who engage in concerning conduct and prohibiting them from engaging in that conduct. Registration as a child sex offender means that offenders have less opportunities to be in situations that facilitate reoffending which </w:t>
      </w:r>
      <w:r w:rsidRPr="00B52428">
        <w:t xml:space="preserve">can </w:t>
      </w:r>
      <w:r w:rsidR="00EA206E" w:rsidRPr="00B52428">
        <w:rPr>
          <w:lang w:eastAsia="en-AU"/>
        </w:rPr>
        <w:t xml:space="preserve">reduce the likelihood that a person will </w:t>
      </w:r>
      <w:r w:rsidR="00EA206E" w:rsidRPr="00B52428">
        <w:rPr>
          <w:lang w:eastAsia="en-AU"/>
        </w:rPr>
        <w:lastRenderedPageBreak/>
        <w:t>reoffend</w:t>
      </w:r>
      <w:r w:rsidR="00B52428">
        <w:rPr>
          <w:lang w:eastAsia="en-AU"/>
        </w:rPr>
        <w:t xml:space="preserve">. Registration and associated reporting requirements </w:t>
      </w:r>
      <w:r w:rsidR="00EA206E" w:rsidRPr="00B52428">
        <w:rPr>
          <w:lang w:eastAsia="en-AU"/>
        </w:rPr>
        <w:t>can facilitate the investigation and prosecution of child sex offences and</w:t>
      </w:r>
      <w:r w:rsidR="00EA206E" w:rsidRPr="00EA206E">
        <w:rPr>
          <w:lang w:eastAsia="en-AU"/>
        </w:rPr>
        <w:t xml:space="preserve"> mitigate the risk of an offender to the </w:t>
      </w:r>
      <w:r w:rsidR="002102F3">
        <w:rPr>
          <w:lang w:eastAsia="en-AU"/>
        </w:rPr>
        <w:t>‘</w:t>
      </w:r>
      <w:r w:rsidR="00EA206E" w:rsidRPr="00EA206E">
        <w:rPr>
          <w:lang w:eastAsia="en-AU"/>
        </w:rPr>
        <w:t>lives or sexual safety of children</w:t>
      </w:r>
      <w:r w:rsidR="002102F3">
        <w:rPr>
          <w:lang w:eastAsia="en-AU"/>
        </w:rPr>
        <w:t>’</w:t>
      </w:r>
      <w:r w:rsidR="00EA206E" w:rsidRPr="00EA206E">
        <w:rPr>
          <w:lang w:eastAsia="en-AU"/>
        </w:rPr>
        <w:t xml:space="preserve">. </w:t>
      </w:r>
      <w:bookmarkStart w:id="14" w:name="_Hlk72916715"/>
      <w:r w:rsidR="00EA206E" w:rsidRPr="00EA206E">
        <w:rPr>
          <w:lang w:eastAsia="en-AU"/>
        </w:rPr>
        <w:t>In th</w:t>
      </w:r>
      <w:r w:rsidR="00D413C7">
        <w:rPr>
          <w:lang w:eastAsia="en-AU"/>
        </w:rPr>
        <w:t>is</w:t>
      </w:r>
      <w:r w:rsidR="00EA206E" w:rsidRPr="00EA206E">
        <w:rPr>
          <w:lang w:eastAsia="en-AU"/>
        </w:rPr>
        <w:t xml:space="preserve"> context, the </w:t>
      </w:r>
      <w:r w:rsidR="00EA206E" w:rsidRPr="00EA206E">
        <w:rPr>
          <w:bCs/>
        </w:rPr>
        <w:t>amendments</w:t>
      </w:r>
      <w:r w:rsidR="00EA206E" w:rsidRPr="00EA206E">
        <w:rPr>
          <w:lang w:eastAsia="en-AU"/>
        </w:rPr>
        <w:t xml:space="preserve"> engage and promote the right of protection of children due to their </w:t>
      </w:r>
      <w:r w:rsidR="009248F6">
        <w:rPr>
          <w:lang w:eastAsia="en-AU"/>
        </w:rPr>
        <w:t xml:space="preserve">particular </w:t>
      </w:r>
      <w:r w:rsidR="009248F6" w:rsidRPr="00EA206E">
        <w:rPr>
          <w:lang w:eastAsia="en-AU"/>
        </w:rPr>
        <w:t>vulnerability</w:t>
      </w:r>
      <w:r w:rsidR="00EA206E" w:rsidRPr="00EA206E">
        <w:rPr>
          <w:lang w:eastAsia="en-AU"/>
        </w:rPr>
        <w:t xml:space="preserve">, as well as their right to protection from torture and cruel, inhuman or degrading treatment (sections </w:t>
      </w:r>
      <w:r w:rsidR="008077DA" w:rsidRPr="00EA206E">
        <w:rPr>
          <w:lang w:eastAsia="en-AU"/>
        </w:rPr>
        <w:t>11</w:t>
      </w:r>
      <w:r w:rsidR="004721B3">
        <w:rPr>
          <w:lang w:eastAsia="en-AU"/>
        </w:rPr>
        <w:t xml:space="preserve"> </w:t>
      </w:r>
      <w:r w:rsidR="008077DA" w:rsidRPr="00EA206E">
        <w:rPr>
          <w:lang w:eastAsia="en-AU"/>
        </w:rPr>
        <w:t xml:space="preserve">(2) </w:t>
      </w:r>
      <w:r w:rsidR="00EA206E" w:rsidRPr="00EA206E">
        <w:rPr>
          <w:lang w:eastAsia="en-AU"/>
        </w:rPr>
        <w:t xml:space="preserve">and </w:t>
      </w:r>
      <w:r w:rsidR="008077DA" w:rsidRPr="00EA206E">
        <w:rPr>
          <w:lang w:eastAsia="en-AU"/>
        </w:rPr>
        <w:t xml:space="preserve">10 </w:t>
      </w:r>
      <w:r w:rsidR="00EA206E" w:rsidRPr="00EA206E">
        <w:rPr>
          <w:lang w:eastAsia="en-AU"/>
        </w:rPr>
        <w:t xml:space="preserve">of the HR </w:t>
      </w:r>
      <w:r w:rsidR="008077DA" w:rsidRPr="00EA206E">
        <w:rPr>
          <w:lang w:eastAsia="en-AU"/>
        </w:rPr>
        <w:t>A</w:t>
      </w:r>
      <w:r w:rsidR="008077DA">
        <w:rPr>
          <w:lang w:eastAsia="en-AU"/>
        </w:rPr>
        <w:t>ct</w:t>
      </w:r>
      <w:r w:rsidR="00EA206E" w:rsidRPr="00EA206E">
        <w:rPr>
          <w:lang w:eastAsia="en-AU"/>
        </w:rPr>
        <w:t>).</w:t>
      </w:r>
      <w:r w:rsidR="00EA206E" w:rsidRPr="00EA206E">
        <w:rPr>
          <w:bCs/>
        </w:rPr>
        <w:t xml:space="preserve"> </w:t>
      </w:r>
    </w:p>
    <w:bookmarkEnd w:id="14"/>
    <w:p w14:paraId="6C970628" w14:textId="6A46DFD3" w:rsidR="007315B0" w:rsidRPr="00EA206E" w:rsidRDefault="007315B0" w:rsidP="007315B0">
      <w:pPr>
        <w:pStyle w:val="Heading6"/>
      </w:pPr>
      <w:r>
        <w:t>Crimes (Sentencing) Act 2005 – family violence amendments</w:t>
      </w:r>
    </w:p>
    <w:p w14:paraId="2B216464" w14:textId="14DF88FA" w:rsidR="007315B0" w:rsidRDefault="007315B0" w:rsidP="007315B0">
      <w:r>
        <w:t>A</w:t>
      </w:r>
      <w:r w:rsidRPr="00543918">
        <w:t xml:space="preserve">ppropriate sentencing for family violence offending </w:t>
      </w:r>
      <w:r w:rsidRPr="00B529E7">
        <w:t>engages and supports the right to protection from torture and cruel, inhuman or degrading treatment (s</w:t>
      </w:r>
      <w:r>
        <w:t>ection</w:t>
      </w:r>
      <w:r w:rsidRPr="00B529E7">
        <w:t xml:space="preserve"> 10 HR Act), protection of family and children (s</w:t>
      </w:r>
      <w:r>
        <w:t>ection</w:t>
      </w:r>
      <w:r w:rsidRPr="00B529E7">
        <w:t xml:space="preserve"> 11 HR Act), right to privacy (s</w:t>
      </w:r>
      <w:r>
        <w:t>ection</w:t>
      </w:r>
      <w:r w:rsidRPr="00B529E7">
        <w:t xml:space="preserve"> 12 HR Act) and the right to liberty and security of person (s</w:t>
      </w:r>
      <w:r>
        <w:t>ection</w:t>
      </w:r>
      <w:r w:rsidRPr="00B529E7">
        <w:t xml:space="preserve"> 18 HR Act). </w:t>
      </w:r>
      <w:r w:rsidR="001B583D">
        <w:t xml:space="preserve"> </w:t>
      </w:r>
    </w:p>
    <w:p w14:paraId="3B150A8C" w14:textId="7EA766F8" w:rsidR="007315B0" w:rsidRPr="00536D00" w:rsidRDefault="007315B0" w:rsidP="009E2FEC">
      <w:pPr>
        <w:keepNext w:val="0"/>
      </w:pPr>
      <w:r w:rsidRPr="00536D00">
        <w:t xml:space="preserve">In 2012 the ECHR affirmed the need for governments to protect the physical and moral integrity of victims of domestic violence. In particular, when discussing the positive obligations on </w:t>
      </w:r>
      <w:r w:rsidR="008077DA">
        <w:t>S</w:t>
      </w:r>
      <w:r w:rsidRPr="00536D00">
        <w:t>tates to protect individuals, the court noted that private individuals may engage in domestic violence, and stated</w:t>
      </w:r>
      <w:r>
        <w:rPr>
          <w:rStyle w:val="FootnoteReference"/>
          <w:bCs/>
        </w:rPr>
        <w:footnoteReference w:id="2"/>
      </w:r>
      <w:r w:rsidRPr="00536D00">
        <w:t>:</w:t>
      </w:r>
    </w:p>
    <w:p w14:paraId="31427BDF" w14:textId="77777777" w:rsidR="007315B0" w:rsidRPr="007315B0" w:rsidRDefault="007315B0" w:rsidP="009E2FEC">
      <w:pPr>
        <w:keepNext w:val="0"/>
        <w:ind w:left="720"/>
        <w:rPr>
          <w:i/>
          <w:iCs/>
        </w:rPr>
      </w:pPr>
      <w:r w:rsidRPr="007315B0">
        <w:rPr>
          <w:i/>
          <w:iCs/>
        </w:rPr>
        <w:t>[t]he concept of private life includes a person’s physical and psychological integrity. Under Article 8 States have a duty to protect the physical and moral integrity of an individual from other persons. To that end they are to maintain and apply in practice an adequate legal framework affording protection against acts of violence by private individuals.</w:t>
      </w:r>
    </w:p>
    <w:p w14:paraId="5E96D9C6" w14:textId="77777777" w:rsidR="007315B0" w:rsidRPr="007315B0" w:rsidRDefault="007315B0" w:rsidP="009E2FEC">
      <w:pPr>
        <w:keepNext w:val="0"/>
        <w:ind w:left="720"/>
        <w:rPr>
          <w:i/>
          <w:iCs/>
        </w:rPr>
      </w:pPr>
      <w:r w:rsidRPr="007315B0">
        <w:rPr>
          <w:i/>
          <w:iCs/>
        </w:rPr>
        <w:t>Victims of domestic violence are of a particular vulnerability and the need for active State involvement in their protection has been emphasised in a number of international instruments.</w:t>
      </w:r>
    </w:p>
    <w:p w14:paraId="6B495543" w14:textId="1ABD838E" w:rsidR="007315B0" w:rsidRDefault="001B583D" w:rsidP="009E2FEC">
      <w:pPr>
        <w:keepNext w:val="0"/>
      </w:pPr>
      <w:r>
        <w:t>D</w:t>
      </w:r>
      <w:r w:rsidR="007315B0">
        <w:t>omestic and family violence</w:t>
      </w:r>
      <w:r>
        <w:t xml:space="preserve"> provisions necessarily engage</w:t>
      </w:r>
      <w:r w:rsidR="007315B0">
        <w:t xml:space="preserve"> t</w:t>
      </w:r>
      <w:r w:rsidR="007315B0" w:rsidRPr="00B529E7">
        <w:t xml:space="preserve">he right to privacy </w:t>
      </w:r>
      <w:r>
        <w:t>and</w:t>
      </w:r>
      <w:r w:rsidR="007315B0" w:rsidRPr="00B529E7">
        <w:t xml:space="preserve"> the right to family. Domestic, family and sexual violence is inherently personal and relationship-based and largely occurs in the private sphere. The </w:t>
      </w:r>
      <w:r w:rsidR="007315B0">
        <w:t>amendments</w:t>
      </w:r>
      <w:r w:rsidR="007315B0" w:rsidRPr="00B529E7">
        <w:t xml:space="preserve"> seek to support existing criminal and civil law</w:t>
      </w:r>
      <w:r w:rsidR="007315B0">
        <w:t>s</w:t>
      </w:r>
      <w:r w:rsidR="007315B0" w:rsidRPr="00B529E7">
        <w:t xml:space="preserve"> intended to promote lawful conduct within family relationships, which </w:t>
      </w:r>
      <w:r w:rsidR="008077DA">
        <w:t>needs</w:t>
      </w:r>
      <w:r w:rsidR="007315B0" w:rsidRPr="00B529E7">
        <w:t xml:space="preserve"> careful balancing of human rights considerations.</w:t>
      </w:r>
    </w:p>
    <w:p w14:paraId="78D424B7" w14:textId="31C31440" w:rsidR="007315B0" w:rsidRPr="00050F68" w:rsidRDefault="007315B0" w:rsidP="009E2FEC">
      <w:pPr>
        <w:keepNext w:val="0"/>
        <w:rPr>
          <w:lang w:eastAsia="en-AU"/>
        </w:rPr>
      </w:pPr>
      <w:r w:rsidRPr="00B529E7">
        <w:t xml:space="preserve">The primary purpose of the </w:t>
      </w:r>
      <w:r>
        <w:t>amendments</w:t>
      </w:r>
      <w:r w:rsidRPr="00B529E7">
        <w:t xml:space="preserve"> is </w:t>
      </w:r>
      <w:r>
        <w:t xml:space="preserve">to recognise </w:t>
      </w:r>
      <w:r w:rsidR="001B583D">
        <w:t xml:space="preserve">the particular </w:t>
      </w:r>
      <w:r w:rsidR="00C93174">
        <w:t>character</w:t>
      </w:r>
      <w:r w:rsidR="002102F3">
        <w:t>istics</w:t>
      </w:r>
      <w:r w:rsidR="00C93174">
        <w:t xml:space="preserve"> of family violence offending</w:t>
      </w:r>
      <w:r>
        <w:t xml:space="preserve"> when sentencing perpetrators</w:t>
      </w:r>
      <w:r w:rsidRPr="00B529E7">
        <w:t>. This purpose supports the right to protection from torture and cruel, inhuman or degrading treatment, protection of family and children, and the right to liberty and security of person (</w:t>
      </w:r>
      <w:r>
        <w:t>sections</w:t>
      </w:r>
      <w:r w:rsidRPr="00B529E7">
        <w:t xml:space="preserve"> 10, 11 and 18 of the HR Act) by putting in place measures to </w:t>
      </w:r>
      <w:r>
        <w:t xml:space="preserve">adequately </w:t>
      </w:r>
      <w:r>
        <w:lastRenderedPageBreak/>
        <w:t xml:space="preserve">address perpetrator behaviour on sentence and </w:t>
      </w:r>
      <w:r w:rsidRPr="00B529E7">
        <w:t xml:space="preserve">minimise the risk of </w:t>
      </w:r>
      <w:r>
        <w:t xml:space="preserve">further </w:t>
      </w:r>
      <w:r w:rsidRPr="00B529E7">
        <w:t>physical and psychological harm to victims of abuse.</w:t>
      </w:r>
    </w:p>
    <w:p w14:paraId="7D9167CE" w14:textId="0D86939D" w:rsidR="007315B0" w:rsidRPr="00EA206E" w:rsidRDefault="007315B0" w:rsidP="007315B0">
      <w:pPr>
        <w:pStyle w:val="Heading6"/>
      </w:pPr>
      <w:r w:rsidRPr="00EA206E">
        <w:t>Crimes (Sentencing) Act 2005</w:t>
      </w:r>
      <w:r>
        <w:t xml:space="preserve"> </w:t>
      </w:r>
      <w:r w:rsidR="003C50AF">
        <w:t>– non</w:t>
      </w:r>
      <w:r w:rsidRPr="00EA206E">
        <w:t>parole period amendments</w:t>
      </w:r>
    </w:p>
    <w:p w14:paraId="4E483642" w14:textId="58F7E521" w:rsidR="007315B0" w:rsidRDefault="007315B0" w:rsidP="007315B0">
      <w:pPr>
        <w:keepNext w:val="0"/>
        <w:rPr>
          <w:bCs/>
        </w:rPr>
      </w:pPr>
      <w:r w:rsidRPr="00EA206E">
        <w:rPr>
          <w:bCs/>
        </w:rPr>
        <w:t>This amendment will enable an appeal court to modify or set a nonparole period where a sentence of imprisonment is set aside or amended as a result of an appeal. The amendment engages and promote</w:t>
      </w:r>
      <w:r w:rsidRPr="00EA206E">
        <w:rPr>
          <w:bCs/>
          <w:i/>
          <w:iCs/>
        </w:rPr>
        <w:t>s</w:t>
      </w:r>
      <w:r w:rsidRPr="00EA206E">
        <w:rPr>
          <w:bCs/>
        </w:rPr>
        <w:t xml:space="preserve"> the right to have a conviction and sentence reviewed by a higher court (subsection 22 (4) of the HR </w:t>
      </w:r>
      <w:r w:rsidR="008077DA" w:rsidRPr="00EA206E">
        <w:rPr>
          <w:bCs/>
        </w:rPr>
        <w:t>A</w:t>
      </w:r>
      <w:r w:rsidR="008077DA">
        <w:rPr>
          <w:bCs/>
        </w:rPr>
        <w:t>ct</w:t>
      </w:r>
      <w:r w:rsidRPr="00EA206E">
        <w:rPr>
          <w:bCs/>
        </w:rPr>
        <w:t>) by ensuring that a nonparole period can be adjusted appropriately following a successful appeal</w:t>
      </w:r>
      <w:r>
        <w:rPr>
          <w:bCs/>
        </w:rPr>
        <w:t>.</w:t>
      </w:r>
    </w:p>
    <w:p w14:paraId="1BA499DC" w14:textId="57E3FAFC" w:rsidR="007315B0" w:rsidRPr="00EA206E" w:rsidRDefault="007315B0" w:rsidP="007315B0">
      <w:pPr>
        <w:pStyle w:val="Heading6"/>
      </w:pPr>
      <w:r w:rsidRPr="00EA206E">
        <w:t>Crimes (</w:t>
      </w:r>
      <w:r>
        <w:t>Surveillance Devices</w:t>
      </w:r>
      <w:r w:rsidRPr="00EA206E">
        <w:t>) Act 20</w:t>
      </w:r>
      <w:r>
        <w:t xml:space="preserve">10 </w:t>
      </w:r>
      <w:r w:rsidR="00DC68F2">
        <w:t xml:space="preserve">&amp; the Listening Devices Act 1992 </w:t>
      </w:r>
      <w:r w:rsidR="003C50AF">
        <w:t>–</w:t>
      </w:r>
      <w:r>
        <w:t xml:space="preserve"> </w:t>
      </w:r>
      <w:r w:rsidR="003C50AF">
        <w:t>body</w:t>
      </w:r>
      <w:r w:rsidR="00D46112">
        <w:noBreakHyphen/>
      </w:r>
      <w:r w:rsidR="003C50AF">
        <w:t>worn camera amendments</w:t>
      </w:r>
    </w:p>
    <w:p w14:paraId="23C2E374" w14:textId="71E77DA2" w:rsidR="00C07B54" w:rsidRDefault="00F61A85" w:rsidP="00C07B54">
      <w:pPr>
        <w:keepNext w:val="0"/>
      </w:pPr>
      <w:r w:rsidRPr="00C07B54">
        <w:rPr>
          <w:bCs/>
        </w:rPr>
        <w:t xml:space="preserve">These amendments </w:t>
      </w:r>
      <w:bookmarkStart w:id="15" w:name="_Hlk74252365"/>
      <w:r w:rsidR="00C07B54" w:rsidRPr="00C07B54">
        <w:rPr>
          <w:bCs/>
        </w:rPr>
        <w:t xml:space="preserve">promote </w:t>
      </w:r>
      <w:bookmarkEnd w:id="15"/>
      <w:r w:rsidR="00C07B54">
        <w:rPr>
          <w:bCs/>
        </w:rPr>
        <w:t>the rights to p</w:t>
      </w:r>
      <w:r w:rsidR="00C07B54" w:rsidRPr="00050F68">
        <w:t>rotection from torture and cruel, inhuman or degrading treatment</w:t>
      </w:r>
      <w:r w:rsidR="00C07B54">
        <w:t xml:space="preserve"> (section 10), liberty and security of person (section 18) and in criminal proceedings (section 22).</w:t>
      </w:r>
    </w:p>
    <w:p w14:paraId="58CBB406" w14:textId="2C296A86" w:rsidR="00C07B54" w:rsidRDefault="002102F3" w:rsidP="00C07B54">
      <w:pPr>
        <w:keepNext w:val="0"/>
      </w:pPr>
      <w:r>
        <w:t>BWCs</w:t>
      </w:r>
      <w:r w:rsidR="00C07B54">
        <w:t xml:space="preserve"> </w:t>
      </w:r>
      <w:r w:rsidR="00566B4C">
        <w:t xml:space="preserve">are used by law enforcement </w:t>
      </w:r>
      <w:r w:rsidR="00893218">
        <w:t>around Australia and internationally.  They have</w:t>
      </w:r>
      <w:r w:rsidR="00C07B54">
        <w:t xml:space="preserve"> been demonstrated to support accountability and transparency in police interactions with members of the community.</w:t>
      </w:r>
    </w:p>
    <w:p w14:paraId="6AF32E49" w14:textId="2DCA2028" w:rsidR="00893218" w:rsidRDefault="00893218" w:rsidP="00C07B54">
      <w:pPr>
        <w:keepNext w:val="0"/>
      </w:pPr>
      <w:r>
        <w:t xml:space="preserve">The scrutiny of police behaviour, including use of force, afforded by </w:t>
      </w:r>
      <w:r w:rsidR="002102F3">
        <w:t>BWCs</w:t>
      </w:r>
      <w:r>
        <w:t xml:space="preserve"> promotes the right to protection from torture and cruel, inhuman and degrading treatment and the right to the liberty and security of person.</w:t>
      </w:r>
    </w:p>
    <w:p w14:paraId="3511A660" w14:textId="6EB9BCC1" w:rsidR="00893218" w:rsidRPr="00050F68" w:rsidRDefault="00893218" w:rsidP="00CB7CDB">
      <w:pPr>
        <w:keepNext w:val="0"/>
      </w:pPr>
      <w:r>
        <w:t xml:space="preserve">The evidence captured by </w:t>
      </w:r>
      <w:r w:rsidR="002102F3">
        <w:t>BWCs</w:t>
      </w:r>
      <w:r>
        <w:t xml:space="preserve"> can afford evidence that assists</w:t>
      </w:r>
      <w:r w:rsidR="00D46112">
        <w:t xml:space="preserve"> all parties </w:t>
      </w:r>
      <w:r>
        <w:t>in criminal proceedings</w:t>
      </w:r>
      <w:r w:rsidR="00D46112">
        <w:t>, including a defendant,</w:t>
      </w:r>
      <w:r>
        <w:t xml:space="preserve"> and so, indirectly support</w:t>
      </w:r>
      <w:r w:rsidR="00D46112">
        <w:t>s</w:t>
      </w:r>
      <w:r>
        <w:t xml:space="preserve"> a person’s right </w:t>
      </w:r>
      <w:r w:rsidR="0044408B">
        <w:t>in criminal proceedings.</w:t>
      </w:r>
    </w:p>
    <w:p w14:paraId="7B757DF9" w14:textId="77777777" w:rsidR="00EA206E" w:rsidRDefault="001E4E37" w:rsidP="007315B0">
      <w:pPr>
        <w:pStyle w:val="Heading4"/>
      </w:pPr>
      <w:r w:rsidRPr="001C3424">
        <w:t>Rights Limited</w:t>
      </w:r>
    </w:p>
    <w:p w14:paraId="04A4C20D" w14:textId="63486D39" w:rsidR="00347155" w:rsidRDefault="00347155" w:rsidP="00825FC8">
      <w:pPr>
        <w:keepNext w:val="0"/>
      </w:pPr>
      <w:bookmarkStart w:id="16" w:name="_Hlk73954163"/>
      <w:r>
        <w:t>The Bill engages and limits the following rights:</w:t>
      </w:r>
    </w:p>
    <w:p w14:paraId="0006D2F6" w14:textId="77777777" w:rsidR="006E7D59" w:rsidRPr="00050F68" w:rsidRDefault="006E7D59" w:rsidP="006E7D59">
      <w:pPr>
        <w:pStyle w:val="ListParagraph"/>
        <w:keepNext w:val="0"/>
        <w:numPr>
          <w:ilvl w:val="0"/>
          <w:numId w:val="2"/>
        </w:numPr>
      </w:pPr>
      <w:r w:rsidRPr="00050F68">
        <w:t>Section 8 – Recognition and equality before the law</w:t>
      </w:r>
    </w:p>
    <w:p w14:paraId="4D05E033" w14:textId="77777777" w:rsidR="00347155" w:rsidRPr="00050F68" w:rsidRDefault="00347155" w:rsidP="00347155">
      <w:pPr>
        <w:pStyle w:val="ListParagraph"/>
        <w:keepNext w:val="0"/>
        <w:numPr>
          <w:ilvl w:val="0"/>
          <w:numId w:val="2"/>
        </w:numPr>
      </w:pPr>
      <w:r w:rsidRPr="00050F68">
        <w:t xml:space="preserve">Section 12 </w:t>
      </w:r>
      <w:r>
        <w:t xml:space="preserve">(a) </w:t>
      </w:r>
      <w:r w:rsidRPr="00050F68">
        <w:t xml:space="preserve">– Right to privacy </w:t>
      </w:r>
    </w:p>
    <w:p w14:paraId="7576F30B" w14:textId="25EFCD7F" w:rsidR="00347155" w:rsidRDefault="00347155" w:rsidP="00347155">
      <w:pPr>
        <w:pStyle w:val="ListParagraph"/>
        <w:keepNext w:val="0"/>
        <w:numPr>
          <w:ilvl w:val="0"/>
          <w:numId w:val="2"/>
        </w:numPr>
      </w:pPr>
      <w:r w:rsidRPr="00050F68">
        <w:t>Section 13 – Freedom of movement</w:t>
      </w:r>
    </w:p>
    <w:p w14:paraId="6C9312AC" w14:textId="754826DD" w:rsidR="00347155" w:rsidRDefault="00347155" w:rsidP="00825FC8">
      <w:pPr>
        <w:pStyle w:val="ListParagraph"/>
        <w:keepNext w:val="0"/>
        <w:numPr>
          <w:ilvl w:val="0"/>
          <w:numId w:val="2"/>
        </w:numPr>
      </w:pPr>
      <w:r w:rsidRPr="00050F68">
        <w:t>Section 19 – Humane treatment when deprived of liberty</w:t>
      </w:r>
    </w:p>
    <w:p w14:paraId="6C07F507" w14:textId="5E81DCCD" w:rsidR="00707CB6" w:rsidRDefault="00707CB6" w:rsidP="00825FC8">
      <w:pPr>
        <w:pStyle w:val="ListParagraph"/>
        <w:keepNext w:val="0"/>
        <w:numPr>
          <w:ilvl w:val="0"/>
          <w:numId w:val="2"/>
        </w:numPr>
      </w:pPr>
      <w:r>
        <w:t xml:space="preserve">Section 28B - The right to work </w:t>
      </w:r>
    </w:p>
    <w:p w14:paraId="6FC5308E" w14:textId="02B4A698" w:rsidR="00D15814" w:rsidRPr="001F4F49" w:rsidRDefault="00EA206E" w:rsidP="00825FC8">
      <w:pPr>
        <w:keepNext w:val="0"/>
      </w:pPr>
      <w:bookmarkStart w:id="17" w:name="_Hlk73954191"/>
      <w:bookmarkEnd w:id="16"/>
      <w:r w:rsidRPr="00050F68">
        <w:t xml:space="preserve">The limitations on human rights in the Bill are </w:t>
      </w:r>
      <w:r w:rsidR="00F737CF">
        <w:t>reasonable</w:t>
      </w:r>
      <w:r w:rsidR="00F737CF" w:rsidRPr="00050F68">
        <w:t xml:space="preserve"> </w:t>
      </w:r>
      <w:r w:rsidRPr="00050F68">
        <w:t xml:space="preserve">and </w:t>
      </w:r>
      <w:r w:rsidR="00F737CF">
        <w:t xml:space="preserve">demonstrably </w:t>
      </w:r>
      <w:r w:rsidRPr="00050F68">
        <w:t xml:space="preserve">justified </w:t>
      </w:r>
      <w:r w:rsidR="00F737CF">
        <w:t xml:space="preserve">pursuant to section 28 of the HR Act, </w:t>
      </w:r>
      <w:r w:rsidRPr="00050F68">
        <w:t xml:space="preserve">because they are the least restrictive means </w:t>
      </w:r>
      <w:r w:rsidRPr="001F4F49">
        <w:t>available to achieve the purpose of</w:t>
      </w:r>
      <w:r w:rsidR="003271E5" w:rsidRPr="001F4F49">
        <w:t xml:space="preserve"> the amendments.</w:t>
      </w:r>
    </w:p>
    <w:p w14:paraId="52C95A45" w14:textId="7C6454ED" w:rsidR="00CD091B" w:rsidRPr="00FA3DBC" w:rsidRDefault="00CD091B" w:rsidP="00825FC8">
      <w:pPr>
        <w:keepNext w:val="0"/>
      </w:pPr>
      <w:r w:rsidRPr="00FA3DBC">
        <w:lastRenderedPageBreak/>
        <w:t>The right to privacy is engaged and limited by the amendments to:</w:t>
      </w:r>
    </w:p>
    <w:p w14:paraId="301AFF3C" w14:textId="75C23876" w:rsidR="00CD091B" w:rsidRPr="00FA3DBC" w:rsidRDefault="00CD091B" w:rsidP="00123BAA">
      <w:pPr>
        <w:pStyle w:val="ListParagraph"/>
        <w:keepNext w:val="0"/>
        <w:numPr>
          <w:ilvl w:val="0"/>
          <w:numId w:val="14"/>
        </w:numPr>
      </w:pPr>
      <w:r w:rsidRPr="00FA3DBC">
        <w:rPr>
          <w:i/>
          <w:iCs/>
        </w:rPr>
        <w:t>Crimes (Child Sex Offenders) Act 2005</w:t>
      </w:r>
      <w:r w:rsidRPr="00FA3DBC">
        <w:t>;</w:t>
      </w:r>
    </w:p>
    <w:p w14:paraId="36FD05DF" w14:textId="37F7B515" w:rsidR="00CD091B" w:rsidRPr="00FA3DBC" w:rsidRDefault="00CD091B" w:rsidP="00123BAA">
      <w:pPr>
        <w:pStyle w:val="ListParagraph"/>
        <w:keepNext w:val="0"/>
        <w:numPr>
          <w:ilvl w:val="0"/>
          <w:numId w:val="14"/>
        </w:numPr>
      </w:pPr>
      <w:r w:rsidRPr="00FA3DBC">
        <w:rPr>
          <w:i/>
          <w:iCs/>
        </w:rPr>
        <w:t>Crimes (Surveillance Devices) Act 1992</w:t>
      </w:r>
      <w:r w:rsidRPr="00FA3DBC">
        <w:t>;</w:t>
      </w:r>
      <w:r w:rsidR="009248F6">
        <w:t xml:space="preserve"> and</w:t>
      </w:r>
    </w:p>
    <w:p w14:paraId="00A14C01" w14:textId="619A79DC" w:rsidR="00D46112" w:rsidRPr="00FA3DBC" w:rsidRDefault="00CD091B" w:rsidP="00123BAA">
      <w:pPr>
        <w:pStyle w:val="ListParagraph"/>
        <w:keepNext w:val="0"/>
        <w:numPr>
          <w:ilvl w:val="0"/>
          <w:numId w:val="14"/>
        </w:numPr>
      </w:pPr>
      <w:r w:rsidRPr="00FA3DBC">
        <w:rPr>
          <w:i/>
          <w:iCs/>
        </w:rPr>
        <w:t>Listening Devices Act</w:t>
      </w:r>
      <w:r w:rsidR="00D46112" w:rsidRPr="00FA3DBC">
        <w:rPr>
          <w:i/>
          <w:iCs/>
        </w:rPr>
        <w:t xml:space="preserve"> 1992</w:t>
      </w:r>
      <w:r w:rsidRPr="00FA3DBC">
        <w:t>.</w:t>
      </w:r>
    </w:p>
    <w:p w14:paraId="41705855" w14:textId="463F2CAA" w:rsidR="00F023B7" w:rsidRPr="00FA3DBC" w:rsidRDefault="00F023B7" w:rsidP="00D46112">
      <w:pPr>
        <w:pStyle w:val="ListParagraph"/>
        <w:keepNext w:val="0"/>
        <w:numPr>
          <w:ilvl w:val="0"/>
          <w:numId w:val="0"/>
        </w:numPr>
      </w:pPr>
      <w:r w:rsidRPr="00FA3DBC">
        <w:t>A discussion of how each amendment limits the right to privacy is outlined under the specific amendment, with a broad discussion about the nature of the right to privacy outlined below.</w:t>
      </w:r>
    </w:p>
    <w:bookmarkEnd w:id="17"/>
    <w:p w14:paraId="094262CB" w14:textId="77777777" w:rsidR="00CD091B" w:rsidRPr="00FA3DBC" w:rsidRDefault="00CD091B" w:rsidP="00CD091B">
      <w:pPr>
        <w:keepNext w:val="0"/>
        <w:rPr>
          <w:iCs/>
        </w:rPr>
      </w:pPr>
      <w:r w:rsidRPr="00FA3DBC">
        <w:rPr>
          <w:iCs/>
        </w:rPr>
        <w:t>Section 12 of the HR Act states that:</w:t>
      </w:r>
    </w:p>
    <w:p w14:paraId="52D4ADFB" w14:textId="77777777" w:rsidR="00CD091B" w:rsidRPr="00FA3DBC" w:rsidRDefault="00CD091B" w:rsidP="00CD091B">
      <w:pPr>
        <w:keepNext w:val="0"/>
        <w:ind w:left="720"/>
        <w:rPr>
          <w:iCs/>
          <w:sz w:val="20"/>
          <w:szCs w:val="20"/>
        </w:rPr>
      </w:pPr>
      <w:r w:rsidRPr="00FA3DBC">
        <w:rPr>
          <w:iCs/>
          <w:sz w:val="20"/>
          <w:szCs w:val="20"/>
        </w:rPr>
        <w:t>Everyone has the right—</w:t>
      </w:r>
    </w:p>
    <w:p w14:paraId="442364C7" w14:textId="77777777" w:rsidR="00CD091B" w:rsidRPr="00FA3DBC" w:rsidRDefault="00CD091B" w:rsidP="00123BAA">
      <w:pPr>
        <w:pStyle w:val="ListParagraph"/>
        <w:keepNext w:val="0"/>
        <w:numPr>
          <w:ilvl w:val="1"/>
          <w:numId w:val="4"/>
        </w:numPr>
        <w:autoSpaceDE/>
        <w:autoSpaceDN/>
        <w:adjustRightInd/>
        <w:spacing w:before="0" w:after="200" w:line="240" w:lineRule="auto"/>
        <w:rPr>
          <w:iCs/>
          <w:sz w:val="20"/>
          <w:szCs w:val="20"/>
        </w:rPr>
      </w:pPr>
      <w:r w:rsidRPr="00FA3DBC">
        <w:rPr>
          <w:iCs/>
          <w:sz w:val="20"/>
          <w:szCs w:val="20"/>
        </w:rPr>
        <w:t>not to have his or her privacy, family, home or correspondence interfered with unlawfully or arbitrarily; and</w:t>
      </w:r>
    </w:p>
    <w:p w14:paraId="1CDE0408" w14:textId="77777777" w:rsidR="00CD091B" w:rsidRPr="00FA3DBC" w:rsidRDefault="00CD091B" w:rsidP="00123BAA">
      <w:pPr>
        <w:pStyle w:val="ListParagraph"/>
        <w:keepNext w:val="0"/>
        <w:numPr>
          <w:ilvl w:val="1"/>
          <w:numId w:val="4"/>
        </w:numPr>
        <w:autoSpaceDE/>
        <w:autoSpaceDN/>
        <w:adjustRightInd/>
        <w:spacing w:before="0" w:after="200" w:line="240" w:lineRule="auto"/>
        <w:rPr>
          <w:iCs/>
          <w:sz w:val="20"/>
          <w:szCs w:val="20"/>
        </w:rPr>
      </w:pPr>
      <w:r w:rsidRPr="00FA3DBC">
        <w:rPr>
          <w:iCs/>
          <w:sz w:val="20"/>
          <w:szCs w:val="20"/>
        </w:rPr>
        <w:t>not to have his or her reputation unlawfully attacked.</w:t>
      </w:r>
    </w:p>
    <w:p w14:paraId="0C4D634D" w14:textId="157829B6" w:rsidR="00CD091B" w:rsidRPr="00FA3DBC" w:rsidRDefault="00CD091B" w:rsidP="00CD091B">
      <w:pPr>
        <w:keepNext w:val="0"/>
        <w:jc w:val="both"/>
      </w:pPr>
      <w:r w:rsidRPr="00FA3DBC">
        <w:t xml:space="preserve">An interference can only take place where authorised by the law, and any interference with privacy, even provided by law, must not be arbitrary, </w:t>
      </w:r>
      <w:r w:rsidR="004721B3" w:rsidRPr="00FA3DBC">
        <w:t>and must be</w:t>
      </w:r>
      <w:r w:rsidRPr="00FA3DBC">
        <w:t xml:space="preserve"> reasonable, necessary, and proportionate in the circumstances. </w:t>
      </w:r>
    </w:p>
    <w:p w14:paraId="0FE743E3" w14:textId="77777777" w:rsidR="00CD091B" w:rsidRPr="00FA3DBC" w:rsidRDefault="00CD091B" w:rsidP="00CD091B">
      <w:pPr>
        <w:keepNext w:val="0"/>
        <w:rPr>
          <w:iCs/>
          <w:lang w:eastAsia="en-AU"/>
        </w:rPr>
      </w:pPr>
      <w:r w:rsidRPr="00FA3DBC">
        <w:rPr>
          <w:iCs/>
        </w:rPr>
        <w:t>The right to privacy and reputation is “one of the broadest and most flexible of human rights”,</w:t>
      </w:r>
      <w:r w:rsidRPr="00FA3DBC">
        <w:rPr>
          <w:rStyle w:val="FootnoteReference"/>
          <w:iCs/>
        </w:rPr>
        <w:footnoteReference w:id="3"/>
      </w:r>
      <w:r w:rsidRPr="00FA3DBC">
        <w:rPr>
          <w:iCs/>
        </w:rPr>
        <w:t xml:space="preserve"> and can encompass personal identity and lifestyle, reputation, family life, the home and home environment and all forms of communication.</w:t>
      </w:r>
      <w:r w:rsidRPr="00FA3DBC">
        <w:rPr>
          <w:rStyle w:val="FootnoteReference"/>
          <w:iCs/>
        </w:rPr>
        <w:footnoteReference w:id="4"/>
      </w:r>
      <w:r w:rsidRPr="00FA3DBC">
        <w:rPr>
          <w:iCs/>
        </w:rPr>
        <w:t xml:space="preserve"> The United Nations Human Rights Committee’s General Comment 16 states:</w:t>
      </w:r>
      <w:r w:rsidRPr="00FA3DBC">
        <w:rPr>
          <w:rStyle w:val="FootnoteReference"/>
          <w:iCs/>
        </w:rPr>
        <w:footnoteReference w:id="5"/>
      </w:r>
      <w:r w:rsidRPr="00FA3DBC">
        <w:rPr>
          <w:iCs/>
        </w:rPr>
        <w:t xml:space="preserve"> </w:t>
      </w:r>
    </w:p>
    <w:p w14:paraId="362416CF" w14:textId="77777777" w:rsidR="00CD091B" w:rsidRPr="00FA3DBC" w:rsidRDefault="00CD091B" w:rsidP="00CD091B">
      <w:pPr>
        <w:keepNext w:val="0"/>
        <w:ind w:left="720"/>
        <w:rPr>
          <w:i/>
          <w:iCs/>
        </w:rPr>
      </w:pPr>
      <w:r w:rsidRPr="00FA3DBC">
        <w:rPr>
          <w:i/>
          <w:iCs/>
        </w:rPr>
        <w:t>as all persons live in society, the protection of privacy is necessarily relative. However, the competent public authorities should only be able to call for such information relating to an individual's private life the knowledge of which is essential in the interests of society</w:t>
      </w:r>
    </w:p>
    <w:p w14:paraId="0D8BC59D" w14:textId="18F6B4B7" w:rsidR="00CD091B" w:rsidRPr="00CD091B" w:rsidRDefault="00CD091B" w:rsidP="00CD091B">
      <w:pPr>
        <w:keepNext w:val="0"/>
        <w:rPr>
          <w:iCs/>
        </w:rPr>
      </w:pPr>
      <w:r w:rsidRPr="00FA3DBC">
        <w:rPr>
          <w:iCs/>
        </w:rPr>
        <w:t>While the right to privacy is broad, it is not absolute.</w:t>
      </w:r>
      <w:r w:rsidRPr="001F23B8">
        <w:rPr>
          <w:iCs/>
        </w:rPr>
        <w:t xml:space="preserve"> </w:t>
      </w:r>
    </w:p>
    <w:p w14:paraId="49A03A9C" w14:textId="77777777" w:rsidR="00FF0507" w:rsidRDefault="00FF0507">
      <w:pPr>
        <w:keepNext w:val="0"/>
        <w:autoSpaceDE/>
        <w:autoSpaceDN/>
        <w:adjustRightInd/>
        <w:spacing w:before="0" w:after="0" w:line="240" w:lineRule="auto"/>
        <w:rPr>
          <w:b/>
          <w:bCs/>
          <w:u w:val="single"/>
        </w:rPr>
      </w:pPr>
      <w:r>
        <w:rPr>
          <w:b/>
          <w:bCs/>
          <w:u w:val="single"/>
        </w:rPr>
        <w:br w:type="page"/>
      </w:r>
    </w:p>
    <w:p w14:paraId="706DC5A8" w14:textId="734F709D" w:rsidR="00351F41" w:rsidRPr="001C3424" w:rsidRDefault="00351F41" w:rsidP="00825FC8">
      <w:pPr>
        <w:keepNext w:val="0"/>
        <w:rPr>
          <w:b/>
          <w:bCs/>
          <w:u w:val="single"/>
        </w:rPr>
      </w:pPr>
      <w:r w:rsidRPr="001C3424">
        <w:rPr>
          <w:b/>
          <w:bCs/>
          <w:u w:val="single"/>
        </w:rPr>
        <w:lastRenderedPageBreak/>
        <w:t>Detailed human rights discussion</w:t>
      </w:r>
    </w:p>
    <w:p w14:paraId="2C0B4719" w14:textId="3EAB7156" w:rsidR="004721B3" w:rsidRPr="004721B3" w:rsidRDefault="003C50AF" w:rsidP="00AC6654">
      <w:pPr>
        <w:pStyle w:val="Heading6"/>
      </w:pPr>
      <w:r w:rsidRPr="00EA206E">
        <w:t>Crimes (Child Sex Offenders) Act 2005</w:t>
      </w:r>
      <w:r>
        <w:t xml:space="preserve"> – child</w:t>
      </w:r>
      <w:r w:rsidR="00566CF6">
        <w:t>-</w:t>
      </w:r>
      <w:r>
        <w:t xml:space="preserve">like sex doll </w:t>
      </w:r>
      <w:r w:rsidR="002A7A96">
        <w:t xml:space="preserve">offence </w:t>
      </w:r>
      <w:r>
        <w:t>amendments</w:t>
      </w:r>
    </w:p>
    <w:p w14:paraId="19FB8822" w14:textId="17D8356A" w:rsidR="002C1159" w:rsidRDefault="007315B0" w:rsidP="007315B0">
      <w:pPr>
        <w:keepNext w:val="0"/>
      </w:pPr>
      <w:r w:rsidRPr="007315B0">
        <w:t xml:space="preserve">The Bill </w:t>
      </w:r>
      <w:r w:rsidR="00486C83">
        <w:t xml:space="preserve">adds a new offence to the existing list of </w:t>
      </w:r>
      <w:r w:rsidR="00143956">
        <w:t>registrable</w:t>
      </w:r>
      <w:r w:rsidR="00486C83">
        <w:t xml:space="preserve"> offences</w:t>
      </w:r>
      <w:r w:rsidR="004721B3">
        <w:t xml:space="preserve"> in the </w:t>
      </w:r>
      <w:r w:rsidR="004721B3" w:rsidRPr="00D46112">
        <w:rPr>
          <w:i/>
          <w:iCs/>
        </w:rPr>
        <w:t xml:space="preserve">Crimes (Child Sex Offenders) Act 2005 </w:t>
      </w:r>
      <w:r w:rsidR="004721B3">
        <w:t>(CSO Act)</w:t>
      </w:r>
      <w:r w:rsidR="00486C83">
        <w:t xml:space="preserve"> to include</w:t>
      </w:r>
      <w:r w:rsidRPr="007315B0">
        <w:t xml:space="preserve"> the Commonwealth offence of </w:t>
      </w:r>
      <w:r w:rsidR="00486C83">
        <w:t>‘</w:t>
      </w:r>
      <w:r w:rsidRPr="007315B0">
        <w:t xml:space="preserve">possession of a child-like sex doll </w:t>
      </w:r>
      <w:r w:rsidR="004E29FD">
        <w:t>or</w:t>
      </w:r>
      <w:r w:rsidRPr="007315B0">
        <w:t xml:space="preserve"> other</w:t>
      </w:r>
      <w:r w:rsidR="002A7A96">
        <w:t xml:space="preserve"> (similar)</w:t>
      </w:r>
      <w:r w:rsidRPr="007315B0">
        <w:t xml:space="preserve"> object</w:t>
      </w:r>
      <w:r w:rsidR="00486C83">
        <w:t xml:space="preserve">’. The Bill includes this offence as a class 2 offence. </w:t>
      </w:r>
      <w:r w:rsidRPr="007315B0">
        <w:t xml:space="preserve"> </w:t>
      </w:r>
    </w:p>
    <w:p w14:paraId="159886E6" w14:textId="71B2AFFE" w:rsidR="00C94BD4" w:rsidRDefault="00C94BD4" w:rsidP="00C94BD4">
      <w:r>
        <w:t xml:space="preserve">The amendments </w:t>
      </w:r>
      <w:r w:rsidR="004721B3">
        <w:t xml:space="preserve">to the CSO </w:t>
      </w:r>
      <w:r w:rsidR="00FB421A">
        <w:t xml:space="preserve">Act </w:t>
      </w:r>
      <w:r>
        <w:t xml:space="preserve">engage the human rights of a section of the ACT community - namely </w:t>
      </w:r>
      <w:r w:rsidR="004D352A">
        <w:t>people convicted of the Commonwealth offence</w:t>
      </w:r>
      <w:r>
        <w:t xml:space="preserve">. However, this engagement is proportionate and justified in the circumstances because it is the least restrictive means available to achieve the purpose </w:t>
      </w:r>
      <w:r w:rsidR="00101285">
        <w:t xml:space="preserve">of </w:t>
      </w:r>
      <w:r>
        <w:t>protect</w:t>
      </w:r>
      <w:r w:rsidR="00101285">
        <w:t>ing</w:t>
      </w:r>
      <w:r>
        <w:t xml:space="preserve"> the human rights of others – children and young people. This view is reached </w:t>
      </w:r>
      <w:r w:rsidR="00101285">
        <w:t xml:space="preserve">based on </w:t>
      </w:r>
      <w:r>
        <w:t>a section 28 (2) analysis on the limitations for each human right that the Bill engages detail</w:t>
      </w:r>
      <w:r w:rsidR="00101285">
        <w:t>ed</w:t>
      </w:r>
      <w:r>
        <w:t xml:space="preserve"> below.</w:t>
      </w:r>
    </w:p>
    <w:p w14:paraId="351B5E7B" w14:textId="4E939ECB" w:rsidR="002070A2" w:rsidRPr="00050F68" w:rsidRDefault="00BC4030" w:rsidP="003C50AF">
      <w:pPr>
        <w:keepNext w:val="0"/>
      </w:pPr>
      <w:r>
        <w:rPr>
          <w:iCs/>
        </w:rPr>
        <w:t xml:space="preserve">Because this amendment will have the effect that people convicted of the Commonwealth offence </w:t>
      </w:r>
      <w:r w:rsidR="00101285">
        <w:rPr>
          <w:iCs/>
        </w:rPr>
        <w:t>of</w:t>
      </w:r>
      <w:r>
        <w:rPr>
          <w:iCs/>
        </w:rPr>
        <w:t xml:space="preserve"> possess</w:t>
      </w:r>
      <w:r w:rsidR="00101285">
        <w:rPr>
          <w:iCs/>
        </w:rPr>
        <w:t>ing</w:t>
      </w:r>
      <w:r>
        <w:rPr>
          <w:iCs/>
        </w:rPr>
        <w:t xml:space="preserve"> a child-like sex doll will be added to a register, </w:t>
      </w:r>
      <w:r w:rsidR="00101285">
        <w:rPr>
          <w:iCs/>
        </w:rPr>
        <w:t xml:space="preserve">unless they </w:t>
      </w:r>
      <w:r w:rsidR="00E1253B">
        <w:rPr>
          <w:iCs/>
        </w:rPr>
        <w:t>come within</w:t>
      </w:r>
      <w:r w:rsidR="00101285">
        <w:rPr>
          <w:iCs/>
        </w:rPr>
        <w:t xml:space="preserve"> limited exceptions, </w:t>
      </w:r>
      <w:r>
        <w:rPr>
          <w:iCs/>
        </w:rPr>
        <w:t xml:space="preserve">it engages and limits the same rights that the </w:t>
      </w:r>
      <w:r w:rsidR="00101285">
        <w:rPr>
          <w:iCs/>
        </w:rPr>
        <w:t xml:space="preserve">existing provisions for </w:t>
      </w:r>
      <w:r>
        <w:rPr>
          <w:iCs/>
        </w:rPr>
        <w:t>regist</w:t>
      </w:r>
      <w:r w:rsidR="00101285">
        <w:rPr>
          <w:iCs/>
        </w:rPr>
        <w:t xml:space="preserve">ration </w:t>
      </w:r>
      <w:r>
        <w:rPr>
          <w:iCs/>
        </w:rPr>
        <w:t xml:space="preserve">engage. </w:t>
      </w:r>
      <w:r w:rsidR="00E1253B">
        <w:t>T</w:t>
      </w:r>
      <w:r w:rsidR="004721B3">
        <w:t xml:space="preserve">he </w:t>
      </w:r>
      <w:r w:rsidR="00C94BD4" w:rsidRPr="00F61517">
        <w:t xml:space="preserve">amendments engage </w:t>
      </w:r>
      <w:r w:rsidR="00C94BD4">
        <w:t xml:space="preserve">and limit the </w:t>
      </w:r>
      <w:r w:rsidR="00C94BD4" w:rsidRPr="00F61517">
        <w:t xml:space="preserve">right to </w:t>
      </w:r>
      <w:bookmarkStart w:id="18" w:name="_Hlk73430174"/>
      <w:r w:rsidR="00C94BD4" w:rsidRPr="00F61517">
        <w:t xml:space="preserve">recognition and equality before the law </w:t>
      </w:r>
      <w:bookmarkEnd w:id="18"/>
      <w:r w:rsidR="00C94BD4">
        <w:t>(section 8 HR Act)</w:t>
      </w:r>
      <w:r w:rsidR="00E1253B">
        <w:t xml:space="preserve">, </w:t>
      </w:r>
      <w:r w:rsidR="00C94BD4">
        <w:t>the</w:t>
      </w:r>
      <w:r w:rsidR="00C94BD4" w:rsidRPr="00F61517">
        <w:t xml:space="preserve"> right to privacy</w:t>
      </w:r>
      <w:r w:rsidR="00C94BD4">
        <w:t xml:space="preserve"> and reputation (section 12 HR Act)</w:t>
      </w:r>
      <w:r w:rsidR="00D4621F">
        <w:t>,</w:t>
      </w:r>
      <w:r w:rsidR="00E1253B">
        <w:t xml:space="preserve"> </w:t>
      </w:r>
      <w:r w:rsidR="007315B0">
        <w:t>the right to freedom of movement</w:t>
      </w:r>
      <w:r w:rsidR="00D4621F">
        <w:t xml:space="preserve"> (section 13 HR Act), and the right to work (section 27B HR Act)</w:t>
      </w:r>
      <w:r w:rsidR="007315B0">
        <w:t>.</w:t>
      </w:r>
    </w:p>
    <w:p w14:paraId="7604624E" w14:textId="358DD992" w:rsidR="002070A2" w:rsidRDefault="00050F68" w:rsidP="003C50AF">
      <w:pPr>
        <w:keepNext w:val="0"/>
        <w:rPr>
          <w:b/>
          <w:bCs/>
          <w:i/>
          <w:iCs/>
        </w:rPr>
      </w:pPr>
      <w:r w:rsidRPr="00825FC8">
        <w:rPr>
          <w:b/>
          <w:bCs/>
          <w:i/>
          <w:iCs/>
        </w:rPr>
        <w:t>1. N</w:t>
      </w:r>
      <w:r w:rsidR="002070A2" w:rsidRPr="00825FC8">
        <w:rPr>
          <w:b/>
          <w:bCs/>
          <w:i/>
          <w:iCs/>
        </w:rPr>
        <w:t xml:space="preserve">ature of the right </w:t>
      </w:r>
      <w:r w:rsidR="00B55BED" w:rsidRPr="00825FC8">
        <w:rPr>
          <w:b/>
          <w:bCs/>
          <w:i/>
          <w:iCs/>
        </w:rPr>
        <w:t xml:space="preserve">and the limitation </w:t>
      </w:r>
      <w:r w:rsidR="002070A2" w:rsidRPr="00825FC8">
        <w:rPr>
          <w:b/>
          <w:bCs/>
          <w:i/>
          <w:iCs/>
        </w:rPr>
        <w:t>(s</w:t>
      </w:r>
      <w:r w:rsidR="00283CBA">
        <w:rPr>
          <w:b/>
          <w:bCs/>
          <w:i/>
          <w:iCs/>
        </w:rPr>
        <w:t>s</w:t>
      </w:r>
      <w:r w:rsidR="002070A2" w:rsidRPr="00825FC8">
        <w:rPr>
          <w:b/>
          <w:bCs/>
          <w:i/>
          <w:iCs/>
        </w:rPr>
        <w:t xml:space="preserve"> 28 (2) (a)</w:t>
      </w:r>
      <w:r w:rsidR="00B55BED" w:rsidRPr="00825FC8">
        <w:rPr>
          <w:b/>
          <w:bCs/>
          <w:i/>
          <w:iCs/>
        </w:rPr>
        <w:t xml:space="preserve"> and (c)</w:t>
      </w:r>
      <w:r w:rsidR="002070A2" w:rsidRPr="00825FC8">
        <w:rPr>
          <w:b/>
          <w:bCs/>
          <w:i/>
          <w:iCs/>
        </w:rPr>
        <w:t>)</w:t>
      </w:r>
    </w:p>
    <w:p w14:paraId="72D5F707" w14:textId="37B0212E" w:rsidR="005457E0" w:rsidRDefault="005457E0" w:rsidP="005457E0">
      <w:pPr>
        <w:pStyle w:val="Heading7"/>
      </w:pPr>
      <w:r>
        <w:t xml:space="preserve">Right to </w:t>
      </w:r>
      <w:r w:rsidRPr="005457E0">
        <w:t>recognition and equality before the law</w:t>
      </w:r>
    </w:p>
    <w:p w14:paraId="7B249653" w14:textId="77777777" w:rsidR="005457E0" w:rsidRPr="005457E0" w:rsidRDefault="005457E0" w:rsidP="004C3712">
      <w:pPr>
        <w:keepNext w:val="0"/>
      </w:pPr>
      <w:r w:rsidRPr="005457E0">
        <w:t>Section 8 of the HR Act provides:</w:t>
      </w:r>
    </w:p>
    <w:p w14:paraId="45A7D6FA" w14:textId="77777777" w:rsidR="005457E0" w:rsidRPr="00AC6654" w:rsidRDefault="005457E0" w:rsidP="00123BAA">
      <w:pPr>
        <w:pStyle w:val="ListParagraph"/>
        <w:keepNext w:val="0"/>
        <w:numPr>
          <w:ilvl w:val="0"/>
          <w:numId w:val="15"/>
        </w:numPr>
        <w:rPr>
          <w:iCs/>
          <w:sz w:val="20"/>
          <w:szCs w:val="20"/>
        </w:rPr>
      </w:pPr>
      <w:r w:rsidRPr="00AC6654">
        <w:rPr>
          <w:iCs/>
          <w:sz w:val="20"/>
          <w:szCs w:val="20"/>
        </w:rPr>
        <w:t>Everyone has the right to recognition as a person before the law.</w:t>
      </w:r>
    </w:p>
    <w:p w14:paraId="52EF1327" w14:textId="77777777" w:rsidR="005457E0" w:rsidRPr="00AC6654" w:rsidRDefault="005457E0" w:rsidP="00123BAA">
      <w:pPr>
        <w:pStyle w:val="ListParagraph"/>
        <w:keepNext w:val="0"/>
        <w:numPr>
          <w:ilvl w:val="0"/>
          <w:numId w:val="15"/>
        </w:numPr>
        <w:rPr>
          <w:iCs/>
          <w:sz w:val="20"/>
          <w:szCs w:val="20"/>
        </w:rPr>
      </w:pPr>
      <w:r w:rsidRPr="00AC6654">
        <w:rPr>
          <w:iCs/>
          <w:sz w:val="20"/>
          <w:szCs w:val="20"/>
        </w:rPr>
        <w:t>Everyone has the right to enjoy his or her human rights without distinction or discrimination of any kind.</w:t>
      </w:r>
    </w:p>
    <w:p w14:paraId="38BEB34F" w14:textId="77777777" w:rsidR="005457E0" w:rsidRPr="00AC6654" w:rsidRDefault="005457E0" w:rsidP="00123BAA">
      <w:pPr>
        <w:pStyle w:val="ListParagraph"/>
        <w:keepNext w:val="0"/>
        <w:numPr>
          <w:ilvl w:val="0"/>
          <w:numId w:val="15"/>
        </w:numPr>
        <w:rPr>
          <w:iCs/>
          <w:sz w:val="20"/>
          <w:szCs w:val="20"/>
        </w:rPr>
      </w:pPr>
      <w:r w:rsidRPr="00AC6654">
        <w:rPr>
          <w:iCs/>
          <w:sz w:val="20"/>
          <w:szCs w:val="20"/>
        </w:rPr>
        <w:t>Everyone is equal before the law and is entitled to the equal protection of the law without discrimination. In particular, everyone has the right to equal and effective protection against discrimination on any ground.</w:t>
      </w:r>
    </w:p>
    <w:p w14:paraId="79652F74" w14:textId="4E3908B5" w:rsidR="005457E0" w:rsidRDefault="005457E0" w:rsidP="004C3712">
      <w:pPr>
        <w:keepNext w:val="0"/>
      </w:pPr>
      <w:r>
        <w:t xml:space="preserve">The </w:t>
      </w:r>
      <w:r w:rsidR="00101285">
        <w:t xml:space="preserve">registration </w:t>
      </w:r>
      <w:r>
        <w:t xml:space="preserve">scheme and </w:t>
      </w:r>
      <w:r w:rsidR="00101285">
        <w:t>the proposed</w:t>
      </w:r>
      <w:r>
        <w:t xml:space="preserve"> amendments engage section 8 of the HR Act because they only apply to a particular category of people (registrable offenders). The limitations imposed by these provisions apply only to registrable offenders</w:t>
      </w:r>
      <w:r w:rsidR="00101285">
        <w:t>.</w:t>
      </w:r>
    </w:p>
    <w:p w14:paraId="0A1CE204" w14:textId="5EF1DF28" w:rsidR="005457E0" w:rsidRDefault="005457E0" w:rsidP="00F023B7">
      <w:pPr>
        <w:keepNext w:val="0"/>
      </w:pPr>
      <w:r>
        <w:t xml:space="preserve">Section 8 of the HR Act is based on Article 14 of the </w:t>
      </w:r>
      <w:r w:rsidRPr="005457E0">
        <w:rPr>
          <w:i/>
        </w:rPr>
        <w:t>International Covenant on Civil and Political Rights</w:t>
      </w:r>
      <w:r>
        <w:t xml:space="preserve"> (ICCPR). In order to provide guidance with the application and interpretation of the ICCPR, the Office of the High Commissioner for Human Rights </w:t>
      </w:r>
      <w:r w:rsidR="00B8704A">
        <w:lastRenderedPageBreak/>
        <w:t>h</w:t>
      </w:r>
      <w:r>
        <w:t xml:space="preserve">as issued general comments, one of which addresses the right to non-discrimination. </w:t>
      </w:r>
    </w:p>
    <w:p w14:paraId="4AC8DF24" w14:textId="77777777" w:rsidR="005457E0" w:rsidRDefault="005457E0" w:rsidP="00F023B7">
      <w:r w:rsidRPr="005457E0">
        <w:rPr>
          <w:i/>
        </w:rPr>
        <w:t>General comment</w:t>
      </w:r>
      <w:r>
        <w:t xml:space="preserve"> 18 notes that:</w:t>
      </w:r>
    </w:p>
    <w:p w14:paraId="0A8CCF7D" w14:textId="409DE33D" w:rsidR="005457E0" w:rsidRPr="00AC6654" w:rsidRDefault="005457E0" w:rsidP="00F023B7">
      <w:pPr>
        <w:ind w:left="720"/>
        <w:rPr>
          <w:i/>
          <w:iCs/>
        </w:rPr>
      </w:pPr>
      <w:r w:rsidRPr="00AC6654">
        <w:rPr>
          <w:i/>
          <w:iCs/>
        </w:rPr>
        <w:t>‘non-discrimination, together with equality before the law and equal protection of the</w:t>
      </w:r>
      <w:r w:rsidR="00E705C0" w:rsidRPr="00AC6654">
        <w:rPr>
          <w:i/>
          <w:iCs/>
        </w:rPr>
        <w:t xml:space="preserve"> </w:t>
      </w:r>
      <w:r w:rsidRPr="00AC6654">
        <w:rPr>
          <w:i/>
          <w:iCs/>
        </w:rPr>
        <w:t>law without any discrimination, constitute a basic and general principle relating to the</w:t>
      </w:r>
      <w:r w:rsidR="00E705C0" w:rsidRPr="00AC6654">
        <w:rPr>
          <w:i/>
          <w:iCs/>
        </w:rPr>
        <w:t xml:space="preserve"> </w:t>
      </w:r>
      <w:r w:rsidRPr="00AC6654">
        <w:rPr>
          <w:i/>
          <w:iCs/>
        </w:rPr>
        <w:t>protection of human rights’.</w:t>
      </w:r>
      <w:r w:rsidRPr="00AC6654">
        <w:rPr>
          <w:rStyle w:val="FootnoteReference"/>
          <w:i/>
          <w:iCs/>
        </w:rPr>
        <w:footnoteReference w:id="6"/>
      </w:r>
      <w:r w:rsidRPr="00AC6654">
        <w:rPr>
          <w:i/>
          <w:iCs/>
        </w:rPr>
        <w:t xml:space="preserve"> </w:t>
      </w:r>
    </w:p>
    <w:p w14:paraId="4D553E63" w14:textId="7738D90E" w:rsidR="005457E0" w:rsidRDefault="005457E0" w:rsidP="00F023B7">
      <w:pPr>
        <w:keepNext w:val="0"/>
      </w:pPr>
      <w:r>
        <w:t xml:space="preserve">However, the </w:t>
      </w:r>
      <w:r w:rsidR="00B8704A">
        <w:t>C</w:t>
      </w:r>
      <w:r>
        <w:t xml:space="preserve">ommittee also observes at paragraph 14 of the </w:t>
      </w:r>
      <w:r w:rsidR="00B8704A">
        <w:t>g</w:t>
      </w:r>
      <w:r>
        <w:t>eneral comment that:</w:t>
      </w:r>
    </w:p>
    <w:p w14:paraId="7AD37B64" w14:textId="57A7598F" w:rsidR="005457E0" w:rsidRPr="00AC6654" w:rsidRDefault="005457E0" w:rsidP="004C3712">
      <w:pPr>
        <w:keepNext w:val="0"/>
        <w:ind w:left="720"/>
        <w:rPr>
          <w:i/>
          <w:iCs/>
        </w:rPr>
      </w:pPr>
      <w:r w:rsidRPr="00AC6654">
        <w:rPr>
          <w:i/>
          <w:iCs/>
        </w:rPr>
        <w:t>‘not every differentiation of treatment will constitute discrimination, if the criteria for such discrimination are reasonable and objective and if the aim is to achieve a purpose which is legitimate under the Covenant’.</w:t>
      </w:r>
      <w:r w:rsidRPr="00AC6654">
        <w:rPr>
          <w:rStyle w:val="FootnoteReference"/>
          <w:i/>
          <w:iCs/>
        </w:rPr>
        <w:footnoteReference w:id="7"/>
      </w:r>
      <w:r w:rsidRPr="00AC6654">
        <w:rPr>
          <w:i/>
          <w:iCs/>
        </w:rPr>
        <w:t xml:space="preserve"> </w:t>
      </w:r>
    </w:p>
    <w:p w14:paraId="705DCB4B" w14:textId="19071DCF" w:rsidR="005457E0" w:rsidRPr="00F82157" w:rsidRDefault="005457E0" w:rsidP="004C3712">
      <w:pPr>
        <w:keepNext w:val="0"/>
      </w:pPr>
      <w:r>
        <w:t>In addition, while section 7</w:t>
      </w:r>
      <w:r w:rsidR="00201FA3">
        <w:t xml:space="preserve"> </w:t>
      </w:r>
      <w:r>
        <w:t xml:space="preserve">(o) of the ACT’s </w:t>
      </w:r>
      <w:r w:rsidRPr="005457E0">
        <w:rPr>
          <w:i/>
        </w:rPr>
        <w:t xml:space="preserve">Discrimination Act 1994 </w:t>
      </w:r>
      <w:r>
        <w:t>(the Discrimination Act)</w:t>
      </w:r>
      <w:r w:rsidRPr="005457E0">
        <w:rPr>
          <w:i/>
        </w:rPr>
        <w:t xml:space="preserve"> </w:t>
      </w:r>
      <w:r>
        <w:t xml:space="preserve">prohibits discrimination on the ground of a spent conviction, section 8 (2) provides that a person does not discriminate by imposing a condition or requirement on a person with a protected attribute, if the condition or requirement is reasonable in the circumstances.     </w:t>
      </w:r>
      <w:r w:rsidRPr="005457E0">
        <w:rPr>
          <w:i/>
        </w:rPr>
        <w:t xml:space="preserve">  </w:t>
      </w:r>
    </w:p>
    <w:p w14:paraId="06F1A602" w14:textId="791EBDDD" w:rsidR="005457E0" w:rsidRDefault="005457E0" w:rsidP="004C3712">
      <w:pPr>
        <w:keepNext w:val="0"/>
      </w:pPr>
      <w:r>
        <w:t>Therefore, it is reasonable to interpret section 8 of the HR Act as not prohibiting all kinds of distinction or differential treatment. However, the criteria for this distinction or differential treatment must be reasonable and intended to achieve a legitimate aim.</w:t>
      </w:r>
    </w:p>
    <w:p w14:paraId="6058C9EA" w14:textId="502D3EFB" w:rsidR="005457E0" w:rsidRDefault="005457E0" w:rsidP="004C3712">
      <w:pPr>
        <w:pStyle w:val="Heading7"/>
      </w:pPr>
      <w:r>
        <w:t>Right to privacy</w:t>
      </w:r>
    </w:p>
    <w:p w14:paraId="66F49FAB" w14:textId="4DA5C26F" w:rsidR="00F023B7" w:rsidRPr="001F23B8" w:rsidRDefault="00F023B7" w:rsidP="004C3712">
      <w:pPr>
        <w:keepNext w:val="0"/>
        <w:rPr>
          <w:iCs/>
        </w:rPr>
      </w:pPr>
      <w:r>
        <w:rPr>
          <w:iCs/>
        </w:rPr>
        <w:t xml:space="preserve">The nature of the right to privacy is discussed in detail above. </w:t>
      </w:r>
    </w:p>
    <w:p w14:paraId="61573847" w14:textId="7081B08B" w:rsidR="007315B0" w:rsidRPr="001F23B8" w:rsidRDefault="007315B0" w:rsidP="004C3712">
      <w:pPr>
        <w:keepNext w:val="0"/>
        <w:rPr>
          <w:iCs/>
        </w:rPr>
      </w:pPr>
      <w:r w:rsidRPr="001F23B8">
        <w:rPr>
          <w:iCs/>
        </w:rPr>
        <w:t>The amendments proposed engage and limit the right</w:t>
      </w:r>
      <w:r w:rsidR="00E1253B">
        <w:rPr>
          <w:iCs/>
        </w:rPr>
        <w:t>s</w:t>
      </w:r>
      <w:r w:rsidRPr="001F23B8">
        <w:rPr>
          <w:iCs/>
        </w:rPr>
        <w:t xml:space="preserve"> to </w:t>
      </w:r>
      <w:r w:rsidR="00AB47CB">
        <w:rPr>
          <w:iCs/>
        </w:rPr>
        <w:t xml:space="preserve">privacy </w:t>
      </w:r>
      <w:r w:rsidRPr="001F23B8">
        <w:rPr>
          <w:iCs/>
        </w:rPr>
        <w:t xml:space="preserve">of people convicted of the Commonwealth offence of possession of a child-like </w:t>
      </w:r>
      <w:r w:rsidRPr="00E1253B">
        <w:rPr>
          <w:iCs/>
        </w:rPr>
        <w:t xml:space="preserve">sex doll </w:t>
      </w:r>
      <w:r w:rsidR="00334696" w:rsidRPr="00E1253B">
        <w:rPr>
          <w:iCs/>
        </w:rPr>
        <w:t xml:space="preserve">or </w:t>
      </w:r>
      <w:r w:rsidRPr="00E1253B">
        <w:rPr>
          <w:iCs/>
        </w:rPr>
        <w:t>other object,</w:t>
      </w:r>
      <w:r w:rsidRPr="001F23B8">
        <w:rPr>
          <w:iCs/>
        </w:rPr>
        <w:t xml:space="preserve"> unless the exceptions apply, as it requires them to:</w:t>
      </w:r>
    </w:p>
    <w:p w14:paraId="6A16DB19" w14:textId="77777777" w:rsidR="007315B0" w:rsidRPr="007315B0" w:rsidRDefault="007315B0" w:rsidP="00123BAA">
      <w:pPr>
        <w:pStyle w:val="ListParagraph"/>
        <w:keepNext w:val="0"/>
        <w:numPr>
          <w:ilvl w:val="1"/>
          <w:numId w:val="5"/>
        </w:numPr>
      </w:pPr>
      <w:r w:rsidRPr="007315B0">
        <w:t>register on the Child Sex Offender Register; and</w:t>
      </w:r>
    </w:p>
    <w:p w14:paraId="652D6FBC" w14:textId="3A1DDAD8" w:rsidR="004721B3" w:rsidRDefault="007315B0" w:rsidP="00123BAA">
      <w:pPr>
        <w:pStyle w:val="ListParagraph"/>
        <w:keepNext w:val="0"/>
        <w:numPr>
          <w:ilvl w:val="1"/>
          <w:numId w:val="5"/>
        </w:numPr>
      </w:pPr>
      <w:r w:rsidRPr="007315B0">
        <w:t xml:space="preserve">abide by the set of reporting requirements, as outlined in the CSO Act, required of a person registered on </w:t>
      </w:r>
      <w:r w:rsidR="00B8704A">
        <w:t xml:space="preserve">the </w:t>
      </w:r>
      <w:r w:rsidRPr="007315B0">
        <w:t xml:space="preserve">Child Sex Offender Register. </w:t>
      </w:r>
    </w:p>
    <w:p w14:paraId="2643BB2B" w14:textId="32B09452" w:rsidR="00176603" w:rsidRDefault="00176603" w:rsidP="004C3712">
      <w:pPr>
        <w:pStyle w:val="Heading7"/>
      </w:pPr>
      <w:r w:rsidRPr="0014193A">
        <w:lastRenderedPageBreak/>
        <w:t>Right</w:t>
      </w:r>
      <w:r>
        <w:t xml:space="preserve"> to freedom of movement</w:t>
      </w:r>
    </w:p>
    <w:p w14:paraId="23E06B72" w14:textId="2134070D" w:rsidR="00176603" w:rsidRDefault="00176603" w:rsidP="004C3712">
      <w:pPr>
        <w:keepNext w:val="0"/>
      </w:pPr>
      <w:r>
        <w:t>Section 13 of the HR Act provides that everyone has the right to move freely within the ACT, to enter and leave it, and the freedom to choose his or her residence.</w:t>
      </w:r>
    </w:p>
    <w:p w14:paraId="7B8A6AF5" w14:textId="635E3A52" w:rsidR="007315B0" w:rsidRPr="001F23B8" w:rsidRDefault="007315B0" w:rsidP="004C3712">
      <w:pPr>
        <w:keepNext w:val="0"/>
        <w:rPr>
          <w:bCs/>
          <w:iCs/>
          <w:lang w:eastAsia="en-AU"/>
        </w:rPr>
      </w:pPr>
      <w:r w:rsidRPr="001F23B8">
        <w:rPr>
          <w:iCs/>
        </w:rPr>
        <w:t xml:space="preserve">The right to freedom of movement is linked to the right to liberty. It can be interpreted as providing that a person's movement across borders should not be unreasonably limited by the state, including through procedural impediments. This right is not absolute </w:t>
      </w:r>
      <w:r w:rsidRPr="001F23B8">
        <w:rPr>
          <w:bCs/>
          <w:iCs/>
        </w:rPr>
        <w:t xml:space="preserve">and so may be subject to reasonable limitations pursuant to section 28 of the HR Act. The need for reasonable limitations on this right is acknowledged at subsection (3) of article 12 of the </w:t>
      </w:r>
      <w:r w:rsidRPr="001F23B8">
        <w:rPr>
          <w:bCs/>
          <w:i/>
        </w:rPr>
        <w:t>International Covenant on Civil and Political Rights</w:t>
      </w:r>
      <w:r w:rsidRPr="001F23B8">
        <w:rPr>
          <w:bCs/>
          <w:iCs/>
        </w:rPr>
        <w:t xml:space="preserve"> (the equivalent right to section 13 of the HR Act): </w:t>
      </w:r>
    </w:p>
    <w:p w14:paraId="08363012" w14:textId="77777777" w:rsidR="007315B0" w:rsidRPr="001F23B8" w:rsidRDefault="007315B0" w:rsidP="004C3712">
      <w:pPr>
        <w:pStyle w:val="ListParagraph"/>
        <w:keepNext w:val="0"/>
        <w:numPr>
          <w:ilvl w:val="0"/>
          <w:numId w:val="0"/>
        </w:numPr>
        <w:spacing w:after="200"/>
        <w:ind w:left="360"/>
        <w:rPr>
          <w:i/>
        </w:rPr>
      </w:pPr>
      <w:r w:rsidRPr="001F23B8">
        <w:rPr>
          <w:bCs/>
          <w:i/>
        </w:rPr>
        <w:t>‘the rights to liberty and freedom of movement shall not be subject to any restrictions except those which are provided by law, are necessary to protect national security, public order, public health or morals or the rights or freedoms of others and are consistent with the other rights recognised in the Covenant.’</w:t>
      </w:r>
    </w:p>
    <w:p w14:paraId="42D0E52C" w14:textId="295BF3CC" w:rsidR="007315B0" w:rsidRDefault="007315B0" w:rsidP="004C3712">
      <w:pPr>
        <w:keepNext w:val="0"/>
        <w:rPr>
          <w:iCs/>
        </w:rPr>
      </w:pPr>
      <w:r w:rsidRPr="001F23B8">
        <w:rPr>
          <w:iCs/>
        </w:rPr>
        <w:t xml:space="preserve">This right is </w:t>
      </w:r>
      <w:r w:rsidR="00176603">
        <w:rPr>
          <w:iCs/>
        </w:rPr>
        <w:t xml:space="preserve">engaged and limited for any offenders who are placed on the register due to their conviction of the Commonwealth offence. It is noted that the limitations on this right exist already for all registered offenders and this has previously been justified as part of the development of the registered offender scheme. </w:t>
      </w:r>
      <w:r w:rsidRPr="001F23B8">
        <w:rPr>
          <w:iCs/>
        </w:rPr>
        <w:t xml:space="preserve"> </w:t>
      </w:r>
    </w:p>
    <w:p w14:paraId="5BF5AFB4" w14:textId="0E13D49F" w:rsidR="00176603" w:rsidRDefault="00176603" w:rsidP="004C3712">
      <w:pPr>
        <w:keepNext w:val="0"/>
        <w:rPr>
          <w:iCs/>
        </w:rPr>
      </w:pPr>
      <w:r w:rsidRPr="001F23B8">
        <w:rPr>
          <w:iCs/>
        </w:rPr>
        <w:t>Th</w:t>
      </w:r>
      <w:r w:rsidR="0006222B">
        <w:rPr>
          <w:iCs/>
        </w:rPr>
        <w:t>e</w:t>
      </w:r>
      <w:r w:rsidRPr="001F23B8">
        <w:rPr>
          <w:iCs/>
        </w:rPr>
        <w:t xml:space="preserve"> amendments proposed engage and limit the right to freedom of movement of people convicted of the Commonwealth offence of possession of a child-like sex doll, as registration </w:t>
      </w:r>
      <w:r w:rsidR="0006222B">
        <w:rPr>
          <w:iCs/>
        </w:rPr>
        <w:t xml:space="preserve">on the basis that a person is a risk </w:t>
      </w:r>
      <w:r w:rsidR="00FC31B1">
        <w:rPr>
          <w:iCs/>
        </w:rPr>
        <w:t xml:space="preserve">to </w:t>
      </w:r>
      <w:r w:rsidR="0006222B">
        <w:rPr>
          <w:iCs/>
        </w:rPr>
        <w:t xml:space="preserve">the </w:t>
      </w:r>
      <w:r w:rsidR="00A60A4A">
        <w:rPr>
          <w:iCs/>
        </w:rPr>
        <w:t xml:space="preserve">lives or </w:t>
      </w:r>
      <w:r w:rsidR="0006222B">
        <w:rPr>
          <w:iCs/>
        </w:rPr>
        <w:t>sexual safety of children</w:t>
      </w:r>
      <w:r w:rsidRPr="001F23B8">
        <w:rPr>
          <w:iCs/>
        </w:rPr>
        <w:t xml:space="preserve"> has a significant impact on the right to freedom of movement by imposing </w:t>
      </w:r>
      <w:r w:rsidR="0006222B">
        <w:rPr>
          <w:iCs/>
        </w:rPr>
        <w:t>a range of restrictions and reporting requirements</w:t>
      </w:r>
      <w:r w:rsidRPr="001F23B8">
        <w:rPr>
          <w:iCs/>
        </w:rPr>
        <w:t>.</w:t>
      </w:r>
    </w:p>
    <w:p w14:paraId="0262026F" w14:textId="7BC6F558" w:rsidR="00D4621F" w:rsidRDefault="00D4621F" w:rsidP="00D4621F">
      <w:pPr>
        <w:pStyle w:val="Heading7"/>
      </w:pPr>
      <w:r w:rsidRPr="0014193A">
        <w:t>Right</w:t>
      </w:r>
      <w:r>
        <w:t xml:space="preserve"> to work</w:t>
      </w:r>
    </w:p>
    <w:p w14:paraId="236A04E1" w14:textId="5C16ED0A" w:rsidR="00D4621F" w:rsidRDefault="00D4621F" w:rsidP="00D4621F">
      <w:pPr>
        <w:keepNext w:val="0"/>
      </w:pPr>
      <w:r>
        <w:t>Section 27B of the HR Act provides that:</w:t>
      </w:r>
    </w:p>
    <w:p w14:paraId="2CFD5553" w14:textId="157A1122" w:rsidR="00D4621F" w:rsidRPr="00D4621F" w:rsidRDefault="00D4621F" w:rsidP="00123BAA">
      <w:pPr>
        <w:pStyle w:val="ListParagraph"/>
        <w:keepNext w:val="0"/>
        <w:numPr>
          <w:ilvl w:val="0"/>
          <w:numId w:val="23"/>
        </w:numPr>
        <w:rPr>
          <w:iCs/>
          <w:sz w:val="20"/>
          <w:szCs w:val="20"/>
        </w:rPr>
      </w:pPr>
      <w:r w:rsidRPr="00D4621F">
        <w:rPr>
          <w:iCs/>
          <w:sz w:val="20"/>
          <w:szCs w:val="20"/>
        </w:rPr>
        <w:t>Everyone has the right to work, including the right to choose their occupation or profession freely. The practice of a trade, occupation or profession may be regulated by law.</w:t>
      </w:r>
    </w:p>
    <w:p w14:paraId="0DBF1E7B" w14:textId="41D0102B" w:rsidR="00D4621F" w:rsidRPr="00D4621F" w:rsidRDefault="00D4621F" w:rsidP="00123BAA">
      <w:pPr>
        <w:pStyle w:val="ListParagraph"/>
        <w:keepNext w:val="0"/>
        <w:numPr>
          <w:ilvl w:val="0"/>
          <w:numId w:val="23"/>
        </w:numPr>
        <w:rPr>
          <w:iCs/>
          <w:sz w:val="20"/>
          <w:szCs w:val="20"/>
        </w:rPr>
      </w:pPr>
      <w:r w:rsidRPr="00D4621F">
        <w:rPr>
          <w:iCs/>
          <w:sz w:val="20"/>
          <w:szCs w:val="20"/>
        </w:rPr>
        <w:t>Everyone has the right to the enjoyment of just and favourable conditions of work.</w:t>
      </w:r>
    </w:p>
    <w:p w14:paraId="251130DA" w14:textId="753AEF16" w:rsidR="00D4621F" w:rsidRPr="00D4621F" w:rsidRDefault="00D4621F" w:rsidP="00123BAA">
      <w:pPr>
        <w:pStyle w:val="ListParagraph"/>
        <w:keepNext w:val="0"/>
        <w:numPr>
          <w:ilvl w:val="0"/>
          <w:numId w:val="23"/>
        </w:numPr>
        <w:rPr>
          <w:iCs/>
          <w:sz w:val="20"/>
          <w:szCs w:val="20"/>
        </w:rPr>
      </w:pPr>
      <w:r w:rsidRPr="00D4621F">
        <w:rPr>
          <w:iCs/>
          <w:sz w:val="20"/>
          <w:szCs w:val="20"/>
        </w:rPr>
        <w:t>Everyone has the right to form or join a work - related organisation, including a trade union, with the objective of promoting or protecting their economic or other social interests.</w:t>
      </w:r>
    </w:p>
    <w:p w14:paraId="5364788F" w14:textId="6EFACDC8" w:rsidR="00D4621F" w:rsidRPr="00D4621F" w:rsidRDefault="00D4621F" w:rsidP="00123BAA">
      <w:pPr>
        <w:pStyle w:val="ListParagraph"/>
        <w:keepNext w:val="0"/>
        <w:numPr>
          <w:ilvl w:val="0"/>
          <w:numId w:val="23"/>
        </w:numPr>
        <w:rPr>
          <w:iCs/>
          <w:sz w:val="20"/>
          <w:szCs w:val="20"/>
        </w:rPr>
      </w:pPr>
      <w:r w:rsidRPr="00D4621F">
        <w:rPr>
          <w:iCs/>
          <w:sz w:val="20"/>
          <w:szCs w:val="20"/>
        </w:rPr>
        <w:t>Everyone has the right to protection against acts of anti-union discrimination in relation to their employment.</w:t>
      </w:r>
    </w:p>
    <w:p w14:paraId="76906F9F" w14:textId="26B55191" w:rsidR="00D4621F" w:rsidRPr="00D4621F" w:rsidRDefault="00D4621F" w:rsidP="00123BAA">
      <w:pPr>
        <w:pStyle w:val="ListParagraph"/>
        <w:keepNext w:val="0"/>
        <w:numPr>
          <w:ilvl w:val="0"/>
          <w:numId w:val="23"/>
        </w:numPr>
        <w:rPr>
          <w:iCs/>
          <w:sz w:val="20"/>
          <w:szCs w:val="20"/>
        </w:rPr>
      </w:pPr>
      <w:r w:rsidRPr="00D4621F">
        <w:rPr>
          <w:iCs/>
          <w:sz w:val="20"/>
          <w:szCs w:val="20"/>
        </w:rPr>
        <w:t>Everyone is entitled to enjoy these rights without discrimination</w:t>
      </w:r>
    </w:p>
    <w:p w14:paraId="1802B32F" w14:textId="3E6EFD46" w:rsidR="00D4621F" w:rsidRDefault="00D4621F" w:rsidP="00D4621F">
      <w:pPr>
        <w:rPr>
          <w:bCs/>
          <w:iCs/>
        </w:rPr>
      </w:pPr>
      <w:r>
        <w:lastRenderedPageBreak/>
        <w:t>The right to work is reflected in Article 6 (1) of the International Covenant on Economic, Social and Cultural Rights (ICESCR). The UN Committee on Economic, Social and Cultural Rights has stated that the right to work is essential for realising other human rights and forms an inseparable and inherent part of human dignity.</w:t>
      </w:r>
      <w:r>
        <w:rPr>
          <w:rStyle w:val="FootnoteReference"/>
        </w:rPr>
        <w:footnoteReference w:id="8"/>
      </w:r>
      <w:r>
        <w:t xml:space="preserve"> It encompasses all forms of work, including self-employment or dependent wage-paid work.</w:t>
      </w:r>
      <w:r>
        <w:rPr>
          <w:rStyle w:val="FootnoteReference"/>
        </w:rPr>
        <w:footnoteReference w:id="9"/>
      </w:r>
      <w:r>
        <w:t xml:space="preserve"> It includes freedom to choose and accept work where it is available, the right not to be unfairly deprived of work (including on discriminatory grounds), an implied prohibition on forced labour, and the obligation to provide for a system of access to employment or employment opportunities progressively over time. </w:t>
      </w:r>
      <w:r w:rsidRPr="001F23B8">
        <w:rPr>
          <w:iCs/>
        </w:rPr>
        <w:t xml:space="preserve">This right is not absolute </w:t>
      </w:r>
      <w:r w:rsidRPr="001F23B8">
        <w:rPr>
          <w:bCs/>
          <w:iCs/>
        </w:rPr>
        <w:t>and so may be subject to reasonable limitations pursuant to section 28 of the HR Act.</w:t>
      </w:r>
    </w:p>
    <w:p w14:paraId="6D1BA18C" w14:textId="0E3F2A37" w:rsidR="00D4621F" w:rsidRDefault="00D4621F" w:rsidP="00D4621F">
      <w:pPr>
        <w:keepNext w:val="0"/>
        <w:rPr>
          <w:iCs/>
        </w:rPr>
      </w:pPr>
      <w:r w:rsidRPr="001F23B8">
        <w:rPr>
          <w:iCs/>
        </w:rPr>
        <w:t xml:space="preserve">This right is </w:t>
      </w:r>
      <w:r>
        <w:rPr>
          <w:iCs/>
        </w:rPr>
        <w:t xml:space="preserve">engaged and limited for any offenders who are placed on the register due to their conviction of the Commonwealth offence. </w:t>
      </w:r>
      <w:r w:rsidRPr="001F23B8">
        <w:rPr>
          <w:iCs/>
        </w:rPr>
        <w:t>Th</w:t>
      </w:r>
      <w:r>
        <w:rPr>
          <w:iCs/>
        </w:rPr>
        <w:t>e</w:t>
      </w:r>
      <w:r w:rsidRPr="001F23B8">
        <w:rPr>
          <w:iCs/>
        </w:rPr>
        <w:t xml:space="preserve"> amendments proposed engage and limit the right</w:t>
      </w:r>
      <w:r>
        <w:rPr>
          <w:iCs/>
        </w:rPr>
        <w:t xml:space="preserve">s of people convicted of a sexual offence against children </w:t>
      </w:r>
      <w:r w:rsidR="00D43246">
        <w:rPr>
          <w:iCs/>
        </w:rPr>
        <w:t xml:space="preserve">from working in employment with children. In relation to the specific amendment contained in this Bill, </w:t>
      </w:r>
      <w:r w:rsidRPr="001F23B8">
        <w:rPr>
          <w:iCs/>
        </w:rPr>
        <w:t>people convicted of the Commonwealth offence of possession of a child-like sex doll,</w:t>
      </w:r>
      <w:r w:rsidR="00D43246">
        <w:rPr>
          <w:iCs/>
        </w:rPr>
        <w:t xml:space="preserve"> who are also registered</w:t>
      </w:r>
      <w:r w:rsidRPr="001F23B8">
        <w:rPr>
          <w:iCs/>
        </w:rPr>
        <w:t xml:space="preserve"> </w:t>
      </w:r>
      <w:r>
        <w:rPr>
          <w:iCs/>
        </w:rPr>
        <w:t xml:space="preserve">on the basis that a person is a risk </w:t>
      </w:r>
      <w:r w:rsidR="00707CB6">
        <w:rPr>
          <w:iCs/>
        </w:rPr>
        <w:t xml:space="preserve">to </w:t>
      </w:r>
      <w:r>
        <w:rPr>
          <w:iCs/>
        </w:rPr>
        <w:t>the lives or sexual safety of children</w:t>
      </w:r>
      <w:r w:rsidRPr="001F23B8">
        <w:rPr>
          <w:iCs/>
        </w:rPr>
        <w:t xml:space="preserve"> has a</w:t>
      </w:r>
      <w:r w:rsidR="00D43246">
        <w:rPr>
          <w:iCs/>
        </w:rPr>
        <w:t>n</w:t>
      </w:r>
      <w:r w:rsidRPr="001F23B8">
        <w:rPr>
          <w:iCs/>
        </w:rPr>
        <w:t xml:space="preserve"> impact on the right to </w:t>
      </w:r>
      <w:r w:rsidR="00D43246">
        <w:rPr>
          <w:iCs/>
        </w:rPr>
        <w:t>work</w:t>
      </w:r>
      <w:r w:rsidRPr="001F23B8">
        <w:rPr>
          <w:iCs/>
        </w:rPr>
        <w:t xml:space="preserve"> by imposing </w:t>
      </w:r>
      <w:r>
        <w:rPr>
          <w:iCs/>
        </w:rPr>
        <w:t xml:space="preserve">a </w:t>
      </w:r>
      <w:r w:rsidR="00D43246">
        <w:rPr>
          <w:iCs/>
        </w:rPr>
        <w:t>restriction that the registered offender is prohibited from working with children.</w:t>
      </w:r>
    </w:p>
    <w:p w14:paraId="220CD5FC" w14:textId="76408D5E" w:rsidR="002070A2" w:rsidRPr="00825FC8" w:rsidRDefault="00050F68" w:rsidP="00F023B7">
      <w:pPr>
        <w:rPr>
          <w:b/>
          <w:bCs/>
          <w:i/>
          <w:iCs/>
        </w:rPr>
      </w:pPr>
      <w:r w:rsidRPr="00825FC8">
        <w:rPr>
          <w:b/>
          <w:bCs/>
          <w:i/>
          <w:iCs/>
        </w:rPr>
        <w:t xml:space="preserve">2. </w:t>
      </w:r>
      <w:r w:rsidR="001E4E37" w:rsidRPr="00825FC8">
        <w:rPr>
          <w:b/>
          <w:bCs/>
          <w:i/>
          <w:iCs/>
        </w:rPr>
        <w:t>Legitimate purpose</w:t>
      </w:r>
      <w:r w:rsidR="002070A2" w:rsidRPr="00825FC8">
        <w:rPr>
          <w:b/>
          <w:bCs/>
          <w:i/>
          <w:iCs/>
        </w:rPr>
        <w:t xml:space="preserve"> (s 28 (2) (b))</w:t>
      </w:r>
    </w:p>
    <w:p w14:paraId="100027BA" w14:textId="46978B09" w:rsidR="007315B0" w:rsidRPr="007315B0" w:rsidRDefault="00C94BD4" w:rsidP="00F023B7">
      <w:pPr>
        <w:spacing w:after="200"/>
        <w:rPr>
          <w:iCs/>
        </w:rPr>
      </w:pPr>
      <w:r>
        <w:t>The purposes of the CSO Act are described at section 6 of the Act. The purposes are to:</w:t>
      </w:r>
    </w:p>
    <w:p w14:paraId="7100B6C6" w14:textId="4AFD7D09" w:rsidR="007315B0" w:rsidRPr="007315B0" w:rsidRDefault="007315B0" w:rsidP="00123BAA">
      <w:pPr>
        <w:pStyle w:val="ListParagraph"/>
        <w:keepNext w:val="0"/>
        <w:numPr>
          <w:ilvl w:val="1"/>
          <w:numId w:val="6"/>
        </w:numPr>
      </w:pPr>
      <w:r w:rsidRPr="007315B0">
        <w:t>reduc</w:t>
      </w:r>
      <w:r w:rsidR="00C94BD4">
        <w:t>e</w:t>
      </w:r>
      <w:r w:rsidRPr="007315B0">
        <w:t xml:space="preserve"> the likelihood that </w:t>
      </w:r>
      <w:r w:rsidR="00C94BD4">
        <w:t>certain offenders who commit sexual offences against children</w:t>
      </w:r>
      <w:r w:rsidRPr="007315B0">
        <w:t xml:space="preserve"> will reoffend;</w:t>
      </w:r>
    </w:p>
    <w:p w14:paraId="4370D093" w14:textId="79B2A732" w:rsidR="007315B0" w:rsidRPr="007315B0" w:rsidRDefault="00C94BD4" w:rsidP="00123BAA">
      <w:pPr>
        <w:pStyle w:val="ListParagraph"/>
        <w:keepNext w:val="0"/>
        <w:numPr>
          <w:ilvl w:val="1"/>
          <w:numId w:val="6"/>
        </w:numPr>
      </w:pPr>
      <w:r>
        <w:t>facilitate the investigation and prosecution of future offences that these offenders may commit</w:t>
      </w:r>
      <w:r w:rsidR="007315B0" w:rsidRPr="007315B0">
        <w:t xml:space="preserve">; </w:t>
      </w:r>
    </w:p>
    <w:p w14:paraId="59FE80FA" w14:textId="05EB02D4" w:rsidR="007315B0" w:rsidRPr="007315B0" w:rsidRDefault="00C94BD4" w:rsidP="00123BAA">
      <w:pPr>
        <w:pStyle w:val="ListParagraph"/>
        <w:keepNext w:val="0"/>
        <w:numPr>
          <w:ilvl w:val="1"/>
          <w:numId w:val="6"/>
        </w:numPr>
      </w:pPr>
      <w:r>
        <w:t>prevent registrable offenders from working in child related employment</w:t>
      </w:r>
      <w:r w:rsidR="007315B0" w:rsidRPr="007315B0">
        <w:t>; and</w:t>
      </w:r>
    </w:p>
    <w:p w14:paraId="6179E309" w14:textId="23D845E6" w:rsidR="00F93F43" w:rsidRDefault="00C94BD4" w:rsidP="00123BAA">
      <w:pPr>
        <w:pStyle w:val="ListParagraph"/>
        <w:keepNext w:val="0"/>
        <w:numPr>
          <w:ilvl w:val="1"/>
          <w:numId w:val="6"/>
        </w:numPr>
      </w:pPr>
      <w:r>
        <w:rPr>
          <w:sz w:val="23"/>
          <w:szCs w:val="23"/>
        </w:rPr>
        <w:t>prohibit registrable offenders from engaging in conduct that poses a risk to the lives or sexual safety of children</w:t>
      </w:r>
      <w:r w:rsidR="007315B0" w:rsidRPr="007315B0">
        <w:t>.</w:t>
      </w:r>
    </w:p>
    <w:p w14:paraId="58ABC6F0" w14:textId="29D09820" w:rsidR="00C94BD4" w:rsidRDefault="00C94BD4" w:rsidP="004C3712">
      <w:pPr>
        <w:keepNext w:val="0"/>
      </w:pPr>
      <w:r>
        <w:t>The scheme and the amendments</w:t>
      </w:r>
      <w:r w:rsidR="0006222B">
        <w:t xml:space="preserve"> proposed in the Bill</w:t>
      </w:r>
      <w:r>
        <w:t xml:space="preserve"> are directly linked to the purpose of reducing the likelihood that registrable offenders will re-offend</w:t>
      </w:r>
      <w:r w:rsidR="0006222B">
        <w:t xml:space="preserve">, including </w:t>
      </w:r>
      <w:r w:rsidR="0006222B">
        <w:lastRenderedPageBreak/>
        <w:t>any escalation of offending</w:t>
      </w:r>
      <w:r w:rsidR="00CB718F">
        <w:t>. Examples of escalation of offending include</w:t>
      </w:r>
      <w:r w:rsidR="0006222B">
        <w:t xml:space="preserve"> progressing from non-contact offences </w:t>
      </w:r>
      <w:r w:rsidR="00CB718F">
        <w:t>like</w:t>
      </w:r>
      <w:r w:rsidR="0006222B">
        <w:t xml:space="preserve"> possession of a child</w:t>
      </w:r>
      <w:r w:rsidR="00FC31B1">
        <w:t>-</w:t>
      </w:r>
      <w:r w:rsidR="0006222B">
        <w:t xml:space="preserve">like sex doll to contact offending, </w:t>
      </w:r>
      <w:r w:rsidR="00CB718F">
        <w:t>including</w:t>
      </w:r>
      <w:r w:rsidR="0006222B">
        <w:t xml:space="preserve"> indecent or sexual assault of children</w:t>
      </w:r>
      <w:r>
        <w:t xml:space="preserve">. It </w:t>
      </w:r>
      <w:r w:rsidR="0006222B">
        <w:t>reflects the expectation of the community that laws support</w:t>
      </w:r>
      <w:r>
        <w:t xml:space="preserve"> the safety and protection of children from sexual assault and violence. </w:t>
      </w:r>
    </w:p>
    <w:p w14:paraId="01703C71" w14:textId="5AEBEC57" w:rsidR="002C1159" w:rsidRDefault="002C1159" w:rsidP="004721B3">
      <w:r>
        <w:t>The recidivism rates of sex offenders were analysed in a 2007 research paper for the Victorian Sentencing Advisory Council.</w:t>
      </w:r>
      <w:r>
        <w:rPr>
          <w:rStyle w:val="FootnoteReference"/>
        </w:rPr>
        <w:footnoteReference w:id="10"/>
      </w:r>
      <w:r>
        <w:t xml:space="preserve"> The paper examined a 2002 Western Australia study of male sex offenders which found that by the end of the seventh year of follow-up, 10.7% of the sex offenders had been arrested for a sexual offence as their first arrest after release, 16.8% had been arrested for a violent offence and 49.7% had been arrested for any criminal offence.</w:t>
      </w:r>
      <w:r>
        <w:rPr>
          <w:rStyle w:val="FootnoteReference"/>
        </w:rPr>
        <w:footnoteReference w:id="11"/>
      </w:r>
      <w:r>
        <w:t xml:space="preserve"> This study was in relation to all sex offences, not specifically child sex offences. </w:t>
      </w:r>
    </w:p>
    <w:p w14:paraId="49CB6250" w14:textId="102FFEEF" w:rsidR="002C1159" w:rsidRDefault="002C1159" w:rsidP="004721B3">
      <w:r>
        <w:t>The September 2011 ‘Trends &amp; Issues in crime and criminal justice’ paper published by the Australian Institute of Criminology focussed on ‘misconceptions about child sex offenders.</w:t>
      </w:r>
      <w:r w:rsidR="00566CF6">
        <w:t>’</w:t>
      </w:r>
      <w:r>
        <w:rPr>
          <w:rStyle w:val="FootnoteReference"/>
        </w:rPr>
        <w:footnoteReference w:id="12"/>
      </w:r>
      <w:r>
        <w:t xml:space="preserve"> The paper discusses a study on recidivism rates amongst extra-familial child sex offenders over a </w:t>
      </w:r>
      <w:r w:rsidR="009248F6">
        <w:t>25-year</w:t>
      </w:r>
      <w:r>
        <w:t xml:space="preserve"> period. The study, conducted by Prentky et al, found that 52% of child sex offenders reoffended (they were charged with a further sex offence) in the 25 year at risk period following the original conviction. However, this study also notes the limitations of sex offender recidivism studies, and notes that the 52% recidivist figure could be higher.</w:t>
      </w:r>
      <w:r>
        <w:rPr>
          <w:rStyle w:val="FootnoteReference"/>
        </w:rPr>
        <w:footnoteReference w:id="13"/>
      </w:r>
      <w:r>
        <w:t xml:space="preserve">      </w:t>
      </w:r>
    </w:p>
    <w:p w14:paraId="5A0B9F28" w14:textId="5E3E3844" w:rsidR="002C1159" w:rsidRDefault="002C1159" w:rsidP="00CB718F">
      <w:pPr>
        <w:keepNext w:val="0"/>
      </w:pPr>
      <w:r>
        <w:t xml:space="preserve">These statistics should be viewed with caution given the fact that child sex offences have very low rates of reporting, detection, arrest and successful prosecution. However, what can be said is that the research indicates that a significant proportion of child sex offenders will reoffend. </w:t>
      </w:r>
    </w:p>
    <w:p w14:paraId="1FC8C42C" w14:textId="741A7DE2" w:rsidR="00E312DE" w:rsidRPr="00050F68" w:rsidRDefault="00E312DE" w:rsidP="00CB718F">
      <w:pPr>
        <w:keepNext w:val="0"/>
      </w:pPr>
      <w:r w:rsidRPr="00E312DE">
        <w:rPr>
          <w:iCs/>
          <w:lang w:eastAsia="en-AU"/>
        </w:rPr>
        <w:t>The Australian Institute of Criminology (AIC) has reported an increase in the number of child-like sex dolls detected at importation.</w:t>
      </w:r>
      <w:r w:rsidRPr="001F23B8">
        <w:rPr>
          <w:rStyle w:val="FootnoteReference"/>
          <w:iCs/>
          <w:lang w:eastAsia="en-AU"/>
        </w:rPr>
        <w:footnoteReference w:id="14"/>
      </w:r>
      <w:r w:rsidRPr="00E312DE">
        <w:rPr>
          <w:iCs/>
          <w:lang w:eastAsia="en-AU"/>
        </w:rPr>
        <w:t xml:space="preserve"> The AIC noted that the use of child-like sex dolls may entrench an offender’s sexual objectification of children and may form part of an escalation towards more extreme behaviour.</w:t>
      </w:r>
      <w:r w:rsidRPr="001F23B8">
        <w:rPr>
          <w:rStyle w:val="FootnoteReference"/>
          <w:iCs/>
          <w:lang w:eastAsia="en-AU"/>
        </w:rPr>
        <w:footnoteReference w:id="15"/>
      </w:r>
    </w:p>
    <w:p w14:paraId="28173187" w14:textId="35D2BD43" w:rsidR="002070A2" w:rsidRPr="00825FC8" w:rsidRDefault="00050F68" w:rsidP="003C50AF">
      <w:pPr>
        <w:keepNext w:val="0"/>
        <w:rPr>
          <w:b/>
          <w:bCs/>
          <w:i/>
          <w:iCs/>
        </w:rPr>
      </w:pPr>
      <w:r w:rsidRPr="00825FC8">
        <w:rPr>
          <w:b/>
          <w:bCs/>
          <w:i/>
          <w:iCs/>
        </w:rPr>
        <w:lastRenderedPageBreak/>
        <w:t xml:space="preserve">3. </w:t>
      </w:r>
      <w:r w:rsidR="00C2292D" w:rsidRPr="00825FC8">
        <w:rPr>
          <w:b/>
          <w:bCs/>
          <w:i/>
          <w:iCs/>
        </w:rPr>
        <w:t>Rational connection</w:t>
      </w:r>
      <w:r w:rsidRPr="00825FC8">
        <w:rPr>
          <w:b/>
          <w:bCs/>
          <w:i/>
          <w:iCs/>
        </w:rPr>
        <w:t xml:space="preserve"> between the limitation and the purpose</w:t>
      </w:r>
      <w:r w:rsidR="00ED12EC" w:rsidRPr="00825FC8">
        <w:rPr>
          <w:b/>
          <w:bCs/>
          <w:i/>
          <w:iCs/>
        </w:rPr>
        <w:t xml:space="preserve"> </w:t>
      </w:r>
      <w:r w:rsidR="002070A2" w:rsidRPr="00825FC8">
        <w:rPr>
          <w:b/>
          <w:bCs/>
          <w:i/>
          <w:iCs/>
        </w:rPr>
        <w:t>(s 28 (2) (d))</w:t>
      </w:r>
    </w:p>
    <w:p w14:paraId="0499C701" w14:textId="659968E6" w:rsidR="00E312DE" w:rsidRPr="00E312DE" w:rsidRDefault="00E312DE" w:rsidP="00E312DE">
      <w:pPr>
        <w:spacing w:after="200"/>
        <w:rPr>
          <w:iCs/>
        </w:rPr>
      </w:pPr>
      <w:r w:rsidRPr="00E312DE">
        <w:rPr>
          <w:iCs/>
        </w:rPr>
        <w:t xml:space="preserve">There is a rational connection between the limitation </w:t>
      </w:r>
      <w:r w:rsidR="00FC31B1">
        <w:rPr>
          <w:iCs/>
        </w:rPr>
        <w:t xml:space="preserve">on rights </w:t>
      </w:r>
      <w:r w:rsidRPr="00E312DE">
        <w:rPr>
          <w:iCs/>
        </w:rPr>
        <w:t>and the purpose</w:t>
      </w:r>
      <w:r w:rsidR="00FC31B1">
        <w:rPr>
          <w:iCs/>
        </w:rPr>
        <w:t xml:space="preserve"> of the amendments</w:t>
      </w:r>
      <w:r w:rsidRPr="00E312DE">
        <w:rPr>
          <w:iCs/>
        </w:rPr>
        <w:t xml:space="preserve">. </w:t>
      </w:r>
    </w:p>
    <w:p w14:paraId="1A741C13" w14:textId="3356AA5E" w:rsidR="00E312DE" w:rsidRPr="0014193A" w:rsidRDefault="006C5FA0" w:rsidP="00E312DE">
      <w:pPr>
        <w:spacing w:after="200"/>
        <w:rPr>
          <w:iCs/>
        </w:rPr>
      </w:pPr>
      <w:r>
        <w:rPr>
          <w:iCs/>
        </w:rPr>
        <w:t xml:space="preserve">Adding the Commonwealth offence to the list of Schedule 2 registrable offences is directly </w:t>
      </w:r>
      <w:r w:rsidR="00E312DE">
        <w:t>related to the purpose of protecting children</w:t>
      </w:r>
      <w:r w:rsidR="00CB718F">
        <w:t>.</w:t>
      </w:r>
      <w:r w:rsidR="00E312DE">
        <w:t xml:space="preserve"> </w:t>
      </w:r>
      <w:r w:rsidR="00CB718F">
        <w:t>T</w:t>
      </w:r>
      <w:r w:rsidR="00E312DE">
        <w:t>he limitations aim to reduce the likelihood that a person will reoffend</w:t>
      </w:r>
      <w:r w:rsidR="00A75CED">
        <w:t>, including an escalation of offending</w:t>
      </w:r>
      <w:r w:rsidR="00E312DE">
        <w:t>,</w:t>
      </w:r>
      <w:r w:rsidR="00A75CED">
        <w:t xml:space="preserve"> and</w:t>
      </w:r>
      <w:r w:rsidR="00E312DE">
        <w:t xml:space="preserve"> can facilitate the investigation and prosecution of child sex offences and mitigate the risk of an offender to the lives or sexual safety of children. </w:t>
      </w:r>
    </w:p>
    <w:p w14:paraId="344FB67A" w14:textId="1ED2B3F0" w:rsidR="006C5FA0" w:rsidRDefault="00E312DE" w:rsidP="00CB718F">
      <w:pPr>
        <w:keepNext w:val="0"/>
        <w:spacing w:after="200"/>
        <w:rPr>
          <w:iCs/>
        </w:rPr>
      </w:pPr>
      <w:r w:rsidRPr="00E312DE">
        <w:rPr>
          <w:iCs/>
        </w:rPr>
        <w:t>For example, based on the findings of the AIC, a conviction for the possession of a child-like sex doll can indicate that the person poses a risk to the lives or sexual safety of children, and a willingness to act on this despite legal and other risks of doing so. Therefore</w:t>
      </w:r>
      <w:r w:rsidR="00CB718F">
        <w:rPr>
          <w:iCs/>
        </w:rPr>
        <w:t>,</w:t>
      </w:r>
      <w:r w:rsidRPr="00E312DE">
        <w:rPr>
          <w:iCs/>
        </w:rPr>
        <w:t xml:space="preserve"> the requirement to register on the Child Sex Offenders Register for </w:t>
      </w:r>
      <w:r w:rsidR="006C5FA0">
        <w:rPr>
          <w:iCs/>
        </w:rPr>
        <w:t>people</w:t>
      </w:r>
      <w:r w:rsidR="006C5FA0" w:rsidRPr="00E312DE">
        <w:rPr>
          <w:iCs/>
        </w:rPr>
        <w:t xml:space="preserve"> </w:t>
      </w:r>
      <w:r w:rsidRPr="00E312DE">
        <w:rPr>
          <w:iCs/>
        </w:rPr>
        <w:t>convicted of the Commonwealth offence of possession of a child-like sex doll is related to the aim of the protection of children</w:t>
      </w:r>
      <w:r w:rsidR="006C5FA0">
        <w:rPr>
          <w:iCs/>
        </w:rPr>
        <w:t xml:space="preserve">. </w:t>
      </w:r>
    </w:p>
    <w:p w14:paraId="1AD6750E" w14:textId="27D6A1FE" w:rsidR="00E312DE" w:rsidRPr="00E312DE" w:rsidRDefault="00A72C82" w:rsidP="00CB718F">
      <w:pPr>
        <w:keepNext w:val="0"/>
        <w:spacing w:after="200"/>
        <w:rPr>
          <w:iCs/>
        </w:rPr>
      </w:pPr>
      <w:r>
        <w:rPr>
          <w:iCs/>
        </w:rPr>
        <w:t>The imposition of conditions which l</w:t>
      </w:r>
      <w:r w:rsidR="006C5FA0">
        <w:rPr>
          <w:iCs/>
        </w:rPr>
        <w:t>imit</w:t>
      </w:r>
      <w:r>
        <w:rPr>
          <w:iCs/>
        </w:rPr>
        <w:t xml:space="preserve"> </w:t>
      </w:r>
      <w:r w:rsidR="00E312DE" w:rsidRPr="00E312DE">
        <w:rPr>
          <w:iCs/>
        </w:rPr>
        <w:t>an offender’s freedom of movement</w:t>
      </w:r>
      <w:r w:rsidR="006C5FA0">
        <w:rPr>
          <w:iCs/>
        </w:rPr>
        <w:t>, privacy</w:t>
      </w:r>
      <w:r w:rsidR="00D43246">
        <w:rPr>
          <w:iCs/>
        </w:rPr>
        <w:t>,</w:t>
      </w:r>
      <w:r w:rsidR="006C5FA0">
        <w:rPr>
          <w:iCs/>
        </w:rPr>
        <w:t xml:space="preserve"> equality before the law</w:t>
      </w:r>
      <w:r w:rsidR="00D43246">
        <w:rPr>
          <w:iCs/>
        </w:rPr>
        <w:t xml:space="preserve"> and right to work with children</w:t>
      </w:r>
      <w:r w:rsidR="00E312DE" w:rsidRPr="00E312DE">
        <w:rPr>
          <w:iCs/>
        </w:rPr>
        <w:t xml:space="preserve"> is a fundamental aspect of the child sex offenders registration scheme and its aim of protecting children</w:t>
      </w:r>
      <w:r w:rsidR="006C5FA0">
        <w:rPr>
          <w:iCs/>
        </w:rPr>
        <w:t xml:space="preserve"> from people who</w:t>
      </w:r>
      <w:r>
        <w:rPr>
          <w:iCs/>
        </w:rPr>
        <w:t xml:space="preserve"> have offended in a way which makes them a risk of</w:t>
      </w:r>
      <w:r w:rsidR="006C5FA0">
        <w:rPr>
          <w:iCs/>
        </w:rPr>
        <w:t xml:space="preserve"> sexually offend</w:t>
      </w:r>
      <w:r>
        <w:rPr>
          <w:iCs/>
        </w:rPr>
        <w:t>ing</w:t>
      </w:r>
      <w:r w:rsidR="006C5FA0">
        <w:rPr>
          <w:iCs/>
        </w:rPr>
        <w:t xml:space="preserve"> against children</w:t>
      </w:r>
      <w:r w:rsidR="00E312DE" w:rsidRPr="00E312DE">
        <w:rPr>
          <w:iCs/>
        </w:rPr>
        <w:t>. Th</w:t>
      </w:r>
      <w:r>
        <w:rPr>
          <w:iCs/>
        </w:rPr>
        <w:t>ese</w:t>
      </w:r>
      <w:r w:rsidR="00E312DE" w:rsidRPr="00E312DE">
        <w:rPr>
          <w:iCs/>
        </w:rPr>
        <w:t xml:space="preserve"> limitation</w:t>
      </w:r>
      <w:r>
        <w:rPr>
          <w:iCs/>
        </w:rPr>
        <w:t>s</w:t>
      </w:r>
      <w:r w:rsidR="00E312DE" w:rsidRPr="00E312DE">
        <w:rPr>
          <w:iCs/>
        </w:rPr>
        <w:t xml:space="preserve"> allow police to monitor registrable offenders in order to protect the lives and sexual safety of children in the ACT and across other Australian jurisdictions. It is thereby rationally connected to the legitimate legislative aim of protecting children.</w:t>
      </w:r>
    </w:p>
    <w:p w14:paraId="029CA5AE" w14:textId="234E4266" w:rsidR="002070A2" w:rsidRPr="00825FC8" w:rsidRDefault="00050F68" w:rsidP="00CB718F">
      <w:pPr>
        <w:keepNext w:val="0"/>
        <w:rPr>
          <w:b/>
          <w:bCs/>
          <w:i/>
          <w:iCs/>
        </w:rPr>
      </w:pPr>
      <w:r w:rsidRPr="00825FC8">
        <w:rPr>
          <w:b/>
          <w:bCs/>
          <w:i/>
          <w:iCs/>
        </w:rPr>
        <w:t xml:space="preserve">4. </w:t>
      </w:r>
      <w:r w:rsidR="001E4E37" w:rsidRPr="00825FC8">
        <w:rPr>
          <w:b/>
          <w:bCs/>
          <w:i/>
          <w:iCs/>
        </w:rPr>
        <w:t>Proportionality</w:t>
      </w:r>
      <w:r w:rsidR="002070A2" w:rsidRPr="00825FC8">
        <w:rPr>
          <w:b/>
          <w:bCs/>
          <w:i/>
          <w:iCs/>
        </w:rPr>
        <w:t xml:space="preserve"> (s 28 (2) (e))</w:t>
      </w:r>
    </w:p>
    <w:p w14:paraId="3EFBBF30" w14:textId="14431D3A" w:rsidR="00E312DE" w:rsidRDefault="00E312DE" w:rsidP="00CB718F">
      <w:pPr>
        <w:keepNext w:val="0"/>
        <w:rPr>
          <w:iCs/>
        </w:rPr>
      </w:pPr>
      <w:r>
        <w:rPr>
          <w:iCs/>
        </w:rPr>
        <w:t xml:space="preserve">There are </w:t>
      </w:r>
      <w:r w:rsidR="008E01D9">
        <w:rPr>
          <w:iCs/>
        </w:rPr>
        <w:t xml:space="preserve">existing </w:t>
      </w:r>
      <w:r>
        <w:rPr>
          <w:iCs/>
        </w:rPr>
        <w:t xml:space="preserve">privacy and security safeguards in place </w:t>
      </w:r>
      <w:r w:rsidR="008E01D9">
        <w:rPr>
          <w:iCs/>
        </w:rPr>
        <w:t>which were buil</w:t>
      </w:r>
      <w:r w:rsidR="00AC6654">
        <w:rPr>
          <w:iCs/>
        </w:rPr>
        <w:t>t</w:t>
      </w:r>
      <w:r w:rsidR="008E01D9">
        <w:rPr>
          <w:iCs/>
        </w:rPr>
        <w:t xml:space="preserve"> into the CSO Act when the regist</w:t>
      </w:r>
      <w:r w:rsidR="00071530">
        <w:rPr>
          <w:iCs/>
        </w:rPr>
        <w:t>ration scheme was developed.</w:t>
      </w:r>
    </w:p>
    <w:p w14:paraId="20628927" w14:textId="151BA37A" w:rsidR="00E705C0" w:rsidRDefault="00A72C82" w:rsidP="00CB718F">
      <w:pPr>
        <w:keepNext w:val="0"/>
      </w:pPr>
      <w:r>
        <w:t>I</w:t>
      </w:r>
      <w:r w:rsidR="00E705C0">
        <w:t>n balancing the respective rights of children</w:t>
      </w:r>
      <w:r w:rsidR="00AB47CB">
        <w:t xml:space="preserve"> </w:t>
      </w:r>
      <w:r w:rsidR="00E705C0">
        <w:t>and registrable offenders, these amendments do not unreasonably or unnecessarily infringe on the human rights of offenders. This is because the ACT’s children are entitled to special protections because of their status as children.</w:t>
      </w:r>
    </w:p>
    <w:p w14:paraId="642E7E27" w14:textId="495A2BE7" w:rsidR="00F023B7" w:rsidRPr="00FB7FE6" w:rsidRDefault="00F023B7" w:rsidP="00CB718F">
      <w:pPr>
        <w:keepNext w:val="0"/>
      </w:pPr>
      <w:r>
        <w:t xml:space="preserve">Under section 9 </w:t>
      </w:r>
      <w:r>
        <w:rPr>
          <w:iCs/>
        </w:rPr>
        <w:t>of the CSO Act and the amendments made by the Bill, the requirement to register following conviction for the class 2 offence (possession of a child</w:t>
      </w:r>
      <w:r w:rsidR="00FC31B1">
        <w:rPr>
          <w:iCs/>
        </w:rPr>
        <w:t>-</w:t>
      </w:r>
      <w:r>
        <w:rPr>
          <w:iCs/>
        </w:rPr>
        <w:t xml:space="preserve">like sex doll) only applies to offenders: </w:t>
      </w:r>
    </w:p>
    <w:p w14:paraId="66AA7E26" w14:textId="77777777" w:rsidR="00F023B7" w:rsidRDefault="00F023B7" w:rsidP="00123BAA">
      <w:pPr>
        <w:pStyle w:val="ListParagraph"/>
        <w:keepNext w:val="0"/>
        <w:numPr>
          <w:ilvl w:val="0"/>
          <w:numId w:val="10"/>
        </w:numPr>
        <w:autoSpaceDE/>
        <w:autoSpaceDN/>
        <w:adjustRightInd/>
        <w:spacing w:before="0" w:after="200" w:line="240" w:lineRule="auto"/>
        <w:ind w:left="1077" w:hanging="357"/>
        <w:rPr>
          <w:iCs/>
        </w:rPr>
      </w:pPr>
      <w:r>
        <w:rPr>
          <w:iCs/>
        </w:rPr>
        <w:t xml:space="preserve">who </w:t>
      </w:r>
      <w:r w:rsidRPr="00BC08DB">
        <w:rPr>
          <w:iCs/>
        </w:rPr>
        <w:t>have been sentenced to a term of imprisonment</w:t>
      </w:r>
      <w:r>
        <w:rPr>
          <w:iCs/>
        </w:rPr>
        <w:t>; or</w:t>
      </w:r>
    </w:p>
    <w:p w14:paraId="35B66BCB" w14:textId="77777777" w:rsidR="00F023B7" w:rsidRDefault="00F023B7" w:rsidP="00123BAA">
      <w:pPr>
        <w:pStyle w:val="ListParagraph"/>
        <w:keepNext w:val="0"/>
        <w:numPr>
          <w:ilvl w:val="0"/>
          <w:numId w:val="10"/>
        </w:numPr>
        <w:autoSpaceDE/>
        <w:autoSpaceDN/>
        <w:adjustRightInd/>
        <w:spacing w:before="0" w:after="200" w:line="240" w:lineRule="auto"/>
        <w:ind w:left="1077" w:hanging="357"/>
        <w:rPr>
          <w:iCs/>
        </w:rPr>
      </w:pPr>
      <w:r>
        <w:rPr>
          <w:iCs/>
        </w:rPr>
        <w:t>whose sentence includes a requirement to be under supervision; or</w:t>
      </w:r>
    </w:p>
    <w:p w14:paraId="32522B7B" w14:textId="77777777" w:rsidR="00F023B7" w:rsidRDefault="00F023B7" w:rsidP="00123BAA">
      <w:pPr>
        <w:pStyle w:val="ListParagraph"/>
        <w:keepNext w:val="0"/>
        <w:numPr>
          <w:ilvl w:val="0"/>
          <w:numId w:val="10"/>
        </w:numPr>
        <w:autoSpaceDE/>
        <w:autoSpaceDN/>
        <w:adjustRightInd/>
        <w:spacing w:before="0" w:after="200" w:line="240" w:lineRule="auto"/>
        <w:ind w:left="1077" w:hanging="357"/>
        <w:rPr>
          <w:iCs/>
        </w:rPr>
      </w:pPr>
      <w:r>
        <w:rPr>
          <w:iCs/>
        </w:rPr>
        <w:t>who have been convicted of more than one registrable class 2 offence; and</w:t>
      </w:r>
    </w:p>
    <w:p w14:paraId="155AD445" w14:textId="77777777" w:rsidR="00F023B7" w:rsidRDefault="00F023B7" w:rsidP="00123BAA">
      <w:pPr>
        <w:pStyle w:val="ListParagraph"/>
        <w:keepNext w:val="0"/>
        <w:numPr>
          <w:ilvl w:val="0"/>
          <w:numId w:val="10"/>
        </w:numPr>
        <w:autoSpaceDE/>
        <w:autoSpaceDN/>
        <w:adjustRightInd/>
        <w:spacing w:before="0" w:after="200" w:line="240" w:lineRule="auto"/>
        <w:ind w:left="1077" w:hanging="357"/>
        <w:rPr>
          <w:iCs/>
        </w:rPr>
      </w:pPr>
      <w:r>
        <w:rPr>
          <w:iCs/>
        </w:rPr>
        <w:lastRenderedPageBreak/>
        <w:t>who have not satisfied the court that they are not a risk to the sexual safety of children.</w:t>
      </w:r>
    </w:p>
    <w:p w14:paraId="0C81D83F" w14:textId="77777777" w:rsidR="00D46112" w:rsidRDefault="00071530" w:rsidP="00D46112">
      <w:pPr>
        <w:keepNext w:val="0"/>
      </w:pPr>
      <w:r>
        <w:t>The</w:t>
      </w:r>
      <w:r w:rsidR="00334696">
        <w:t xml:space="preserve"> </w:t>
      </w:r>
      <w:r w:rsidR="00A72C82">
        <w:t xml:space="preserve">amendment </w:t>
      </w:r>
      <w:r w:rsidR="00CB718F">
        <w:t xml:space="preserve">that adds </w:t>
      </w:r>
      <w:r>
        <w:t>the Commonwealth offence as a registrable offence</w:t>
      </w:r>
      <w:r w:rsidR="00A72C82">
        <w:t xml:space="preserve"> includes an additional safeguard against unreasonable or disproportionate limitations, namely</w:t>
      </w:r>
      <w:r w:rsidR="00D46112">
        <w:t xml:space="preserve">: </w:t>
      </w:r>
    </w:p>
    <w:p w14:paraId="2D20F1D7" w14:textId="2353096C" w:rsidR="00071530" w:rsidRDefault="00071530" w:rsidP="00123BAA">
      <w:pPr>
        <w:pStyle w:val="ListParagraph"/>
        <w:keepNext w:val="0"/>
        <w:numPr>
          <w:ilvl w:val="0"/>
          <w:numId w:val="22"/>
        </w:numPr>
      </w:pPr>
      <w:r>
        <w:t xml:space="preserve">the ability for the offender to </w:t>
      </w:r>
      <w:r w:rsidR="00A72C82">
        <w:t xml:space="preserve">satisfy the court that </w:t>
      </w:r>
      <w:r>
        <w:t xml:space="preserve">they do not pose a risk to children, even if they have been convicted for </w:t>
      </w:r>
      <w:r w:rsidR="00A72C82">
        <w:t>one or mo</w:t>
      </w:r>
      <w:r w:rsidR="00334696">
        <w:t>r</w:t>
      </w:r>
      <w:r w:rsidR="00A72C82">
        <w:t xml:space="preserve">e </w:t>
      </w:r>
      <w:r>
        <w:t>offences of</w:t>
      </w:r>
      <w:r w:rsidR="00A72C82">
        <w:t xml:space="preserve"> possession of a child</w:t>
      </w:r>
      <w:r w:rsidR="00FC31B1">
        <w:t>-</w:t>
      </w:r>
      <w:r w:rsidR="00A72C82">
        <w:t>like sex doll.  This may be relevant in circumstances where</w:t>
      </w:r>
      <w:r w:rsidR="00D46112">
        <w:t>, for example,</w:t>
      </w:r>
      <w:r w:rsidR="00A72C82">
        <w:t xml:space="preserve"> the only reason for possession of the item was for financial gain, rather than any sexual gratification.</w:t>
      </w:r>
      <w:r w:rsidR="00D46112" w:rsidRPr="00D46112">
        <w:t xml:space="preserve"> </w:t>
      </w:r>
      <w:r w:rsidR="0039509F">
        <w:t>In such circumstances, t</w:t>
      </w:r>
      <w:r w:rsidR="00D46112">
        <w:t xml:space="preserve">he amendment </w:t>
      </w:r>
      <w:r w:rsidR="00A60A4A">
        <w:t xml:space="preserve">allows </w:t>
      </w:r>
      <w:r w:rsidR="0039509F">
        <w:t xml:space="preserve">for </w:t>
      </w:r>
      <w:r w:rsidR="00A60A4A">
        <w:t xml:space="preserve">a case-by-case assessment of the risk posed by the </w:t>
      </w:r>
      <w:r w:rsidR="0039509F">
        <w:t xml:space="preserve">individual </w:t>
      </w:r>
      <w:r w:rsidR="00A60A4A">
        <w:t xml:space="preserve">offender. </w:t>
      </w:r>
    </w:p>
    <w:p w14:paraId="221E4792" w14:textId="439D392B" w:rsidR="00E705C0" w:rsidRDefault="00E705C0" w:rsidP="00AC6654">
      <w:pPr>
        <w:keepNext w:val="0"/>
      </w:pPr>
      <w:r>
        <w:t xml:space="preserve">The presumption to include an offender on the register </w:t>
      </w:r>
      <w:r w:rsidR="00A72C82">
        <w:t>can be displaced and</w:t>
      </w:r>
      <w:r>
        <w:t xml:space="preserve"> allows for consideration</w:t>
      </w:r>
      <w:r w:rsidR="00A72C82">
        <w:t xml:space="preserve"> of the particular circumstances in which the offender came into possession of a child</w:t>
      </w:r>
      <w:r w:rsidR="00FC31B1">
        <w:t>-</w:t>
      </w:r>
      <w:r w:rsidR="00A72C82">
        <w:t>like sex doll and the offender’s motivation for possessing it, and the relevance of this to the risk the offender poses to the</w:t>
      </w:r>
      <w:r w:rsidR="00A60A4A">
        <w:t xml:space="preserve"> lives or</w:t>
      </w:r>
      <w:r w:rsidR="00A72C82">
        <w:t xml:space="preserve"> sexual safety of children.</w:t>
      </w:r>
      <w:r>
        <w:t xml:space="preserve"> </w:t>
      </w:r>
    </w:p>
    <w:p w14:paraId="14ACE63D" w14:textId="6A49C2F8" w:rsidR="00BC4030" w:rsidRDefault="00A72C82" w:rsidP="00AC6654">
      <w:pPr>
        <w:keepNext w:val="0"/>
        <w:rPr>
          <w:iCs/>
        </w:rPr>
      </w:pPr>
      <w:r>
        <w:t xml:space="preserve">This </w:t>
      </w:r>
      <w:r w:rsidR="00E705C0">
        <w:t>balances the</w:t>
      </w:r>
      <w:r w:rsidR="00BB2434">
        <w:t xml:space="preserve"> amendment to the legislation</w:t>
      </w:r>
      <w:r w:rsidR="00E705C0">
        <w:t xml:space="preserve"> in favour of protecting children while also ensuring the court can consider </w:t>
      </w:r>
      <w:r w:rsidR="00BB2434">
        <w:t>the risk posed by the offender and, where appropriate, not require their registration.</w:t>
      </w:r>
      <w:r w:rsidR="00E705C0">
        <w:t xml:space="preserve"> </w:t>
      </w:r>
    </w:p>
    <w:p w14:paraId="21F3770F" w14:textId="31D8F9B7" w:rsidR="00F023B7" w:rsidRDefault="00F023B7" w:rsidP="00F023B7">
      <w:pPr>
        <w:keepNext w:val="0"/>
      </w:pPr>
      <w:r>
        <w:t>The amendments are the least restrictive to achieve the purpose of protection of the safety of children, and do not apply to a person convicted of the Commonwealth offence of possession of a child-like sex doll where the person satisfies the court that they are not a risk to the</w:t>
      </w:r>
      <w:r w:rsidR="0039509F">
        <w:t xml:space="preserve"> lives or</w:t>
      </w:r>
      <w:r>
        <w:t xml:space="preserve"> sexual safety of children.</w:t>
      </w:r>
    </w:p>
    <w:p w14:paraId="234B2168" w14:textId="6BD92967" w:rsidR="003C50AF" w:rsidRDefault="003C50AF" w:rsidP="003C50AF">
      <w:pPr>
        <w:pStyle w:val="Heading6"/>
        <w:keepNext w:val="0"/>
      </w:pPr>
      <w:r>
        <w:t>Crimes (Sentencing) Act 2005 – family violence amendments</w:t>
      </w:r>
    </w:p>
    <w:p w14:paraId="051639E0" w14:textId="34BC4604" w:rsidR="003C50AF" w:rsidRPr="003C50AF" w:rsidRDefault="003C50AF" w:rsidP="003C50AF">
      <w:pPr>
        <w:rPr>
          <w:lang w:eastAsia="en-AU"/>
        </w:rPr>
      </w:pPr>
      <w:r>
        <w:rPr>
          <w:lang w:eastAsia="en-AU"/>
        </w:rPr>
        <w:t xml:space="preserve">The amendments to require a court to consider family violence factors when sentencing a convicted perpetrator of a family violence offence may engage the right to equality before the law. This is due to the need for the courts to consider specific factors in addition to the general overarching factors outlined in section 33 (1) of the Crimes (Sentencing) Act. Despite this, it is unlikely that the amendments limit this right as they do not create a mandatory sentencing regime, nor do they increase the maximum penalty available. The amendments are designed to recognise and draw attention to the complex nature and dynamics of family violence offences to ensure that offenders are appropriately sentenced. The availability of ultimate judicial discretion to consider other factors in addition to the new factors prescribed through </w:t>
      </w:r>
      <w:r>
        <w:rPr>
          <w:lang w:eastAsia="en-AU"/>
        </w:rPr>
        <w:lastRenderedPageBreak/>
        <w:t>these amendments ensures there is the least restrictive impact of the right to equality before the law.</w:t>
      </w:r>
    </w:p>
    <w:p w14:paraId="77DA121D" w14:textId="1899B60E" w:rsidR="003C50AF" w:rsidRDefault="003C50AF" w:rsidP="003C50AF">
      <w:pPr>
        <w:pStyle w:val="Heading6"/>
        <w:keepNext w:val="0"/>
      </w:pPr>
      <w:r w:rsidRPr="00EA206E">
        <w:t>Crimes (</w:t>
      </w:r>
      <w:r>
        <w:t>Surveillance Devices</w:t>
      </w:r>
      <w:r w:rsidRPr="00EA206E">
        <w:t>) Act 20</w:t>
      </w:r>
      <w:r>
        <w:t xml:space="preserve">10 </w:t>
      </w:r>
      <w:r w:rsidR="00DC68F2">
        <w:t xml:space="preserve">&amp; the Listening Devices Act 1992 </w:t>
      </w:r>
      <w:r>
        <w:t>– body-worn camera amendments</w:t>
      </w:r>
    </w:p>
    <w:p w14:paraId="6236C2CD" w14:textId="14E7BD7D" w:rsidR="00647E3C" w:rsidRDefault="00647E3C" w:rsidP="00647E3C">
      <w:pPr>
        <w:keepNext w:val="0"/>
      </w:pPr>
      <w:r>
        <w:t>The</w:t>
      </w:r>
      <w:r w:rsidR="004C3712">
        <w:t xml:space="preserve"> amendments to the</w:t>
      </w:r>
      <w:r>
        <w:t xml:space="preserve"> </w:t>
      </w:r>
      <w:r w:rsidRPr="00DC68F2">
        <w:rPr>
          <w:i/>
          <w:iCs/>
        </w:rPr>
        <w:t>Crimes (Surveillance Devices) Act 2010</w:t>
      </w:r>
      <w:r>
        <w:t xml:space="preserve"> (CSD Act) </w:t>
      </w:r>
      <w:r w:rsidR="004C3712">
        <w:t xml:space="preserve">and the </w:t>
      </w:r>
      <w:r w:rsidR="004C3712" w:rsidRPr="00DC68F2">
        <w:rPr>
          <w:i/>
          <w:iCs/>
        </w:rPr>
        <w:t>Listening Devices Act 1992</w:t>
      </w:r>
      <w:r w:rsidR="004C3712">
        <w:t xml:space="preserve"> </w:t>
      </w:r>
      <w:r w:rsidR="00E33ADF">
        <w:t xml:space="preserve">support </w:t>
      </w:r>
      <w:r>
        <w:t xml:space="preserve">the use of </w:t>
      </w:r>
      <w:r w:rsidR="00D01582">
        <w:t xml:space="preserve">BWCs </w:t>
      </w:r>
      <w:r w:rsidR="004C3712">
        <w:t>by police</w:t>
      </w:r>
      <w:r w:rsidR="00E33ADF">
        <w:t xml:space="preserve"> in the course of their duties, including in private premises without the occupier’s consent</w:t>
      </w:r>
      <w:r>
        <w:t>.</w:t>
      </w:r>
    </w:p>
    <w:p w14:paraId="7F8AEA33" w14:textId="58B04C42" w:rsidR="00647E3C" w:rsidRDefault="00647E3C" w:rsidP="00647E3C">
      <w:pPr>
        <w:rPr>
          <w:lang w:eastAsia="en-AU"/>
        </w:rPr>
      </w:pPr>
      <w:r>
        <w:rPr>
          <w:lang w:eastAsia="en-AU"/>
        </w:rPr>
        <w:t xml:space="preserve">The amendments </w:t>
      </w:r>
      <w:r w:rsidR="00E33ADF">
        <w:rPr>
          <w:lang w:eastAsia="en-AU"/>
        </w:rPr>
        <w:t>supporting</w:t>
      </w:r>
      <w:r>
        <w:rPr>
          <w:lang w:eastAsia="en-AU"/>
        </w:rPr>
        <w:t xml:space="preserve"> the use of </w:t>
      </w:r>
      <w:r w:rsidR="00D01582">
        <w:rPr>
          <w:lang w:eastAsia="en-AU"/>
        </w:rPr>
        <w:t>BWCs</w:t>
      </w:r>
      <w:r>
        <w:rPr>
          <w:lang w:eastAsia="en-AU"/>
        </w:rPr>
        <w:t xml:space="preserve"> engage and limit the right to privacy. </w:t>
      </w:r>
    </w:p>
    <w:p w14:paraId="6DD87A06" w14:textId="0571F32E" w:rsidR="00647E3C" w:rsidRDefault="00647E3C" w:rsidP="00647E3C">
      <w:pPr>
        <w:pStyle w:val="Heading7"/>
        <w:rPr>
          <w:lang w:eastAsia="en-AU"/>
        </w:rPr>
      </w:pPr>
      <w:r>
        <w:rPr>
          <w:lang w:eastAsia="en-AU"/>
        </w:rPr>
        <w:t>Right to privacy</w:t>
      </w:r>
    </w:p>
    <w:p w14:paraId="7007E5C3" w14:textId="1DE08431" w:rsidR="00647E3C" w:rsidRDefault="00647E3C">
      <w:pPr>
        <w:keepNext w:val="0"/>
        <w:rPr>
          <w:b/>
          <w:bCs/>
          <w:i/>
          <w:iCs/>
        </w:rPr>
      </w:pPr>
      <w:r w:rsidRPr="00825FC8">
        <w:rPr>
          <w:b/>
          <w:bCs/>
          <w:i/>
          <w:iCs/>
        </w:rPr>
        <w:t>1. Nature of the right and the limitation (</w:t>
      </w:r>
      <w:r w:rsidR="00283CBA">
        <w:rPr>
          <w:b/>
          <w:bCs/>
          <w:i/>
          <w:iCs/>
        </w:rPr>
        <w:t>s</w:t>
      </w:r>
      <w:r w:rsidRPr="00825FC8">
        <w:rPr>
          <w:b/>
          <w:bCs/>
          <w:i/>
          <w:iCs/>
        </w:rPr>
        <w:t>s 28 (2) (a) and (c))</w:t>
      </w:r>
    </w:p>
    <w:p w14:paraId="0FF31928" w14:textId="5EE8D770" w:rsidR="00647E3C" w:rsidRDefault="00647E3C" w:rsidP="002229E4">
      <w:pPr>
        <w:keepNext w:val="0"/>
        <w:rPr>
          <w:lang w:eastAsia="en-AU"/>
        </w:rPr>
      </w:pPr>
      <w:r>
        <w:rPr>
          <w:lang w:eastAsia="en-AU"/>
        </w:rPr>
        <w:t xml:space="preserve">The nature of the right to privacy is discussed in detail above. </w:t>
      </w:r>
    </w:p>
    <w:p w14:paraId="42E13CE4" w14:textId="701165B0" w:rsidR="00F62700" w:rsidRDefault="009317DA">
      <w:pPr>
        <w:keepNext w:val="0"/>
      </w:pPr>
      <w:r>
        <w:t xml:space="preserve">The amendments confirm police use of BWCs and allow people to be filmed and their conversations to be recorded potentially in circumstances or locations where they may expect a right to privacy. </w:t>
      </w:r>
      <w:r w:rsidR="00CB718F">
        <w:t xml:space="preserve">In particular, under the new proposed provisions, a police officer acting in the course of their duties may use a BWC in a person’s home without their permission, and </w:t>
      </w:r>
      <w:r>
        <w:t xml:space="preserve">in </w:t>
      </w:r>
      <w:r w:rsidR="00CB718F">
        <w:t>deal</w:t>
      </w:r>
      <w:r>
        <w:t>ing</w:t>
      </w:r>
      <w:r w:rsidR="00CB718F">
        <w:t xml:space="preserve"> with people in a range of other private and vulnerable circumstances. </w:t>
      </w:r>
      <w:r w:rsidR="00CB718F" w:rsidRPr="0089525D">
        <w:t>The</w:t>
      </w:r>
      <w:r w:rsidR="00CB718F">
        <w:t xml:space="preserve"> </w:t>
      </w:r>
      <w:r w:rsidR="00CB718F" w:rsidRPr="0089525D">
        <w:t xml:space="preserve">use of </w:t>
      </w:r>
      <w:r w:rsidR="00CB718F">
        <w:t>BWC</w:t>
      </w:r>
      <w:r w:rsidR="00CB718F" w:rsidRPr="0089525D">
        <w:t xml:space="preserve">s </w:t>
      </w:r>
      <w:r w:rsidR="00CB718F">
        <w:t>to record these interactions</w:t>
      </w:r>
      <w:r w:rsidR="00CB718F" w:rsidRPr="0089525D">
        <w:t xml:space="preserve">, as well as the retention and use of footage by police, </w:t>
      </w:r>
      <w:r w:rsidR="00CB718F">
        <w:t xml:space="preserve">can constitute </w:t>
      </w:r>
      <w:r w:rsidR="00CB718F" w:rsidRPr="0089525D">
        <w:t>a limitation on privacy</w:t>
      </w:r>
      <w:r w:rsidR="00CB718F">
        <w:t>.</w:t>
      </w:r>
    </w:p>
    <w:p w14:paraId="7A064B51" w14:textId="5BDC5529" w:rsidR="00647E3C" w:rsidRDefault="00647E3C">
      <w:pPr>
        <w:keepNext w:val="0"/>
        <w:rPr>
          <w:b/>
          <w:bCs/>
          <w:i/>
          <w:iCs/>
        </w:rPr>
      </w:pPr>
      <w:r w:rsidRPr="00825FC8">
        <w:rPr>
          <w:b/>
          <w:bCs/>
          <w:i/>
          <w:iCs/>
        </w:rPr>
        <w:t>2. Legitimate purpose (s 28 (2) (b))</w:t>
      </w:r>
    </w:p>
    <w:p w14:paraId="051D331B" w14:textId="7654E33F" w:rsidR="0075380F" w:rsidRDefault="00105FA0" w:rsidP="002229E4">
      <w:pPr>
        <w:keepNext w:val="0"/>
        <w:rPr>
          <w:lang w:eastAsia="en-AU"/>
        </w:rPr>
      </w:pPr>
      <w:r>
        <w:rPr>
          <w:lang w:eastAsia="en-AU"/>
        </w:rPr>
        <w:t xml:space="preserve">The purpose of </w:t>
      </w:r>
      <w:r w:rsidR="00E33ADF">
        <w:rPr>
          <w:lang w:eastAsia="en-AU"/>
        </w:rPr>
        <w:t>supporting the</w:t>
      </w:r>
      <w:r w:rsidR="00D127C3">
        <w:rPr>
          <w:lang w:eastAsia="en-AU"/>
        </w:rPr>
        <w:t xml:space="preserve"> </w:t>
      </w:r>
      <w:r>
        <w:rPr>
          <w:lang w:eastAsia="en-AU"/>
        </w:rPr>
        <w:t>use of BWCs</w:t>
      </w:r>
      <w:r w:rsidR="00E33ADF">
        <w:rPr>
          <w:lang w:eastAsia="en-AU"/>
        </w:rPr>
        <w:t xml:space="preserve"> in public and private places recognises that police are required to undertake their duties in a wide variety of locations and circumstances. Clear provisions about when police may or must use BWCs supports</w:t>
      </w:r>
      <w:r w:rsidR="0075380F">
        <w:rPr>
          <w:lang w:eastAsia="en-AU"/>
        </w:rPr>
        <w:t>:</w:t>
      </w:r>
    </w:p>
    <w:p w14:paraId="3FE1ECAA" w14:textId="542EEE6F" w:rsidR="00E33ADF" w:rsidRDefault="0075380F" w:rsidP="00123BAA">
      <w:pPr>
        <w:pStyle w:val="ListParagraph"/>
        <w:keepNext w:val="0"/>
        <w:numPr>
          <w:ilvl w:val="1"/>
          <w:numId w:val="17"/>
        </w:numPr>
        <w:rPr>
          <w:lang w:eastAsia="en-AU"/>
        </w:rPr>
      </w:pPr>
      <w:r>
        <w:rPr>
          <w:lang w:eastAsia="en-AU"/>
        </w:rPr>
        <w:t xml:space="preserve">police in </w:t>
      </w:r>
      <w:r>
        <w:t xml:space="preserve">gathering </w:t>
      </w:r>
      <w:r w:rsidR="00E33ADF">
        <w:t>evidence</w:t>
      </w:r>
      <w:r>
        <w:t xml:space="preserve"> in a timely way; </w:t>
      </w:r>
    </w:p>
    <w:p w14:paraId="7D774FCC" w14:textId="7D266B3E" w:rsidR="0075380F" w:rsidRDefault="00E33ADF" w:rsidP="00123BAA">
      <w:pPr>
        <w:pStyle w:val="ListParagraph"/>
        <w:keepNext w:val="0"/>
        <w:numPr>
          <w:ilvl w:val="1"/>
          <w:numId w:val="17"/>
        </w:numPr>
        <w:rPr>
          <w:lang w:eastAsia="en-AU"/>
        </w:rPr>
      </w:pPr>
      <w:r>
        <w:rPr>
          <w:lang w:eastAsia="en-AU"/>
        </w:rPr>
        <w:t xml:space="preserve">police and community safety through the de-escalating effects of using BWCs; </w:t>
      </w:r>
      <w:r w:rsidR="0075380F">
        <w:t>and</w:t>
      </w:r>
    </w:p>
    <w:p w14:paraId="7AF49E95" w14:textId="277E0040" w:rsidR="0075380F" w:rsidRPr="0075380F" w:rsidRDefault="0075380F" w:rsidP="00123BAA">
      <w:pPr>
        <w:pStyle w:val="ListParagraph"/>
        <w:keepNext w:val="0"/>
        <w:numPr>
          <w:ilvl w:val="1"/>
          <w:numId w:val="17"/>
        </w:numPr>
        <w:rPr>
          <w:lang w:eastAsia="en-AU"/>
        </w:rPr>
      </w:pPr>
      <w:r>
        <w:t>accountability and transparency around police conduct.</w:t>
      </w:r>
    </w:p>
    <w:p w14:paraId="6633AA7D" w14:textId="6A82CA35" w:rsidR="00105FA0" w:rsidRDefault="002F1B94" w:rsidP="002229E4">
      <w:pPr>
        <w:keepNext w:val="0"/>
      </w:pPr>
      <w:r>
        <w:lastRenderedPageBreak/>
        <w:t>Research on BWC use has found that where police have high levels of discretion on when to activate BWC</w:t>
      </w:r>
      <w:r w:rsidR="00FC31B1">
        <w:t>s</w:t>
      </w:r>
      <w:r>
        <w:t xml:space="preserve">, the accountability </w:t>
      </w:r>
      <w:r w:rsidR="00A0730B">
        <w:t>potential</w:t>
      </w:r>
      <w:r>
        <w:t xml:space="preserve"> of BWCs is significantly reduced and rates of police use of force </w:t>
      </w:r>
      <w:r w:rsidR="00A0730B">
        <w:t>can</w:t>
      </w:r>
      <w:r>
        <w:t xml:space="preserve"> increase.</w:t>
      </w:r>
      <w:r>
        <w:rPr>
          <w:rStyle w:val="FootnoteReference"/>
        </w:rPr>
        <w:footnoteReference w:id="16"/>
      </w:r>
      <w:r>
        <w:t xml:space="preserve"> </w:t>
      </w:r>
    </w:p>
    <w:p w14:paraId="5E846EC4" w14:textId="77777777" w:rsidR="00647E3C" w:rsidRPr="00825FC8" w:rsidRDefault="00647E3C">
      <w:pPr>
        <w:keepNext w:val="0"/>
        <w:rPr>
          <w:b/>
          <w:bCs/>
          <w:i/>
          <w:iCs/>
        </w:rPr>
      </w:pPr>
      <w:r w:rsidRPr="00825FC8">
        <w:rPr>
          <w:b/>
          <w:bCs/>
          <w:i/>
          <w:iCs/>
        </w:rPr>
        <w:t>3. Rational connection between the limitation and the purpose (s 28 (2) (d))</w:t>
      </w:r>
    </w:p>
    <w:p w14:paraId="1751565A" w14:textId="43BD1C15" w:rsidR="00647E3C" w:rsidRPr="00825FC8" w:rsidRDefault="005172D3" w:rsidP="002229E4">
      <w:pPr>
        <w:keepNext w:val="0"/>
      </w:pPr>
      <w:r w:rsidRPr="002229E4">
        <w:t xml:space="preserve">The limitation on privacy involved in police collecting audio-visual evidence of a person’s behaviour and their environment is required to ensure BWCs can be used in the wide range of circumstances in which police can be involved. The limitation means the benefits of the use of BWCs can be extended to all areas of the community policing environment. </w:t>
      </w:r>
      <w:r w:rsidR="00AE43E9">
        <w:t>A</w:t>
      </w:r>
      <w:r w:rsidRPr="002229E4">
        <w:t xml:space="preserve">udio-visual evidence of </w:t>
      </w:r>
      <w:r w:rsidR="00AE43E9">
        <w:t xml:space="preserve">dealings police have with members of the community, </w:t>
      </w:r>
      <w:r w:rsidRPr="002229E4">
        <w:t>which may</w:t>
      </w:r>
      <w:r w:rsidR="00AE43E9">
        <w:t xml:space="preserve"> occur in the person’s</w:t>
      </w:r>
      <w:r w:rsidRPr="002229E4">
        <w:t xml:space="preserve"> home, </w:t>
      </w:r>
      <w:r w:rsidR="00AE43E9">
        <w:t xml:space="preserve">can provide the most </w:t>
      </w:r>
      <w:r w:rsidRPr="002229E4">
        <w:t>accurate record of events involving police.</w:t>
      </w:r>
    </w:p>
    <w:p w14:paraId="199A3749" w14:textId="77777777" w:rsidR="00647E3C" w:rsidRPr="00825FC8" w:rsidRDefault="00647E3C">
      <w:pPr>
        <w:keepNext w:val="0"/>
        <w:rPr>
          <w:b/>
          <w:bCs/>
          <w:i/>
          <w:iCs/>
        </w:rPr>
      </w:pPr>
      <w:r w:rsidRPr="00825FC8">
        <w:rPr>
          <w:b/>
          <w:bCs/>
          <w:i/>
          <w:iCs/>
        </w:rPr>
        <w:t>4. Proportionality (s 28 (2) (e))</w:t>
      </w:r>
    </w:p>
    <w:p w14:paraId="1BB99BBF" w14:textId="176DAE43" w:rsidR="0075380F" w:rsidRDefault="00AE43E9" w:rsidP="0075380F">
      <w:pPr>
        <w:keepNext w:val="0"/>
        <w:rPr>
          <w:lang w:eastAsia="en-AU"/>
        </w:rPr>
      </w:pPr>
      <w:r>
        <w:rPr>
          <w:lang w:eastAsia="en-AU"/>
        </w:rPr>
        <w:t xml:space="preserve">Legislating to clarify the circumstances in which police </w:t>
      </w:r>
      <w:r w:rsidR="0039509F">
        <w:rPr>
          <w:lang w:eastAsia="en-AU"/>
        </w:rPr>
        <w:t>may</w:t>
      </w:r>
      <w:r>
        <w:rPr>
          <w:lang w:eastAsia="en-AU"/>
        </w:rPr>
        <w:t xml:space="preserve"> or must </w:t>
      </w:r>
      <w:r w:rsidR="0075380F">
        <w:rPr>
          <w:lang w:eastAsia="en-AU"/>
        </w:rPr>
        <w:t xml:space="preserve">use BWCs </w:t>
      </w:r>
      <w:r w:rsidR="0013430A">
        <w:rPr>
          <w:lang w:eastAsia="en-AU"/>
        </w:rPr>
        <w:t>is intended to ensure that any limitation on the right to privacy arising from the use of BWCs will be proportionate.</w:t>
      </w:r>
      <w:r w:rsidR="007601AD">
        <w:rPr>
          <w:lang w:eastAsia="en-AU"/>
        </w:rPr>
        <w:t xml:space="preserve"> </w:t>
      </w:r>
      <w:r w:rsidR="007601AD" w:rsidRPr="002229E4">
        <w:t xml:space="preserve">The framework </w:t>
      </w:r>
      <w:r>
        <w:t>in the proposed amendments</w:t>
      </w:r>
      <w:r w:rsidR="007601AD" w:rsidRPr="002229E4">
        <w:t xml:space="preserve"> comprises a range of measures to ensure that BWC use achieves its purposes, and a range of safeguards to </w:t>
      </w:r>
      <w:r>
        <w:t>address the</w:t>
      </w:r>
      <w:r w:rsidR="007601AD" w:rsidRPr="002229E4">
        <w:t xml:space="preserve"> impact on the right to privacy. The framework is balanced to deliver on the purposes of BWC use while avoiding disproportionate or arbitrary impact on the right to privacy.</w:t>
      </w:r>
    </w:p>
    <w:p w14:paraId="6C779926" w14:textId="40A18F76" w:rsidR="0075380F" w:rsidRDefault="007601AD" w:rsidP="0075380F">
      <w:pPr>
        <w:keepNext w:val="0"/>
      </w:pPr>
      <w:r>
        <w:t xml:space="preserve">The safeguards </w:t>
      </w:r>
      <w:r w:rsidR="002229E4">
        <w:t xml:space="preserve">built into the BWC provisions </w:t>
      </w:r>
      <w:r>
        <w:t>include:</w:t>
      </w:r>
    </w:p>
    <w:p w14:paraId="4D52646F" w14:textId="29E840FA" w:rsidR="007601AD" w:rsidRDefault="00D70489" w:rsidP="00123BAA">
      <w:pPr>
        <w:pStyle w:val="ListParagraph"/>
        <w:keepNext w:val="0"/>
        <w:numPr>
          <w:ilvl w:val="0"/>
          <w:numId w:val="16"/>
        </w:numPr>
      </w:pPr>
      <w:r>
        <w:t>T</w:t>
      </w:r>
      <w:r w:rsidR="00AE43E9">
        <w:t>he requirement that police use their BWCs</w:t>
      </w:r>
      <w:r w:rsidR="0075380F">
        <w:t xml:space="preserve"> in circumstances where they are dealing with the public</w:t>
      </w:r>
      <w:r w:rsidR="00AE43E9">
        <w:t>, subject to specified exceptions.</w:t>
      </w:r>
      <w:r w:rsidR="007601AD">
        <w:t xml:space="preserve"> These exceptions are limited to</w:t>
      </w:r>
      <w:r w:rsidR="007C5D75">
        <w:t xml:space="preserve"> circumstances where the use</w:t>
      </w:r>
      <w:r w:rsidR="007601AD">
        <w:t>:</w:t>
      </w:r>
    </w:p>
    <w:p w14:paraId="433B309B" w14:textId="6CC88A36" w:rsidR="007C5D75" w:rsidRDefault="00D127C3" w:rsidP="00123BAA">
      <w:pPr>
        <w:pStyle w:val="ListParagraph"/>
        <w:keepNext w:val="0"/>
        <w:numPr>
          <w:ilvl w:val="1"/>
          <w:numId w:val="16"/>
        </w:numPr>
      </w:pPr>
      <w:r>
        <w:t>is not</w:t>
      </w:r>
      <w:r w:rsidR="007C5D75">
        <w:t xml:space="preserve"> reasonably practicable;</w:t>
      </w:r>
    </w:p>
    <w:p w14:paraId="31C75110" w14:textId="42D7A5B9" w:rsidR="007C5D75" w:rsidRDefault="007C5D75" w:rsidP="00123BAA">
      <w:pPr>
        <w:pStyle w:val="ListParagraph"/>
        <w:keepNext w:val="0"/>
        <w:numPr>
          <w:ilvl w:val="1"/>
          <w:numId w:val="16"/>
        </w:numPr>
      </w:pPr>
      <w:r>
        <w:t>could cause or increase a risk to a person’s safety; or</w:t>
      </w:r>
    </w:p>
    <w:p w14:paraId="655F991B" w14:textId="08D37E96" w:rsidR="007C5D75" w:rsidRDefault="007C5D75" w:rsidP="00123BAA">
      <w:pPr>
        <w:pStyle w:val="ListParagraph"/>
        <w:keepNext w:val="0"/>
        <w:numPr>
          <w:ilvl w:val="1"/>
          <w:numId w:val="16"/>
        </w:numPr>
      </w:pPr>
      <w:r>
        <w:t>would unreasonably limit a person’s privacy.</w:t>
      </w:r>
    </w:p>
    <w:p w14:paraId="52B9B606" w14:textId="6D7F3863" w:rsidR="00180072" w:rsidRDefault="00D70489" w:rsidP="00123BAA">
      <w:pPr>
        <w:pStyle w:val="ListParagraph"/>
        <w:keepNext w:val="0"/>
        <w:numPr>
          <w:ilvl w:val="0"/>
          <w:numId w:val="16"/>
        </w:numPr>
      </w:pPr>
      <w:r>
        <w:t>P</w:t>
      </w:r>
      <w:r w:rsidR="00180072">
        <w:t>olice may only use BWC</w:t>
      </w:r>
      <w:r w:rsidR="00B0338D">
        <w:t>s</w:t>
      </w:r>
      <w:r w:rsidR="00180072">
        <w:t xml:space="preserve"> in the course of their duties</w:t>
      </w:r>
      <w:r>
        <w:t>.</w:t>
      </w:r>
    </w:p>
    <w:p w14:paraId="686C53CB" w14:textId="2BE80C1D" w:rsidR="007601AD" w:rsidRDefault="00AE43E9" w:rsidP="00123BAA">
      <w:pPr>
        <w:pStyle w:val="ListParagraph"/>
        <w:keepNext w:val="0"/>
        <w:numPr>
          <w:ilvl w:val="0"/>
          <w:numId w:val="16"/>
        </w:numPr>
      </w:pPr>
      <w:r>
        <w:t xml:space="preserve">Other than in limited circumstances, </w:t>
      </w:r>
      <w:r w:rsidR="0075380F">
        <w:t xml:space="preserve">BWC use </w:t>
      </w:r>
      <w:r>
        <w:t xml:space="preserve">must be </w:t>
      </w:r>
      <w:r w:rsidR="0075380F">
        <w:t>overt</w:t>
      </w:r>
      <w:r>
        <w:t>, including through police advising people that the BWC is recording.</w:t>
      </w:r>
      <w:r w:rsidR="00180072">
        <w:t xml:space="preserve"> The</w:t>
      </w:r>
      <w:r w:rsidR="00D127C3">
        <w:t xml:space="preserve"> </w:t>
      </w:r>
      <w:r w:rsidR="00180072">
        <w:t>exceptions to this requirement</w:t>
      </w:r>
      <w:r>
        <w:t xml:space="preserve"> for over</w:t>
      </w:r>
      <w:r w:rsidR="00D70489">
        <w:t>t</w:t>
      </w:r>
      <w:r>
        <w:t xml:space="preserve"> use</w:t>
      </w:r>
      <w:r w:rsidR="00D127C3">
        <w:t xml:space="preserve"> </w:t>
      </w:r>
      <w:r>
        <w:t>are</w:t>
      </w:r>
      <w:r w:rsidR="00180072">
        <w:t>:</w:t>
      </w:r>
    </w:p>
    <w:p w14:paraId="34ECDFA1" w14:textId="77777777" w:rsidR="00D70489" w:rsidRDefault="00180072" w:rsidP="00123BAA">
      <w:pPr>
        <w:pStyle w:val="ListParagraph"/>
        <w:keepNext w:val="0"/>
        <w:numPr>
          <w:ilvl w:val="1"/>
          <w:numId w:val="16"/>
        </w:numPr>
      </w:pPr>
      <w:r w:rsidRPr="002229E4">
        <w:lastRenderedPageBreak/>
        <w:t xml:space="preserve">when a firearm or conducted electrical weapon is drawn or used. The value of this footage is crucial to police accountability </w:t>
      </w:r>
      <w:r w:rsidR="00AE43E9">
        <w:t xml:space="preserve">such </w:t>
      </w:r>
      <w:r w:rsidRPr="002229E4">
        <w:t>that it outweighs the increased privacy impact on people who may not be aware they are being filmed using BWC</w:t>
      </w:r>
      <w:r w:rsidR="00D70489">
        <w:t xml:space="preserve">; </w:t>
      </w:r>
    </w:p>
    <w:p w14:paraId="788A6F86" w14:textId="42C9C221" w:rsidR="00180072" w:rsidRPr="00180072" w:rsidRDefault="00180072" w:rsidP="00123BAA">
      <w:pPr>
        <w:pStyle w:val="ListParagraph"/>
        <w:keepNext w:val="0"/>
        <w:numPr>
          <w:ilvl w:val="1"/>
          <w:numId w:val="16"/>
        </w:numPr>
      </w:pPr>
      <w:r w:rsidRPr="002229E4">
        <w:t>if it would create or increase a risk to a person’s safety.</w:t>
      </w:r>
      <w:r w:rsidR="00D70489">
        <w:t xml:space="preserve"> </w:t>
      </w:r>
      <w:r w:rsidRPr="002229E4">
        <w:t>This ensures that if a police officer has activated a BWC, the officer is not required to announce or otherwise draw attention to the BWC if it would be unsafe to do so.</w:t>
      </w:r>
    </w:p>
    <w:p w14:paraId="68DC7AE8" w14:textId="10734048" w:rsidR="009317DA" w:rsidRDefault="0075380F" w:rsidP="00D127C3">
      <w:pPr>
        <w:keepNext w:val="0"/>
      </w:pPr>
      <w:r>
        <w:t xml:space="preserve">Further safeguards </w:t>
      </w:r>
      <w:r w:rsidR="007601AD">
        <w:t>around the circumstances of BWC use are to</w:t>
      </w:r>
      <w:r>
        <w:t xml:space="preserve"> be set out in </w:t>
      </w:r>
      <w:r w:rsidR="00AE43E9" w:rsidRPr="009317DA">
        <w:t>guidelines</w:t>
      </w:r>
      <w:r w:rsidRPr="005526AF">
        <w:t xml:space="preserve">, which will include </w:t>
      </w:r>
      <w:r w:rsidR="007601AD" w:rsidRPr="005526AF">
        <w:t>specific requirements detailing the access, storage</w:t>
      </w:r>
      <w:r w:rsidR="00180072" w:rsidRPr="005526AF">
        <w:t>, retention</w:t>
      </w:r>
      <w:r w:rsidR="007601AD" w:rsidRPr="009317DA">
        <w:t xml:space="preserve"> and use of the recordings to ensure that the right to privacy is protected. </w:t>
      </w:r>
      <w:r w:rsidR="00D127C3" w:rsidRPr="009317DA">
        <w:t xml:space="preserve">It is also anticipated that the guidelines will include greater detail about the exceptions that apply to BWC use, </w:t>
      </w:r>
      <w:r w:rsidR="0039509F" w:rsidRPr="009317DA">
        <w:t xml:space="preserve">and </w:t>
      </w:r>
      <w:r w:rsidR="00D127C3" w:rsidRPr="009317DA">
        <w:t>when BWCs will generally be used and not</w:t>
      </w:r>
      <w:r w:rsidR="0039509F" w:rsidRPr="009317DA">
        <w:t xml:space="preserve">. </w:t>
      </w:r>
      <w:r w:rsidR="009317DA" w:rsidRPr="009317DA">
        <w:t xml:space="preserve">The </w:t>
      </w:r>
      <w:r w:rsidR="0039509F" w:rsidRPr="009317DA">
        <w:t xml:space="preserve">guidelines </w:t>
      </w:r>
      <w:r w:rsidR="005526AF">
        <w:t>can</w:t>
      </w:r>
      <w:r w:rsidR="0039509F" w:rsidRPr="009317DA">
        <w:t xml:space="preserve"> also include </w:t>
      </w:r>
      <w:r w:rsidR="009317DA" w:rsidRPr="009317DA">
        <w:t>‘any other relevant matters and may include expectations on complaints processes and</w:t>
      </w:r>
      <w:r w:rsidR="00D127C3" w:rsidRPr="009317DA">
        <w:t xml:space="preserve"> reporting</w:t>
      </w:r>
      <w:r w:rsidR="009317DA" w:rsidRPr="009317DA">
        <w:t>. Although not required by the amendments, ACT Policing will seek to regularly review complaints regarding BWC use to ensure that these amendments are being implemented effectively and identify any areas for improvement.</w:t>
      </w:r>
      <w:r w:rsidR="009317DA">
        <w:t xml:space="preserve"> </w:t>
      </w:r>
    </w:p>
    <w:p w14:paraId="0566BC2B" w14:textId="6D64101D" w:rsidR="007601AD" w:rsidRDefault="007601AD" w:rsidP="00D127C3">
      <w:pPr>
        <w:keepNext w:val="0"/>
      </w:pPr>
      <w:r>
        <w:t xml:space="preserve">In developing the </w:t>
      </w:r>
      <w:r w:rsidR="00FD47EC">
        <w:t>guidelines</w:t>
      </w:r>
      <w:r>
        <w:t>, the C</w:t>
      </w:r>
      <w:r w:rsidR="00D70489">
        <w:t xml:space="preserve">hief </w:t>
      </w:r>
      <w:r>
        <w:t>P</w:t>
      </w:r>
      <w:r w:rsidR="00D70489">
        <w:t xml:space="preserve">olice </w:t>
      </w:r>
      <w:r>
        <w:t>O</w:t>
      </w:r>
      <w:r w:rsidR="00D70489">
        <w:t>fficer</w:t>
      </w:r>
      <w:r>
        <w:t xml:space="preserve"> is required to consult with the Director-General about the content and must also include a statement in</w:t>
      </w:r>
      <w:r w:rsidR="00FD47EC">
        <w:t xml:space="preserve"> the guidelines</w:t>
      </w:r>
      <w:r>
        <w:t xml:space="preserve"> about how human rights have been considered.</w:t>
      </w:r>
      <w:r w:rsidR="00D127C3">
        <w:t xml:space="preserve"> </w:t>
      </w:r>
      <w:r w:rsidR="007C5D75">
        <w:t xml:space="preserve">These </w:t>
      </w:r>
      <w:r w:rsidR="00FD47EC">
        <w:t>guidelines will be</w:t>
      </w:r>
      <w:r w:rsidR="007C5D75">
        <w:t xml:space="preserve"> in a disallowable instrument, which means that there is an opportunity for the Legislative Assembly to consider the </w:t>
      </w:r>
      <w:r w:rsidR="00FD47EC">
        <w:t>content and</w:t>
      </w:r>
      <w:r w:rsidR="00B15C6C">
        <w:t xml:space="preserve"> the extent to which this is compatible with human rights.</w:t>
      </w:r>
    </w:p>
    <w:p w14:paraId="0186946B" w14:textId="6676F7AA" w:rsidR="005526AF" w:rsidRPr="005526AF" w:rsidRDefault="007601AD" w:rsidP="005526AF">
      <w:pPr>
        <w:keepNext w:val="0"/>
        <w:rPr>
          <w:rFonts w:ascii="Times New Roman" w:hAnsi="Times New Roman" w:cs="Times New Roman"/>
          <w:lang w:eastAsia="en-AU"/>
        </w:rPr>
      </w:pPr>
      <w:r>
        <w:t>The limitation to the right to</w:t>
      </w:r>
      <w:r w:rsidR="00FD47EC">
        <w:t xml:space="preserve"> an</w:t>
      </w:r>
      <w:r>
        <w:t xml:space="preserve"> individuals’ privacy is proportionate to the benefits of using BWCs</w:t>
      </w:r>
      <w:r w:rsidR="005526AF">
        <w:t>, including improvements in evidence-gathering, policy and community safety, and accountability and transparency,</w:t>
      </w:r>
      <w:r w:rsidR="00D127C3">
        <w:t xml:space="preserve"> </w:t>
      </w:r>
      <w:r>
        <w:t>and is the least restrictive approach available that appropriately balances</w:t>
      </w:r>
      <w:r w:rsidR="0075380F">
        <w:t xml:space="preserve"> the operational requirements </w:t>
      </w:r>
      <w:r w:rsidR="002229E4">
        <w:t>of using BWCs</w:t>
      </w:r>
      <w:r w:rsidR="0075380F">
        <w:t xml:space="preserve"> </w:t>
      </w:r>
      <w:r>
        <w:t>with</w:t>
      </w:r>
      <w:r w:rsidR="0075380F">
        <w:t xml:space="preserve"> the right to privacy</w:t>
      </w:r>
      <w:r>
        <w:t>.</w:t>
      </w:r>
      <w:r w:rsidR="005526AF">
        <w:t xml:space="preserve"> The amendments will have positive effects for evidence-gathering particularly inside people’s homes, specifically for victim-survivors of family violence. The safeguards to be provided in the guidelines further ensure any limitation on privacy is proportionate. </w:t>
      </w:r>
      <w:r w:rsidR="005526AF">
        <w:rPr>
          <w:rFonts w:ascii="Times New Roman" w:hAnsi="Times New Roman" w:cs="Times New Roman"/>
          <w:lang w:eastAsia="en-AU"/>
        </w:rPr>
        <w:t xml:space="preserve"> </w:t>
      </w:r>
    </w:p>
    <w:p w14:paraId="03F5DCD2" w14:textId="3AFE5BF3" w:rsidR="003C50AF" w:rsidRPr="004B148D" w:rsidRDefault="003C50AF" w:rsidP="003C50AF">
      <w:pPr>
        <w:pStyle w:val="Heading6"/>
        <w:keepNext w:val="0"/>
      </w:pPr>
      <w:bookmarkStart w:id="19" w:name="_Hlk73954335"/>
      <w:r w:rsidRPr="004B148D">
        <w:t xml:space="preserve">Inspector of Correctional Services Act 2017 </w:t>
      </w:r>
      <w:bookmarkEnd w:id="19"/>
      <w:r w:rsidRPr="004B148D">
        <w:t xml:space="preserve">– </w:t>
      </w:r>
      <w:r w:rsidR="00760370" w:rsidRPr="004B148D">
        <w:t>examination and review of correctional centres and detention places</w:t>
      </w:r>
    </w:p>
    <w:p w14:paraId="446E9694" w14:textId="4B35B22F" w:rsidR="005172D3" w:rsidRPr="004B148D" w:rsidRDefault="005172D3" w:rsidP="005172D3">
      <w:pPr>
        <w:rPr>
          <w:lang w:eastAsia="en-AU"/>
        </w:rPr>
      </w:pPr>
      <w:r w:rsidRPr="004B148D">
        <w:rPr>
          <w:lang w:eastAsia="en-AU"/>
        </w:rPr>
        <w:t xml:space="preserve">The amendment to the Inspector of Correctional Services Act (ICS Act) extends the time </w:t>
      </w:r>
      <w:r w:rsidR="00B15C6C">
        <w:rPr>
          <w:lang w:eastAsia="en-AU"/>
        </w:rPr>
        <w:t>allowed</w:t>
      </w:r>
      <w:r w:rsidR="00D127C3">
        <w:rPr>
          <w:lang w:eastAsia="en-AU"/>
        </w:rPr>
        <w:t xml:space="preserve"> </w:t>
      </w:r>
      <w:r w:rsidRPr="004B148D">
        <w:rPr>
          <w:lang w:eastAsia="en-AU"/>
        </w:rPr>
        <w:t>for the Inspector of Correctional Services</w:t>
      </w:r>
      <w:r w:rsidR="00A269BC" w:rsidRPr="004B148D">
        <w:rPr>
          <w:lang w:eastAsia="en-AU"/>
        </w:rPr>
        <w:t xml:space="preserve"> (the Inspector)</w:t>
      </w:r>
      <w:r w:rsidRPr="004B148D">
        <w:rPr>
          <w:lang w:eastAsia="en-AU"/>
        </w:rPr>
        <w:t xml:space="preserve"> to undertake </w:t>
      </w:r>
      <w:r w:rsidR="00B15C6C">
        <w:rPr>
          <w:lang w:eastAsia="en-AU"/>
        </w:rPr>
        <w:t xml:space="preserve">periodic </w:t>
      </w:r>
      <w:r w:rsidRPr="004B148D">
        <w:rPr>
          <w:lang w:eastAsia="en-AU"/>
        </w:rPr>
        <w:t>review</w:t>
      </w:r>
      <w:r w:rsidR="00B15C6C">
        <w:rPr>
          <w:lang w:eastAsia="en-AU"/>
        </w:rPr>
        <w:t>s</w:t>
      </w:r>
      <w:r w:rsidRPr="004B148D">
        <w:rPr>
          <w:lang w:eastAsia="en-AU"/>
        </w:rPr>
        <w:t xml:space="preserve"> of specific, defined </w:t>
      </w:r>
      <w:r w:rsidR="005C31F3" w:rsidRPr="004B148D">
        <w:rPr>
          <w:lang w:eastAsia="en-AU"/>
        </w:rPr>
        <w:t>correctional centres and detention places</w:t>
      </w:r>
      <w:r w:rsidR="00B15C6C">
        <w:rPr>
          <w:lang w:eastAsia="en-AU"/>
        </w:rPr>
        <w:t xml:space="preserve">, from at least once every two years, to at least once every three years, with the proviso </w:t>
      </w:r>
      <w:r w:rsidR="00B15C6C">
        <w:rPr>
          <w:lang w:eastAsia="en-AU"/>
        </w:rPr>
        <w:lastRenderedPageBreak/>
        <w:t xml:space="preserve">that the first review of such a facility must be within two years of the facility being </w:t>
      </w:r>
      <w:r w:rsidR="00D127C3">
        <w:rPr>
          <w:lang w:eastAsia="en-AU"/>
        </w:rPr>
        <w:t>declared</w:t>
      </w:r>
      <w:r w:rsidRPr="004B148D">
        <w:rPr>
          <w:lang w:eastAsia="en-AU"/>
        </w:rPr>
        <w:t xml:space="preserve">. </w:t>
      </w:r>
    </w:p>
    <w:p w14:paraId="09C441B4" w14:textId="2F8E89F8" w:rsidR="005172D3" w:rsidRPr="004B148D" w:rsidRDefault="00425022" w:rsidP="005172D3">
      <w:pPr>
        <w:rPr>
          <w:lang w:eastAsia="en-AU"/>
        </w:rPr>
      </w:pPr>
      <w:r w:rsidRPr="004B148D">
        <w:rPr>
          <w:lang w:eastAsia="en-AU"/>
        </w:rPr>
        <w:t>A</w:t>
      </w:r>
      <w:r w:rsidR="00B15C6C">
        <w:rPr>
          <w:lang w:eastAsia="en-AU"/>
        </w:rPr>
        <w:t>llowing a longer</w:t>
      </w:r>
      <w:r w:rsidR="00D127C3">
        <w:rPr>
          <w:lang w:eastAsia="en-AU"/>
        </w:rPr>
        <w:t xml:space="preserve"> </w:t>
      </w:r>
      <w:r w:rsidRPr="004B148D">
        <w:rPr>
          <w:lang w:eastAsia="en-AU"/>
        </w:rPr>
        <w:t>time</w:t>
      </w:r>
      <w:r w:rsidR="00B15C6C">
        <w:rPr>
          <w:lang w:eastAsia="en-AU"/>
        </w:rPr>
        <w:t xml:space="preserve"> period for each subsequent periodic review</w:t>
      </w:r>
      <w:r w:rsidR="00D127C3">
        <w:rPr>
          <w:lang w:eastAsia="en-AU"/>
        </w:rPr>
        <w:t xml:space="preserve"> </w:t>
      </w:r>
      <w:r w:rsidR="00B15C6C">
        <w:rPr>
          <w:lang w:eastAsia="en-AU"/>
        </w:rPr>
        <w:t>could</w:t>
      </w:r>
      <w:r w:rsidRPr="004B148D">
        <w:rPr>
          <w:lang w:eastAsia="en-AU"/>
        </w:rPr>
        <w:t xml:space="preserve"> mean there could be an equally longer period of time before</w:t>
      </w:r>
      <w:r w:rsidR="00D127C3">
        <w:rPr>
          <w:lang w:eastAsia="en-AU"/>
        </w:rPr>
        <w:t xml:space="preserve"> any</w:t>
      </w:r>
      <w:r w:rsidRPr="004B148D">
        <w:rPr>
          <w:lang w:eastAsia="en-AU"/>
        </w:rPr>
        <w:t xml:space="preserve"> human rights concerns or limitations at a correctional centre can be identified and </w:t>
      </w:r>
      <w:r w:rsidR="00B15C6C">
        <w:rPr>
          <w:lang w:eastAsia="en-AU"/>
        </w:rPr>
        <w:t>responded to</w:t>
      </w:r>
      <w:r w:rsidRPr="004B148D">
        <w:rPr>
          <w:lang w:eastAsia="en-AU"/>
        </w:rPr>
        <w:t>.</w:t>
      </w:r>
      <w:r w:rsidR="004B148D" w:rsidRPr="004B148D">
        <w:rPr>
          <w:lang w:eastAsia="en-AU"/>
        </w:rPr>
        <w:t xml:space="preserve"> </w:t>
      </w:r>
      <w:r w:rsidR="005172D3" w:rsidRPr="004B148D">
        <w:rPr>
          <w:lang w:eastAsia="en-AU"/>
        </w:rPr>
        <w:t xml:space="preserve">This amendment may </w:t>
      </w:r>
      <w:r w:rsidRPr="004B148D">
        <w:rPr>
          <w:lang w:eastAsia="en-AU"/>
        </w:rPr>
        <w:t xml:space="preserve">therefore </w:t>
      </w:r>
      <w:r w:rsidR="005172D3" w:rsidRPr="004B148D">
        <w:rPr>
          <w:lang w:eastAsia="en-AU"/>
        </w:rPr>
        <w:t xml:space="preserve">engage and </w:t>
      </w:r>
      <w:r w:rsidR="0072026B" w:rsidRPr="004B148D">
        <w:rPr>
          <w:lang w:eastAsia="en-AU"/>
        </w:rPr>
        <w:t xml:space="preserve">potentially </w:t>
      </w:r>
      <w:r w:rsidR="005172D3" w:rsidRPr="004B148D">
        <w:rPr>
          <w:lang w:eastAsia="en-AU"/>
        </w:rPr>
        <w:t>limit the right to humane treatment when deprived of liberty (section 19 of the HR Act)</w:t>
      </w:r>
      <w:r w:rsidR="00467904" w:rsidRPr="004B148D">
        <w:rPr>
          <w:lang w:eastAsia="en-AU"/>
        </w:rPr>
        <w:t xml:space="preserve">. It may also engage and potentially limit other human rights insofar as an extension </w:t>
      </w:r>
      <w:r w:rsidR="004B148D" w:rsidRPr="004B148D">
        <w:rPr>
          <w:lang w:eastAsia="en-AU"/>
        </w:rPr>
        <w:t>to</w:t>
      </w:r>
      <w:r w:rsidR="00467904" w:rsidRPr="004B148D">
        <w:rPr>
          <w:lang w:eastAsia="en-AU"/>
        </w:rPr>
        <w:t xml:space="preserve"> the period of time before the Inspector is required to conduct an examination and review of correctional centres and detention places in the ACT will allow for any unidentified human rights impacts to continue at the correctional centres and detention places.</w:t>
      </w:r>
    </w:p>
    <w:p w14:paraId="27675C1D" w14:textId="4CB33956" w:rsidR="005172D3" w:rsidRPr="004B148D" w:rsidRDefault="005172D3" w:rsidP="005172D3">
      <w:pPr>
        <w:pStyle w:val="Heading7"/>
        <w:rPr>
          <w:lang w:eastAsia="en-AU"/>
        </w:rPr>
      </w:pPr>
      <w:r w:rsidRPr="004B148D">
        <w:rPr>
          <w:lang w:eastAsia="en-AU"/>
        </w:rPr>
        <w:t xml:space="preserve">Right to </w:t>
      </w:r>
      <w:r w:rsidR="00DC68F2" w:rsidRPr="004B148D">
        <w:rPr>
          <w:lang w:eastAsia="en-AU"/>
        </w:rPr>
        <w:t xml:space="preserve">humane treatment when deprived of </w:t>
      </w:r>
      <w:r w:rsidRPr="004B148D">
        <w:rPr>
          <w:lang w:eastAsia="en-AU"/>
        </w:rPr>
        <w:t>liberty</w:t>
      </w:r>
    </w:p>
    <w:p w14:paraId="1E68FEFD" w14:textId="493C1096" w:rsidR="005172D3" w:rsidRPr="004B148D" w:rsidRDefault="005172D3" w:rsidP="005172D3">
      <w:pPr>
        <w:keepNext w:val="0"/>
        <w:rPr>
          <w:b/>
          <w:bCs/>
          <w:i/>
          <w:iCs/>
        </w:rPr>
      </w:pPr>
      <w:r w:rsidRPr="004B148D">
        <w:rPr>
          <w:b/>
          <w:bCs/>
          <w:i/>
          <w:iCs/>
        </w:rPr>
        <w:t>1. Nature of the right and the limitation (s</w:t>
      </w:r>
      <w:r w:rsidR="00283CBA">
        <w:rPr>
          <w:b/>
          <w:bCs/>
          <w:i/>
          <w:iCs/>
        </w:rPr>
        <w:t>s</w:t>
      </w:r>
      <w:r w:rsidRPr="004B148D">
        <w:rPr>
          <w:b/>
          <w:bCs/>
          <w:i/>
          <w:iCs/>
        </w:rPr>
        <w:t xml:space="preserve"> 28 (2) (a) and (c))</w:t>
      </w:r>
    </w:p>
    <w:p w14:paraId="6B478EE7" w14:textId="3D025AFA" w:rsidR="005172D3" w:rsidRPr="00D44454" w:rsidRDefault="005172D3" w:rsidP="00AC6654">
      <w:r w:rsidRPr="00D44454">
        <w:t>Section 19 of the HR Act states:</w:t>
      </w:r>
    </w:p>
    <w:p w14:paraId="47414C73" w14:textId="2BEB7828" w:rsidR="00BC4FD6" w:rsidRPr="00AC6654" w:rsidRDefault="00BC4FD6" w:rsidP="00BC4FD6">
      <w:pPr>
        <w:keepNext w:val="0"/>
        <w:ind w:left="720"/>
        <w:rPr>
          <w:iCs/>
          <w:sz w:val="20"/>
          <w:szCs w:val="20"/>
        </w:rPr>
      </w:pPr>
      <w:r w:rsidRPr="00AC6654">
        <w:rPr>
          <w:iCs/>
          <w:sz w:val="20"/>
          <w:szCs w:val="20"/>
        </w:rPr>
        <w:t>(1)</w:t>
      </w:r>
      <w:r w:rsidRPr="00AC6654">
        <w:rPr>
          <w:iCs/>
          <w:sz w:val="20"/>
          <w:szCs w:val="20"/>
        </w:rPr>
        <w:tab/>
        <w:t>Anyone deprived of liberty must be treated with humanity and with respect for the inherent dignity of the human person.</w:t>
      </w:r>
    </w:p>
    <w:p w14:paraId="2F1EBC55" w14:textId="036D71A6" w:rsidR="00BC4FD6" w:rsidRPr="00AC6654" w:rsidRDefault="00BC4FD6" w:rsidP="00BC4FD6">
      <w:pPr>
        <w:keepNext w:val="0"/>
        <w:ind w:left="720"/>
        <w:rPr>
          <w:iCs/>
          <w:sz w:val="20"/>
          <w:szCs w:val="20"/>
        </w:rPr>
      </w:pPr>
      <w:r w:rsidRPr="00AC6654">
        <w:rPr>
          <w:iCs/>
          <w:sz w:val="20"/>
          <w:szCs w:val="20"/>
        </w:rPr>
        <w:t>(2)</w:t>
      </w:r>
      <w:r w:rsidRPr="00AC6654">
        <w:rPr>
          <w:iCs/>
          <w:sz w:val="20"/>
          <w:szCs w:val="20"/>
        </w:rPr>
        <w:tab/>
        <w:t>An accused person must be segregated from convicted people, except in exceptional circumstances.</w:t>
      </w:r>
    </w:p>
    <w:p w14:paraId="4665260C" w14:textId="18AD9BFD" w:rsidR="005172D3" w:rsidRPr="00AC6654" w:rsidRDefault="00BC4FD6" w:rsidP="00BC4FD6">
      <w:pPr>
        <w:keepNext w:val="0"/>
        <w:ind w:left="720"/>
        <w:rPr>
          <w:iCs/>
          <w:sz w:val="20"/>
          <w:szCs w:val="20"/>
        </w:rPr>
      </w:pPr>
      <w:r w:rsidRPr="00AC6654">
        <w:rPr>
          <w:iCs/>
          <w:sz w:val="20"/>
          <w:szCs w:val="20"/>
        </w:rPr>
        <w:t>(3)</w:t>
      </w:r>
      <w:r w:rsidRPr="00AC6654">
        <w:rPr>
          <w:iCs/>
          <w:sz w:val="20"/>
          <w:szCs w:val="20"/>
        </w:rPr>
        <w:tab/>
        <w:t>An accused person must be treated in a way that is appropriate for a person who has not been convicted.</w:t>
      </w:r>
    </w:p>
    <w:p w14:paraId="37CDE7D3" w14:textId="58A7310F" w:rsidR="0072026B" w:rsidRPr="004B148D" w:rsidRDefault="005172D3" w:rsidP="00DC68F2">
      <w:pPr>
        <w:rPr>
          <w:lang w:eastAsia="en-AU"/>
        </w:rPr>
      </w:pPr>
      <w:r w:rsidRPr="004B148D">
        <w:rPr>
          <w:lang w:eastAsia="en-AU"/>
        </w:rPr>
        <w:t xml:space="preserve">The right to humane treatment when deprived of liberty requires anyone deprived of liberty to be treated with humanity and with respect for the inherent dignity of the human person. </w:t>
      </w:r>
      <w:r w:rsidR="00BC4FD6" w:rsidRPr="004B148D">
        <w:t xml:space="preserve">The nature of the right is not absolute. </w:t>
      </w:r>
    </w:p>
    <w:p w14:paraId="0ADA926C" w14:textId="08E59DB7" w:rsidR="00D52323" w:rsidRPr="004B148D" w:rsidRDefault="0072026B" w:rsidP="00DC68F2">
      <w:pPr>
        <w:rPr>
          <w:lang w:eastAsia="en-AU"/>
        </w:rPr>
      </w:pPr>
      <w:r w:rsidRPr="004B148D">
        <w:rPr>
          <w:lang w:eastAsia="en-AU"/>
        </w:rPr>
        <w:t xml:space="preserve">Rights </w:t>
      </w:r>
      <w:r w:rsidR="005172D3" w:rsidRPr="004B148D">
        <w:rPr>
          <w:lang w:eastAsia="en-AU"/>
        </w:rPr>
        <w:t xml:space="preserve">may be engaged and </w:t>
      </w:r>
      <w:r w:rsidRPr="004B148D">
        <w:rPr>
          <w:lang w:eastAsia="en-AU"/>
        </w:rPr>
        <w:t xml:space="preserve">potentially </w:t>
      </w:r>
      <w:r w:rsidR="005172D3" w:rsidRPr="004B148D">
        <w:rPr>
          <w:lang w:eastAsia="en-AU"/>
        </w:rPr>
        <w:t xml:space="preserve">limited </w:t>
      </w:r>
      <w:r w:rsidRPr="004B148D">
        <w:rPr>
          <w:lang w:eastAsia="en-AU"/>
        </w:rPr>
        <w:t>as the review function of the Inspector operates as a safeguard against mistreatment of detainees, and the amendment extends</w:t>
      </w:r>
      <w:r w:rsidR="005172D3" w:rsidRPr="004B148D">
        <w:rPr>
          <w:lang w:eastAsia="en-AU"/>
        </w:rPr>
        <w:t xml:space="preserve"> the period </w:t>
      </w:r>
      <w:r w:rsidRPr="004B148D">
        <w:rPr>
          <w:lang w:eastAsia="en-AU"/>
        </w:rPr>
        <w:t xml:space="preserve">of time </w:t>
      </w:r>
      <w:r w:rsidR="005172D3" w:rsidRPr="004B148D">
        <w:rPr>
          <w:lang w:eastAsia="en-AU"/>
        </w:rPr>
        <w:t xml:space="preserve">between </w:t>
      </w:r>
      <w:r w:rsidRPr="004B148D">
        <w:rPr>
          <w:lang w:eastAsia="en-AU"/>
        </w:rPr>
        <w:t xml:space="preserve">which the Inspector is required to conduct examinations and </w:t>
      </w:r>
      <w:r w:rsidR="005172D3" w:rsidRPr="004B148D">
        <w:rPr>
          <w:lang w:eastAsia="en-AU"/>
        </w:rPr>
        <w:t>reviews of correctional centres and detention places</w:t>
      </w:r>
      <w:r w:rsidRPr="004B148D">
        <w:rPr>
          <w:lang w:eastAsia="en-AU"/>
        </w:rPr>
        <w:t>. An extended time period between examinations and reviews could potentially result in a delay in human rights concerns being identified by the Inspector.</w:t>
      </w:r>
      <w:r w:rsidR="005172D3" w:rsidRPr="004B148D">
        <w:rPr>
          <w:lang w:eastAsia="en-AU"/>
        </w:rPr>
        <w:t xml:space="preserve"> </w:t>
      </w:r>
    </w:p>
    <w:p w14:paraId="20E5AC1F" w14:textId="77777777" w:rsidR="005172D3" w:rsidRPr="004B148D" w:rsidRDefault="005172D3" w:rsidP="005172D3">
      <w:pPr>
        <w:keepNext w:val="0"/>
        <w:rPr>
          <w:b/>
          <w:bCs/>
          <w:i/>
          <w:iCs/>
        </w:rPr>
      </w:pPr>
      <w:r w:rsidRPr="004B148D">
        <w:rPr>
          <w:b/>
          <w:bCs/>
          <w:i/>
          <w:iCs/>
        </w:rPr>
        <w:t>2. Legitimate purpose (s 28 (2) (b))</w:t>
      </w:r>
    </w:p>
    <w:p w14:paraId="4CE6EC0F" w14:textId="6BE03671" w:rsidR="00425022" w:rsidRPr="004B148D" w:rsidRDefault="00425022" w:rsidP="00425022">
      <w:pPr>
        <w:rPr>
          <w:lang w:eastAsia="en-AU"/>
        </w:rPr>
      </w:pPr>
      <w:r w:rsidRPr="004B148D">
        <w:rPr>
          <w:lang w:eastAsia="en-AU"/>
        </w:rPr>
        <w:t xml:space="preserve">The legitimate objectives of the amendment </w:t>
      </w:r>
      <w:r w:rsidR="004B148D" w:rsidRPr="004B148D">
        <w:rPr>
          <w:lang w:eastAsia="en-AU"/>
        </w:rPr>
        <w:t>are</w:t>
      </w:r>
      <w:r w:rsidRPr="004B148D">
        <w:rPr>
          <w:lang w:eastAsia="en-AU"/>
        </w:rPr>
        <w:t xml:space="preserve"> to:</w:t>
      </w:r>
    </w:p>
    <w:p w14:paraId="51FADE47" w14:textId="2EBBF4DD" w:rsidR="00425022" w:rsidRPr="004B148D" w:rsidRDefault="00425022" w:rsidP="00123BAA">
      <w:pPr>
        <w:pStyle w:val="ListParagraph"/>
        <w:numPr>
          <w:ilvl w:val="0"/>
          <w:numId w:val="8"/>
        </w:numPr>
        <w:rPr>
          <w:lang w:eastAsia="en-AU"/>
        </w:rPr>
      </w:pPr>
      <w:r w:rsidRPr="004B148D">
        <w:rPr>
          <w:lang w:eastAsia="en-AU"/>
        </w:rPr>
        <w:t xml:space="preserve">enable </w:t>
      </w:r>
      <w:r w:rsidR="00F3515A" w:rsidRPr="004B148D">
        <w:rPr>
          <w:lang w:eastAsia="en-AU"/>
        </w:rPr>
        <w:t>the Inspector</w:t>
      </w:r>
      <w:r w:rsidR="00F62700">
        <w:rPr>
          <w:lang w:eastAsia="en-AU"/>
        </w:rPr>
        <w:t>’s</w:t>
      </w:r>
      <w:r w:rsidR="00F3515A" w:rsidRPr="004B148D">
        <w:rPr>
          <w:lang w:eastAsia="en-AU"/>
        </w:rPr>
        <w:t xml:space="preserve"> review cycle to work as effectively as possible to ensure that any human rights concerns are identified and properly rectified. This amendment was requested by the Inspector, informed by experience from the first years of operation of the Inspectorate, to ensure that an </w:t>
      </w:r>
      <w:r w:rsidR="00F3515A" w:rsidRPr="004B148D">
        <w:rPr>
          <w:lang w:eastAsia="en-AU"/>
        </w:rPr>
        <w:lastRenderedPageBreak/>
        <w:t xml:space="preserve">appropriate period of time is allowed for the full implementation of recommendations before the commencement of a subsequent </w:t>
      </w:r>
      <w:r w:rsidR="00B15C6C">
        <w:rPr>
          <w:lang w:eastAsia="en-AU"/>
        </w:rPr>
        <w:t xml:space="preserve">cyclical </w:t>
      </w:r>
      <w:r w:rsidR="00F3515A" w:rsidRPr="004B148D">
        <w:rPr>
          <w:lang w:eastAsia="en-AU"/>
        </w:rPr>
        <w:t>review. This timing will ensure that a subsequent review will be able to properly assess the effectiveness of implementation approaches, rather than overlapping with the implementation phase</w:t>
      </w:r>
      <w:r w:rsidR="00310649">
        <w:rPr>
          <w:lang w:eastAsia="en-AU"/>
        </w:rPr>
        <w:t>;</w:t>
      </w:r>
    </w:p>
    <w:p w14:paraId="202E3A0A" w14:textId="59F403AB" w:rsidR="00425022" w:rsidRPr="004B148D" w:rsidRDefault="00425022" w:rsidP="00123BAA">
      <w:pPr>
        <w:pStyle w:val="ListParagraph"/>
        <w:numPr>
          <w:ilvl w:val="0"/>
          <w:numId w:val="8"/>
        </w:numPr>
        <w:rPr>
          <w:lang w:eastAsia="en-AU"/>
        </w:rPr>
      </w:pPr>
      <w:r w:rsidRPr="004B148D">
        <w:rPr>
          <w:lang w:eastAsia="en-AU"/>
        </w:rPr>
        <w:t xml:space="preserve">enable </w:t>
      </w:r>
      <w:r w:rsidR="00D127C3">
        <w:rPr>
          <w:lang w:eastAsia="en-AU"/>
        </w:rPr>
        <w:t xml:space="preserve">sufficient </w:t>
      </w:r>
      <w:r w:rsidRPr="004B148D">
        <w:rPr>
          <w:lang w:eastAsia="en-AU"/>
        </w:rPr>
        <w:t>time for relevant directorates and agencies to implement review recommendations, particularly where recommendations may have budget implications; and</w:t>
      </w:r>
    </w:p>
    <w:p w14:paraId="6090581F" w14:textId="2A633C57" w:rsidR="00425022" w:rsidRPr="004B148D" w:rsidRDefault="00425022" w:rsidP="00123BAA">
      <w:pPr>
        <w:pStyle w:val="ListParagraph"/>
        <w:numPr>
          <w:ilvl w:val="0"/>
          <w:numId w:val="8"/>
        </w:numPr>
        <w:rPr>
          <w:lang w:eastAsia="en-AU"/>
        </w:rPr>
      </w:pPr>
      <w:r w:rsidRPr="004B148D">
        <w:rPr>
          <w:lang w:eastAsia="en-AU"/>
        </w:rPr>
        <w:t>reduce the administrative burden involved in preparing for and responding to the Inspector’s reports by staggering the review and response timeframes.</w:t>
      </w:r>
    </w:p>
    <w:p w14:paraId="7D031335" w14:textId="5892CCCC" w:rsidR="005172D3" w:rsidRPr="004B148D" w:rsidRDefault="005172D3" w:rsidP="005172D3">
      <w:pPr>
        <w:rPr>
          <w:lang w:eastAsia="en-AU"/>
        </w:rPr>
      </w:pPr>
      <w:r w:rsidRPr="004B148D">
        <w:rPr>
          <w:lang w:eastAsia="en-AU"/>
        </w:rPr>
        <w:t>Extending the review cycle will grant additional time for relevant directorates and agencies to implement recommendations, particularly where the recommendations require lengthy implementation processes. This is favourable to the alternative, in which the implementation phase would overlap with the subsequent review phase, affecting the implementation of previous recommendations. Furthermore, the subsequent review would not be able to assess the operation of the recommendations which have not yet been implemented.</w:t>
      </w:r>
    </w:p>
    <w:p w14:paraId="2608DB8F" w14:textId="77777777" w:rsidR="005172D3" w:rsidRPr="001E5B0E" w:rsidRDefault="005172D3" w:rsidP="00310649">
      <w:pPr>
        <w:keepNext w:val="0"/>
        <w:rPr>
          <w:b/>
          <w:bCs/>
          <w:i/>
          <w:iCs/>
        </w:rPr>
      </w:pPr>
      <w:r w:rsidRPr="001E5B0E">
        <w:rPr>
          <w:b/>
          <w:bCs/>
          <w:i/>
          <w:iCs/>
        </w:rPr>
        <w:t>3. Rational connection between the limitation and the purpose (s 28 (2) (d))</w:t>
      </w:r>
    </w:p>
    <w:p w14:paraId="07074583" w14:textId="6E7B51C1" w:rsidR="005172D3" w:rsidRPr="001E5B0E" w:rsidRDefault="005172D3" w:rsidP="00310649">
      <w:pPr>
        <w:keepNext w:val="0"/>
        <w:rPr>
          <w:lang w:eastAsia="en-AU"/>
        </w:rPr>
      </w:pPr>
      <w:r w:rsidRPr="001E5B0E">
        <w:rPr>
          <w:lang w:eastAsia="en-AU"/>
        </w:rPr>
        <w:t>This amendment is capable of achieving the objective in practice because it will grant one extra year to support directorates and agencies to implement report recommendations.</w:t>
      </w:r>
      <w:r w:rsidR="00BC4FD6" w:rsidRPr="001E5B0E">
        <w:rPr>
          <w:lang w:eastAsia="en-AU"/>
        </w:rPr>
        <w:t xml:space="preserve"> This allows time to ensure that agencies are acting on any recommendations to improve human rights. Extending the time between reviews achieves the objective of a thorough consideration and implementation of recommendations for specified </w:t>
      </w:r>
      <w:r w:rsidR="005C31F3" w:rsidRPr="001E5B0E">
        <w:rPr>
          <w:lang w:eastAsia="en-AU"/>
        </w:rPr>
        <w:t>centres and detention places</w:t>
      </w:r>
      <w:r w:rsidR="00BC4FD6" w:rsidRPr="001E5B0E">
        <w:rPr>
          <w:lang w:eastAsia="en-AU"/>
        </w:rPr>
        <w:t>.</w:t>
      </w:r>
    </w:p>
    <w:p w14:paraId="3CDBBC90" w14:textId="77777777" w:rsidR="005172D3" w:rsidRPr="00825FC8" w:rsidRDefault="005172D3" w:rsidP="00310649">
      <w:pPr>
        <w:rPr>
          <w:b/>
          <w:bCs/>
          <w:i/>
          <w:iCs/>
        </w:rPr>
      </w:pPr>
      <w:r w:rsidRPr="00825FC8">
        <w:rPr>
          <w:b/>
          <w:bCs/>
          <w:i/>
          <w:iCs/>
        </w:rPr>
        <w:t>4. Proportionality (s 28 (2) (e))</w:t>
      </w:r>
    </w:p>
    <w:p w14:paraId="372645FD" w14:textId="58166E1D" w:rsidR="001E5B0E" w:rsidRDefault="00F3515A" w:rsidP="00310649">
      <w:pPr>
        <w:rPr>
          <w:lang w:eastAsia="en-AU"/>
        </w:rPr>
      </w:pPr>
      <w:r>
        <w:rPr>
          <w:lang w:eastAsia="en-AU"/>
        </w:rPr>
        <w:t xml:space="preserve">To the extent that this amendment may limit human rights, the limitation is reasonable and proportionate, and </w:t>
      </w:r>
      <w:r w:rsidR="005172D3">
        <w:rPr>
          <w:lang w:eastAsia="en-AU"/>
        </w:rPr>
        <w:t>the least restrictive means reasonably available to achieve the objective</w:t>
      </w:r>
      <w:r>
        <w:rPr>
          <w:lang w:eastAsia="en-AU"/>
        </w:rPr>
        <w:t>s.</w:t>
      </w:r>
      <w:r w:rsidR="005172D3">
        <w:rPr>
          <w:lang w:eastAsia="en-AU"/>
        </w:rPr>
        <w:t xml:space="preserve"> </w:t>
      </w:r>
      <w:r>
        <w:rPr>
          <w:lang w:eastAsia="en-AU"/>
        </w:rPr>
        <w:t>I</w:t>
      </w:r>
      <w:r w:rsidR="005172D3">
        <w:rPr>
          <w:lang w:eastAsia="en-AU"/>
        </w:rPr>
        <w:t xml:space="preserve">t is the minimum amount of time considered to be </w:t>
      </w:r>
      <w:r>
        <w:rPr>
          <w:lang w:eastAsia="en-AU"/>
        </w:rPr>
        <w:t xml:space="preserve">required </w:t>
      </w:r>
      <w:r w:rsidR="005172D3">
        <w:rPr>
          <w:lang w:eastAsia="en-AU"/>
        </w:rPr>
        <w:t>to extend the review cycle</w:t>
      </w:r>
      <w:r>
        <w:rPr>
          <w:lang w:eastAsia="en-AU"/>
        </w:rPr>
        <w:t xml:space="preserve"> to achieve the legitimate purpose</w:t>
      </w:r>
      <w:r w:rsidR="005172D3">
        <w:rPr>
          <w:lang w:eastAsia="en-AU"/>
        </w:rPr>
        <w:t>. Legislative safeguards</w:t>
      </w:r>
      <w:r w:rsidR="005C31F3">
        <w:rPr>
          <w:lang w:eastAsia="en-AU"/>
        </w:rPr>
        <w:t xml:space="preserve"> </w:t>
      </w:r>
      <w:r>
        <w:rPr>
          <w:lang w:eastAsia="en-AU"/>
        </w:rPr>
        <w:t xml:space="preserve">have also been </w:t>
      </w:r>
      <w:r w:rsidR="005C31F3">
        <w:rPr>
          <w:lang w:eastAsia="en-AU"/>
        </w:rPr>
        <w:t xml:space="preserve">incorporated </w:t>
      </w:r>
      <w:r>
        <w:rPr>
          <w:lang w:eastAsia="en-AU"/>
        </w:rPr>
        <w:t>in the amendment, which r</w:t>
      </w:r>
      <w:r w:rsidR="005172D3">
        <w:rPr>
          <w:lang w:eastAsia="en-AU"/>
        </w:rPr>
        <w:t>etain</w:t>
      </w:r>
      <w:r w:rsidR="001E5B0E">
        <w:rPr>
          <w:lang w:eastAsia="en-AU"/>
        </w:rPr>
        <w:t xml:space="preserve">: </w:t>
      </w:r>
    </w:p>
    <w:p w14:paraId="35DFA569" w14:textId="7C593903" w:rsidR="001E5B0E" w:rsidRDefault="005172D3" w:rsidP="00123BAA">
      <w:pPr>
        <w:pStyle w:val="ListParagraph"/>
        <w:keepNext w:val="0"/>
        <w:numPr>
          <w:ilvl w:val="0"/>
          <w:numId w:val="11"/>
        </w:numPr>
        <w:rPr>
          <w:lang w:eastAsia="en-AU"/>
        </w:rPr>
      </w:pPr>
      <w:r>
        <w:rPr>
          <w:lang w:eastAsia="en-AU"/>
        </w:rPr>
        <w:t xml:space="preserve">a review </w:t>
      </w:r>
      <w:r w:rsidR="00B15C6C">
        <w:rPr>
          <w:lang w:eastAsia="en-AU"/>
        </w:rPr>
        <w:t>within the first two years for a</w:t>
      </w:r>
      <w:r>
        <w:rPr>
          <w:lang w:eastAsia="en-AU"/>
        </w:rPr>
        <w:t xml:space="preserve"> newly declared correctional centre</w:t>
      </w:r>
      <w:r w:rsidR="00B15C6C">
        <w:rPr>
          <w:lang w:eastAsia="en-AU"/>
        </w:rPr>
        <w:t xml:space="preserve"> or</w:t>
      </w:r>
      <w:r>
        <w:rPr>
          <w:lang w:eastAsia="en-AU"/>
        </w:rPr>
        <w:t xml:space="preserve"> and detention place, </w:t>
      </w:r>
      <w:r w:rsidR="00F3515A">
        <w:rPr>
          <w:lang w:eastAsia="en-AU"/>
        </w:rPr>
        <w:t xml:space="preserve">and </w:t>
      </w:r>
    </w:p>
    <w:p w14:paraId="36250E57" w14:textId="2E6D271E" w:rsidR="001E5B0E" w:rsidRDefault="005172D3" w:rsidP="00123BAA">
      <w:pPr>
        <w:pStyle w:val="ListParagraph"/>
        <w:keepNext w:val="0"/>
        <w:numPr>
          <w:ilvl w:val="0"/>
          <w:numId w:val="11"/>
        </w:numPr>
        <w:rPr>
          <w:lang w:eastAsia="en-AU"/>
        </w:rPr>
      </w:pPr>
      <w:r>
        <w:rPr>
          <w:lang w:eastAsia="en-AU"/>
        </w:rPr>
        <w:t xml:space="preserve">the ability for the Inspector to initiate more than one review within the three-year cycle, at the Inspector’s discretion. </w:t>
      </w:r>
    </w:p>
    <w:p w14:paraId="4C782BF7" w14:textId="4818B500" w:rsidR="00763BAA" w:rsidRDefault="00F3515A" w:rsidP="00AC6654">
      <w:pPr>
        <w:keepNext w:val="0"/>
        <w:rPr>
          <w:lang w:eastAsia="en-AU"/>
        </w:rPr>
      </w:pPr>
      <w:r>
        <w:rPr>
          <w:lang w:eastAsia="en-AU"/>
        </w:rPr>
        <w:lastRenderedPageBreak/>
        <w:t>Moreover</w:t>
      </w:r>
      <w:r w:rsidR="00763BAA">
        <w:rPr>
          <w:lang w:eastAsia="en-AU"/>
        </w:rPr>
        <w:t xml:space="preserve">, the </w:t>
      </w:r>
      <w:r w:rsidR="005172D3">
        <w:rPr>
          <w:lang w:eastAsia="en-AU"/>
        </w:rPr>
        <w:t>amendment does not affect the Inspector’s powers to initiate reviews of critical incidents, conduct two-yearly reviews of correctional services, and enter and inspect a correctional centre</w:t>
      </w:r>
      <w:r w:rsidR="00763BAA">
        <w:rPr>
          <w:lang w:eastAsia="en-AU"/>
        </w:rPr>
        <w:t xml:space="preserve"> at any time</w:t>
      </w:r>
      <w:r w:rsidR="005172D3">
        <w:rPr>
          <w:lang w:eastAsia="en-AU"/>
        </w:rPr>
        <w:t xml:space="preserve">. </w:t>
      </w:r>
    </w:p>
    <w:p w14:paraId="53C914C7" w14:textId="750D4420" w:rsidR="00763BAA" w:rsidRDefault="00763BAA" w:rsidP="00AC6654">
      <w:pPr>
        <w:keepNext w:val="0"/>
        <w:rPr>
          <w:lang w:eastAsia="en-AU"/>
        </w:rPr>
      </w:pPr>
      <w:r>
        <w:rPr>
          <w:lang w:eastAsia="en-AU"/>
        </w:rPr>
        <w:t>There are also other oversight entities such as Official Visitors, the ACT Human Rights Commission and the ACT Ombudsman who visit correctional facilities regularly and have contact with detainees and share information with the Inspectorate regarding systemic concerns. Accordingly, there will be a range of opportunities for emerging human rights concerns to be addressed outside the formal review cycle.</w:t>
      </w:r>
    </w:p>
    <w:p w14:paraId="2934DB08" w14:textId="77777777" w:rsidR="005978A0" w:rsidRPr="00EA206E" w:rsidRDefault="005978A0" w:rsidP="005978A0">
      <w:pPr>
        <w:pStyle w:val="Heading6"/>
      </w:pPr>
      <w:r w:rsidRPr="005978A0">
        <w:t>Terrorism (Extraordinary Temporary Powers) Act 2006</w:t>
      </w:r>
      <w:r>
        <w:t xml:space="preserve"> – Extension of the Act </w:t>
      </w:r>
    </w:p>
    <w:p w14:paraId="2BF6541C" w14:textId="0CA4E471" w:rsidR="00D82DF2" w:rsidRDefault="00901A2B" w:rsidP="005978A0">
      <w:pPr>
        <w:keepNext w:val="0"/>
        <w:rPr>
          <w:bCs/>
        </w:rPr>
      </w:pPr>
      <w:r>
        <w:rPr>
          <w:bCs/>
        </w:rPr>
        <w:t>The</w:t>
      </w:r>
      <w:r w:rsidR="00657A3C">
        <w:rPr>
          <w:bCs/>
        </w:rPr>
        <w:t xml:space="preserve"> amendment to the</w:t>
      </w:r>
      <w:r w:rsidR="00817C05">
        <w:rPr>
          <w:bCs/>
        </w:rPr>
        <w:t xml:space="preserve"> </w:t>
      </w:r>
      <w:r w:rsidR="00817C05" w:rsidRPr="00817C05">
        <w:rPr>
          <w:bCs/>
          <w:i/>
          <w:iCs/>
        </w:rPr>
        <w:t>Terrorism (Extraordinary Temporary Powers)</w:t>
      </w:r>
      <w:r w:rsidR="00657A3C" w:rsidRPr="00817C05">
        <w:rPr>
          <w:bCs/>
          <w:i/>
          <w:iCs/>
        </w:rPr>
        <w:t xml:space="preserve"> Act </w:t>
      </w:r>
      <w:r w:rsidR="00817C05" w:rsidRPr="00817C05">
        <w:rPr>
          <w:bCs/>
          <w:i/>
          <w:iCs/>
        </w:rPr>
        <w:t>2006</w:t>
      </w:r>
      <w:r w:rsidR="00817C05">
        <w:rPr>
          <w:bCs/>
        </w:rPr>
        <w:t xml:space="preserve"> (TETP Act) </w:t>
      </w:r>
      <w:r w:rsidR="00657A3C">
        <w:rPr>
          <w:bCs/>
        </w:rPr>
        <w:t xml:space="preserve">extends the operation of the TETP Act for </w:t>
      </w:r>
      <w:r w:rsidR="00657A3C" w:rsidRPr="00796543">
        <w:rPr>
          <w:bCs/>
        </w:rPr>
        <w:t>12 months.</w:t>
      </w:r>
      <w:r w:rsidR="00D82DF2" w:rsidRPr="00796543">
        <w:rPr>
          <w:bCs/>
        </w:rPr>
        <w:t xml:space="preserve"> The TETP Act engages and limits a number of human rights</w:t>
      </w:r>
      <w:r w:rsidR="00817C05" w:rsidRPr="00796543">
        <w:rPr>
          <w:bCs/>
        </w:rPr>
        <w:t xml:space="preserve">, and these are </w:t>
      </w:r>
      <w:r w:rsidR="00D82DF2" w:rsidRPr="00796543">
        <w:rPr>
          <w:bCs/>
        </w:rPr>
        <w:t>addressed</w:t>
      </w:r>
      <w:r w:rsidR="00D82DF2">
        <w:rPr>
          <w:bCs/>
        </w:rPr>
        <w:t xml:space="preserve"> in the </w:t>
      </w:r>
      <w:r w:rsidR="00817C05">
        <w:rPr>
          <w:bCs/>
        </w:rPr>
        <w:t xml:space="preserve">original </w:t>
      </w:r>
      <w:r w:rsidR="00D82DF2">
        <w:rPr>
          <w:bCs/>
        </w:rPr>
        <w:t xml:space="preserve">Explanatory Statement for the TETP </w:t>
      </w:r>
      <w:r w:rsidR="00817C05">
        <w:rPr>
          <w:bCs/>
        </w:rPr>
        <w:t xml:space="preserve">Bill. </w:t>
      </w:r>
    </w:p>
    <w:p w14:paraId="018176A6" w14:textId="77777777" w:rsidR="00D82DF2" w:rsidRDefault="00D82DF2" w:rsidP="005978A0">
      <w:pPr>
        <w:keepNext w:val="0"/>
        <w:rPr>
          <w:bCs/>
        </w:rPr>
      </w:pPr>
    </w:p>
    <w:p w14:paraId="59962A4E" w14:textId="77777777" w:rsidR="00817C05" w:rsidRDefault="00817C05">
      <w:pPr>
        <w:keepNext w:val="0"/>
        <w:autoSpaceDE/>
        <w:autoSpaceDN/>
        <w:adjustRightInd/>
        <w:spacing w:before="0" w:after="0" w:line="240" w:lineRule="auto"/>
      </w:pPr>
      <w:r>
        <w:br w:type="page"/>
      </w:r>
    </w:p>
    <w:p w14:paraId="4D839FE0" w14:textId="77777777" w:rsidR="00F374ED" w:rsidRPr="0011644C" w:rsidRDefault="00F374ED" w:rsidP="00F374ED">
      <w:pPr>
        <w:jc w:val="center"/>
        <w:rPr>
          <w:b/>
          <w:bCs/>
          <w:sz w:val="28"/>
          <w:szCs w:val="28"/>
          <w:lang w:eastAsia="en-AU"/>
        </w:rPr>
      </w:pPr>
      <w:r w:rsidRPr="0011644C">
        <w:rPr>
          <w:b/>
          <w:bCs/>
          <w:sz w:val="28"/>
          <w:szCs w:val="28"/>
          <w:lang w:eastAsia="en-AU"/>
        </w:rPr>
        <w:lastRenderedPageBreak/>
        <w:t>Crimes Legislation Amendment Bill 2021</w:t>
      </w:r>
    </w:p>
    <w:p w14:paraId="4D9924EC" w14:textId="77777777" w:rsidR="00F374ED" w:rsidRPr="00050F68" w:rsidRDefault="00F374ED" w:rsidP="00F374ED">
      <w:pPr>
        <w:pStyle w:val="Title"/>
        <w:rPr>
          <w:lang w:eastAsia="en-AU"/>
        </w:rPr>
      </w:pPr>
      <w:bookmarkStart w:id="20" w:name="_Toc75420872"/>
      <w:r w:rsidRPr="00050F68">
        <w:rPr>
          <w:lang w:eastAsia="en-AU"/>
        </w:rPr>
        <w:t>Detail</w:t>
      </w:r>
      <w:bookmarkEnd w:id="20"/>
    </w:p>
    <w:p w14:paraId="072A55B1" w14:textId="6221E183" w:rsidR="00F374ED" w:rsidRPr="00050F68" w:rsidRDefault="00F374ED" w:rsidP="00F374ED">
      <w:pPr>
        <w:pStyle w:val="Heading1"/>
        <w:rPr>
          <w:lang w:eastAsia="en-AU"/>
        </w:rPr>
      </w:pPr>
      <w:bookmarkStart w:id="21" w:name="_Toc75420873"/>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sidR="00D5369B">
        <w:rPr>
          <w:noProof/>
          <w:lang w:eastAsia="en-AU"/>
        </w:rPr>
        <w:t>1</w:t>
      </w:r>
      <w:r w:rsidRPr="00050F68">
        <w:rPr>
          <w:lang w:eastAsia="en-AU"/>
        </w:rPr>
        <w:fldChar w:fldCharType="end"/>
      </w:r>
      <w:r w:rsidRPr="00050F68">
        <w:rPr>
          <w:lang w:eastAsia="en-AU"/>
        </w:rPr>
        <w:t xml:space="preserve"> – Preliminary</w:t>
      </w:r>
      <w:bookmarkEnd w:id="21"/>
    </w:p>
    <w:p w14:paraId="7E26269D" w14:textId="7D39DBCC" w:rsidR="00F374ED" w:rsidRPr="00050F68" w:rsidRDefault="00F374ED" w:rsidP="00F374ED">
      <w:pPr>
        <w:pStyle w:val="Heading4"/>
        <w:rPr>
          <w:bCs/>
          <w:lang w:eastAsia="en-AU"/>
        </w:rPr>
      </w:pPr>
      <w:r w:rsidRPr="00050F68">
        <w:t xml:space="preserve">Clause </w:t>
      </w:r>
      <w:fldSimple w:instr=" SEQ Clause \* ARABIC ">
        <w:r w:rsidR="00D5369B">
          <w:rPr>
            <w:noProof/>
          </w:rPr>
          <w:t>1</w:t>
        </w:r>
      </w:fldSimple>
      <w:r w:rsidRPr="00050F68">
        <w:rPr>
          <w:bCs/>
          <w:lang w:eastAsia="en-AU"/>
        </w:rPr>
        <w:t xml:space="preserve"> — Name of Act</w:t>
      </w:r>
    </w:p>
    <w:p w14:paraId="18A44189" w14:textId="77777777" w:rsidR="00F374ED" w:rsidRPr="00050F68" w:rsidRDefault="00F374ED" w:rsidP="00F374ED">
      <w:pPr>
        <w:rPr>
          <w:lang w:eastAsia="en-AU"/>
        </w:rPr>
      </w:pPr>
      <w:r w:rsidRPr="00854D22">
        <w:t xml:space="preserve">This is a technical clause that names the short title of the Act. The name of the Act will be the </w:t>
      </w:r>
      <w:r w:rsidRPr="00854D22">
        <w:rPr>
          <w:i/>
        </w:rPr>
        <w:t xml:space="preserve">Crimes Legislation Amendment </w:t>
      </w:r>
      <w:r>
        <w:rPr>
          <w:i/>
        </w:rPr>
        <w:t>Act</w:t>
      </w:r>
      <w:r w:rsidRPr="00854D22">
        <w:rPr>
          <w:i/>
        </w:rPr>
        <w:t xml:space="preserve"> 2021</w:t>
      </w:r>
      <w:r w:rsidRPr="00854D22">
        <w:t>.</w:t>
      </w:r>
    </w:p>
    <w:p w14:paraId="7072D8D8" w14:textId="244304CB" w:rsidR="00F374ED" w:rsidRPr="00050F68" w:rsidRDefault="00F374ED" w:rsidP="00F374ED">
      <w:pPr>
        <w:pStyle w:val="Heading4"/>
        <w:rPr>
          <w:bCs/>
          <w:lang w:eastAsia="en-AU"/>
        </w:rPr>
      </w:pPr>
      <w:r w:rsidRPr="00050F68">
        <w:t xml:space="preserve">Clause </w:t>
      </w:r>
      <w:fldSimple w:instr=" SEQ Clause \* ARABIC ">
        <w:r w:rsidR="00D5369B">
          <w:rPr>
            <w:noProof/>
          </w:rPr>
          <w:t>2</w:t>
        </w:r>
      </w:fldSimple>
      <w:r w:rsidRPr="00050F68">
        <w:rPr>
          <w:bCs/>
          <w:lang w:eastAsia="en-AU"/>
        </w:rPr>
        <w:t xml:space="preserve"> — Commencement</w:t>
      </w:r>
    </w:p>
    <w:p w14:paraId="00F5B987" w14:textId="77777777" w:rsidR="00F374ED" w:rsidRDefault="00F374ED" w:rsidP="00F374ED">
      <w:r w:rsidRPr="00854D22">
        <w:t xml:space="preserve">This clause provides </w:t>
      </w:r>
      <w:r>
        <w:t xml:space="preserve">for commencement of the amendments. </w:t>
      </w:r>
    </w:p>
    <w:p w14:paraId="6DDB289D" w14:textId="094086A4" w:rsidR="00F374ED" w:rsidRDefault="00F374ED" w:rsidP="00F374ED">
      <w:r>
        <w:t xml:space="preserve">Other than the amendments that introduce BWCs, all provisions </w:t>
      </w:r>
      <w:r w:rsidRPr="00854D22">
        <w:t xml:space="preserve">will commence on </w:t>
      </w:r>
      <w:r>
        <w:t>the day after notification</w:t>
      </w:r>
      <w:r w:rsidRPr="00854D22">
        <w:t>.</w:t>
      </w:r>
    </w:p>
    <w:p w14:paraId="0BB1EE33" w14:textId="0B79FA3A" w:rsidR="00F374ED" w:rsidRPr="00050F68" w:rsidRDefault="00F374ED" w:rsidP="00F374ED">
      <w:pPr>
        <w:rPr>
          <w:lang w:eastAsia="en-AU"/>
        </w:rPr>
      </w:pPr>
      <w:r>
        <w:t>The provisions relating to the use of BWCs (Part 4 and Part 6 of the Bill) have a delayed commencement of up to six months, on a day fixed by the minister by written notice. If the provisions have not commenced within six months after notification, the provisions will automatically commence. This will allow time for any training of police officers to be aware of the new provisions and the supporting guidelines.</w:t>
      </w:r>
    </w:p>
    <w:p w14:paraId="440BCD67" w14:textId="7461C1BD" w:rsidR="00F374ED" w:rsidRPr="00050F68" w:rsidRDefault="00F374ED" w:rsidP="00F374ED">
      <w:pPr>
        <w:pStyle w:val="Heading4"/>
        <w:rPr>
          <w:bCs/>
          <w:lang w:eastAsia="en-AU"/>
        </w:rPr>
      </w:pPr>
      <w:r w:rsidRPr="00050F68">
        <w:t xml:space="preserve">Clause </w:t>
      </w:r>
      <w:fldSimple w:instr=" SEQ Clause \* ARABIC ">
        <w:r w:rsidR="00D5369B">
          <w:rPr>
            <w:noProof/>
          </w:rPr>
          <w:t>3</w:t>
        </w:r>
      </w:fldSimple>
      <w:r w:rsidRPr="00050F68">
        <w:rPr>
          <w:bCs/>
          <w:lang w:eastAsia="en-AU"/>
        </w:rPr>
        <w:t xml:space="preserve"> — Legislation Amended</w:t>
      </w:r>
    </w:p>
    <w:p w14:paraId="13D3CF13" w14:textId="77777777" w:rsidR="00F374ED" w:rsidRDefault="00F374ED" w:rsidP="00F374ED">
      <w:pPr>
        <w:keepNext w:val="0"/>
        <w:rPr>
          <w:lang w:eastAsia="en-AU"/>
        </w:rPr>
      </w:pPr>
      <w:r w:rsidRPr="00050F68">
        <w:rPr>
          <w:lang w:eastAsia="en-AU"/>
        </w:rPr>
        <w:t>This clause lists the legislation amended by this Bill. This Bill will amend</w:t>
      </w:r>
      <w:r>
        <w:rPr>
          <w:lang w:eastAsia="en-AU"/>
        </w:rPr>
        <w:t>:</w:t>
      </w:r>
    </w:p>
    <w:p w14:paraId="3FBBB989" w14:textId="77777777" w:rsidR="00F374ED" w:rsidRPr="00854D22" w:rsidRDefault="00F374ED" w:rsidP="00F374ED">
      <w:pPr>
        <w:keepNext w:val="0"/>
        <w:rPr>
          <w:lang w:eastAsia="en-AU"/>
        </w:rPr>
      </w:pPr>
      <w:r w:rsidRPr="00854D22">
        <w:rPr>
          <w:lang w:eastAsia="en-AU"/>
        </w:rPr>
        <w:t>This Bill will amend</w:t>
      </w:r>
      <w:r>
        <w:rPr>
          <w:lang w:eastAsia="en-AU"/>
        </w:rPr>
        <w:t xml:space="preserve"> the</w:t>
      </w:r>
      <w:r w:rsidRPr="00854D22">
        <w:rPr>
          <w:lang w:eastAsia="en-AU"/>
        </w:rPr>
        <w:t>:</w:t>
      </w:r>
    </w:p>
    <w:p w14:paraId="1FC98800" w14:textId="77777777" w:rsidR="00F374ED" w:rsidRPr="009E2FEC" w:rsidRDefault="00F374ED" w:rsidP="00123BAA">
      <w:pPr>
        <w:pStyle w:val="ListParagraph"/>
        <w:keepNext w:val="0"/>
        <w:numPr>
          <w:ilvl w:val="0"/>
          <w:numId w:val="7"/>
        </w:numPr>
        <w:autoSpaceDE/>
        <w:autoSpaceDN/>
        <w:adjustRightInd/>
        <w:spacing w:before="0" w:after="200" w:line="240" w:lineRule="auto"/>
        <w:rPr>
          <w:i/>
          <w:iCs/>
        </w:rPr>
      </w:pPr>
      <w:r w:rsidRPr="009E2FEC">
        <w:rPr>
          <w:i/>
          <w:iCs/>
        </w:rPr>
        <w:t>Crimes (Child Sex Offenders) Act 2005;</w:t>
      </w:r>
    </w:p>
    <w:p w14:paraId="11732991" w14:textId="77777777" w:rsidR="00F374ED" w:rsidRPr="009E2FEC" w:rsidRDefault="00F374ED" w:rsidP="00123BAA">
      <w:pPr>
        <w:pStyle w:val="ListParagraph"/>
        <w:keepNext w:val="0"/>
        <w:numPr>
          <w:ilvl w:val="0"/>
          <w:numId w:val="7"/>
        </w:numPr>
        <w:autoSpaceDE/>
        <w:autoSpaceDN/>
        <w:adjustRightInd/>
        <w:spacing w:before="0" w:after="200" w:line="240" w:lineRule="auto"/>
        <w:rPr>
          <w:i/>
          <w:iCs/>
        </w:rPr>
      </w:pPr>
      <w:r w:rsidRPr="009E2FEC">
        <w:rPr>
          <w:i/>
          <w:iCs/>
        </w:rPr>
        <w:t>Crimes (Sentencing) Act 2005;</w:t>
      </w:r>
    </w:p>
    <w:p w14:paraId="0A0E50AF" w14:textId="77777777" w:rsidR="00F374ED" w:rsidRPr="009E2FEC" w:rsidRDefault="00F374ED" w:rsidP="00123BAA">
      <w:pPr>
        <w:pStyle w:val="ListParagraph"/>
        <w:keepNext w:val="0"/>
        <w:numPr>
          <w:ilvl w:val="0"/>
          <w:numId w:val="7"/>
        </w:numPr>
        <w:autoSpaceDE/>
        <w:autoSpaceDN/>
        <w:adjustRightInd/>
        <w:spacing w:before="0" w:after="200" w:line="240" w:lineRule="auto"/>
        <w:rPr>
          <w:i/>
          <w:iCs/>
        </w:rPr>
      </w:pPr>
      <w:r w:rsidRPr="009E2FEC">
        <w:rPr>
          <w:i/>
          <w:iCs/>
        </w:rPr>
        <w:t xml:space="preserve">Crimes (Surveillance Devices) Act 2010; </w:t>
      </w:r>
    </w:p>
    <w:p w14:paraId="6239F51B" w14:textId="77777777" w:rsidR="00F374ED" w:rsidRPr="009E2FEC" w:rsidRDefault="00F374ED" w:rsidP="00123BAA">
      <w:pPr>
        <w:pStyle w:val="ListParagraph"/>
        <w:keepNext w:val="0"/>
        <w:numPr>
          <w:ilvl w:val="0"/>
          <w:numId w:val="7"/>
        </w:numPr>
        <w:autoSpaceDE/>
        <w:autoSpaceDN/>
        <w:adjustRightInd/>
        <w:spacing w:before="0" w:after="200" w:line="240" w:lineRule="auto"/>
        <w:rPr>
          <w:i/>
          <w:iCs/>
        </w:rPr>
      </w:pPr>
      <w:r w:rsidRPr="009E2FEC">
        <w:rPr>
          <w:i/>
          <w:iCs/>
        </w:rPr>
        <w:t>Inspector of Correctional Services Act 2017;</w:t>
      </w:r>
    </w:p>
    <w:p w14:paraId="647CFB1A" w14:textId="77777777" w:rsidR="00F374ED" w:rsidRPr="009E2FEC" w:rsidRDefault="00F374ED" w:rsidP="00123BAA">
      <w:pPr>
        <w:pStyle w:val="ListParagraph"/>
        <w:keepNext w:val="0"/>
        <w:numPr>
          <w:ilvl w:val="0"/>
          <w:numId w:val="7"/>
        </w:numPr>
        <w:autoSpaceDE/>
        <w:autoSpaceDN/>
        <w:adjustRightInd/>
        <w:spacing w:before="0" w:after="200" w:line="240" w:lineRule="auto"/>
        <w:rPr>
          <w:i/>
          <w:iCs/>
        </w:rPr>
      </w:pPr>
      <w:r w:rsidRPr="009E2FEC">
        <w:rPr>
          <w:i/>
          <w:iCs/>
        </w:rPr>
        <w:t xml:space="preserve">Listening Devices Act 1992; </w:t>
      </w:r>
      <w:r w:rsidRPr="009E2FEC">
        <w:t>and</w:t>
      </w:r>
    </w:p>
    <w:p w14:paraId="29B9FCAC" w14:textId="77777777" w:rsidR="00F374ED" w:rsidRDefault="00F374ED" w:rsidP="00123BAA">
      <w:pPr>
        <w:pStyle w:val="ListParagraph"/>
        <w:keepNext w:val="0"/>
        <w:numPr>
          <w:ilvl w:val="0"/>
          <w:numId w:val="7"/>
        </w:numPr>
        <w:autoSpaceDE/>
        <w:autoSpaceDN/>
        <w:adjustRightInd/>
        <w:spacing w:before="0" w:after="200" w:line="240" w:lineRule="auto"/>
        <w:rPr>
          <w:i/>
          <w:iCs/>
        </w:rPr>
      </w:pPr>
      <w:r w:rsidRPr="009E2FEC">
        <w:rPr>
          <w:i/>
          <w:iCs/>
        </w:rPr>
        <w:t>Terrorism (Extraordinary Temporary Powers) Act 2006.</w:t>
      </w:r>
    </w:p>
    <w:p w14:paraId="4802F433" w14:textId="49950168" w:rsidR="00F374ED" w:rsidRPr="00050F68" w:rsidRDefault="00F374ED" w:rsidP="00F374ED">
      <w:pPr>
        <w:pStyle w:val="Heading1"/>
        <w:keepNext w:val="0"/>
        <w:rPr>
          <w:lang w:eastAsia="en-AU"/>
        </w:rPr>
      </w:pPr>
      <w:bookmarkStart w:id="22" w:name="_Toc75420874"/>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sidR="00D5369B">
        <w:rPr>
          <w:noProof/>
          <w:lang w:eastAsia="en-AU"/>
        </w:rPr>
        <w:t>2</w:t>
      </w:r>
      <w:r w:rsidRPr="00050F68">
        <w:rPr>
          <w:lang w:eastAsia="en-AU"/>
        </w:rPr>
        <w:fldChar w:fldCharType="end"/>
      </w:r>
      <w:r w:rsidRPr="00050F68">
        <w:rPr>
          <w:lang w:eastAsia="en-AU"/>
        </w:rPr>
        <w:t xml:space="preserve"> – </w:t>
      </w:r>
      <w:r w:rsidRPr="00DC68F2">
        <w:rPr>
          <w:lang w:eastAsia="en-AU"/>
        </w:rPr>
        <w:t>Crimes (Child Sex Offenders) Act 2005</w:t>
      </w:r>
      <w:bookmarkEnd w:id="22"/>
    </w:p>
    <w:p w14:paraId="345F11F5" w14:textId="77777777" w:rsidR="00F374ED" w:rsidRPr="00CB7CDB" w:rsidRDefault="00F374ED" w:rsidP="00F374ED">
      <w:pPr>
        <w:pStyle w:val="Heading4"/>
        <w:keepNext w:val="0"/>
        <w:rPr>
          <w:b w:val="0"/>
          <w:bCs/>
        </w:rPr>
      </w:pPr>
      <w:r>
        <w:rPr>
          <w:b w:val="0"/>
          <w:bCs/>
        </w:rPr>
        <w:t>The amendments made by this part of the Bill give effect to the requirement for offenders, convicted of the Commonwealth offence of possession of a childlike sex doll or similar object, to be registered as a child sex offender, unless they satisfy a court that they are not a risk to the sexual safety of children.</w:t>
      </w:r>
    </w:p>
    <w:p w14:paraId="3E40BE25" w14:textId="5CC82580" w:rsidR="00F374ED" w:rsidRPr="00050F68" w:rsidRDefault="00F374ED" w:rsidP="00F374ED">
      <w:pPr>
        <w:pStyle w:val="Heading4"/>
        <w:keepNext w:val="0"/>
        <w:rPr>
          <w:lang w:eastAsia="en-AU"/>
        </w:rPr>
      </w:pPr>
      <w:r w:rsidRPr="00050F68">
        <w:lastRenderedPageBreak/>
        <w:t xml:space="preserve">Clause </w:t>
      </w:r>
      <w:fldSimple w:instr=" SEQ Clause \* ARABIC ">
        <w:r w:rsidR="00D5369B">
          <w:rPr>
            <w:noProof/>
          </w:rPr>
          <w:t>4</w:t>
        </w:r>
      </w:fldSimple>
      <w:r w:rsidRPr="00050F68">
        <w:rPr>
          <w:bCs/>
          <w:lang w:eastAsia="en-AU"/>
        </w:rPr>
        <w:t xml:space="preserve"> </w:t>
      </w:r>
      <w:r w:rsidRPr="00050F68">
        <w:rPr>
          <w:lang w:eastAsia="en-AU"/>
        </w:rPr>
        <w:t xml:space="preserve">– </w:t>
      </w:r>
      <w:r w:rsidRPr="00DC68F2">
        <w:rPr>
          <w:lang w:eastAsia="en-AU"/>
        </w:rPr>
        <w:t>Registrable offender—exceptions</w:t>
      </w:r>
    </w:p>
    <w:p w14:paraId="54CB589F" w14:textId="77777777" w:rsidR="00F374ED" w:rsidRDefault="00F374ED" w:rsidP="00F374ED">
      <w:pPr>
        <w:keepNext w:val="0"/>
        <w:rPr>
          <w:lang w:eastAsia="en-AU"/>
        </w:rPr>
      </w:pPr>
      <w:r>
        <w:rPr>
          <w:lang w:eastAsia="en-AU"/>
        </w:rPr>
        <w:t xml:space="preserve">The CSO Act establishes a scheme for the registration of those convicted of child sex offences or other offences (set out in Schedules to the CSO Act) that make offenders a risk to the lives or sexual safety of children. </w:t>
      </w:r>
    </w:p>
    <w:p w14:paraId="1813BB08" w14:textId="77777777" w:rsidR="00F374ED" w:rsidRDefault="00F374ED" w:rsidP="00F374ED">
      <w:pPr>
        <w:keepNext w:val="0"/>
        <w:rPr>
          <w:lang w:eastAsia="en-AU"/>
        </w:rPr>
      </w:pPr>
      <w:r>
        <w:rPr>
          <w:lang w:eastAsia="en-AU"/>
        </w:rPr>
        <w:t>Section 9 of the CSO Act sets out circumstances in which a person who commits one or more of the offences listed in the Schedules is not necessarily a registrable offender.</w:t>
      </w:r>
    </w:p>
    <w:p w14:paraId="47FAF1A1" w14:textId="618142D5" w:rsidR="00F374ED" w:rsidRDefault="00F374ED" w:rsidP="00F374ED">
      <w:pPr>
        <w:keepNext w:val="0"/>
        <w:rPr>
          <w:lang w:eastAsia="en-AU"/>
        </w:rPr>
      </w:pPr>
      <w:r>
        <w:rPr>
          <w:lang w:eastAsia="en-AU"/>
        </w:rPr>
        <w:t>This clause inserts a new section 9 (1A) to provide new exception to the requirement to register as a child sex offender. This exception provides that if an offender has been convicted of the Commonwealth offence of ‘possession of a child-like sex doll etc’, the offender may apply to the court for a decision that they are not required to register on the grounds that the person is not a risk to the lives or sexual safety of children. The court may decide that the offender is not required to register if satisfied that the offender does not ‘pose a risk to the lives or sexual safety of one or more children, or of children generally’.</w:t>
      </w:r>
    </w:p>
    <w:p w14:paraId="01149186" w14:textId="77777777" w:rsidR="00F374ED" w:rsidRPr="00050F68" w:rsidRDefault="00F374ED" w:rsidP="00F374ED">
      <w:pPr>
        <w:keepNext w:val="0"/>
        <w:rPr>
          <w:lang w:eastAsia="en-AU"/>
        </w:rPr>
      </w:pPr>
      <w:r>
        <w:rPr>
          <w:lang w:eastAsia="en-AU"/>
        </w:rPr>
        <w:t>An offender may be exempted from the requirement to register as a child sex offender on the basis of either this new exception, or an existing exception within section 9 of the CSO Act, or both.</w:t>
      </w:r>
    </w:p>
    <w:p w14:paraId="0D1F619A" w14:textId="1FAA1751" w:rsidR="00F374ED" w:rsidRPr="00050F68" w:rsidRDefault="00F374ED" w:rsidP="00F374ED">
      <w:pPr>
        <w:pStyle w:val="Heading4"/>
        <w:keepNext w:val="0"/>
        <w:rPr>
          <w:lang w:eastAsia="en-AU"/>
        </w:rPr>
      </w:pPr>
      <w:r w:rsidRPr="00050F68">
        <w:t xml:space="preserve">Clause </w:t>
      </w:r>
      <w:fldSimple w:instr=" SEQ Clause \* ARABIC ">
        <w:r w:rsidR="00D5369B">
          <w:rPr>
            <w:noProof/>
          </w:rPr>
          <w:t>5</w:t>
        </w:r>
      </w:fldSimple>
      <w:r w:rsidRPr="00050F68">
        <w:rPr>
          <w:bCs/>
          <w:lang w:eastAsia="en-AU"/>
        </w:rPr>
        <w:t xml:space="preserve"> </w:t>
      </w:r>
      <w:r w:rsidRPr="00050F68">
        <w:rPr>
          <w:lang w:eastAsia="en-AU"/>
        </w:rPr>
        <w:t xml:space="preserve">– </w:t>
      </w:r>
      <w:r w:rsidRPr="00AA28D3">
        <w:rPr>
          <w:lang w:eastAsia="en-AU"/>
        </w:rPr>
        <w:t>Class 2 offences</w:t>
      </w:r>
    </w:p>
    <w:p w14:paraId="07F012F6" w14:textId="77777777" w:rsidR="00F374ED" w:rsidRPr="00050F68" w:rsidRDefault="00F374ED" w:rsidP="00F374ED">
      <w:pPr>
        <w:keepNext w:val="0"/>
        <w:rPr>
          <w:lang w:eastAsia="en-AU"/>
        </w:rPr>
      </w:pPr>
      <w:r>
        <w:rPr>
          <w:lang w:eastAsia="en-AU"/>
        </w:rPr>
        <w:t xml:space="preserve">This clause amends Schedule 2, part 2.2 to insert a new item adding the </w:t>
      </w:r>
      <w:r>
        <w:t>Commonwealth offence of possession of child-like sex dolls etc. to the list of class 2 offences</w:t>
      </w:r>
    </w:p>
    <w:p w14:paraId="20142752" w14:textId="5E2D7BC4" w:rsidR="00F374ED" w:rsidRPr="00050F68" w:rsidRDefault="00F374ED" w:rsidP="00F374ED">
      <w:pPr>
        <w:pStyle w:val="Heading1"/>
        <w:keepNext w:val="0"/>
        <w:rPr>
          <w:lang w:eastAsia="en-AU"/>
        </w:rPr>
      </w:pPr>
      <w:bookmarkStart w:id="23" w:name="_Toc75420875"/>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sidR="00D5369B">
        <w:rPr>
          <w:noProof/>
          <w:lang w:eastAsia="en-AU"/>
        </w:rPr>
        <w:t>3</w:t>
      </w:r>
      <w:r w:rsidRPr="00050F68">
        <w:rPr>
          <w:lang w:eastAsia="en-AU"/>
        </w:rPr>
        <w:fldChar w:fldCharType="end"/>
      </w:r>
      <w:r w:rsidRPr="00050F68">
        <w:rPr>
          <w:lang w:eastAsia="en-AU"/>
        </w:rPr>
        <w:t xml:space="preserve"> – </w:t>
      </w:r>
      <w:r w:rsidRPr="00AA28D3">
        <w:rPr>
          <w:lang w:eastAsia="en-AU"/>
        </w:rPr>
        <w:t>Crimes (Sentencing) Act 2005</w:t>
      </w:r>
      <w:bookmarkEnd w:id="23"/>
    </w:p>
    <w:p w14:paraId="40353C9C" w14:textId="77777777" w:rsidR="00F374ED" w:rsidRDefault="00F374ED" w:rsidP="00F374ED">
      <w:pPr>
        <w:pStyle w:val="Heading4"/>
        <w:keepNext w:val="0"/>
        <w:rPr>
          <w:b w:val="0"/>
          <w:bCs/>
        </w:rPr>
      </w:pPr>
      <w:r>
        <w:rPr>
          <w:b w:val="0"/>
          <w:bCs/>
        </w:rPr>
        <w:t>The amendments made by part 3 of the Bill are:</w:t>
      </w:r>
    </w:p>
    <w:p w14:paraId="5562F743" w14:textId="77777777" w:rsidR="00F374ED" w:rsidRDefault="00F374ED" w:rsidP="00123BAA">
      <w:pPr>
        <w:pStyle w:val="Heading4"/>
        <w:keepNext w:val="0"/>
        <w:numPr>
          <w:ilvl w:val="0"/>
          <w:numId w:val="18"/>
        </w:numPr>
        <w:rPr>
          <w:b w:val="0"/>
          <w:bCs/>
        </w:rPr>
      </w:pPr>
      <w:r>
        <w:rPr>
          <w:b w:val="0"/>
          <w:bCs/>
        </w:rPr>
        <w:t>to ensure</w:t>
      </w:r>
      <w:r w:rsidRPr="00F354B0">
        <w:rPr>
          <w:b w:val="0"/>
          <w:bCs/>
        </w:rPr>
        <w:t xml:space="preserve"> that family violence is a matter which the courts must consider appropriately in the sentencing process</w:t>
      </w:r>
      <w:r>
        <w:rPr>
          <w:b w:val="0"/>
          <w:bCs/>
        </w:rPr>
        <w:t>; and</w:t>
      </w:r>
    </w:p>
    <w:p w14:paraId="50B4AB8B" w14:textId="77777777" w:rsidR="00F374ED" w:rsidRPr="00FC4912" w:rsidRDefault="00F374ED" w:rsidP="00123BAA">
      <w:pPr>
        <w:pStyle w:val="ListParagraph"/>
        <w:keepNext w:val="0"/>
        <w:numPr>
          <w:ilvl w:val="0"/>
          <w:numId w:val="18"/>
        </w:numPr>
      </w:pPr>
      <w:r>
        <w:t>rectify an anomaly which prevents</w:t>
      </w:r>
      <w:r w:rsidRPr="00301B0F">
        <w:t xml:space="preserve"> appeal courts </w:t>
      </w:r>
      <w:r>
        <w:t>from amending a nonparole period where the sentence for one or more offences is set aside</w:t>
      </w:r>
      <w:r w:rsidRPr="00301B0F">
        <w:t xml:space="preserve"> or amended on appeal</w:t>
      </w:r>
      <w:r>
        <w:t>.</w:t>
      </w:r>
    </w:p>
    <w:p w14:paraId="3E25C40B" w14:textId="491FB59E" w:rsidR="00F374ED" w:rsidRPr="00050F68" w:rsidRDefault="00F374ED" w:rsidP="00F374ED">
      <w:pPr>
        <w:pStyle w:val="Heading4"/>
        <w:rPr>
          <w:lang w:eastAsia="en-AU"/>
        </w:rPr>
      </w:pPr>
      <w:r w:rsidRPr="00050F68">
        <w:t xml:space="preserve">Clause </w:t>
      </w:r>
      <w:fldSimple w:instr=" SEQ Clause \* ARABIC ">
        <w:r w:rsidR="00D5369B">
          <w:rPr>
            <w:noProof/>
          </w:rPr>
          <w:t>6</w:t>
        </w:r>
      </w:fldSimple>
      <w:r w:rsidRPr="00050F68">
        <w:rPr>
          <w:bCs/>
          <w:lang w:eastAsia="en-AU"/>
        </w:rPr>
        <w:t xml:space="preserve"> </w:t>
      </w:r>
      <w:r w:rsidRPr="00050F68">
        <w:rPr>
          <w:lang w:eastAsia="en-AU"/>
        </w:rPr>
        <w:t xml:space="preserve">– </w:t>
      </w:r>
      <w:r w:rsidRPr="00AA28D3">
        <w:rPr>
          <w:lang w:eastAsia="en-AU"/>
        </w:rPr>
        <w:t>Sentencing—irrelevant considerations Section 34 (2)</w:t>
      </w:r>
    </w:p>
    <w:p w14:paraId="49DEBDF3" w14:textId="77777777" w:rsidR="00F374ED" w:rsidRPr="00050F68" w:rsidRDefault="00F374ED" w:rsidP="00F374ED">
      <w:pPr>
        <w:rPr>
          <w:lang w:eastAsia="en-AU"/>
        </w:rPr>
      </w:pPr>
      <w:r w:rsidRPr="00DC4DE4">
        <w:t>This is a consequential amendment as a result of the amendments to new section 34B that remove</w:t>
      </w:r>
      <w:r>
        <w:t>s</w:t>
      </w:r>
      <w:r w:rsidRPr="00DC4DE4">
        <w:t xml:space="preserve"> </w:t>
      </w:r>
      <w:r>
        <w:t>existing</w:t>
      </w:r>
      <w:r w:rsidRPr="00DC4DE4">
        <w:t xml:space="preserve"> section</w:t>
      </w:r>
      <w:r>
        <w:t>s</w:t>
      </w:r>
      <w:r w:rsidRPr="00DC4DE4">
        <w:t xml:space="preserve"> 34 (2) (a) and (b) and</w:t>
      </w:r>
      <w:r>
        <w:t xml:space="preserve"> relocates</w:t>
      </w:r>
      <w:r w:rsidRPr="00DC4DE4">
        <w:t xml:space="preserve"> them into the new section 34</w:t>
      </w:r>
      <w:r>
        <w:t>B</w:t>
      </w:r>
      <w:r w:rsidRPr="00DC4DE4">
        <w:t xml:space="preserve"> (2).</w:t>
      </w:r>
    </w:p>
    <w:p w14:paraId="4F6DA46C" w14:textId="77777777" w:rsidR="009329F4" w:rsidRDefault="009329F4">
      <w:pPr>
        <w:keepNext w:val="0"/>
        <w:autoSpaceDE/>
        <w:autoSpaceDN/>
        <w:adjustRightInd/>
        <w:spacing w:before="0" w:after="0" w:line="240" w:lineRule="auto"/>
        <w:rPr>
          <w:b/>
        </w:rPr>
      </w:pPr>
      <w:r>
        <w:br w:type="page"/>
      </w:r>
    </w:p>
    <w:p w14:paraId="0129F8F6" w14:textId="45782385" w:rsidR="00F374ED" w:rsidRPr="00050F68" w:rsidRDefault="00F374ED" w:rsidP="00F374ED">
      <w:pPr>
        <w:pStyle w:val="Heading4"/>
        <w:keepNext w:val="0"/>
        <w:rPr>
          <w:lang w:eastAsia="en-AU"/>
        </w:rPr>
      </w:pPr>
      <w:r w:rsidRPr="00050F68">
        <w:lastRenderedPageBreak/>
        <w:t xml:space="preserve">Clause </w:t>
      </w:r>
      <w:fldSimple w:instr=" SEQ Clause \* ARABIC ">
        <w:r w:rsidR="00D5369B">
          <w:rPr>
            <w:noProof/>
          </w:rPr>
          <w:t>7</w:t>
        </w:r>
      </w:fldSimple>
      <w:r w:rsidRPr="00050F68">
        <w:rPr>
          <w:bCs/>
          <w:lang w:eastAsia="en-AU"/>
        </w:rPr>
        <w:t xml:space="preserve"> </w:t>
      </w:r>
      <w:r w:rsidRPr="00050F68">
        <w:rPr>
          <w:lang w:eastAsia="en-AU"/>
        </w:rPr>
        <w:t xml:space="preserve">– </w:t>
      </w:r>
      <w:r w:rsidRPr="005914E2">
        <w:t>New section 34B</w:t>
      </w:r>
    </w:p>
    <w:p w14:paraId="42409523" w14:textId="77777777" w:rsidR="00F374ED" w:rsidRDefault="00F374ED" w:rsidP="00F374ED">
      <w:r w:rsidRPr="005914E2">
        <w:t xml:space="preserve">This clause inserts new section 34B which mandates that the court must consider certain factors when sentencing for a family violence offence. </w:t>
      </w:r>
      <w:r>
        <w:t>The insertion of new section 34B as a separate sentencing consideration in addition to the factors outlined at section 33 is modelled on existing section 34A which specifically draws out additional sentencing factors for child sex offenders. The new section is not intended to reduce a judicial officer’s discretion when considering sentencing factors, but ensure that they are required, when sentencing for family violence offences, to consider additional factors as part of the sentencing process.</w:t>
      </w:r>
    </w:p>
    <w:p w14:paraId="42A63A28" w14:textId="77777777" w:rsidR="00F374ED" w:rsidRDefault="00F374ED" w:rsidP="00F374ED">
      <w:r w:rsidRPr="00AA28D3">
        <w:rPr>
          <w:b/>
          <w:bCs/>
          <w:iCs/>
        </w:rPr>
        <w:t>New section 34B (1)</w:t>
      </w:r>
      <w:r>
        <w:t xml:space="preserve"> </w:t>
      </w:r>
      <w:r>
        <w:rPr>
          <w:iCs/>
        </w:rPr>
        <w:t xml:space="preserve">outlines the factors that the court must consider, which includes reference to the preamble in the </w:t>
      </w:r>
      <w:r>
        <w:rPr>
          <w:i/>
        </w:rPr>
        <w:t>Family Violence Act 2016</w:t>
      </w:r>
      <w:r>
        <w:rPr>
          <w:iCs/>
        </w:rPr>
        <w:t>, which notes principles in relation to recognising family violence and also key features associated with family violence matters. Including this reminds the court of the legislature’s commitment and intent for family violence matters to be treated as serious matters with complex, but well documented, dynamics that are not present in other types of offending.</w:t>
      </w:r>
    </w:p>
    <w:p w14:paraId="7E11D8AF" w14:textId="77777777" w:rsidR="00F374ED" w:rsidRPr="005914E2" w:rsidRDefault="00F374ED" w:rsidP="00F374ED">
      <w:r>
        <w:t xml:space="preserve">This clause allows the court to take into account some of the more serious features of family violence offending, such as whether this is one of a series of serious family violence matters, whether children were present when the offending occurred, and whether it was “behind closed doors”, or in a private home setting, including for example outside at someone’s home. A home has been specifically referenced because it is usually a private setting, where there are less likely to be witnesses, and therefore a situation of increased vulnerability. </w:t>
      </w:r>
    </w:p>
    <w:p w14:paraId="0DB2AEB5" w14:textId="77777777" w:rsidR="00F374ED" w:rsidRDefault="00F374ED" w:rsidP="00F374ED">
      <w:pPr>
        <w:keepNext w:val="0"/>
      </w:pPr>
      <w:r w:rsidRPr="005914E2">
        <w:t xml:space="preserve">This clause </w:t>
      </w:r>
      <w:r>
        <w:t xml:space="preserve">also </w:t>
      </w:r>
      <w:r w:rsidRPr="005914E2">
        <w:t>recognises that family violence could be considered not only as an aggravating factor, but also as a</w:t>
      </w:r>
      <w:r w:rsidRPr="00DC4DE4">
        <w:t xml:space="preserve"> mitigating factor. </w:t>
      </w:r>
      <w:r>
        <w:t xml:space="preserve">It is open to make submissions about the nuance of family violence relationships as part of the ‘nature of </w:t>
      </w:r>
      <w:r w:rsidRPr="00087013">
        <w:t>family violence and the context of the offending</w:t>
      </w:r>
      <w:r>
        <w:t xml:space="preserve">’ which could include </w:t>
      </w:r>
      <w:r w:rsidRPr="00DC4DE4">
        <w:t>issues around identification of the primary perpetrator and contextualising incidents of violence within a broader history of family violence.</w:t>
      </w:r>
      <w:r>
        <w:t xml:space="preserve"> </w:t>
      </w:r>
      <w:r w:rsidRPr="00DC4DE4">
        <w:t>People charged with family violence, when committed in circumstances of self-defence, should not necessarily be subject to the same levels of aggravation as a primary perpetrator.</w:t>
      </w:r>
    </w:p>
    <w:p w14:paraId="1AE5166B" w14:textId="77777777" w:rsidR="00F374ED" w:rsidRDefault="00F374ED" w:rsidP="00F374ED">
      <w:pPr>
        <w:keepNext w:val="0"/>
      </w:pPr>
      <w:r>
        <w:rPr>
          <w:b/>
          <w:bCs/>
        </w:rPr>
        <w:t>New section 34B (2)</w:t>
      </w:r>
      <w:r>
        <w:t xml:space="preserve"> is a consequential amendment that moves existing</w:t>
      </w:r>
      <w:r w:rsidRPr="00DC4DE4">
        <w:t xml:space="preserve"> section 34</w:t>
      </w:r>
      <w:r w:rsidRPr="00141697">
        <w:t xml:space="preserve"> (2) (a) and (b) </w:t>
      </w:r>
      <w:r>
        <w:t>into</w:t>
      </w:r>
      <w:r w:rsidRPr="00141697">
        <w:t xml:space="preserve"> the new section 34 (2).</w:t>
      </w:r>
    </w:p>
    <w:p w14:paraId="6199D758" w14:textId="77777777" w:rsidR="00F374ED" w:rsidRPr="00050F68" w:rsidRDefault="00F374ED" w:rsidP="00F374ED">
      <w:pPr>
        <w:keepNext w:val="0"/>
      </w:pPr>
      <w:r>
        <w:rPr>
          <w:b/>
          <w:bCs/>
        </w:rPr>
        <w:t>New section 34B (3)</w:t>
      </w:r>
      <w:r>
        <w:t xml:space="preserve"> contains important definitions for new section 34B.</w:t>
      </w:r>
    </w:p>
    <w:p w14:paraId="65E727F4" w14:textId="6885F1B8" w:rsidR="00F374ED" w:rsidRPr="00050F68" w:rsidRDefault="00F374ED" w:rsidP="00F374ED">
      <w:pPr>
        <w:pStyle w:val="Heading4"/>
        <w:keepNext w:val="0"/>
        <w:rPr>
          <w:lang w:eastAsia="en-AU"/>
        </w:rPr>
      </w:pPr>
      <w:r w:rsidRPr="00050F68">
        <w:t xml:space="preserve">Clause </w:t>
      </w:r>
      <w:fldSimple w:instr=" SEQ Clause \* ARABIC ">
        <w:r w:rsidR="00D5369B">
          <w:rPr>
            <w:noProof/>
          </w:rPr>
          <w:t>8</w:t>
        </w:r>
      </w:fldSimple>
      <w:r w:rsidRPr="00050F68">
        <w:rPr>
          <w:bCs/>
          <w:lang w:eastAsia="en-AU"/>
        </w:rPr>
        <w:t xml:space="preserve"> </w:t>
      </w:r>
      <w:r w:rsidRPr="00050F68">
        <w:rPr>
          <w:lang w:eastAsia="en-AU"/>
        </w:rPr>
        <w:t xml:space="preserve">– </w:t>
      </w:r>
      <w:r>
        <w:t>New section 67A</w:t>
      </w:r>
    </w:p>
    <w:p w14:paraId="6FF4A570" w14:textId="77777777" w:rsidR="00F374ED" w:rsidRDefault="00F374ED" w:rsidP="00F374ED">
      <w:pPr>
        <w:keepNext w:val="0"/>
      </w:pPr>
      <w:r>
        <w:t xml:space="preserve">This clause inserts section 67A to clarify the operation of nonparole periods. </w:t>
      </w:r>
    </w:p>
    <w:p w14:paraId="177BA5D0" w14:textId="77777777" w:rsidR="00F374ED" w:rsidRDefault="00F374ED" w:rsidP="00F374ED">
      <w:pPr>
        <w:keepNext w:val="0"/>
      </w:pPr>
      <w:r w:rsidRPr="009E2FEC">
        <w:rPr>
          <w:b/>
          <w:bCs/>
        </w:rPr>
        <w:lastRenderedPageBreak/>
        <w:t>New section 67A (1)</w:t>
      </w:r>
      <w:r>
        <w:t xml:space="preserve"> (a) provides that if a sentence of imprisonment is set aside or amended on appeal, then any nonparole period to which the offender is subject is automatically cancelled. New section 67A (1) (b) provides that the provisions in Part 5.2 (Imprisonment-nonparole periods) apply in the setting of any new nonparole period. </w:t>
      </w:r>
    </w:p>
    <w:p w14:paraId="7D94D43B" w14:textId="77777777" w:rsidR="00F374ED" w:rsidRDefault="00F374ED" w:rsidP="00F374ED">
      <w:pPr>
        <w:keepNext w:val="0"/>
      </w:pPr>
      <w:r w:rsidRPr="009E2FEC">
        <w:rPr>
          <w:b/>
          <w:bCs/>
        </w:rPr>
        <w:t>New section 67A (2)</w:t>
      </w:r>
      <w:r>
        <w:t xml:space="preserve"> creates an exception that section 65 (4), which allows the court to decline to set a nonparole period, does not apply if a nonparole period applied to the sentence before the appeal.</w:t>
      </w:r>
    </w:p>
    <w:p w14:paraId="519EDA10" w14:textId="77777777" w:rsidR="00F374ED" w:rsidRPr="00050F68" w:rsidRDefault="00F374ED" w:rsidP="00F374ED">
      <w:pPr>
        <w:keepNext w:val="0"/>
        <w:rPr>
          <w:lang w:eastAsia="en-AU"/>
        </w:rPr>
      </w:pPr>
      <w:r w:rsidRPr="0078041F">
        <w:t>The nonparole period to which the offender is subject is automatically cancelled and the appeal court, in setting a new nonparole period, is guided by the existing provisions in Part 5.2 that apply to the setting of a nonparole period, with one exception. If the original sentencing court determined that it was appropriate to set a nonparole period, the appeal court may not override this decision. This exception ensures that an offender does not lose their ability to apply for parole as a result of a successful appeal.</w:t>
      </w:r>
    </w:p>
    <w:p w14:paraId="562070C0" w14:textId="5DEC76B5" w:rsidR="00F374ED" w:rsidRPr="00050F68" w:rsidRDefault="00F374ED" w:rsidP="00F374ED">
      <w:pPr>
        <w:pStyle w:val="Heading4"/>
        <w:keepNext w:val="0"/>
        <w:rPr>
          <w:lang w:eastAsia="en-AU"/>
        </w:rPr>
      </w:pPr>
      <w:r w:rsidRPr="00050F68">
        <w:t xml:space="preserve">Clause </w:t>
      </w:r>
      <w:fldSimple w:instr=" SEQ Clause \* ARABIC ">
        <w:r w:rsidR="00D5369B">
          <w:rPr>
            <w:noProof/>
          </w:rPr>
          <w:t>9</w:t>
        </w:r>
      </w:fldSimple>
      <w:r w:rsidRPr="00050F68">
        <w:rPr>
          <w:bCs/>
          <w:lang w:eastAsia="en-AU"/>
        </w:rPr>
        <w:t xml:space="preserve"> </w:t>
      </w:r>
      <w:r w:rsidRPr="00050F68">
        <w:rPr>
          <w:lang w:eastAsia="en-AU"/>
        </w:rPr>
        <w:t xml:space="preserve">– </w:t>
      </w:r>
      <w:r w:rsidRPr="009E2FEC">
        <w:rPr>
          <w:lang w:eastAsia="en-AU"/>
        </w:rPr>
        <w:t>Amendment of start of sentences on setting aside or amending other sentences Section 74 (5)</w:t>
      </w:r>
    </w:p>
    <w:p w14:paraId="359266E5" w14:textId="77777777" w:rsidR="00F374ED" w:rsidRPr="00050F68" w:rsidRDefault="00F374ED" w:rsidP="00F374ED">
      <w:pPr>
        <w:keepNext w:val="0"/>
        <w:rPr>
          <w:lang w:eastAsia="en-AU"/>
        </w:rPr>
      </w:pPr>
      <w:r w:rsidRPr="009E2FEC">
        <w:rPr>
          <w:lang w:eastAsia="en-AU"/>
        </w:rPr>
        <w:t>This clause</w:t>
      </w:r>
      <w:r>
        <w:rPr>
          <w:lang w:eastAsia="en-AU"/>
        </w:rPr>
        <w:t xml:space="preserve"> amends section 74 (5) to remove the words ‘or the nonparole period of a sentence’ </w:t>
      </w:r>
      <w:r w:rsidRPr="009E2FEC">
        <w:rPr>
          <w:lang w:eastAsia="en-AU"/>
        </w:rPr>
        <w:t>to ensure consistency and reduce uncertainty about the operation of section 74</w:t>
      </w:r>
      <w:r>
        <w:rPr>
          <w:lang w:eastAsia="en-AU"/>
        </w:rPr>
        <w:t>.</w:t>
      </w:r>
    </w:p>
    <w:p w14:paraId="4C821D4E" w14:textId="1B8DD20D" w:rsidR="00F374ED" w:rsidRPr="001F4F49" w:rsidRDefault="00F374ED" w:rsidP="00F374ED">
      <w:pPr>
        <w:pStyle w:val="Heading1"/>
        <w:keepNext w:val="0"/>
        <w:rPr>
          <w:lang w:eastAsia="en-AU"/>
        </w:rPr>
      </w:pPr>
      <w:bookmarkStart w:id="24" w:name="_Toc75420876"/>
      <w:r w:rsidRPr="001F4F49">
        <w:rPr>
          <w:lang w:eastAsia="en-AU"/>
        </w:rPr>
        <w:t xml:space="preserve">Part </w:t>
      </w:r>
      <w:r w:rsidRPr="001F4F49">
        <w:rPr>
          <w:lang w:eastAsia="en-AU"/>
        </w:rPr>
        <w:fldChar w:fldCharType="begin"/>
      </w:r>
      <w:r w:rsidRPr="001F4F49">
        <w:rPr>
          <w:lang w:eastAsia="en-AU"/>
        </w:rPr>
        <w:instrText xml:space="preserve"> SEQ Part \* ARABIC </w:instrText>
      </w:r>
      <w:r w:rsidRPr="001F4F49">
        <w:rPr>
          <w:lang w:eastAsia="en-AU"/>
        </w:rPr>
        <w:fldChar w:fldCharType="separate"/>
      </w:r>
      <w:r w:rsidR="00D5369B">
        <w:rPr>
          <w:noProof/>
          <w:lang w:eastAsia="en-AU"/>
        </w:rPr>
        <w:t>4</w:t>
      </w:r>
      <w:r w:rsidRPr="001F4F49">
        <w:rPr>
          <w:lang w:eastAsia="en-AU"/>
        </w:rPr>
        <w:fldChar w:fldCharType="end"/>
      </w:r>
      <w:r w:rsidRPr="001F4F49">
        <w:rPr>
          <w:lang w:eastAsia="en-AU"/>
        </w:rPr>
        <w:t xml:space="preserve"> – </w:t>
      </w:r>
      <w:r w:rsidRPr="001F4F49">
        <w:t>Crimes (Surveillance Devices) Act 2010</w:t>
      </w:r>
      <w:bookmarkEnd w:id="24"/>
    </w:p>
    <w:p w14:paraId="36AB296E" w14:textId="5D1D92DD" w:rsidR="00F374ED" w:rsidRPr="00FC4912" w:rsidRDefault="00F374ED" w:rsidP="00F374ED">
      <w:pPr>
        <w:pStyle w:val="Heading4"/>
        <w:keepNext w:val="0"/>
        <w:rPr>
          <w:b w:val="0"/>
          <w:bCs/>
        </w:rPr>
      </w:pPr>
      <w:r w:rsidRPr="001F4F49">
        <w:rPr>
          <w:b w:val="0"/>
          <w:bCs/>
        </w:rPr>
        <w:t xml:space="preserve">This part makes </w:t>
      </w:r>
      <w:r w:rsidRPr="00FA3DBC">
        <w:rPr>
          <w:b w:val="0"/>
          <w:bCs/>
        </w:rPr>
        <w:t xml:space="preserve">amendments to support the use of BWCs by police in the performance of their duties.  This </w:t>
      </w:r>
      <w:r w:rsidRPr="001F4F49">
        <w:rPr>
          <w:b w:val="0"/>
          <w:bCs/>
        </w:rPr>
        <w:t xml:space="preserve">complements existing </w:t>
      </w:r>
      <w:r w:rsidR="009317DA" w:rsidRPr="001F4F49">
        <w:rPr>
          <w:b w:val="0"/>
          <w:bCs/>
        </w:rPr>
        <w:t>legal frameworks</w:t>
      </w:r>
      <w:r w:rsidRPr="001F4F49">
        <w:rPr>
          <w:b w:val="0"/>
          <w:bCs/>
        </w:rPr>
        <w:t xml:space="preserve"> that govern the use by law enforcement of devices with the same or similar functionality, to make audio or visual recordings, in a range of circumstances and locations.</w:t>
      </w:r>
    </w:p>
    <w:p w14:paraId="5F61309C" w14:textId="088CEBCB" w:rsidR="00F374ED" w:rsidRPr="00FC4912" w:rsidRDefault="00F374ED" w:rsidP="00F374ED">
      <w:pPr>
        <w:pStyle w:val="Heading4"/>
        <w:keepNext w:val="0"/>
        <w:rPr>
          <w:lang w:eastAsia="en-AU"/>
        </w:rPr>
      </w:pPr>
      <w:r w:rsidRPr="00FC4912">
        <w:t xml:space="preserve">Clause </w:t>
      </w:r>
      <w:fldSimple w:instr=" SEQ Clause \* ARABIC ">
        <w:r w:rsidR="00D5369B">
          <w:rPr>
            <w:noProof/>
          </w:rPr>
          <w:t>10</w:t>
        </w:r>
      </w:fldSimple>
      <w:r w:rsidRPr="00FC4912">
        <w:rPr>
          <w:bCs/>
          <w:lang w:eastAsia="en-AU"/>
        </w:rPr>
        <w:t xml:space="preserve"> </w:t>
      </w:r>
      <w:r w:rsidRPr="00FC4912">
        <w:rPr>
          <w:lang w:eastAsia="en-AU"/>
        </w:rPr>
        <w:t>– Purposes of Act New section 6 (e)</w:t>
      </w:r>
    </w:p>
    <w:p w14:paraId="2E92ADBC" w14:textId="2E4E2383" w:rsidR="00F374ED" w:rsidRPr="00FC4912" w:rsidRDefault="00F374ED" w:rsidP="00F374ED">
      <w:pPr>
        <w:keepNext w:val="0"/>
        <w:rPr>
          <w:lang w:eastAsia="en-AU"/>
        </w:rPr>
      </w:pPr>
      <w:r w:rsidRPr="00FC4912">
        <w:rPr>
          <w:lang w:eastAsia="en-AU"/>
        </w:rPr>
        <w:t xml:space="preserve">This is a consequential amendment to </w:t>
      </w:r>
      <w:r>
        <w:rPr>
          <w:lang w:eastAsia="en-AU"/>
        </w:rPr>
        <w:t xml:space="preserve">reflect that </w:t>
      </w:r>
      <w:r w:rsidRPr="00FC4912">
        <w:rPr>
          <w:lang w:eastAsia="en-AU"/>
        </w:rPr>
        <w:t xml:space="preserve">the </w:t>
      </w:r>
      <w:r>
        <w:rPr>
          <w:lang w:eastAsia="en-AU"/>
        </w:rPr>
        <w:t xml:space="preserve">purposes of the CSD </w:t>
      </w:r>
      <w:r w:rsidRPr="00FC4912">
        <w:rPr>
          <w:lang w:eastAsia="en-AU"/>
        </w:rPr>
        <w:t xml:space="preserve">Act </w:t>
      </w:r>
      <w:r>
        <w:rPr>
          <w:lang w:eastAsia="en-AU"/>
        </w:rPr>
        <w:t>now include providing for</w:t>
      </w:r>
      <w:r w:rsidRPr="00FC4912">
        <w:rPr>
          <w:lang w:eastAsia="en-AU"/>
        </w:rPr>
        <w:t xml:space="preserve"> the use of </w:t>
      </w:r>
      <w:r>
        <w:rPr>
          <w:lang w:eastAsia="en-AU"/>
        </w:rPr>
        <w:t>BWCs</w:t>
      </w:r>
      <w:r w:rsidRPr="00FC4912">
        <w:rPr>
          <w:lang w:eastAsia="en-AU"/>
        </w:rPr>
        <w:t>.</w:t>
      </w:r>
    </w:p>
    <w:p w14:paraId="4C1FCFB3" w14:textId="637717EE" w:rsidR="00F374ED" w:rsidRPr="00FC4912" w:rsidRDefault="00F374ED" w:rsidP="00F374ED">
      <w:pPr>
        <w:pStyle w:val="Heading4"/>
        <w:keepNext w:val="0"/>
        <w:rPr>
          <w:lang w:eastAsia="en-AU"/>
        </w:rPr>
      </w:pPr>
      <w:r w:rsidRPr="00FC4912">
        <w:t xml:space="preserve">Clause </w:t>
      </w:r>
      <w:fldSimple w:instr=" SEQ Clause \* ARABIC ">
        <w:r w:rsidR="00D5369B">
          <w:rPr>
            <w:noProof/>
          </w:rPr>
          <w:t>11</w:t>
        </w:r>
      </w:fldSimple>
      <w:r w:rsidRPr="00FC4912">
        <w:rPr>
          <w:bCs/>
          <w:lang w:eastAsia="en-AU"/>
        </w:rPr>
        <w:t xml:space="preserve"> </w:t>
      </w:r>
      <w:r w:rsidRPr="00FC4912">
        <w:rPr>
          <w:lang w:eastAsia="en-AU"/>
        </w:rPr>
        <w:t>– Relationship to other laws and matters Section 7 (1), except note</w:t>
      </w:r>
    </w:p>
    <w:p w14:paraId="7B6FEE06" w14:textId="0169A249" w:rsidR="00F374ED" w:rsidRPr="00FC4912" w:rsidRDefault="00F374ED" w:rsidP="00F374ED">
      <w:pPr>
        <w:keepNext w:val="0"/>
        <w:rPr>
          <w:lang w:eastAsia="en-AU"/>
        </w:rPr>
      </w:pPr>
      <w:r w:rsidRPr="00FC4912">
        <w:rPr>
          <w:lang w:eastAsia="en-AU"/>
        </w:rPr>
        <w:t xml:space="preserve">This is a consequential amendment to </w:t>
      </w:r>
      <w:r>
        <w:rPr>
          <w:lang w:eastAsia="en-AU"/>
        </w:rPr>
        <w:t xml:space="preserve">reflect that the provisions </w:t>
      </w:r>
      <w:r w:rsidRPr="00FC4912">
        <w:rPr>
          <w:lang w:eastAsia="en-AU"/>
        </w:rPr>
        <w:t xml:space="preserve">for the use of </w:t>
      </w:r>
      <w:r>
        <w:rPr>
          <w:lang w:eastAsia="en-AU"/>
        </w:rPr>
        <w:t>BWCs, in new Part 5A, affect other territory laws that prohibit or regulate the use of surveillance devices within the ACT</w:t>
      </w:r>
      <w:r w:rsidRPr="00FC4912">
        <w:rPr>
          <w:lang w:eastAsia="en-AU"/>
        </w:rPr>
        <w:t xml:space="preserve">. </w:t>
      </w:r>
    </w:p>
    <w:p w14:paraId="6EC29795" w14:textId="77777777" w:rsidR="009329F4" w:rsidRDefault="009329F4">
      <w:pPr>
        <w:keepNext w:val="0"/>
        <w:autoSpaceDE/>
        <w:autoSpaceDN/>
        <w:adjustRightInd/>
        <w:spacing w:before="0" w:after="0" w:line="240" w:lineRule="auto"/>
        <w:rPr>
          <w:b/>
        </w:rPr>
      </w:pPr>
      <w:r>
        <w:br w:type="page"/>
      </w:r>
    </w:p>
    <w:p w14:paraId="100B60E2" w14:textId="007DD0E2" w:rsidR="00F374ED" w:rsidRPr="00FC4912" w:rsidRDefault="00F374ED" w:rsidP="00F374ED">
      <w:pPr>
        <w:pStyle w:val="Heading4"/>
        <w:keepNext w:val="0"/>
        <w:rPr>
          <w:lang w:eastAsia="en-AU"/>
        </w:rPr>
      </w:pPr>
      <w:r w:rsidRPr="00FC4912">
        <w:lastRenderedPageBreak/>
        <w:t xml:space="preserve">Clause </w:t>
      </w:r>
      <w:fldSimple w:instr=" SEQ Clause \* ARABIC ">
        <w:r w:rsidR="00D5369B">
          <w:rPr>
            <w:noProof/>
          </w:rPr>
          <w:t>12</w:t>
        </w:r>
      </w:fldSimple>
      <w:r w:rsidRPr="00FC4912">
        <w:rPr>
          <w:bCs/>
          <w:lang w:eastAsia="en-AU"/>
        </w:rPr>
        <w:t xml:space="preserve"> </w:t>
      </w:r>
      <w:r w:rsidRPr="00FC4912">
        <w:rPr>
          <w:lang w:eastAsia="en-AU"/>
        </w:rPr>
        <w:t>– New part 5A</w:t>
      </w:r>
    </w:p>
    <w:p w14:paraId="1F906597" w14:textId="4C836951" w:rsidR="00F374ED" w:rsidRPr="00FC4912" w:rsidRDefault="00F374ED" w:rsidP="00F374ED">
      <w:pPr>
        <w:keepNext w:val="0"/>
        <w:rPr>
          <w:lang w:eastAsia="en-AU"/>
        </w:rPr>
      </w:pPr>
      <w:r w:rsidRPr="00FC4912">
        <w:rPr>
          <w:lang w:eastAsia="en-AU"/>
        </w:rPr>
        <w:t xml:space="preserve">This clause inserts new Part 5A into the Act to </w:t>
      </w:r>
      <w:r>
        <w:rPr>
          <w:lang w:eastAsia="en-AU"/>
        </w:rPr>
        <w:t>set out the provisions for</w:t>
      </w:r>
      <w:r w:rsidRPr="00FC4912">
        <w:rPr>
          <w:lang w:eastAsia="en-AU"/>
        </w:rPr>
        <w:t xml:space="preserve"> the use of </w:t>
      </w:r>
      <w:r>
        <w:rPr>
          <w:lang w:eastAsia="en-AU"/>
        </w:rPr>
        <w:t>BWCs by police officers.</w:t>
      </w:r>
    </w:p>
    <w:p w14:paraId="01962122" w14:textId="686C1500" w:rsidR="00F374ED" w:rsidRPr="00FC4912" w:rsidRDefault="00F374ED" w:rsidP="00F374ED">
      <w:pPr>
        <w:keepNext w:val="0"/>
        <w:rPr>
          <w:lang w:eastAsia="en-AU"/>
        </w:rPr>
      </w:pPr>
      <w:r w:rsidRPr="00FC4912">
        <w:rPr>
          <w:b/>
          <w:bCs/>
          <w:lang w:eastAsia="en-AU"/>
        </w:rPr>
        <w:t>New section 43A</w:t>
      </w:r>
      <w:r w:rsidRPr="00FC4912">
        <w:rPr>
          <w:lang w:eastAsia="en-AU"/>
        </w:rPr>
        <w:t xml:space="preserve"> inserts a definition of </w:t>
      </w:r>
      <w:r>
        <w:rPr>
          <w:lang w:eastAsia="en-AU"/>
        </w:rPr>
        <w:t>a BWC</w:t>
      </w:r>
      <w:r w:rsidRPr="00FC4912">
        <w:rPr>
          <w:lang w:eastAsia="en-AU"/>
        </w:rPr>
        <w:t>.</w:t>
      </w:r>
    </w:p>
    <w:p w14:paraId="7781CF91" w14:textId="4FCC3DD4" w:rsidR="00F374ED" w:rsidRDefault="00F374ED" w:rsidP="00F374ED">
      <w:pPr>
        <w:keepNext w:val="0"/>
        <w:rPr>
          <w:lang w:eastAsia="en-AU"/>
        </w:rPr>
      </w:pPr>
      <w:r w:rsidRPr="00FC4912">
        <w:rPr>
          <w:b/>
          <w:bCs/>
          <w:lang w:eastAsia="en-AU"/>
        </w:rPr>
        <w:t>New section 43B</w:t>
      </w:r>
      <w:r w:rsidRPr="00FC4912">
        <w:rPr>
          <w:lang w:eastAsia="en-AU"/>
        </w:rPr>
        <w:t xml:space="preserve"> prescribes the circumstances in which a policy officer may</w:t>
      </w:r>
      <w:r>
        <w:rPr>
          <w:lang w:eastAsia="en-AU"/>
        </w:rPr>
        <w:t xml:space="preserve"> or must</w:t>
      </w:r>
      <w:r w:rsidRPr="00FC4912">
        <w:rPr>
          <w:lang w:eastAsia="en-AU"/>
        </w:rPr>
        <w:t xml:space="preserve"> use a </w:t>
      </w:r>
      <w:r>
        <w:rPr>
          <w:lang w:eastAsia="en-AU"/>
        </w:rPr>
        <w:t>BWC. Key features of this provision are:</w:t>
      </w:r>
    </w:p>
    <w:p w14:paraId="4A04F30D" w14:textId="696CDC4F" w:rsidR="00F374ED" w:rsidRDefault="00F374ED" w:rsidP="00123BAA">
      <w:pPr>
        <w:pStyle w:val="ListParagraph"/>
        <w:keepNext w:val="0"/>
        <w:numPr>
          <w:ilvl w:val="0"/>
          <w:numId w:val="19"/>
        </w:numPr>
        <w:rPr>
          <w:lang w:eastAsia="en-AU"/>
        </w:rPr>
      </w:pPr>
      <w:r>
        <w:rPr>
          <w:lang w:eastAsia="en-AU"/>
        </w:rPr>
        <w:t>a BWC can be used in the course of a police officer’s duties;</w:t>
      </w:r>
    </w:p>
    <w:p w14:paraId="3AED0507" w14:textId="77777777" w:rsidR="00F374ED" w:rsidRPr="00FA3DBC" w:rsidRDefault="00F374ED" w:rsidP="00123BAA">
      <w:pPr>
        <w:pStyle w:val="ListParagraph"/>
        <w:keepNext w:val="0"/>
        <w:numPr>
          <w:ilvl w:val="0"/>
          <w:numId w:val="19"/>
        </w:numPr>
        <w:rPr>
          <w:lang w:eastAsia="en-AU"/>
        </w:rPr>
      </w:pPr>
      <w:r w:rsidRPr="00FA3DBC">
        <w:rPr>
          <w:lang w:eastAsia="en-AU"/>
        </w:rPr>
        <w:t>use must be overt, subject to limited exceptions; and</w:t>
      </w:r>
    </w:p>
    <w:p w14:paraId="31E6A613" w14:textId="104CAAED" w:rsidR="00F374ED" w:rsidRPr="00FA3DBC" w:rsidRDefault="00F374ED" w:rsidP="00123BAA">
      <w:pPr>
        <w:pStyle w:val="ListParagraph"/>
        <w:keepNext w:val="0"/>
        <w:numPr>
          <w:ilvl w:val="0"/>
          <w:numId w:val="19"/>
        </w:numPr>
        <w:rPr>
          <w:lang w:eastAsia="en-AU"/>
        </w:rPr>
      </w:pPr>
      <w:r w:rsidRPr="00FA3DBC">
        <w:rPr>
          <w:lang w:eastAsia="en-AU"/>
        </w:rPr>
        <w:t>where an officer is wearing a BWC it must be used in dealings with members of the public, subject to limited exceptions.</w:t>
      </w:r>
    </w:p>
    <w:p w14:paraId="787DFA25" w14:textId="684612F9" w:rsidR="00F374ED" w:rsidRPr="00FA3DBC" w:rsidRDefault="00F374ED" w:rsidP="00F374ED">
      <w:pPr>
        <w:keepNext w:val="0"/>
        <w:rPr>
          <w:lang w:eastAsia="en-AU"/>
        </w:rPr>
      </w:pPr>
      <w:r w:rsidRPr="00FA3DBC">
        <w:rPr>
          <w:lang w:eastAsia="en-AU"/>
        </w:rPr>
        <w:t xml:space="preserve">New section 43B(3) provides that those exceptions are where the use of a BWC: </w:t>
      </w:r>
    </w:p>
    <w:p w14:paraId="13F25614" w14:textId="77777777" w:rsidR="00F374ED" w:rsidRPr="00FA3DBC" w:rsidRDefault="00F374ED" w:rsidP="00123BAA">
      <w:pPr>
        <w:pStyle w:val="ListParagraph"/>
        <w:keepNext w:val="0"/>
        <w:numPr>
          <w:ilvl w:val="0"/>
          <w:numId w:val="21"/>
        </w:numPr>
        <w:rPr>
          <w:lang w:eastAsia="en-AU"/>
        </w:rPr>
      </w:pPr>
      <w:r w:rsidRPr="00FA3DBC">
        <w:rPr>
          <w:lang w:eastAsia="en-AU"/>
        </w:rPr>
        <w:t>is not reasonably practicable;</w:t>
      </w:r>
    </w:p>
    <w:p w14:paraId="52DD01D3" w14:textId="77777777" w:rsidR="00F374ED" w:rsidRPr="00FA3DBC" w:rsidRDefault="00F374ED" w:rsidP="00123BAA">
      <w:pPr>
        <w:pStyle w:val="ListParagraph"/>
        <w:keepNext w:val="0"/>
        <w:numPr>
          <w:ilvl w:val="0"/>
          <w:numId w:val="21"/>
        </w:numPr>
        <w:rPr>
          <w:lang w:eastAsia="en-AU"/>
        </w:rPr>
      </w:pPr>
      <w:r w:rsidRPr="00FA3DBC">
        <w:rPr>
          <w:lang w:eastAsia="en-AU"/>
        </w:rPr>
        <w:t>could cause or increase a risk to a person’s safety; or</w:t>
      </w:r>
    </w:p>
    <w:p w14:paraId="039BDD37" w14:textId="77777777" w:rsidR="00F374ED" w:rsidRPr="00FA3DBC" w:rsidRDefault="00F374ED" w:rsidP="00123BAA">
      <w:pPr>
        <w:pStyle w:val="ListParagraph"/>
        <w:keepNext w:val="0"/>
        <w:numPr>
          <w:ilvl w:val="0"/>
          <w:numId w:val="21"/>
        </w:numPr>
        <w:rPr>
          <w:lang w:eastAsia="en-AU"/>
        </w:rPr>
      </w:pPr>
      <w:r w:rsidRPr="00FA3DBC">
        <w:rPr>
          <w:lang w:eastAsia="en-AU"/>
        </w:rPr>
        <w:t>would unreasonably limit a person’s privacy.</w:t>
      </w:r>
    </w:p>
    <w:p w14:paraId="0D822721" w14:textId="08185536" w:rsidR="00F374ED" w:rsidRPr="005526AF" w:rsidRDefault="00F374ED" w:rsidP="00F374ED">
      <w:pPr>
        <w:keepNext w:val="0"/>
        <w:rPr>
          <w:lang w:eastAsia="en-AU"/>
        </w:rPr>
      </w:pPr>
      <w:r w:rsidRPr="00FA3DBC">
        <w:rPr>
          <w:lang w:eastAsia="en-AU"/>
        </w:rPr>
        <w:t xml:space="preserve">Where a police officer is dealing with a member of the public and </w:t>
      </w:r>
      <w:r w:rsidR="00FA3DBC">
        <w:rPr>
          <w:lang w:eastAsia="en-AU"/>
        </w:rPr>
        <w:t xml:space="preserve">any of </w:t>
      </w:r>
      <w:r w:rsidRPr="00FA3DBC">
        <w:rPr>
          <w:lang w:eastAsia="en-AU"/>
        </w:rPr>
        <w:t>those circumstances exist</w:t>
      </w:r>
      <w:r w:rsidR="00FA3DBC">
        <w:rPr>
          <w:lang w:eastAsia="en-AU"/>
        </w:rPr>
        <w:t>s</w:t>
      </w:r>
      <w:r w:rsidRPr="00FA3DBC">
        <w:rPr>
          <w:lang w:eastAsia="en-AU"/>
        </w:rPr>
        <w:t xml:space="preserve"> the requirement in section 43B (2) to use the camera does not apply. If, during the course of dealing with a person, the circumstances of exception exist</w:t>
      </w:r>
      <w:r w:rsidR="00FA3DBC">
        <w:rPr>
          <w:lang w:eastAsia="en-AU"/>
        </w:rPr>
        <w:t>s</w:t>
      </w:r>
      <w:r w:rsidRPr="00FA3DBC">
        <w:rPr>
          <w:lang w:eastAsia="en-AU"/>
        </w:rPr>
        <w:t xml:space="preserve"> for only part of the period of interaction between the police officer and a member of the public, during the period that the circumstances of exception do not exist section 43B (2) applies, requiring the use of the BWC.</w:t>
      </w:r>
    </w:p>
    <w:p w14:paraId="5523CD8A" w14:textId="732CDAFE" w:rsidR="00F374ED" w:rsidRPr="00FC4912" w:rsidRDefault="00F374ED" w:rsidP="00F374ED">
      <w:pPr>
        <w:keepNext w:val="0"/>
        <w:rPr>
          <w:lang w:eastAsia="en-AU"/>
        </w:rPr>
      </w:pPr>
      <w:r w:rsidRPr="00DF31F3">
        <w:rPr>
          <w:b/>
          <w:bCs/>
          <w:lang w:eastAsia="en-AU"/>
        </w:rPr>
        <w:t>New section 43B(7)</w:t>
      </w:r>
      <w:r>
        <w:rPr>
          <w:lang w:eastAsia="en-AU"/>
        </w:rPr>
        <w:t xml:space="preserve"> disapplies the provisions of parts 2 to 5 of the CSD Act, which prohibit use of surveillance devices in certain circumstances, to the use of a BWC in accordance with section 43B.</w:t>
      </w:r>
    </w:p>
    <w:p w14:paraId="59911BF2" w14:textId="3F525561" w:rsidR="00F374ED" w:rsidRDefault="00F374ED" w:rsidP="00F374ED">
      <w:pPr>
        <w:keepNext w:val="0"/>
        <w:rPr>
          <w:lang w:eastAsia="en-AU"/>
        </w:rPr>
      </w:pPr>
      <w:r w:rsidRPr="00FC4912">
        <w:rPr>
          <w:b/>
          <w:bCs/>
          <w:lang w:eastAsia="en-AU"/>
        </w:rPr>
        <w:t>New section 43C</w:t>
      </w:r>
      <w:r w:rsidRPr="00FC4912">
        <w:rPr>
          <w:lang w:eastAsia="en-AU"/>
        </w:rPr>
        <w:t xml:space="preserve"> establishes that guidelines must be made </w:t>
      </w:r>
      <w:r>
        <w:rPr>
          <w:lang w:eastAsia="en-AU"/>
        </w:rPr>
        <w:t xml:space="preserve">by the Chief Police Officer </w:t>
      </w:r>
      <w:r w:rsidRPr="00FC4912">
        <w:rPr>
          <w:lang w:eastAsia="en-AU"/>
        </w:rPr>
        <w:t xml:space="preserve">about the use of </w:t>
      </w:r>
      <w:r>
        <w:rPr>
          <w:lang w:eastAsia="en-AU"/>
        </w:rPr>
        <w:t>BWCs</w:t>
      </w:r>
      <w:r w:rsidRPr="00FC4912">
        <w:rPr>
          <w:lang w:eastAsia="en-AU"/>
        </w:rPr>
        <w:t xml:space="preserve"> by police officers. </w:t>
      </w:r>
    </w:p>
    <w:p w14:paraId="2EE9F393" w14:textId="77777777" w:rsidR="00F374ED" w:rsidRDefault="00F374ED" w:rsidP="00F374ED">
      <w:pPr>
        <w:keepNext w:val="0"/>
        <w:rPr>
          <w:lang w:eastAsia="en-AU"/>
        </w:rPr>
      </w:pPr>
      <w:r>
        <w:rPr>
          <w:lang w:eastAsia="en-AU"/>
        </w:rPr>
        <w:t>The guidelines must include:</w:t>
      </w:r>
    </w:p>
    <w:p w14:paraId="60320E04" w14:textId="54A24281" w:rsidR="00F374ED" w:rsidRDefault="00F374ED" w:rsidP="00123BAA">
      <w:pPr>
        <w:pStyle w:val="ListParagraph"/>
        <w:keepNext w:val="0"/>
        <w:numPr>
          <w:ilvl w:val="0"/>
          <w:numId w:val="20"/>
        </w:numPr>
        <w:rPr>
          <w:lang w:eastAsia="en-AU"/>
        </w:rPr>
      </w:pPr>
      <w:r>
        <w:rPr>
          <w:lang w:eastAsia="en-AU"/>
        </w:rPr>
        <w:t>requirements for storage, use and disposal of a recording from a BWC;</w:t>
      </w:r>
    </w:p>
    <w:p w14:paraId="7B509175" w14:textId="77777777" w:rsidR="00F374ED" w:rsidRPr="00FA3DBC" w:rsidRDefault="00F374ED" w:rsidP="00123BAA">
      <w:pPr>
        <w:pStyle w:val="ListParagraph"/>
        <w:keepNext w:val="0"/>
        <w:numPr>
          <w:ilvl w:val="0"/>
          <w:numId w:val="20"/>
        </w:numPr>
        <w:rPr>
          <w:lang w:eastAsia="en-AU"/>
        </w:rPr>
      </w:pPr>
      <w:r w:rsidRPr="00FA3DBC">
        <w:rPr>
          <w:lang w:eastAsia="en-AU"/>
        </w:rPr>
        <w:t>information about how a person may access a recording;</w:t>
      </w:r>
    </w:p>
    <w:p w14:paraId="5CE925D2" w14:textId="38A414E0" w:rsidR="00F374ED" w:rsidRPr="00FA3DBC" w:rsidRDefault="00F374ED" w:rsidP="00123BAA">
      <w:pPr>
        <w:pStyle w:val="ListParagraph"/>
        <w:keepNext w:val="0"/>
        <w:numPr>
          <w:ilvl w:val="0"/>
          <w:numId w:val="20"/>
        </w:numPr>
        <w:rPr>
          <w:lang w:eastAsia="en-AU"/>
        </w:rPr>
      </w:pPr>
      <w:r w:rsidRPr="00FA3DBC">
        <w:rPr>
          <w:lang w:eastAsia="en-AU"/>
        </w:rPr>
        <w:t>guidance about the circumstances in which BWCs may or must be used;</w:t>
      </w:r>
    </w:p>
    <w:p w14:paraId="775CCDEA" w14:textId="77777777" w:rsidR="00F374ED" w:rsidRDefault="00F374ED" w:rsidP="00123BAA">
      <w:pPr>
        <w:pStyle w:val="ListParagraph"/>
        <w:keepNext w:val="0"/>
        <w:numPr>
          <w:ilvl w:val="0"/>
          <w:numId w:val="20"/>
        </w:numPr>
        <w:rPr>
          <w:lang w:eastAsia="en-AU"/>
        </w:rPr>
      </w:pPr>
      <w:r>
        <w:rPr>
          <w:lang w:eastAsia="en-AU"/>
        </w:rPr>
        <w:lastRenderedPageBreak/>
        <w:t>a statement about how human rights have been considered in making the guidelines.</w:t>
      </w:r>
    </w:p>
    <w:p w14:paraId="3E54880A" w14:textId="77777777" w:rsidR="00F374ED" w:rsidRPr="00FC4912" w:rsidRDefault="00F374ED" w:rsidP="00F374ED">
      <w:pPr>
        <w:keepNext w:val="0"/>
        <w:rPr>
          <w:lang w:eastAsia="en-AU"/>
        </w:rPr>
      </w:pPr>
      <w:r w:rsidRPr="00FC4912">
        <w:rPr>
          <w:lang w:eastAsia="en-AU"/>
        </w:rPr>
        <w:t xml:space="preserve">This clause outlines that a </w:t>
      </w:r>
      <w:r>
        <w:rPr>
          <w:lang w:eastAsia="en-AU"/>
        </w:rPr>
        <w:t>guideline</w:t>
      </w:r>
      <w:r w:rsidRPr="00FC4912">
        <w:rPr>
          <w:lang w:eastAsia="en-AU"/>
        </w:rPr>
        <w:t xml:space="preserve"> is a disallowable instrument.</w:t>
      </w:r>
    </w:p>
    <w:p w14:paraId="4BF3AF30" w14:textId="45383129" w:rsidR="00F374ED" w:rsidRPr="00FC4912" w:rsidRDefault="00F374ED" w:rsidP="00F374ED">
      <w:pPr>
        <w:pStyle w:val="Heading4"/>
        <w:keepNext w:val="0"/>
        <w:rPr>
          <w:lang w:eastAsia="en-AU"/>
        </w:rPr>
      </w:pPr>
      <w:r w:rsidRPr="00FC4912">
        <w:t xml:space="preserve">Clause </w:t>
      </w:r>
      <w:fldSimple w:instr=" SEQ Clause \* ARABIC ">
        <w:r w:rsidR="00D5369B">
          <w:rPr>
            <w:noProof/>
          </w:rPr>
          <w:t>13</w:t>
        </w:r>
      </w:fldSimple>
      <w:r w:rsidRPr="00FC4912">
        <w:rPr>
          <w:bCs/>
          <w:lang w:eastAsia="en-AU"/>
        </w:rPr>
        <w:t xml:space="preserve"> </w:t>
      </w:r>
      <w:r w:rsidRPr="00FC4912">
        <w:rPr>
          <w:lang w:eastAsia="en-AU"/>
        </w:rPr>
        <w:t>– Dictionary, new definition of body-worn camera</w:t>
      </w:r>
    </w:p>
    <w:p w14:paraId="5E94B02F" w14:textId="09C19BBC" w:rsidR="00F374ED" w:rsidRPr="00050F68" w:rsidRDefault="00F374ED" w:rsidP="00F374ED">
      <w:pPr>
        <w:keepNext w:val="0"/>
        <w:rPr>
          <w:lang w:eastAsia="en-AU"/>
        </w:rPr>
      </w:pPr>
      <w:r w:rsidRPr="00FC4912">
        <w:rPr>
          <w:lang w:eastAsia="en-AU"/>
        </w:rPr>
        <w:t xml:space="preserve">This is a consequential amendment to insert the new definition of </w:t>
      </w:r>
      <w:r>
        <w:rPr>
          <w:lang w:eastAsia="en-AU"/>
        </w:rPr>
        <w:t>BWC</w:t>
      </w:r>
      <w:r w:rsidRPr="00FC4912">
        <w:rPr>
          <w:lang w:eastAsia="en-AU"/>
        </w:rPr>
        <w:t xml:space="preserve"> into the Dictionary.</w:t>
      </w:r>
    </w:p>
    <w:p w14:paraId="0937DC8F" w14:textId="4AA387AC" w:rsidR="00F374ED" w:rsidRPr="00050F68" w:rsidRDefault="00F374ED" w:rsidP="00F374ED">
      <w:pPr>
        <w:pStyle w:val="Heading1"/>
        <w:rPr>
          <w:lang w:eastAsia="en-AU"/>
        </w:rPr>
      </w:pPr>
      <w:bookmarkStart w:id="25" w:name="_Toc75420877"/>
      <w:r w:rsidRPr="00050F68">
        <w:rPr>
          <w:lang w:eastAsia="en-AU"/>
        </w:rPr>
        <w:t xml:space="preserve">Part </w:t>
      </w:r>
      <w:r w:rsidRPr="00050F68">
        <w:rPr>
          <w:lang w:eastAsia="en-AU"/>
        </w:rPr>
        <w:fldChar w:fldCharType="begin"/>
      </w:r>
      <w:r w:rsidRPr="00050F68">
        <w:rPr>
          <w:lang w:eastAsia="en-AU"/>
        </w:rPr>
        <w:instrText xml:space="preserve"> SEQ Part \* ARABIC </w:instrText>
      </w:r>
      <w:r w:rsidRPr="00050F68">
        <w:rPr>
          <w:lang w:eastAsia="en-AU"/>
        </w:rPr>
        <w:fldChar w:fldCharType="separate"/>
      </w:r>
      <w:r w:rsidR="00D5369B">
        <w:rPr>
          <w:noProof/>
          <w:lang w:eastAsia="en-AU"/>
        </w:rPr>
        <w:t>5</w:t>
      </w:r>
      <w:r w:rsidRPr="00050F68">
        <w:rPr>
          <w:lang w:eastAsia="en-AU"/>
        </w:rPr>
        <w:fldChar w:fldCharType="end"/>
      </w:r>
      <w:r w:rsidRPr="00050F68">
        <w:rPr>
          <w:lang w:eastAsia="en-AU"/>
        </w:rPr>
        <w:t xml:space="preserve"> –</w:t>
      </w:r>
      <w:r>
        <w:rPr>
          <w:lang w:eastAsia="en-AU"/>
        </w:rPr>
        <w:t xml:space="preserve"> </w:t>
      </w:r>
      <w:r w:rsidRPr="00AA28D3">
        <w:t>Inspector of Correctional Services Act 2017</w:t>
      </w:r>
      <w:bookmarkEnd w:id="25"/>
    </w:p>
    <w:p w14:paraId="3F15197D" w14:textId="77777777" w:rsidR="00F374ED" w:rsidRPr="009F7CF0" w:rsidRDefault="00F374ED" w:rsidP="00F374ED">
      <w:pPr>
        <w:pStyle w:val="Heading4"/>
        <w:rPr>
          <w:b w:val="0"/>
          <w:bCs/>
        </w:rPr>
      </w:pPr>
      <w:r>
        <w:rPr>
          <w:b w:val="0"/>
          <w:bCs/>
        </w:rPr>
        <w:t>This part amends the ICS Act to change the period in which period reviews of correctional centres or places of detention must be undertaken from at least once every two years to at least once every three years, following an initial review within the first two years of declaration of the facility.</w:t>
      </w:r>
    </w:p>
    <w:p w14:paraId="277FAB73" w14:textId="03C11B2E" w:rsidR="00F374ED" w:rsidRPr="00377214" w:rsidRDefault="00F374ED" w:rsidP="00F374ED">
      <w:pPr>
        <w:pStyle w:val="Heading4"/>
      </w:pPr>
      <w:r w:rsidRPr="00377214">
        <w:t xml:space="preserve">Clause </w:t>
      </w:r>
      <w:fldSimple w:instr=" SEQ Clause \* ARABIC ">
        <w:r w:rsidR="00D5369B">
          <w:rPr>
            <w:noProof/>
          </w:rPr>
          <w:t>14</w:t>
        </w:r>
      </w:fldSimple>
      <w:r w:rsidRPr="00377214">
        <w:rPr>
          <w:bCs/>
        </w:rPr>
        <w:t xml:space="preserve"> </w:t>
      </w:r>
      <w:r w:rsidRPr="00377214">
        <w:t xml:space="preserve">– </w:t>
      </w:r>
      <w:r>
        <w:t>Functions–examination and review Section 18 (1) (a)</w:t>
      </w:r>
    </w:p>
    <w:p w14:paraId="67E128DA" w14:textId="77777777" w:rsidR="00F374ED" w:rsidRDefault="00F374ED" w:rsidP="00F374ED">
      <w:r>
        <w:t xml:space="preserve">This clause substitutes a new section 18 (1) (a) to change the review cycle for an examination and review of a correctional centre declared under section 24 of the </w:t>
      </w:r>
      <w:r>
        <w:rPr>
          <w:i/>
        </w:rPr>
        <w:t>Corrections Management Act 2007</w:t>
      </w:r>
      <w:r>
        <w:t xml:space="preserve"> and a detention place declared under section 142 of the </w:t>
      </w:r>
      <w:r>
        <w:rPr>
          <w:i/>
        </w:rPr>
        <w:t>Children and Young People Act 2008</w:t>
      </w:r>
      <w:r>
        <w:t xml:space="preserve">, from at least once every two to at least once every three years. </w:t>
      </w:r>
      <w:r>
        <w:rPr>
          <w:lang w:eastAsia="en-AU"/>
        </w:rPr>
        <w:t xml:space="preserve">This timeframe will support </w:t>
      </w:r>
      <w:r w:rsidRPr="004B148D">
        <w:rPr>
          <w:lang w:eastAsia="en-AU"/>
        </w:rPr>
        <w:t>for the full implementation of recommendations</w:t>
      </w:r>
      <w:r>
        <w:rPr>
          <w:lang w:eastAsia="en-AU"/>
        </w:rPr>
        <w:t xml:space="preserve"> of a review</w:t>
      </w:r>
      <w:r w:rsidRPr="004B148D">
        <w:rPr>
          <w:lang w:eastAsia="en-AU"/>
        </w:rPr>
        <w:t xml:space="preserve"> before the commencement of a subsequent review.</w:t>
      </w:r>
    </w:p>
    <w:p w14:paraId="43E91760" w14:textId="77777777" w:rsidR="00F374ED" w:rsidRDefault="00F374ED" w:rsidP="00F374ED">
      <w:r>
        <w:t>This clause also requires that a newly declared correctional centre or detention place must be examined and reviewed within two years of its declaration. The shorter review period for an initial review will enable early identification of any human rights issues, and allow for those to be reduced or eliminated in a timely manner.</w:t>
      </w:r>
    </w:p>
    <w:p w14:paraId="60329218" w14:textId="77777777" w:rsidR="00F374ED" w:rsidRDefault="00F374ED" w:rsidP="00F374ED">
      <w:r>
        <w:t>While this clause lengthens the review period, it retains the ability for the Inspector of Correctional Services to undertake more than one review within the three-year period.</w:t>
      </w:r>
    </w:p>
    <w:p w14:paraId="0F1B82DB" w14:textId="49EEF508" w:rsidR="00F374ED" w:rsidRPr="009F7CF0" w:rsidRDefault="00F374ED" w:rsidP="00F374ED">
      <w:pPr>
        <w:pStyle w:val="Heading1"/>
        <w:keepNext w:val="0"/>
        <w:rPr>
          <w:lang w:eastAsia="en-AU"/>
        </w:rPr>
      </w:pPr>
      <w:bookmarkStart w:id="26" w:name="_Toc75420878"/>
      <w:r>
        <w:rPr>
          <w:lang w:eastAsia="en-AU"/>
        </w:rPr>
        <w:t>P</w:t>
      </w:r>
      <w:r w:rsidRPr="009F7CF0">
        <w:rPr>
          <w:lang w:eastAsia="en-AU"/>
        </w:rPr>
        <w:t xml:space="preserve">art </w:t>
      </w:r>
      <w:r w:rsidRPr="009F7CF0">
        <w:rPr>
          <w:lang w:eastAsia="en-AU"/>
        </w:rPr>
        <w:fldChar w:fldCharType="begin"/>
      </w:r>
      <w:r w:rsidRPr="009F7CF0">
        <w:rPr>
          <w:lang w:eastAsia="en-AU"/>
        </w:rPr>
        <w:instrText xml:space="preserve"> SEQ Part \* ARABIC </w:instrText>
      </w:r>
      <w:r w:rsidRPr="009F7CF0">
        <w:rPr>
          <w:lang w:eastAsia="en-AU"/>
        </w:rPr>
        <w:fldChar w:fldCharType="separate"/>
      </w:r>
      <w:r w:rsidR="00D5369B">
        <w:rPr>
          <w:noProof/>
          <w:lang w:eastAsia="en-AU"/>
        </w:rPr>
        <w:t>6</w:t>
      </w:r>
      <w:r w:rsidRPr="009F7CF0">
        <w:rPr>
          <w:lang w:eastAsia="en-AU"/>
        </w:rPr>
        <w:fldChar w:fldCharType="end"/>
      </w:r>
      <w:r w:rsidRPr="009F7CF0">
        <w:rPr>
          <w:lang w:eastAsia="en-AU"/>
        </w:rPr>
        <w:t xml:space="preserve"> – </w:t>
      </w:r>
      <w:r w:rsidRPr="009F7CF0">
        <w:t>Listening Devices Act 1992</w:t>
      </w:r>
      <w:bookmarkEnd w:id="26"/>
    </w:p>
    <w:p w14:paraId="2D77C0C2" w14:textId="4AC82E7C" w:rsidR="00F374ED" w:rsidRPr="009F7CF0" w:rsidRDefault="00F374ED" w:rsidP="00F374ED">
      <w:pPr>
        <w:pStyle w:val="Heading4"/>
        <w:rPr>
          <w:b w:val="0"/>
          <w:bCs/>
        </w:rPr>
      </w:pPr>
      <w:r>
        <w:rPr>
          <w:b w:val="0"/>
          <w:bCs/>
        </w:rPr>
        <w:t xml:space="preserve">This part makes consequential amendments to the </w:t>
      </w:r>
      <w:r w:rsidR="005526AF" w:rsidRPr="005526AF">
        <w:rPr>
          <w:b w:val="0"/>
          <w:bCs/>
          <w:i/>
          <w:iCs/>
        </w:rPr>
        <w:t>Listening Devices Act 1992</w:t>
      </w:r>
      <w:r w:rsidR="005526AF" w:rsidRPr="005526AF">
        <w:rPr>
          <w:b w:val="0"/>
          <w:bCs/>
        </w:rPr>
        <w:t xml:space="preserve"> </w:t>
      </w:r>
      <w:r>
        <w:rPr>
          <w:b w:val="0"/>
          <w:bCs/>
        </w:rPr>
        <w:t>to support the amendments made by Part 4 in relation to the use of BWCs.</w:t>
      </w:r>
    </w:p>
    <w:p w14:paraId="662AAAF7" w14:textId="27044177" w:rsidR="00F374ED" w:rsidRPr="009F7CF0" w:rsidRDefault="00F374ED" w:rsidP="00F374ED">
      <w:pPr>
        <w:pStyle w:val="Heading4"/>
        <w:rPr>
          <w:lang w:eastAsia="en-AU"/>
        </w:rPr>
      </w:pPr>
      <w:r w:rsidRPr="009F7CF0">
        <w:t xml:space="preserve">Clause </w:t>
      </w:r>
      <w:fldSimple w:instr=" SEQ Clause \* ARABIC ">
        <w:r w:rsidR="00D5369B">
          <w:rPr>
            <w:noProof/>
          </w:rPr>
          <w:t>15</w:t>
        </w:r>
      </w:fldSimple>
      <w:r w:rsidRPr="009F7CF0">
        <w:rPr>
          <w:bCs/>
          <w:lang w:eastAsia="en-AU"/>
        </w:rPr>
        <w:t xml:space="preserve"> </w:t>
      </w:r>
      <w:r w:rsidRPr="009F7CF0">
        <w:rPr>
          <w:lang w:eastAsia="en-AU"/>
        </w:rPr>
        <w:t>– Sections 4 (2) (a) and 5 (2) (f)</w:t>
      </w:r>
    </w:p>
    <w:p w14:paraId="0DEDB36E" w14:textId="28DD9B53" w:rsidR="00F374ED" w:rsidRDefault="00F374ED" w:rsidP="00F374ED">
      <w:pPr>
        <w:rPr>
          <w:lang w:eastAsia="en-AU"/>
        </w:rPr>
      </w:pPr>
      <w:r>
        <w:rPr>
          <w:lang w:eastAsia="en-AU"/>
        </w:rPr>
        <w:t xml:space="preserve">Section 4 of the </w:t>
      </w:r>
      <w:r w:rsidR="005526AF" w:rsidRPr="005526AF">
        <w:rPr>
          <w:bCs/>
          <w:i/>
          <w:iCs/>
        </w:rPr>
        <w:t>Listening Devices Act 1992</w:t>
      </w:r>
      <w:r>
        <w:rPr>
          <w:lang w:eastAsia="en-AU"/>
        </w:rPr>
        <w:t xml:space="preserve"> makes it an offence to use a listening device to record a private conversation in particular circumstances. Section 4 (2) (a) </w:t>
      </w:r>
      <w:r>
        <w:rPr>
          <w:lang w:eastAsia="en-AU"/>
        </w:rPr>
        <w:lastRenderedPageBreak/>
        <w:t xml:space="preserve">disapplies the offence to the use of a listening device granted by or under a law of the Commonwealth.  </w:t>
      </w:r>
    </w:p>
    <w:p w14:paraId="73093370" w14:textId="4308B4AC" w:rsidR="00F374ED" w:rsidRDefault="00F374ED" w:rsidP="00F374ED">
      <w:pPr>
        <w:rPr>
          <w:lang w:eastAsia="en-AU"/>
        </w:rPr>
      </w:pPr>
      <w:r>
        <w:rPr>
          <w:lang w:eastAsia="en-AU"/>
        </w:rPr>
        <w:t xml:space="preserve">This clause amends that provision to the </w:t>
      </w:r>
      <w:r w:rsidR="00FA3DBC">
        <w:rPr>
          <w:lang w:eastAsia="en-AU"/>
        </w:rPr>
        <w:t>e</w:t>
      </w:r>
      <w:r>
        <w:rPr>
          <w:lang w:eastAsia="en-AU"/>
        </w:rPr>
        <w:t>ffect that it also disapplies the offence where use of a listening device is granted under a Territory law, such as the new provisions of the CSD that provide for the use of BWCs (noting these have the attributes of a listening device) by police officers.</w:t>
      </w:r>
    </w:p>
    <w:p w14:paraId="43073D88" w14:textId="0EEE1214" w:rsidR="00F374ED" w:rsidRPr="009F7CF0" w:rsidRDefault="00F374ED" w:rsidP="00F374ED">
      <w:pPr>
        <w:rPr>
          <w:lang w:eastAsia="en-AU"/>
        </w:rPr>
      </w:pPr>
      <w:r>
        <w:rPr>
          <w:lang w:eastAsia="en-AU"/>
        </w:rPr>
        <w:t xml:space="preserve">This clause makes a similar amendment to section 5 (2) (f) of the </w:t>
      </w:r>
      <w:r w:rsidR="005526AF" w:rsidRPr="005526AF">
        <w:rPr>
          <w:bCs/>
          <w:i/>
          <w:iCs/>
        </w:rPr>
        <w:t>Listening Devices Act 1992</w:t>
      </w:r>
      <w:r w:rsidR="005526AF" w:rsidRPr="005526AF">
        <w:rPr>
          <w:bCs/>
        </w:rPr>
        <w:t xml:space="preserve"> </w:t>
      </w:r>
      <w:r>
        <w:rPr>
          <w:lang w:eastAsia="en-AU"/>
        </w:rPr>
        <w:t>to disapply the offence in section 5 of divulging or communicating a record of a private conversation, in circumstances where the communication was made under an authority granted by or under a law in force in the Territory.</w:t>
      </w:r>
    </w:p>
    <w:p w14:paraId="07D06F57" w14:textId="40D8898E" w:rsidR="00F374ED" w:rsidRPr="009F7CF0" w:rsidRDefault="00F374ED" w:rsidP="00F374ED">
      <w:pPr>
        <w:pStyle w:val="Heading4"/>
        <w:keepNext w:val="0"/>
        <w:rPr>
          <w:lang w:eastAsia="en-AU"/>
        </w:rPr>
      </w:pPr>
      <w:r w:rsidRPr="009F7CF0">
        <w:t xml:space="preserve">Clause </w:t>
      </w:r>
      <w:fldSimple w:instr=" SEQ Clause \* ARABIC ">
        <w:r w:rsidR="00D5369B">
          <w:rPr>
            <w:noProof/>
          </w:rPr>
          <w:t>16</w:t>
        </w:r>
      </w:fldSimple>
      <w:r w:rsidRPr="009F7CF0">
        <w:rPr>
          <w:bCs/>
          <w:lang w:eastAsia="en-AU"/>
        </w:rPr>
        <w:t xml:space="preserve"> </w:t>
      </w:r>
      <w:r w:rsidRPr="009F7CF0">
        <w:rPr>
          <w:lang w:eastAsia="en-AU"/>
        </w:rPr>
        <w:t>– Dictionary, note 2</w:t>
      </w:r>
    </w:p>
    <w:p w14:paraId="624C036B" w14:textId="77777777" w:rsidR="00F374ED" w:rsidRPr="00050F68" w:rsidRDefault="00F374ED" w:rsidP="00F374ED">
      <w:pPr>
        <w:rPr>
          <w:lang w:eastAsia="en-AU"/>
        </w:rPr>
      </w:pPr>
      <w:r>
        <w:rPr>
          <w:lang w:eastAsia="en-AU"/>
        </w:rPr>
        <w:t>This amendment is consequential on the amendments to sections 4 (2) (a) and 5 (2) (f) which result in references to the Commonwealth being omitted.</w:t>
      </w:r>
    </w:p>
    <w:p w14:paraId="192BFD29" w14:textId="5EA70357" w:rsidR="00F374ED" w:rsidRPr="00FD2C25" w:rsidRDefault="00F374ED" w:rsidP="00F374ED">
      <w:pPr>
        <w:pStyle w:val="Heading1"/>
        <w:keepNext w:val="0"/>
        <w:rPr>
          <w:lang w:eastAsia="en-AU"/>
        </w:rPr>
      </w:pPr>
      <w:bookmarkStart w:id="27" w:name="_Toc75420879"/>
      <w:r w:rsidRPr="00FD2C25">
        <w:rPr>
          <w:lang w:eastAsia="en-AU"/>
        </w:rPr>
        <w:t xml:space="preserve">Part </w:t>
      </w:r>
      <w:r w:rsidRPr="00FD2C25">
        <w:rPr>
          <w:lang w:eastAsia="en-AU"/>
        </w:rPr>
        <w:fldChar w:fldCharType="begin"/>
      </w:r>
      <w:r w:rsidRPr="00FD2C25">
        <w:rPr>
          <w:lang w:eastAsia="en-AU"/>
        </w:rPr>
        <w:instrText xml:space="preserve"> SEQ Part \* ARABIC </w:instrText>
      </w:r>
      <w:r w:rsidRPr="00FD2C25">
        <w:rPr>
          <w:lang w:eastAsia="en-AU"/>
        </w:rPr>
        <w:fldChar w:fldCharType="separate"/>
      </w:r>
      <w:r w:rsidR="00D5369B">
        <w:rPr>
          <w:noProof/>
          <w:lang w:eastAsia="en-AU"/>
        </w:rPr>
        <w:t>7</w:t>
      </w:r>
      <w:r w:rsidRPr="00FD2C25">
        <w:rPr>
          <w:lang w:eastAsia="en-AU"/>
        </w:rPr>
        <w:fldChar w:fldCharType="end"/>
      </w:r>
      <w:r w:rsidRPr="00FD2C25">
        <w:rPr>
          <w:lang w:eastAsia="en-AU"/>
        </w:rPr>
        <w:t xml:space="preserve"> – </w:t>
      </w:r>
      <w:r w:rsidRPr="00FD2C25">
        <w:t>Terrorism (Extraordinary Temporary Powers) Act 2006</w:t>
      </w:r>
      <w:bookmarkEnd w:id="27"/>
    </w:p>
    <w:p w14:paraId="479BC6D7" w14:textId="79072243" w:rsidR="00F374ED" w:rsidRPr="00FD2C25" w:rsidRDefault="00F374ED" w:rsidP="00F374ED">
      <w:pPr>
        <w:pStyle w:val="Heading4"/>
        <w:rPr>
          <w:lang w:eastAsia="en-AU"/>
        </w:rPr>
      </w:pPr>
      <w:r w:rsidRPr="00FD2C25">
        <w:t xml:space="preserve">Clause </w:t>
      </w:r>
      <w:fldSimple w:instr=" SEQ Clause \* ARABIC ">
        <w:r w:rsidR="00D5369B">
          <w:rPr>
            <w:noProof/>
          </w:rPr>
          <w:t>17</w:t>
        </w:r>
      </w:fldSimple>
      <w:r w:rsidRPr="00FD2C25">
        <w:rPr>
          <w:bCs/>
          <w:lang w:eastAsia="en-AU"/>
        </w:rPr>
        <w:t xml:space="preserve"> </w:t>
      </w:r>
      <w:r w:rsidRPr="00FD2C25">
        <w:rPr>
          <w:lang w:eastAsia="en-AU"/>
        </w:rPr>
        <w:t>– Expiry of Act etc Section 101 (1)</w:t>
      </w:r>
    </w:p>
    <w:p w14:paraId="3E2801BE" w14:textId="5AAF13E9" w:rsidR="00F374ED" w:rsidRPr="00FD2C25" w:rsidRDefault="00F374ED" w:rsidP="00F374ED">
      <w:pPr>
        <w:rPr>
          <w:lang w:eastAsia="en-AU"/>
        </w:rPr>
      </w:pPr>
      <w:r>
        <w:rPr>
          <w:lang w:eastAsia="en-AU"/>
        </w:rPr>
        <w:t>This clause extends the operation of the TETP</w:t>
      </w:r>
      <w:r w:rsidR="002E58D5">
        <w:rPr>
          <w:lang w:eastAsia="en-AU"/>
        </w:rPr>
        <w:t xml:space="preserve"> </w:t>
      </w:r>
      <w:r>
        <w:rPr>
          <w:lang w:eastAsia="en-AU"/>
        </w:rPr>
        <w:t>A</w:t>
      </w:r>
      <w:r w:rsidR="002E58D5">
        <w:rPr>
          <w:lang w:eastAsia="en-AU"/>
        </w:rPr>
        <w:t>ct</w:t>
      </w:r>
      <w:r>
        <w:rPr>
          <w:lang w:eastAsia="en-AU"/>
        </w:rPr>
        <w:t xml:space="preserve"> by an additional year.</w:t>
      </w:r>
    </w:p>
    <w:p w14:paraId="1FD7B57C" w14:textId="77777777" w:rsidR="00F374ED" w:rsidRPr="00050F68" w:rsidRDefault="00F374ED" w:rsidP="00F374ED">
      <w:pPr>
        <w:keepNext w:val="0"/>
        <w:rPr>
          <w:lang w:eastAsia="en-AU"/>
        </w:rPr>
      </w:pPr>
    </w:p>
    <w:p w14:paraId="20FB2816" w14:textId="77777777" w:rsidR="008B40CE" w:rsidRPr="00050F68" w:rsidRDefault="008B40CE" w:rsidP="00F374ED">
      <w:pPr>
        <w:jc w:val="center"/>
        <w:rPr>
          <w:lang w:eastAsia="en-AU"/>
        </w:rPr>
      </w:pPr>
      <w:bookmarkStart w:id="28" w:name="_Preamble"/>
      <w:bookmarkStart w:id="29" w:name="_Part_2_–"/>
      <w:bookmarkStart w:id="30" w:name="_Clause_6_–"/>
      <w:bookmarkStart w:id="31" w:name="_Clause_7_–"/>
      <w:bookmarkEnd w:id="28"/>
      <w:bookmarkEnd w:id="29"/>
      <w:bookmarkEnd w:id="30"/>
      <w:bookmarkEnd w:id="31"/>
    </w:p>
    <w:sectPr w:rsidR="008B40CE" w:rsidRPr="00050F68" w:rsidSect="00EE32FF">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2841" w14:textId="77777777" w:rsidR="00D079A8" w:rsidRDefault="00D079A8" w:rsidP="001C3424">
      <w:r>
        <w:separator/>
      </w:r>
    </w:p>
  </w:endnote>
  <w:endnote w:type="continuationSeparator" w:id="0">
    <w:p w14:paraId="2DD7ACAC" w14:textId="77777777" w:rsidR="00D079A8" w:rsidRDefault="00D079A8" w:rsidP="001C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E2D4" w14:textId="77777777" w:rsidR="0012409B" w:rsidRDefault="0012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314F" w14:textId="2F575BB2" w:rsidR="00D47C32" w:rsidRPr="0012409B" w:rsidRDefault="0012409B" w:rsidP="0012409B">
    <w:pPr>
      <w:pStyle w:val="Footer"/>
      <w:jc w:val="center"/>
      <w:rPr>
        <w:sz w:val="14"/>
      </w:rPr>
    </w:pPr>
    <w:r w:rsidRPr="0012409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3B2A" w14:textId="643A6591" w:rsidR="00D47C32" w:rsidRPr="0012409B" w:rsidRDefault="0012409B" w:rsidP="0012409B">
    <w:pPr>
      <w:pStyle w:val="Footer"/>
      <w:jc w:val="center"/>
      <w:rPr>
        <w:sz w:val="14"/>
      </w:rPr>
    </w:pPr>
    <w:r w:rsidRPr="0012409B">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785" w14:textId="271936D4" w:rsidR="00111E14" w:rsidRDefault="00111E14" w:rsidP="00A63EEA">
    <w:pPr>
      <w:pStyle w:val="Footer"/>
      <w:spacing w:before="0"/>
      <w:jc w:val="right"/>
      <w:rPr>
        <w:noProof/>
        <w:sz w:val="18"/>
        <w:szCs w:val="18"/>
      </w:rPr>
    </w:pPr>
    <w:r w:rsidRPr="009329F4">
      <w:rPr>
        <w:sz w:val="18"/>
        <w:szCs w:val="18"/>
      </w:rPr>
      <w:fldChar w:fldCharType="begin"/>
    </w:r>
    <w:r w:rsidRPr="009329F4">
      <w:rPr>
        <w:sz w:val="18"/>
        <w:szCs w:val="18"/>
      </w:rPr>
      <w:instrText xml:space="preserve"> PAGE   \* MERGEFORMAT </w:instrText>
    </w:r>
    <w:r w:rsidRPr="009329F4">
      <w:rPr>
        <w:sz w:val="18"/>
        <w:szCs w:val="18"/>
      </w:rPr>
      <w:fldChar w:fldCharType="separate"/>
    </w:r>
    <w:r w:rsidRPr="009329F4">
      <w:rPr>
        <w:noProof/>
        <w:sz w:val="18"/>
        <w:szCs w:val="18"/>
      </w:rPr>
      <w:t>10</w:t>
    </w:r>
    <w:r w:rsidRPr="009329F4">
      <w:rPr>
        <w:noProof/>
        <w:sz w:val="18"/>
        <w:szCs w:val="18"/>
      </w:rPr>
      <w:fldChar w:fldCharType="end"/>
    </w:r>
  </w:p>
  <w:p w14:paraId="0D591991" w14:textId="45658458" w:rsidR="00D47C32" w:rsidRPr="0012409B" w:rsidRDefault="0012409B" w:rsidP="0012409B">
    <w:pPr>
      <w:pStyle w:val="Footer"/>
      <w:spacing w:before="0" w:after="0" w:line="240" w:lineRule="auto"/>
      <w:jc w:val="center"/>
      <w:rPr>
        <w:noProof/>
        <w:sz w:val="14"/>
        <w:szCs w:val="18"/>
      </w:rPr>
    </w:pPr>
    <w:r w:rsidRPr="0012409B">
      <w:rPr>
        <w:noProof/>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77531"/>
      <w:docPartObj>
        <w:docPartGallery w:val="Page Numbers (Bottom of Page)"/>
        <w:docPartUnique/>
      </w:docPartObj>
    </w:sdtPr>
    <w:sdtEndPr>
      <w:rPr>
        <w:noProof/>
        <w:sz w:val="20"/>
        <w:szCs w:val="20"/>
      </w:rPr>
    </w:sdtEndPr>
    <w:sdtContent>
      <w:p w14:paraId="18B4C9F7" w14:textId="7DAB3151" w:rsidR="006F71AE" w:rsidRDefault="006F71AE">
        <w:pPr>
          <w:pStyle w:val="Footer"/>
          <w:jc w:val="right"/>
          <w:rPr>
            <w:noProof/>
            <w:sz w:val="20"/>
            <w:szCs w:val="20"/>
          </w:rPr>
        </w:pPr>
        <w:r w:rsidRPr="006F71AE">
          <w:rPr>
            <w:sz w:val="20"/>
            <w:szCs w:val="20"/>
          </w:rPr>
          <w:fldChar w:fldCharType="begin"/>
        </w:r>
        <w:r w:rsidRPr="006F71AE">
          <w:rPr>
            <w:sz w:val="20"/>
            <w:szCs w:val="20"/>
          </w:rPr>
          <w:instrText xml:space="preserve"> PAGE   \* MERGEFORMAT </w:instrText>
        </w:r>
        <w:r w:rsidRPr="006F71AE">
          <w:rPr>
            <w:sz w:val="20"/>
            <w:szCs w:val="20"/>
          </w:rPr>
          <w:fldChar w:fldCharType="separate"/>
        </w:r>
        <w:r w:rsidRPr="006F71AE">
          <w:rPr>
            <w:noProof/>
            <w:sz w:val="20"/>
            <w:szCs w:val="20"/>
          </w:rPr>
          <w:t>2</w:t>
        </w:r>
        <w:r w:rsidRPr="006F71AE">
          <w:rPr>
            <w:noProof/>
            <w:sz w:val="20"/>
            <w:szCs w:val="20"/>
          </w:rPr>
          <w:fldChar w:fldCharType="end"/>
        </w:r>
      </w:p>
    </w:sdtContent>
  </w:sdt>
  <w:p w14:paraId="2B8FF460" w14:textId="62930526" w:rsidR="00D47C32" w:rsidRPr="0012409B" w:rsidRDefault="0012409B" w:rsidP="0012409B">
    <w:pPr>
      <w:pStyle w:val="Footer"/>
      <w:spacing w:before="0" w:after="0" w:line="240" w:lineRule="auto"/>
      <w:jc w:val="center"/>
      <w:rPr>
        <w:sz w:val="14"/>
        <w:szCs w:val="20"/>
      </w:rPr>
    </w:pPr>
    <w:r w:rsidRPr="0012409B">
      <w:rPr>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B07EE" w14:textId="77777777" w:rsidR="00D079A8" w:rsidRDefault="00D079A8" w:rsidP="001C3424">
      <w:r>
        <w:separator/>
      </w:r>
    </w:p>
  </w:footnote>
  <w:footnote w:type="continuationSeparator" w:id="0">
    <w:p w14:paraId="124B2062" w14:textId="77777777" w:rsidR="00D079A8" w:rsidRDefault="00D079A8" w:rsidP="001C3424">
      <w:r>
        <w:continuationSeparator/>
      </w:r>
    </w:p>
  </w:footnote>
  <w:footnote w:id="1">
    <w:p w14:paraId="64951587" w14:textId="77777777" w:rsidR="00111E14" w:rsidRPr="00DD15FF" w:rsidRDefault="00111E14" w:rsidP="001C3424">
      <w:pPr>
        <w:pStyle w:val="FootnoteText"/>
      </w:pPr>
      <w:r w:rsidRPr="00A15E34">
        <w:rPr>
          <w:rStyle w:val="FootnoteReference"/>
          <w:rFonts w:ascii="Times New Roman" w:hAnsi="Times New Roman"/>
          <w:sz w:val="18"/>
          <w:szCs w:val="18"/>
        </w:rPr>
        <w:footnoteRef/>
      </w:r>
      <w:r w:rsidRPr="00A15E34">
        <w:t xml:space="preserve"> Colvin, M &amp; Cooper, J, 2009 </w:t>
      </w:r>
      <w:r w:rsidRPr="00A15E34">
        <w:rPr>
          <w:i/>
        </w:rPr>
        <w:t>‘Human Rights in the Investigation and Prosecution of Crime’</w:t>
      </w:r>
      <w:r w:rsidRPr="00A15E34">
        <w:t xml:space="preserve"> </w:t>
      </w:r>
      <w:r>
        <w:t>Oxford University Press, p.</w:t>
      </w:r>
      <w:r w:rsidRPr="00A15E34">
        <w:t>425.</w:t>
      </w:r>
      <w:r>
        <w:t xml:space="preserve"> For more detail on positive obligations, see generally, Akandji-Kombe, J, 2007 ‘</w:t>
      </w:r>
      <w:r>
        <w:rPr>
          <w:i/>
        </w:rPr>
        <w:t>Positive obligations under the European Convention on Human Rights’</w:t>
      </w:r>
      <w:r>
        <w:t>, Council of Europe.</w:t>
      </w:r>
    </w:p>
  </w:footnote>
  <w:footnote w:id="2">
    <w:p w14:paraId="26BEC2EF" w14:textId="77777777" w:rsidR="00111E14" w:rsidRPr="007B417B" w:rsidRDefault="00111E14" w:rsidP="007315B0">
      <w:pPr>
        <w:pStyle w:val="FootnoteText"/>
      </w:pPr>
      <w:r>
        <w:rPr>
          <w:rStyle w:val="FootnoteReference"/>
        </w:rPr>
        <w:footnoteRef/>
      </w:r>
      <w:r>
        <w:t xml:space="preserve"> </w:t>
      </w:r>
      <w:r w:rsidRPr="00A15E34">
        <w:rPr>
          <w:rStyle w:val="Emphasis"/>
          <w:sz w:val="18"/>
          <w:szCs w:val="18"/>
        </w:rPr>
        <w:t>Irene Wilson v The United Kingdom</w:t>
      </w:r>
      <w:r w:rsidRPr="00A15E34">
        <w:t xml:space="preserve"> [2012] ECHR, </w:t>
      </w:r>
      <w:r w:rsidRPr="00A15E34">
        <w:rPr>
          <w:rStyle w:val="Emphasis"/>
          <w:sz w:val="18"/>
          <w:szCs w:val="18"/>
        </w:rPr>
        <w:t>Application no. 10601/09</w:t>
      </w:r>
      <w:r w:rsidRPr="00A15E34">
        <w:t xml:space="preserve"> (23 October 2012) </w:t>
      </w:r>
      <w:r w:rsidRPr="00A15E34">
        <w:rPr>
          <w:rStyle w:val="sb8d990e2"/>
          <w:sz w:val="18"/>
          <w:szCs w:val="18"/>
        </w:rPr>
        <w:t>§37.</w:t>
      </w:r>
    </w:p>
  </w:footnote>
  <w:footnote w:id="3">
    <w:p w14:paraId="467292F9" w14:textId="77777777" w:rsidR="00111E14" w:rsidRDefault="00111E14" w:rsidP="00CD091B">
      <w:pPr>
        <w:pStyle w:val="FootnoteText"/>
        <w:rPr>
          <w:sz w:val="16"/>
          <w:szCs w:val="16"/>
        </w:rPr>
      </w:pPr>
      <w:r>
        <w:rPr>
          <w:rStyle w:val="FootnoteReference"/>
          <w:sz w:val="16"/>
          <w:szCs w:val="16"/>
        </w:rPr>
        <w:footnoteRef/>
      </w:r>
      <w:r>
        <w:rPr>
          <w:sz w:val="16"/>
          <w:szCs w:val="16"/>
        </w:rPr>
        <w:t xml:space="preserve"> Gans et al, </w:t>
      </w:r>
      <w:r>
        <w:rPr>
          <w:i/>
          <w:iCs/>
          <w:sz w:val="16"/>
          <w:szCs w:val="16"/>
        </w:rPr>
        <w:t>Criminal Process and Human Rights</w:t>
      </w:r>
      <w:r>
        <w:rPr>
          <w:sz w:val="16"/>
          <w:szCs w:val="16"/>
        </w:rPr>
        <w:t>, 2011, The Federation Press, Sydney, para 8.1, p 301.</w:t>
      </w:r>
    </w:p>
  </w:footnote>
  <w:footnote w:id="4">
    <w:p w14:paraId="347D43A6" w14:textId="77777777" w:rsidR="00111E14" w:rsidRDefault="00111E14" w:rsidP="00CD091B">
      <w:pPr>
        <w:pStyle w:val="FootnoteText"/>
        <w:rPr>
          <w:sz w:val="16"/>
          <w:szCs w:val="16"/>
        </w:rPr>
      </w:pPr>
      <w:r>
        <w:rPr>
          <w:rStyle w:val="FootnoteReference"/>
          <w:sz w:val="16"/>
          <w:szCs w:val="16"/>
        </w:rPr>
        <w:footnoteRef/>
      </w:r>
      <w:r>
        <w:rPr>
          <w:sz w:val="16"/>
          <w:szCs w:val="16"/>
        </w:rPr>
        <w:t xml:space="preserve"> Lester QC., Pannick QC (General editors), 2005, </w:t>
      </w:r>
      <w:r>
        <w:rPr>
          <w:i/>
          <w:iCs/>
          <w:sz w:val="16"/>
          <w:szCs w:val="16"/>
        </w:rPr>
        <w:t>Human Rights Law and Practice</w:t>
      </w:r>
      <w:r>
        <w:rPr>
          <w:sz w:val="16"/>
          <w:szCs w:val="16"/>
        </w:rPr>
        <w:t>, Second edition, LexisNexis UK, p 261.</w:t>
      </w:r>
    </w:p>
  </w:footnote>
  <w:footnote w:id="5">
    <w:p w14:paraId="449902C2" w14:textId="77777777" w:rsidR="00111E14" w:rsidRDefault="00111E14" w:rsidP="00CD091B">
      <w:pPr>
        <w:pStyle w:val="FootnoteText"/>
        <w:rPr>
          <w:sz w:val="16"/>
          <w:szCs w:val="16"/>
        </w:rPr>
      </w:pPr>
      <w:r>
        <w:rPr>
          <w:rStyle w:val="FootnoteReference"/>
          <w:sz w:val="16"/>
          <w:szCs w:val="16"/>
        </w:rPr>
        <w:footnoteRef/>
      </w:r>
      <w:r>
        <w:rPr>
          <w:sz w:val="16"/>
          <w:szCs w:val="16"/>
        </w:rPr>
        <w:t xml:space="preserve"> UN Human Rights Committee, </w:t>
      </w:r>
      <w:r>
        <w:rPr>
          <w:i/>
          <w:iCs/>
          <w:sz w:val="16"/>
          <w:szCs w:val="16"/>
        </w:rPr>
        <w:t>General Comment 16: The right to respect of privacy, family, home and correspondence, and protection of honour and reputation (Art 17)</w:t>
      </w:r>
      <w:r>
        <w:rPr>
          <w:sz w:val="16"/>
          <w:szCs w:val="16"/>
        </w:rPr>
        <w:t>, UN Doc CCPR General Comment 16 (1988), para 7.</w:t>
      </w:r>
    </w:p>
  </w:footnote>
  <w:footnote w:id="6">
    <w:p w14:paraId="2B66C385" w14:textId="77777777" w:rsidR="00111E14" w:rsidRDefault="00111E14" w:rsidP="005457E0">
      <w:pPr>
        <w:pStyle w:val="FootnoteText"/>
      </w:pPr>
      <w:r>
        <w:rPr>
          <w:rStyle w:val="FootnoteReference"/>
        </w:rPr>
        <w:footnoteRef/>
      </w:r>
      <w:r>
        <w:t xml:space="preserve">Office of the United Nations High Commissioner for Human Rights, Human Rights Committee, 1989 ‘General Comment No.18: Non-discrimination. Available: </w:t>
      </w:r>
      <w:r w:rsidRPr="00110A3C">
        <w:t>http://www.unhchr.ch/tbs/doc.nsf/(Symbol)/3888b0541f8501c9c12563ed004b8d0e?Opendocument</w:t>
      </w:r>
    </w:p>
  </w:footnote>
  <w:footnote w:id="7">
    <w:p w14:paraId="20677F17" w14:textId="05ED20BA" w:rsidR="00111E14" w:rsidRDefault="00111E14" w:rsidP="005457E0">
      <w:pPr>
        <w:pStyle w:val="FootnoteText"/>
      </w:pPr>
      <w:r>
        <w:rPr>
          <w:rStyle w:val="FootnoteReference"/>
        </w:rPr>
        <w:footnoteRef/>
      </w:r>
      <w:r>
        <w:t xml:space="preserve"> Ibid. </w:t>
      </w:r>
    </w:p>
  </w:footnote>
  <w:footnote w:id="8">
    <w:p w14:paraId="59C81BD5" w14:textId="5065EAD6" w:rsidR="00111E14" w:rsidRDefault="00111E14">
      <w:pPr>
        <w:pStyle w:val="FootnoteText"/>
      </w:pPr>
      <w:r>
        <w:rPr>
          <w:rStyle w:val="FootnoteReference"/>
        </w:rPr>
        <w:footnoteRef/>
      </w:r>
      <w:r>
        <w:t xml:space="preserve"> UN Committee on Economic, Social and Cultural Rights, General Comment No. 18: The Right to Work (2006) (‘General Comment No. 18’) [1].</w:t>
      </w:r>
    </w:p>
  </w:footnote>
  <w:footnote w:id="9">
    <w:p w14:paraId="168507D8" w14:textId="2CA2F3F8" w:rsidR="00111E14" w:rsidRDefault="00111E14">
      <w:pPr>
        <w:pStyle w:val="FootnoteText"/>
      </w:pPr>
      <w:r>
        <w:rPr>
          <w:rStyle w:val="FootnoteReference"/>
        </w:rPr>
        <w:footnoteRef/>
      </w:r>
      <w:r>
        <w:t xml:space="preserve"> General Comment No. 18, [6].</w:t>
      </w:r>
    </w:p>
  </w:footnote>
  <w:footnote w:id="10">
    <w:p w14:paraId="0AE59767" w14:textId="77777777" w:rsidR="00111E14" w:rsidRPr="00FC31B1" w:rsidRDefault="00111E14" w:rsidP="002C1159">
      <w:pPr>
        <w:pStyle w:val="FootnoteText"/>
        <w:rPr>
          <w:sz w:val="16"/>
          <w:szCs w:val="16"/>
        </w:rPr>
      </w:pPr>
      <w:r w:rsidRPr="00FC31B1">
        <w:rPr>
          <w:rStyle w:val="FootnoteReference"/>
          <w:sz w:val="16"/>
          <w:szCs w:val="16"/>
        </w:rPr>
        <w:footnoteRef/>
      </w:r>
      <w:r w:rsidRPr="00FC31B1">
        <w:rPr>
          <w:sz w:val="16"/>
          <w:szCs w:val="16"/>
        </w:rPr>
        <w:t xml:space="preserve"> Gelb, G, January 2007, ‘Recidivism of Sex Offenders Research Paper’, Sentencing Advisory Council.  (Available at: </w:t>
      </w:r>
      <w:r w:rsidRPr="00FC31B1">
        <w:rPr>
          <w:sz w:val="16"/>
          <w:szCs w:val="16"/>
          <w:u w:val="single"/>
        </w:rPr>
        <w:t>www.sentencingcouncil.vic.gov.au</w:t>
      </w:r>
      <w:r w:rsidRPr="00FC31B1">
        <w:rPr>
          <w:sz w:val="16"/>
          <w:szCs w:val="16"/>
        </w:rPr>
        <w:t>).</w:t>
      </w:r>
    </w:p>
  </w:footnote>
  <w:footnote w:id="11">
    <w:p w14:paraId="24EE040A" w14:textId="77777777" w:rsidR="00111E14" w:rsidRPr="00FC31B1" w:rsidRDefault="00111E14" w:rsidP="002C1159">
      <w:pPr>
        <w:pStyle w:val="FootnoteText"/>
        <w:rPr>
          <w:sz w:val="16"/>
          <w:szCs w:val="16"/>
        </w:rPr>
      </w:pPr>
      <w:r w:rsidRPr="00FC31B1">
        <w:rPr>
          <w:rStyle w:val="FootnoteReference"/>
          <w:sz w:val="16"/>
          <w:szCs w:val="16"/>
        </w:rPr>
        <w:footnoteRef/>
      </w:r>
      <w:r w:rsidRPr="00FC31B1">
        <w:rPr>
          <w:sz w:val="16"/>
          <w:szCs w:val="16"/>
        </w:rPr>
        <w:t xml:space="preserve"> Ibid, p.22.</w:t>
      </w:r>
    </w:p>
  </w:footnote>
  <w:footnote w:id="12">
    <w:p w14:paraId="5A1DC142" w14:textId="77777777" w:rsidR="00111E14" w:rsidRPr="00FC31B1" w:rsidRDefault="00111E14" w:rsidP="002C1159">
      <w:pPr>
        <w:pStyle w:val="FootnoteText"/>
        <w:rPr>
          <w:sz w:val="16"/>
          <w:szCs w:val="16"/>
        </w:rPr>
      </w:pPr>
      <w:r w:rsidRPr="00FC31B1">
        <w:rPr>
          <w:rStyle w:val="FootnoteReference"/>
          <w:sz w:val="16"/>
          <w:szCs w:val="16"/>
        </w:rPr>
        <w:footnoteRef/>
      </w:r>
      <w:r w:rsidRPr="00FC31B1">
        <w:rPr>
          <w:sz w:val="16"/>
          <w:szCs w:val="16"/>
        </w:rPr>
        <w:t xml:space="preserve"> Richards, K ‘Misperceptions about child sex offenders’ </w:t>
      </w:r>
      <w:r w:rsidRPr="00FC31B1">
        <w:rPr>
          <w:i/>
          <w:sz w:val="16"/>
          <w:szCs w:val="16"/>
        </w:rPr>
        <w:t>Trends and Issues in Crime and Criminal Justice</w:t>
      </w:r>
      <w:r w:rsidRPr="00FC31B1">
        <w:rPr>
          <w:sz w:val="16"/>
          <w:szCs w:val="16"/>
        </w:rPr>
        <w:t xml:space="preserve">, issue number 429, Australian Institute of Criminology, September 2011. </w:t>
      </w:r>
    </w:p>
  </w:footnote>
  <w:footnote w:id="13">
    <w:p w14:paraId="428BE1B6" w14:textId="77777777" w:rsidR="00111E14" w:rsidRDefault="00111E14" w:rsidP="002C1159">
      <w:pPr>
        <w:pStyle w:val="FootnoteText"/>
      </w:pPr>
      <w:r w:rsidRPr="00FC31B1">
        <w:rPr>
          <w:rStyle w:val="FootnoteReference"/>
          <w:sz w:val="16"/>
          <w:szCs w:val="16"/>
        </w:rPr>
        <w:footnoteRef/>
      </w:r>
      <w:r w:rsidRPr="00FC31B1">
        <w:rPr>
          <w:sz w:val="16"/>
          <w:szCs w:val="16"/>
        </w:rPr>
        <w:t xml:space="preserve"> Ibid, p5.</w:t>
      </w:r>
      <w:r>
        <w:t xml:space="preserve"> </w:t>
      </w:r>
    </w:p>
  </w:footnote>
  <w:footnote w:id="14">
    <w:p w14:paraId="375C4641" w14:textId="77777777" w:rsidR="00111E14" w:rsidRPr="00994C59" w:rsidRDefault="00111E14" w:rsidP="00E312DE">
      <w:pPr>
        <w:pStyle w:val="FootnoteText"/>
        <w:rPr>
          <w:sz w:val="16"/>
          <w:szCs w:val="16"/>
        </w:rPr>
      </w:pPr>
      <w:r w:rsidRPr="00994C59">
        <w:rPr>
          <w:rStyle w:val="FootnoteReference"/>
          <w:sz w:val="16"/>
          <w:szCs w:val="16"/>
        </w:rPr>
        <w:footnoteRef/>
      </w:r>
      <w:r w:rsidRPr="00994C59">
        <w:rPr>
          <w:sz w:val="16"/>
          <w:szCs w:val="16"/>
        </w:rPr>
        <w:t xml:space="preserve"> Brown, Rick and Shelling, Jane, ‘Exploring the Implications of Child Sex Dolls’, </w:t>
      </w:r>
      <w:r w:rsidRPr="00994C59">
        <w:rPr>
          <w:i/>
          <w:iCs/>
          <w:sz w:val="16"/>
          <w:szCs w:val="16"/>
        </w:rPr>
        <w:t>Trends &amp; Issues in Crime and Criminal Justice</w:t>
      </w:r>
      <w:r w:rsidRPr="00994C59">
        <w:rPr>
          <w:sz w:val="16"/>
          <w:szCs w:val="16"/>
        </w:rPr>
        <w:t>, No. 570 (March 2019), p 2.</w:t>
      </w:r>
    </w:p>
  </w:footnote>
  <w:footnote w:id="15">
    <w:p w14:paraId="6A000EE4" w14:textId="77777777" w:rsidR="00111E14" w:rsidRPr="00994C59" w:rsidRDefault="00111E14" w:rsidP="00E312DE">
      <w:pPr>
        <w:pStyle w:val="FootnoteText"/>
        <w:rPr>
          <w:sz w:val="16"/>
          <w:szCs w:val="16"/>
        </w:rPr>
      </w:pPr>
      <w:r w:rsidRPr="00994C59">
        <w:rPr>
          <w:rStyle w:val="FootnoteReference"/>
          <w:sz w:val="16"/>
          <w:szCs w:val="16"/>
        </w:rPr>
        <w:footnoteRef/>
      </w:r>
      <w:r w:rsidRPr="00994C59">
        <w:rPr>
          <w:sz w:val="16"/>
          <w:szCs w:val="16"/>
        </w:rPr>
        <w:t xml:space="preserve"> Brown, Rick and Shelling, Jane, ‘Exploring the Implications of Child Sex Dolls’, </w:t>
      </w:r>
      <w:r w:rsidRPr="00994C59">
        <w:rPr>
          <w:i/>
          <w:iCs/>
          <w:sz w:val="16"/>
          <w:szCs w:val="16"/>
        </w:rPr>
        <w:t>Trends &amp; Issues in Crime and Criminal Justice</w:t>
      </w:r>
      <w:r w:rsidRPr="00994C59">
        <w:rPr>
          <w:sz w:val="16"/>
          <w:szCs w:val="16"/>
        </w:rPr>
        <w:t>, No. 570 (March 2019), pp 4-8.</w:t>
      </w:r>
    </w:p>
  </w:footnote>
  <w:footnote w:id="16">
    <w:p w14:paraId="4A2873CC" w14:textId="04E774F8" w:rsidR="00111E14" w:rsidRPr="00FC31B1" w:rsidRDefault="00111E14" w:rsidP="002F1B94">
      <w:pPr>
        <w:pStyle w:val="FootnoteText"/>
        <w:rPr>
          <w:sz w:val="16"/>
          <w:szCs w:val="16"/>
        </w:rPr>
      </w:pPr>
      <w:r w:rsidRPr="00FC31B1">
        <w:rPr>
          <w:rStyle w:val="FootnoteReference"/>
          <w:sz w:val="16"/>
          <w:szCs w:val="16"/>
        </w:rPr>
        <w:footnoteRef/>
      </w:r>
      <w:r w:rsidRPr="00FC31B1">
        <w:rPr>
          <w:sz w:val="16"/>
          <w:szCs w:val="16"/>
        </w:rPr>
        <w:t xml:space="preserve"> Barak Ariel, Alex Sutherland, Darren Henstock, Josh Young and Gabriela Sosinski, ‘The Deterrence Spectrum: Explaining Why Police Body-Worn Cameras “Work” or “Backfire” in Aggressive Police-Public Encounters’ </w:t>
      </w:r>
      <w:r w:rsidRPr="00FC31B1">
        <w:rPr>
          <w:i/>
          <w:iCs/>
          <w:sz w:val="16"/>
          <w:szCs w:val="16"/>
        </w:rPr>
        <w:t>Policing: A Journal of Policy and Practice</w:t>
      </w:r>
      <w:r w:rsidRPr="00FC31B1">
        <w:rPr>
          <w:sz w:val="16"/>
          <w:szCs w:val="16"/>
        </w:rPr>
        <w:t xml:space="preserve"> (January 2017), p.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3916" w14:textId="77777777" w:rsidR="0012409B" w:rsidRDefault="00124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493A" w14:textId="77777777" w:rsidR="0012409B" w:rsidRDefault="00124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7515" w14:textId="77777777" w:rsidR="0012409B" w:rsidRDefault="00124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78D"/>
    <w:multiLevelType w:val="hybridMultilevel"/>
    <w:tmpl w:val="EE62C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A538E"/>
    <w:multiLevelType w:val="hybridMultilevel"/>
    <w:tmpl w:val="7EF29670"/>
    <w:lvl w:ilvl="0" w:tplc="FAF2D2D0">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A043973"/>
    <w:multiLevelType w:val="hybridMultilevel"/>
    <w:tmpl w:val="5F887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74E86"/>
    <w:multiLevelType w:val="hybridMultilevel"/>
    <w:tmpl w:val="74F8C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464FA5"/>
    <w:multiLevelType w:val="hybridMultilevel"/>
    <w:tmpl w:val="6EB81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02FB4"/>
    <w:multiLevelType w:val="multilevel"/>
    <w:tmpl w:val="4E3CA972"/>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6" w15:restartNumberingAfterBreak="0">
    <w:nsid w:val="21711C79"/>
    <w:multiLevelType w:val="multilevel"/>
    <w:tmpl w:val="4E3CA972"/>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7" w15:restartNumberingAfterBreak="0">
    <w:nsid w:val="35541A9E"/>
    <w:multiLevelType w:val="hybridMultilevel"/>
    <w:tmpl w:val="490E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5B6E8E"/>
    <w:multiLevelType w:val="multilevel"/>
    <w:tmpl w:val="09881D2A"/>
    <w:lvl w:ilvl="0">
      <w:start w:val="1"/>
      <w:numFmt w:val="decimal"/>
      <w:lvlText w:val="%1)"/>
      <w:lvlJc w:val="left"/>
      <w:pPr>
        <w:tabs>
          <w:tab w:val="num" w:pos="1260"/>
        </w:tabs>
        <w:ind w:left="1260" w:hanging="360"/>
      </w:pPr>
      <w:rPr>
        <w:rFonts w:cs="Times New Roman" w:hint="default"/>
      </w:rPr>
    </w:lvl>
    <w:lvl w:ilvl="1">
      <w:start w:val="1"/>
      <w:numFmt w:val="lowerLetter"/>
      <w:pStyle w:val="ListParagraph"/>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9" w15:restartNumberingAfterBreak="0">
    <w:nsid w:val="3CF54025"/>
    <w:multiLevelType w:val="hybridMultilevel"/>
    <w:tmpl w:val="26BA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7A4C41"/>
    <w:multiLevelType w:val="hybridMultilevel"/>
    <w:tmpl w:val="50C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7D1C54"/>
    <w:multiLevelType w:val="hybridMultilevel"/>
    <w:tmpl w:val="D4F08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7B0549"/>
    <w:multiLevelType w:val="hybridMultilevel"/>
    <w:tmpl w:val="BF746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40D1DD2"/>
    <w:multiLevelType w:val="hybridMultilevel"/>
    <w:tmpl w:val="7BB6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3C7B02"/>
    <w:multiLevelType w:val="multilevel"/>
    <w:tmpl w:val="8BF012FA"/>
    <w:lvl w:ilvl="0">
      <w:start w:val="1"/>
      <w:numFmt w:val="decimal"/>
      <w:lvlText w:val="%1)"/>
      <w:lvlJc w:val="left"/>
      <w:pPr>
        <w:tabs>
          <w:tab w:val="num" w:pos="1260"/>
        </w:tabs>
        <w:ind w:left="1260" w:hanging="360"/>
      </w:pPr>
      <w:rPr>
        <w:rFonts w:cs="Times New Roman" w:hint="default"/>
      </w:rPr>
    </w:lvl>
    <w:lvl w:ilvl="1">
      <w:start w:val="1"/>
      <w:numFmt w:val="bullet"/>
      <w:lvlText w:val=""/>
      <w:lvlJc w:val="left"/>
      <w:pPr>
        <w:tabs>
          <w:tab w:val="num" w:pos="928"/>
        </w:tabs>
        <w:ind w:left="928" w:hanging="360"/>
      </w:pPr>
      <w:rPr>
        <w:rFonts w:ascii="Symbol" w:hAnsi="Symbol"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077A5D"/>
    <w:multiLevelType w:val="multilevel"/>
    <w:tmpl w:val="9DB256AC"/>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1980"/>
        </w:tabs>
        <w:ind w:left="1980" w:hanging="360"/>
      </w:pPr>
      <w:rPr>
        <w:rFonts w:cs="Times New Roman"/>
      </w:rPr>
    </w:lvl>
    <w:lvl w:ilvl="3">
      <w:start w:val="1"/>
      <w:numFmt w:val="upperLetter"/>
      <w:lvlText w:val="(%4)"/>
      <w:lvlJc w:val="left"/>
      <w:pPr>
        <w:tabs>
          <w:tab w:val="num" w:pos="2340"/>
        </w:tabs>
        <w:ind w:left="234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left"/>
      <w:pPr>
        <w:tabs>
          <w:tab w:val="num" w:pos="3060"/>
        </w:tabs>
        <w:ind w:left="3060" w:hanging="36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left"/>
      <w:pPr>
        <w:tabs>
          <w:tab w:val="num" w:pos="4140"/>
        </w:tabs>
        <w:ind w:left="4140" w:hanging="360"/>
      </w:pPr>
      <w:rPr>
        <w:rFonts w:cs="Times New Roman"/>
      </w:rPr>
    </w:lvl>
  </w:abstractNum>
  <w:abstractNum w:abstractNumId="18" w15:restartNumberingAfterBreak="0">
    <w:nsid w:val="6C5010E5"/>
    <w:multiLevelType w:val="hybridMultilevel"/>
    <w:tmpl w:val="AFF49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AF16BA"/>
    <w:multiLevelType w:val="hybridMultilevel"/>
    <w:tmpl w:val="4A86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84DBE"/>
    <w:multiLevelType w:val="hybridMultilevel"/>
    <w:tmpl w:val="7EF29670"/>
    <w:lvl w:ilvl="0" w:tplc="FAF2D2D0">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73B951F0"/>
    <w:multiLevelType w:val="hybridMultilevel"/>
    <w:tmpl w:val="41E8E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89E1D28"/>
    <w:multiLevelType w:val="hybridMultilevel"/>
    <w:tmpl w:val="9A0AD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0"/>
  </w:num>
  <w:num w:numId="8">
    <w:abstractNumId w:val="0"/>
  </w:num>
  <w:num w:numId="9">
    <w:abstractNumId w:val="14"/>
  </w:num>
  <w:num w:numId="10">
    <w:abstractNumId w:val="21"/>
  </w:num>
  <w:num w:numId="11">
    <w:abstractNumId w:val="4"/>
  </w:num>
  <w:num w:numId="12">
    <w:abstractNumId w:val="12"/>
  </w:num>
  <w:num w:numId="13">
    <w:abstractNumId w:val="3"/>
  </w:num>
  <w:num w:numId="14">
    <w:abstractNumId w:val="2"/>
  </w:num>
  <w:num w:numId="15">
    <w:abstractNumId w:val="1"/>
  </w:num>
  <w:num w:numId="16">
    <w:abstractNumId w:val="11"/>
  </w:num>
  <w:num w:numId="17">
    <w:abstractNumId w:val="15"/>
  </w:num>
  <w:num w:numId="18">
    <w:abstractNumId w:val="7"/>
  </w:num>
  <w:num w:numId="19">
    <w:abstractNumId w:val="19"/>
  </w:num>
  <w:num w:numId="20">
    <w:abstractNumId w:val="22"/>
  </w:num>
  <w:num w:numId="21">
    <w:abstractNumId w:val="9"/>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B4E77-7A57-411C-B4BB-41FF06B04C29}"/>
    <w:docVar w:name="dgnword-eventsink" w:val="398643408"/>
    <w:docVar w:name="dgnword-lastRevisionsView" w:val="0"/>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5EC6"/>
    <w:rsid w:val="000169D0"/>
    <w:rsid w:val="00016D42"/>
    <w:rsid w:val="00020890"/>
    <w:rsid w:val="00020FDB"/>
    <w:rsid w:val="000215C2"/>
    <w:rsid w:val="00023F7F"/>
    <w:rsid w:val="00024010"/>
    <w:rsid w:val="000260CA"/>
    <w:rsid w:val="000263D1"/>
    <w:rsid w:val="00026A03"/>
    <w:rsid w:val="000271C0"/>
    <w:rsid w:val="00031D9F"/>
    <w:rsid w:val="000348B1"/>
    <w:rsid w:val="00037F43"/>
    <w:rsid w:val="000402AF"/>
    <w:rsid w:val="000428AD"/>
    <w:rsid w:val="00042B0B"/>
    <w:rsid w:val="00043641"/>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733C"/>
    <w:rsid w:val="00057859"/>
    <w:rsid w:val="00060993"/>
    <w:rsid w:val="00061410"/>
    <w:rsid w:val="0006222B"/>
    <w:rsid w:val="000625C1"/>
    <w:rsid w:val="00063E3F"/>
    <w:rsid w:val="00065917"/>
    <w:rsid w:val="000673A5"/>
    <w:rsid w:val="00070620"/>
    <w:rsid w:val="00070EC3"/>
    <w:rsid w:val="00071530"/>
    <w:rsid w:val="00072520"/>
    <w:rsid w:val="00073FD2"/>
    <w:rsid w:val="000748A0"/>
    <w:rsid w:val="00077560"/>
    <w:rsid w:val="0008299A"/>
    <w:rsid w:val="00085977"/>
    <w:rsid w:val="00086777"/>
    <w:rsid w:val="00086CEF"/>
    <w:rsid w:val="00087013"/>
    <w:rsid w:val="000900EC"/>
    <w:rsid w:val="00090B56"/>
    <w:rsid w:val="00092EE3"/>
    <w:rsid w:val="0009319D"/>
    <w:rsid w:val="00093829"/>
    <w:rsid w:val="00093EE9"/>
    <w:rsid w:val="000974D5"/>
    <w:rsid w:val="00097789"/>
    <w:rsid w:val="000A29DE"/>
    <w:rsid w:val="000A2E19"/>
    <w:rsid w:val="000A41D2"/>
    <w:rsid w:val="000A5481"/>
    <w:rsid w:val="000A5922"/>
    <w:rsid w:val="000A6D8A"/>
    <w:rsid w:val="000B086A"/>
    <w:rsid w:val="000B0E83"/>
    <w:rsid w:val="000B119B"/>
    <w:rsid w:val="000B300A"/>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0D04"/>
    <w:rsid w:val="00101285"/>
    <w:rsid w:val="001013C2"/>
    <w:rsid w:val="00102162"/>
    <w:rsid w:val="00103DA7"/>
    <w:rsid w:val="00105FA0"/>
    <w:rsid w:val="001079CC"/>
    <w:rsid w:val="00111E14"/>
    <w:rsid w:val="001129D2"/>
    <w:rsid w:val="0011351A"/>
    <w:rsid w:val="00113D31"/>
    <w:rsid w:val="0011578D"/>
    <w:rsid w:val="001161FE"/>
    <w:rsid w:val="001163DC"/>
    <w:rsid w:val="0011644C"/>
    <w:rsid w:val="00116CB0"/>
    <w:rsid w:val="00116F01"/>
    <w:rsid w:val="001202A7"/>
    <w:rsid w:val="00121C72"/>
    <w:rsid w:val="00123BAA"/>
    <w:rsid w:val="0012409B"/>
    <w:rsid w:val="0012423D"/>
    <w:rsid w:val="00124DFA"/>
    <w:rsid w:val="00124E6D"/>
    <w:rsid w:val="00125EC6"/>
    <w:rsid w:val="0012660F"/>
    <w:rsid w:val="00126C7A"/>
    <w:rsid w:val="00126FD0"/>
    <w:rsid w:val="00127DA9"/>
    <w:rsid w:val="00131012"/>
    <w:rsid w:val="0013200E"/>
    <w:rsid w:val="0013430A"/>
    <w:rsid w:val="0013475A"/>
    <w:rsid w:val="00135F51"/>
    <w:rsid w:val="001364FE"/>
    <w:rsid w:val="0013726E"/>
    <w:rsid w:val="00137350"/>
    <w:rsid w:val="00137A6F"/>
    <w:rsid w:val="0014193A"/>
    <w:rsid w:val="00141ACF"/>
    <w:rsid w:val="00143817"/>
    <w:rsid w:val="00143847"/>
    <w:rsid w:val="00143956"/>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479"/>
    <w:rsid w:val="00165B49"/>
    <w:rsid w:val="00166B2A"/>
    <w:rsid w:val="00167163"/>
    <w:rsid w:val="00167A83"/>
    <w:rsid w:val="00167B13"/>
    <w:rsid w:val="001735A4"/>
    <w:rsid w:val="001752F7"/>
    <w:rsid w:val="00176603"/>
    <w:rsid w:val="0017781D"/>
    <w:rsid w:val="00177F7F"/>
    <w:rsid w:val="00180072"/>
    <w:rsid w:val="00180946"/>
    <w:rsid w:val="00181226"/>
    <w:rsid w:val="00183148"/>
    <w:rsid w:val="00183CAA"/>
    <w:rsid w:val="00184158"/>
    <w:rsid w:val="0018628F"/>
    <w:rsid w:val="001863BC"/>
    <w:rsid w:val="00191C3D"/>
    <w:rsid w:val="00192B65"/>
    <w:rsid w:val="00194879"/>
    <w:rsid w:val="00195933"/>
    <w:rsid w:val="001A1F22"/>
    <w:rsid w:val="001A3A2E"/>
    <w:rsid w:val="001A42B5"/>
    <w:rsid w:val="001A48F2"/>
    <w:rsid w:val="001A58AC"/>
    <w:rsid w:val="001A64D0"/>
    <w:rsid w:val="001A6F74"/>
    <w:rsid w:val="001A78FE"/>
    <w:rsid w:val="001B05B6"/>
    <w:rsid w:val="001B1AA2"/>
    <w:rsid w:val="001B30CE"/>
    <w:rsid w:val="001B583D"/>
    <w:rsid w:val="001B5F7A"/>
    <w:rsid w:val="001B64EB"/>
    <w:rsid w:val="001B7E69"/>
    <w:rsid w:val="001C1650"/>
    <w:rsid w:val="001C22AE"/>
    <w:rsid w:val="001C2523"/>
    <w:rsid w:val="001C2DED"/>
    <w:rsid w:val="001C3424"/>
    <w:rsid w:val="001C4091"/>
    <w:rsid w:val="001C5B4D"/>
    <w:rsid w:val="001D0F44"/>
    <w:rsid w:val="001D28FD"/>
    <w:rsid w:val="001D2CF9"/>
    <w:rsid w:val="001D485C"/>
    <w:rsid w:val="001D48C1"/>
    <w:rsid w:val="001D519A"/>
    <w:rsid w:val="001D57D2"/>
    <w:rsid w:val="001D62F6"/>
    <w:rsid w:val="001E0F79"/>
    <w:rsid w:val="001E13ED"/>
    <w:rsid w:val="001E1AC6"/>
    <w:rsid w:val="001E2E89"/>
    <w:rsid w:val="001E3654"/>
    <w:rsid w:val="001E4A19"/>
    <w:rsid w:val="001E4C81"/>
    <w:rsid w:val="001E4E37"/>
    <w:rsid w:val="001E5B0E"/>
    <w:rsid w:val="001E66FB"/>
    <w:rsid w:val="001E6E4E"/>
    <w:rsid w:val="001F00A7"/>
    <w:rsid w:val="001F126B"/>
    <w:rsid w:val="001F26DB"/>
    <w:rsid w:val="001F4E9D"/>
    <w:rsid w:val="001F4F49"/>
    <w:rsid w:val="001F7F5F"/>
    <w:rsid w:val="00200955"/>
    <w:rsid w:val="00200A60"/>
    <w:rsid w:val="0020136C"/>
    <w:rsid w:val="00201AD8"/>
    <w:rsid w:val="00201FA3"/>
    <w:rsid w:val="00202D8A"/>
    <w:rsid w:val="0020440A"/>
    <w:rsid w:val="0020540B"/>
    <w:rsid w:val="002070A2"/>
    <w:rsid w:val="00207295"/>
    <w:rsid w:val="002072F0"/>
    <w:rsid w:val="00207B32"/>
    <w:rsid w:val="002102F3"/>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29E4"/>
    <w:rsid w:val="00224D92"/>
    <w:rsid w:val="0022542A"/>
    <w:rsid w:val="00225663"/>
    <w:rsid w:val="00225D75"/>
    <w:rsid w:val="00226A09"/>
    <w:rsid w:val="0022766D"/>
    <w:rsid w:val="002329EA"/>
    <w:rsid w:val="00234132"/>
    <w:rsid w:val="00234D19"/>
    <w:rsid w:val="002352DF"/>
    <w:rsid w:val="0023548C"/>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2936"/>
    <w:rsid w:val="00273BE9"/>
    <w:rsid w:val="002740B8"/>
    <w:rsid w:val="00276F77"/>
    <w:rsid w:val="00277539"/>
    <w:rsid w:val="00277A4C"/>
    <w:rsid w:val="0028119A"/>
    <w:rsid w:val="00281925"/>
    <w:rsid w:val="00281B77"/>
    <w:rsid w:val="00281EB6"/>
    <w:rsid w:val="002838D0"/>
    <w:rsid w:val="00283CBA"/>
    <w:rsid w:val="00284155"/>
    <w:rsid w:val="00284AE1"/>
    <w:rsid w:val="00287F1A"/>
    <w:rsid w:val="00291CE9"/>
    <w:rsid w:val="00293CBB"/>
    <w:rsid w:val="00294123"/>
    <w:rsid w:val="00294584"/>
    <w:rsid w:val="00294F20"/>
    <w:rsid w:val="002956A1"/>
    <w:rsid w:val="00295A55"/>
    <w:rsid w:val="00295CB1"/>
    <w:rsid w:val="00295EA3"/>
    <w:rsid w:val="002963D7"/>
    <w:rsid w:val="00296D06"/>
    <w:rsid w:val="00297D32"/>
    <w:rsid w:val="002A1D6E"/>
    <w:rsid w:val="002A3308"/>
    <w:rsid w:val="002A48CE"/>
    <w:rsid w:val="002A69FB"/>
    <w:rsid w:val="002A7A96"/>
    <w:rsid w:val="002B0C42"/>
    <w:rsid w:val="002B21EE"/>
    <w:rsid w:val="002B282C"/>
    <w:rsid w:val="002B545A"/>
    <w:rsid w:val="002B62B2"/>
    <w:rsid w:val="002B69FC"/>
    <w:rsid w:val="002B7E39"/>
    <w:rsid w:val="002C1159"/>
    <w:rsid w:val="002C26F0"/>
    <w:rsid w:val="002C3109"/>
    <w:rsid w:val="002C382F"/>
    <w:rsid w:val="002C3DA5"/>
    <w:rsid w:val="002C474E"/>
    <w:rsid w:val="002C4DB6"/>
    <w:rsid w:val="002C667E"/>
    <w:rsid w:val="002C6A06"/>
    <w:rsid w:val="002C72FA"/>
    <w:rsid w:val="002C7864"/>
    <w:rsid w:val="002D0602"/>
    <w:rsid w:val="002D0BD8"/>
    <w:rsid w:val="002D1268"/>
    <w:rsid w:val="002D4736"/>
    <w:rsid w:val="002D491A"/>
    <w:rsid w:val="002D5E29"/>
    <w:rsid w:val="002D7EC5"/>
    <w:rsid w:val="002E088B"/>
    <w:rsid w:val="002E1092"/>
    <w:rsid w:val="002E1B08"/>
    <w:rsid w:val="002E1B66"/>
    <w:rsid w:val="002E2A34"/>
    <w:rsid w:val="002E37B4"/>
    <w:rsid w:val="002E3985"/>
    <w:rsid w:val="002E55B5"/>
    <w:rsid w:val="002E58D5"/>
    <w:rsid w:val="002E59F4"/>
    <w:rsid w:val="002E6413"/>
    <w:rsid w:val="002E67C3"/>
    <w:rsid w:val="002E6959"/>
    <w:rsid w:val="002F0FD2"/>
    <w:rsid w:val="002F18B6"/>
    <w:rsid w:val="002F1918"/>
    <w:rsid w:val="002F1B94"/>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0649"/>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5044"/>
    <w:rsid w:val="00326167"/>
    <w:rsid w:val="003264D5"/>
    <w:rsid w:val="003270F6"/>
    <w:rsid w:val="003271E5"/>
    <w:rsid w:val="00327BD8"/>
    <w:rsid w:val="00330DC5"/>
    <w:rsid w:val="00333AB2"/>
    <w:rsid w:val="00333E5D"/>
    <w:rsid w:val="00334696"/>
    <w:rsid w:val="00334CCE"/>
    <w:rsid w:val="0033669B"/>
    <w:rsid w:val="00336AAF"/>
    <w:rsid w:val="00337F26"/>
    <w:rsid w:val="00342FB5"/>
    <w:rsid w:val="00343A7F"/>
    <w:rsid w:val="00347155"/>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22A"/>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364A"/>
    <w:rsid w:val="003936D9"/>
    <w:rsid w:val="00393C03"/>
    <w:rsid w:val="0039509F"/>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0AF"/>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590A"/>
    <w:rsid w:val="003E76DF"/>
    <w:rsid w:val="003E7871"/>
    <w:rsid w:val="003F15A7"/>
    <w:rsid w:val="003F16E9"/>
    <w:rsid w:val="003F293C"/>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25022"/>
    <w:rsid w:val="00427610"/>
    <w:rsid w:val="00433C14"/>
    <w:rsid w:val="00433EE9"/>
    <w:rsid w:val="00433F4F"/>
    <w:rsid w:val="004342B4"/>
    <w:rsid w:val="00435300"/>
    <w:rsid w:val="00435F00"/>
    <w:rsid w:val="00441793"/>
    <w:rsid w:val="00442BD2"/>
    <w:rsid w:val="00443149"/>
    <w:rsid w:val="0044408B"/>
    <w:rsid w:val="004452AF"/>
    <w:rsid w:val="00446142"/>
    <w:rsid w:val="00450AC6"/>
    <w:rsid w:val="004522F1"/>
    <w:rsid w:val="00452A3A"/>
    <w:rsid w:val="00452E62"/>
    <w:rsid w:val="0045411B"/>
    <w:rsid w:val="004542DA"/>
    <w:rsid w:val="00454D4D"/>
    <w:rsid w:val="0045558A"/>
    <w:rsid w:val="00456B77"/>
    <w:rsid w:val="00457B87"/>
    <w:rsid w:val="00460800"/>
    <w:rsid w:val="004618BD"/>
    <w:rsid w:val="00461D6D"/>
    <w:rsid w:val="0046693F"/>
    <w:rsid w:val="004669AB"/>
    <w:rsid w:val="00467034"/>
    <w:rsid w:val="00467904"/>
    <w:rsid w:val="00471C1C"/>
    <w:rsid w:val="004721B3"/>
    <w:rsid w:val="004729F7"/>
    <w:rsid w:val="00472F58"/>
    <w:rsid w:val="004730BF"/>
    <w:rsid w:val="004737B0"/>
    <w:rsid w:val="00474218"/>
    <w:rsid w:val="00474D3F"/>
    <w:rsid w:val="00475B71"/>
    <w:rsid w:val="0047619D"/>
    <w:rsid w:val="0047694A"/>
    <w:rsid w:val="00476DB7"/>
    <w:rsid w:val="004802AD"/>
    <w:rsid w:val="00480887"/>
    <w:rsid w:val="00480CA5"/>
    <w:rsid w:val="00486C83"/>
    <w:rsid w:val="004913EC"/>
    <w:rsid w:val="004923B7"/>
    <w:rsid w:val="00492582"/>
    <w:rsid w:val="0049496B"/>
    <w:rsid w:val="00496901"/>
    <w:rsid w:val="00497DBF"/>
    <w:rsid w:val="004A1DC3"/>
    <w:rsid w:val="004A42CD"/>
    <w:rsid w:val="004A5A29"/>
    <w:rsid w:val="004B148D"/>
    <w:rsid w:val="004B20A4"/>
    <w:rsid w:val="004B3C46"/>
    <w:rsid w:val="004B40C0"/>
    <w:rsid w:val="004B49A4"/>
    <w:rsid w:val="004B558A"/>
    <w:rsid w:val="004B5D89"/>
    <w:rsid w:val="004B7DBC"/>
    <w:rsid w:val="004C0DA3"/>
    <w:rsid w:val="004C13B1"/>
    <w:rsid w:val="004C1EB9"/>
    <w:rsid w:val="004C3712"/>
    <w:rsid w:val="004C398D"/>
    <w:rsid w:val="004C5624"/>
    <w:rsid w:val="004C5872"/>
    <w:rsid w:val="004D1968"/>
    <w:rsid w:val="004D1D08"/>
    <w:rsid w:val="004D20D0"/>
    <w:rsid w:val="004D330B"/>
    <w:rsid w:val="004D33B2"/>
    <w:rsid w:val="004D352A"/>
    <w:rsid w:val="004D385B"/>
    <w:rsid w:val="004D5CEA"/>
    <w:rsid w:val="004D5E9F"/>
    <w:rsid w:val="004D7CC9"/>
    <w:rsid w:val="004D7D86"/>
    <w:rsid w:val="004E22D9"/>
    <w:rsid w:val="004E29FD"/>
    <w:rsid w:val="004E2C29"/>
    <w:rsid w:val="004E347F"/>
    <w:rsid w:val="004E4E5D"/>
    <w:rsid w:val="004E67C2"/>
    <w:rsid w:val="004E6F66"/>
    <w:rsid w:val="004E75D7"/>
    <w:rsid w:val="004F2015"/>
    <w:rsid w:val="004F21CB"/>
    <w:rsid w:val="004F221C"/>
    <w:rsid w:val="004F7FF1"/>
    <w:rsid w:val="00500191"/>
    <w:rsid w:val="0050047C"/>
    <w:rsid w:val="0050115C"/>
    <w:rsid w:val="00501993"/>
    <w:rsid w:val="00503EB1"/>
    <w:rsid w:val="005041CC"/>
    <w:rsid w:val="00505B45"/>
    <w:rsid w:val="005075E6"/>
    <w:rsid w:val="005079E0"/>
    <w:rsid w:val="00510B1F"/>
    <w:rsid w:val="00510F55"/>
    <w:rsid w:val="00512A76"/>
    <w:rsid w:val="0051718C"/>
    <w:rsid w:val="005172D3"/>
    <w:rsid w:val="005223E7"/>
    <w:rsid w:val="005228F6"/>
    <w:rsid w:val="00522904"/>
    <w:rsid w:val="00522E75"/>
    <w:rsid w:val="005232BB"/>
    <w:rsid w:val="005237AC"/>
    <w:rsid w:val="00523E15"/>
    <w:rsid w:val="00523EEF"/>
    <w:rsid w:val="00524342"/>
    <w:rsid w:val="005263D5"/>
    <w:rsid w:val="00526BF6"/>
    <w:rsid w:val="005303ED"/>
    <w:rsid w:val="00530D3A"/>
    <w:rsid w:val="0053121C"/>
    <w:rsid w:val="00532BF5"/>
    <w:rsid w:val="00532FB2"/>
    <w:rsid w:val="005333B5"/>
    <w:rsid w:val="00533EA1"/>
    <w:rsid w:val="00535B11"/>
    <w:rsid w:val="005371D0"/>
    <w:rsid w:val="00541268"/>
    <w:rsid w:val="005415A4"/>
    <w:rsid w:val="00541C3D"/>
    <w:rsid w:val="005420B2"/>
    <w:rsid w:val="00542B8E"/>
    <w:rsid w:val="00543B97"/>
    <w:rsid w:val="0054444E"/>
    <w:rsid w:val="005457E0"/>
    <w:rsid w:val="0055109E"/>
    <w:rsid w:val="005525BB"/>
    <w:rsid w:val="005526AF"/>
    <w:rsid w:val="00553481"/>
    <w:rsid w:val="00557FB4"/>
    <w:rsid w:val="00561847"/>
    <w:rsid w:val="005623F5"/>
    <w:rsid w:val="00562540"/>
    <w:rsid w:val="005642C4"/>
    <w:rsid w:val="005645B5"/>
    <w:rsid w:val="00565946"/>
    <w:rsid w:val="00565A77"/>
    <w:rsid w:val="00565B68"/>
    <w:rsid w:val="00565C4E"/>
    <w:rsid w:val="00565E7C"/>
    <w:rsid w:val="00566B4C"/>
    <w:rsid w:val="00566CF6"/>
    <w:rsid w:val="00567E42"/>
    <w:rsid w:val="00570EE8"/>
    <w:rsid w:val="005716E4"/>
    <w:rsid w:val="0057191A"/>
    <w:rsid w:val="0057236C"/>
    <w:rsid w:val="005738B7"/>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499"/>
    <w:rsid w:val="00592F8A"/>
    <w:rsid w:val="005940D3"/>
    <w:rsid w:val="00595DDB"/>
    <w:rsid w:val="0059706E"/>
    <w:rsid w:val="005975F2"/>
    <w:rsid w:val="005978A0"/>
    <w:rsid w:val="005A0C00"/>
    <w:rsid w:val="005A1C6A"/>
    <w:rsid w:val="005A2112"/>
    <w:rsid w:val="005A3E1C"/>
    <w:rsid w:val="005A49DF"/>
    <w:rsid w:val="005A7405"/>
    <w:rsid w:val="005A7F3D"/>
    <w:rsid w:val="005B35F6"/>
    <w:rsid w:val="005B382E"/>
    <w:rsid w:val="005B4E1C"/>
    <w:rsid w:val="005B5065"/>
    <w:rsid w:val="005B5BAB"/>
    <w:rsid w:val="005B6F23"/>
    <w:rsid w:val="005B78B2"/>
    <w:rsid w:val="005C0274"/>
    <w:rsid w:val="005C0AEC"/>
    <w:rsid w:val="005C2291"/>
    <w:rsid w:val="005C2618"/>
    <w:rsid w:val="005C31F3"/>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D7FAC"/>
    <w:rsid w:val="005E0AD3"/>
    <w:rsid w:val="005E1665"/>
    <w:rsid w:val="005E1A4E"/>
    <w:rsid w:val="005E2143"/>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68FE"/>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272F"/>
    <w:rsid w:val="00642764"/>
    <w:rsid w:val="00642B18"/>
    <w:rsid w:val="006431CF"/>
    <w:rsid w:val="00643C0E"/>
    <w:rsid w:val="00643D4D"/>
    <w:rsid w:val="00643F9F"/>
    <w:rsid w:val="006449DF"/>
    <w:rsid w:val="0064504A"/>
    <w:rsid w:val="00645242"/>
    <w:rsid w:val="00645373"/>
    <w:rsid w:val="0064554D"/>
    <w:rsid w:val="0064588B"/>
    <w:rsid w:val="0064631E"/>
    <w:rsid w:val="00646B1C"/>
    <w:rsid w:val="00647E3C"/>
    <w:rsid w:val="00655772"/>
    <w:rsid w:val="00657A3C"/>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1E73"/>
    <w:rsid w:val="006A2475"/>
    <w:rsid w:val="006A4D5B"/>
    <w:rsid w:val="006A5C42"/>
    <w:rsid w:val="006A6BDF"/>
    <w:rsid w:val="006A72F5"/>
    <w:rsid w:val="006A7426"/>
    <w:rsid w:val="006A7DEE"/>
    <w:rsid w:val="006B28D6"/>
    <w:rsid w:val="006B36F7"/>
    <w:rsid w:val="006B43B2"/>
    <w:rsid w:val="006B45EF"/>
    <w:rsid w:val="006B7503"/>
    <w:rsid w:val="006C0141"/>
    <w:rsid w:val="006C0689"/>
    <w:rsid w:val="006C0E11"/>
    <w:rsid w:val="006C11E2"/>
    <w:rsid w:val="006C1254"/>
    <w:rsid w:val="006C1E0A"/>
    <w:rsid w:val="006C47A5"/>
    <w:rsid w:val="006C510B"/>
    <w:rsid w:val="006C5FA0"/>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E7D59"/>
    <w:rsid w:val="006F03C5"/>
    <w:rsid w:val="006F0664"/>
    <w:rsid w:val="006F1135"/>
    <w:rsid w:val="006F13EF"/>
    <w:rsid w:val="006F1F72"/>
    <w:rsid w:val="006F2AF9"/>
    <w:rsid w:val="006F3AD0"/>
    <w:rsid w:val="006F4751"/>
    <w:rsid w:val="006F71AE"/>
    <w:rsid w:val="00700AD5"/>
    <w:rsid w:val="00700F5E"/>
    <w:rsid w:val="00702566"/>
    <w:rsid w:val="0070370A"/>
    <w:rsid w:val="00706447"/>
    <w:rsid w:val="00707CB6"/>
    <w:rsid w:val="007103EE"/>
    <w:rsid w:val="00711414"/>
    <w:rsid w:val="0071273F"/>
    <w:rsid w:val="00713935"/>
    <w:rsid w:val="00713AD4"/>
    <w:rsid w:val="00714439"/>
    <w:rsid w:val="00715E82"/>
    <w:rsid w:val="0071638A"/>
    <w:rsid w:val="00716D98"/>
    <w:rsid w:val="00717A86"/>
    <w:rsid w:val="00720057"/>
    <w:rsid w:val="0072026B"/>
    <w:rsid w:val="0072058C"/>
    <w:rsid w:val="00720A78"/>
    <w:rsid w:val="00721BB3"/>
    <w:rsid w:val="0072245A"/>
    <w:rsid w:val="00722E63"/>
    <w:rsid w:val="00724CCE"/>
    <w:rsid w:val="00724FE1"/>
    <w:rsid w:val="00725170"/>
    <w:rsid w:val="0072747B"/>
    <w:rsid w:val="00727F92"/>
    <w:rsid w:val="007315B0"/>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380F"/>
    <w:rsid w:val="00754707"/>
    <w:rsid w:val="00754B75"/>
    <w:rsid w:val="00754D4C"/>
    <w:rsid w:val="00755AAA"/>
    <w:rsid w:val="00755D42"/>
    <w:rsid w:val="00756FD5"/>
    <w:rsid w:val="00757750"/>
    <w:rsid w:val="00757C90"/>
    <w:rsid w:val="007601AD"/>
    <w:rsid w:val="00760370"/>
    <w:rsid w:val="00762B14"/>
    <w:rsid w:val="007637E7"/>
    <w:rsid w:val="00763BAA"/>
    <w:rsid w:val="007646F6"/>
    <w:rsid w:val="00765CE9"/>
    <w:rsid w:val="00767749"/>
    <w:rsid w:val="007710D0"/>
    <w:rsid w:val="00772D97"/>
    <w:rsid w:val="007730A7"/>
    <w:rsid w:val="00773148"/>
    <w:rsid w:val="00775740"/>
    <w:rsid w:val="0077742F"/>
    <w:rsid w:val="007802F3"/>
    <w:rsid w:val="00783664"/>
    <w:rsid w:val="0078392D"/>
    <w:rsid w:val="00785A3B"/>
    <w:rsid w:val="00786631"/>
    <w:rsid w:val="00786A47"/>
    <w:rsid w:val="007906DB"/>
    <w:rsid w:val="00791186"/>
    <w:rsid w:val="007925C8"/>
    <w:rsid w:val="00794D06"/>
    <w:rsid w:val="00795604"/>
    <w:rsid w:val="00796204"/>
    <w:rsid w:val="00796543"/>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5D75"/>
    <w:rsid w:val="007C6519"/>
    <w:rsid w:val="007C692F"/>
    <w:rsid w:val="007D3E2D"/>
    <w:rsid w:val="007D4E40"/>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5457"/>
    <w:rsid w:val="007F5733"/>
    <w:rsid w:val="007F5AB1"/>
    <w:rsid w:val="007F5FF7"/>
    <w:rsid w:val="007F6DAF"/>
    <w:rsid w:val="00800047"/>
    <w:rsid w:val="00800514"/>
    <w:rsid w:val="008030BC"/>
    <w:rsid w:val="008065B7"/>
    <w:rsid w:val="008068E2"/>
    <w:rsid w:val="00807087"/>
    <w:rsid w:val="0080767B"/>
    <w:rsid w:val="008077DA"/>
    <w:rsid w:val="008078EB"/>
    <w:rsid w:val="00810811"/>
    <w:rsid w:val="00810A11"/>
    <w:rsid w:val="00810CE4"/>
    <w:rsid w:val="00811F38"/>
    <w:rsid w:val="0081326C"/>
    <w:rsid w:val="008147D7"/>
    <w:rsid w:val="00817C05"/>
    <w:rsid w:val="00817DA9"/>
    <w:rsid w:val="00820D48"/>
    <w:rsid w:val="00820DDF"/>
    <w:rsid w:val="0082551A"/>
    <w:rsid w:val="00825A0F"/>
    <w:rsid w:val="00825FC8"/>
    <w:rsid w:val="008306DB"/>
    <w:rsid w:val="008311F4"/>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5FF"/>
    <w:rsid w:val="00860E19"/>
    <w:rsid w:val="00861428"/>
    <w:rsid w:val="00861D4B"/>
    <w:rsid w:val="008624D2"/>
    <w:rsid w:val="008625D2"/>
    <w:rsid w:val="008650A5"/>
    <w:rsid w:val="0086764C"/>
    <w:rsid w:val="008709E9"/>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218"/>
    <w:rsid w:val="0089333D"/>
    <w:rsid w:val="008935D6"/>
    <w:rsid w:val="008947FF"/>
    <w:rsid w:val="00897F60"/>
    <w:rsid w:val="008A089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D7EB5"/>
    <w:rsid w:val="008E01D9"/>
    <w:rsid w:val="008E0832"/>
    <w:rsid w:val="008E0F2F"/>
    <w:rsid w:val="008E1F17"/>
    <w:rsid w:val="008E43C2"/>
    <w:rsid w:val="008E45E7"/>
    <w:rsid w:val="008E4B06"/>
    <w:rsid w:val="008E4EB8"/>
    <w:rsid w:val="008E5965"/>
    <w:rsid w:val="008E5AE2"/>
    <w:rsid w:val="008F0B8B"/>
    <w:rsid w:val="008F309C"/>
    <w:rsid w:val="008F3A9B"/>
    <w:rsid w:val="008F3B91"/>
    <w:rsid w:val="008F4EE1"/>
    <w:rsid w:val="008F5854"/>
    <w:rsid w:val="008F61A8"/>
    <w:rsid w:val="008F7A5A"/>
    <w:rsid w:val="00900B1C"/>
    <w:rsid w:val="00901A2B"/>
    <w:rsid w:val="00901EC5"/>
    <w:rsid w:val="00902553"/>
    <w:rsid w:val="009042F6"/>
    <w:rsid w:val="00904BA0"/>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48F6"/>
    <w:rsid w:val="00925838"/>
    <w:rsid w:val="00926165"/>
    <w:rsid w:val="0092782F"/>
    <w:rsid w:val="009317DA"/>
    <w:rsid w:val="00931D07"/>
    <w:rsid w:val="00932845"/>
    <w:rsid w:val="009329F4"/>
    <w:rsid w:val="0093399E"/>
    <w:rsid w:val="00934550"/>
    <w:rsid w:val="00935699"/>
    <w:rsid w:val="00936B62"/>
    <w:rsid w:val="00940B11"/>
    <w:rsid w:val="00942334"/>
    <w:rsid w:val="009426B8"/>
    <w:rsid w:val="009428EA"/>
    <w:rsid w:val="00942E72"/>
    <w:rsid w:val="00944567"/>
    <w:rsid w:val="009452E3"/>
    <w:rsid w:val="00945C13"/>
    <w:rsid w:val="00945EFF"/>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776EB"/>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9783E"/>
    <w:rsid w:val="009A082B"/>
    <w:rsid w:val="009A10F0"/>
    <w:rsid w:val="009A37F0"/>
    <w:rsid w:val="009A3923"/>
    <w:rsid w:val="009A3E49"/>
    <w:rsid w:val="009A478E"/>
    <w:rsid w:val="009A5043"/>
    <w:rsid w:val="009A5515"/>
    <w:rsid w:val="009A6578"/>
    <w:rsid w:val="009A6E9D"/>
    <w:rsid w:val="009B01D5"/>
    <w:rsid w:val="009B0C02"/>
    <w:rsid w:val="009B58DF"/>
    <w:rsid w:val="009B5D70"/>
    <w:rsid w:val="009B5DEC"/>
    <w:rsid w:val="009B7097"/>
    <w:rsid w:val="009B7B1A"/>
    <w:rsid w:val="009C1AF7"/>
    <w:rsid w:val="009C25B6"/>
    <w:rsid w:val="009C3785"/>
    <w:rsid w:val="009C3821"/>
    <w:rsid w:val="009C424A"/>
    <w:rsid w:val="009C4A95"/>
    <w:rsid w:val="009C4CE5"/>
    <w:rsid w:val="009C6664"/>
    <w:rsid w:val="009C6841"/>
    <w:rsid w:val="009C6ADA"/>
    <w:rsid w:val="009C7044"/>
    <w:rsid w:val="009D117D"/>
    <w:rsid w:val="009D28AF"/>
    <w:rsid w:val="009D290E"/>
    <w:rsid w:val="009D2CC6"/>
    <w:rsid w:val="009D2F47"/>
    <w:rsid w:val="009D3A40"/>
    <w:rsid w:val="009D3E04"/>
    <w:rsid w:val="009D4A30"/>
    <w:rsid w:val="009D59CF"/>
    <w:rsid w:val="009D7A85"/>
    <w:rsid w:val="009E0D82"/>
    <w:rsid w:val="009E15B4"/>
    <w:rsid w:val="009E18A4"/>
    <w:rsid w:val="009E235F"/>
    <w:rsid w:val="009E2FEC"/>
    <w:rsid w:val="009E3971"/>
    <w:rsid w:val="009E5905"/>
    <w:rsid w:val="009E76F0"/>
    <w:rsid w:val="009E7F86"/>
    <w:rsid w:val="009F058D"/>
    <w:rsid w:val="009F1D59"/>
    <w:rsid w:val="009F1DCB"/>
    <w:rsid w:val="009F30E6"/>
    <w:rsid w:val="009F37D8"/>
    <w:rsid w:val="009F4318"/>
    <w:rsid w:val="009F59A3"/>
    <w:rsid w:val="009F7CF0"/>
    <w:rsid w:val="00A00277"/>
    <w:rsid w:val="00A02021"/>
    <w:rsid w:val="00A03D31"/>
    <w:rsid w:val="00A0598B"/>
    <w:rsid w:val="00A06A53"/>
    <w:rsid w:val="00A06EA5"/>
    <w:rsid w:val="00A0730B"/>
    <w:rsid w:val="00A11295"/>
    <w:rsid w:val="00A1191C"/>
    <w:rsid w:val="00A11978"/>
    <w:rsid w:val="00A11DD2"/>
    <w:rsid w:val="00A12828"/>
    <w:rsid w:val="00A15E34"/>
    <w:rsid w:val="00A16144"/>
    <w:rsid w:val="00A171C6"/>
    <w:rsid w:val="00A17A6A"/>
    <w:rsid w:val="00A17C39"/>
    <w:rsid w:val="00A17E8F"/>
    <w:rsid w:val="00A211C0"/>
    <w:rsid w:val="00A230ED"/>
    <w:rsid w:val="00A23F6E"/>
    <w:rsid w:val="00A24526"/>
    <w:rsid w:val="00A2590C"/>
    <w:rsid w:val="00A26427"/>
    <w:rsid w:val="00A264A8"/>
    <w:rsid w:val="00A265C1"/>
    <w:rsid w:val="00A269BC"/>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5E85"/>
    <w:rsid w:val="00A46649"/>
    <w:rsid w:val="00A4706C"/>
    <w:rsid w:val="00A470C7"/>
    <w:rsid w:val="00A501FD"/>
    <w:rsid w:val="00A5134C"/>
    <w:rsid w:val="00A51605"/>
    <w:rsid w:val="00A51B50"/>
    <w:rsid w:val="00A5229D"/>
    <w:rsid w:val="00A54768"/>
    <w:rsid w:val="00A55009"/>
    <w:rsid w:val="00A57913"/>
    <w:rsid w:val="00A60A4A"/>
    <w:rsid w:val="00A61E7A"/>
    <w:rsid w:val="00A6253C"/>
    <w:rsid w:val="00A63EEA"/>
    <w:rsid w:val="00A6429F"/>
    <w:rsid w:val="00A65098"/>
    <w:rsid w:val="00A66160"/>
    <w:rsid w:val="00A669DE"/>
    <w:rsid w:val="00A70034"/>
    <w:rsid w:val="00A71039"/>
    <w:rsid w:val="00A710D5"/>
    <w:rsid w:val="00A714CE"/>
    <w:rsid w:val="00A72820"/>
    <w:rsid w:val="00A72AE8"/>
    <w:rsid w:val="00A72C82"/>
    <w:rsid w:val="00A7390C"/>
    <w:rsid w:val="00A73D93"/>
    <w:rsid w:val="00A74C9B"/>
    <w:rsid w:val="00A75CED"/>
    <w:rsid w:val="00A777BD"/>
    <w:rsid w:val="00A80044"/>
    <w:rsid w:val="00A8111D"/>
    <w:rsid w:val="00A824E1"/>
    <w:rsid w:val="00A82D1A"/>
    <w:rsid w:val="00A84E88"/>
    <w:rsid w:val="00A862E2"/>
    <w:rsid w:val="00A86887"/>
    <w:rsid w:val="00A878AD"/>
    <w:rsid w:val="00A87C9C"/>
    <w:rsid w:val="00A92EEF"/>
    <w:rsid w:val="00A9371B"/>
    <w:rsid w:val="00A955E4"/>
    <w:rsid w:val="00A9758B"/>
    <w:rsid w:val="00AA0304"/>
    <w:rsid w:val="00AA046E"/>
    <w:rsid w:val="00AA15FA"/>
    <w:rsid w:val="00AA1D70"/>
    <w:rsid w:val="00AA1FE3"/>
    <w:rsid w:val="00AA28D3"/>
    <w:rsid w:val="00AA444B"/>
    <w:rsid w:val="00AA5465"/>
    <w:rsid w:val="00AA54E0"/>
    <w:rsid w:val="00AA59F9"/>
    <w:rsid w:val="00AA741B"/>
    <w:rsid w:val="00AB39DE"/>
    <w:rsid w:val="00AB47CB"/>
    <w:rsid w:val="00AB52B8"/>
    <w:rsid w:val="00AB60EE"/>
    <w:rsid w:val="00AB77BA"/>
    <w:rsid w:val="00AC00BD"/>
    <w:rsid w:val="00AC08CF"/>
    <w:rsid w:val="00AC0BA2"/>
    <w:rsid w:val="00AC5B87"/>
    <w:rsid w:val="00AC6296"/>
    <w:rsid w:val="00AC6654"/>
    <w:rsid w:val="00AD0617"/>
    <w:rsid w:val="00AD25BC"/>
    <w:rsid w:val="00AD3876"/>
    <w:rsid w:val="00AD4B4A"/>
    <w:rsid w:val="00AD73A1"/>
    <w:rsid w:val="00AD7FA8"/>
    <w:rsid w:val="00AE0AE9"/>
    <w:rsid w:val="00AE1194"/>
    <w:rsid w:val="00AE1619"/>
    <w:rsid w:val="00AE2DE3"/>
    <w:rsid w:val="00AE32D8"/>
    <w:rsid w:val="00AE3B1B"/>
    <w:rsid w:val="00AE43E9"/>
    <w:rsid w:val="00AE5879"/>
    <w:rsid w:val="00AE5CCD"/>
    <w:rsid w:val="00AE6112"/>
    <w:rsid w:val="00AE7AAF"/>
    <w:rsid w:val="00AF0D54"/>
    <w:rsid w:val="00AF242B"/>
    <w:rsid w:val="00AF282A"/>
    <w:rsid w:val="00AF339C"/>
    <w:rsid w:val="00AF4BC7"/>
    <w:rsid w:val="00AF4FA1"/>
    <w:rsid w:val="00AF5623"/>
    <w:rsid w:val="00AF6A3A"/>
    <w:rsid w:val="00AF6C12"/>
    <w:rsid w:val="00AF7338"/>
    <w:rsid w:val="00B002CD"/>
    <w:rsid w:val="00B01A99"/>
    <w:rsid w:val="00B01F5A"/>
    <w:rsid w:val="00B021F5"/>
    <w:rsid w:val="00B03290"/>
    <w:rsid w:val="00B0338D"/>
    <w:rsid w:val="00B04182"/>
    <w:rsid w:val="00B047F2"/>
    <w:rsid w:val="00B0534B"/>
    <w:rsid w:val="00B06B26"/>
    <w:rsid w:val="00B073B0"/>
    <w:rsid w:val="00B0799C"/>
    <w:rsid w:val="00B1560B"/>
    <w:rsid w:val="00B15C6C"/>
    <w:rsid w:val="00B1743D"/>
    <w:rsid w:val="00B201EE"/>
    <w:rsid w:val="00B20C63"/>
    <w:rsid w:val="00B22907"/>
    <w:rsid w:val="00B24B15"/>
    <w:rsid w:val="00B24F99"/>
    <w:rsid w:val="00B251D7"/>
    <w:rsid w:val="00B253F6"/>
    <w:rsid w:val="00B27766"/>
    <w:rsid w:val="00B33073"/>
    <w:rsid w:val="00B332D1"/>
    <w:rsid w:val="00B33559"/>
    <w:rsid w:val="00B3446D"/>
    <w:rsid w:val="00B3549E"/>
    <w:rsid w:val="00B354BE"/>
    <w:rsid w:val="00B36380"/>
    <w:rsid w:val="00B40BF6"/>
    <w:rsid w:val="00B40F66"/>
    <w:rsid w:val="00B41A0E"/>
    <w:rsid w:val="00B42250"/>
    <w:rsid w:val="00B42ECA"/>
    <w:rsid w:val="00B4311A"/>
    <w:rsid w:val="00B44D09"/>
    <w:rsid w:val="00B4527E"/>
    <w:rsid w:val="00B465FC"/>
    <w:rsid w:val="00B46E31"/>
    <w:rsid w:val="00B515B5"/>
    <w:rsid w:val="00B52428"/>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4A"/>
    <w:rsid w:val="00B87091"/>
    <w:rsid w:val="00B877FC"/>
    <w:rsid w:val="00B903D1"/>
    <w:rsid w:val="00B92390"/>
    <w:rsid w:val="00B93A9A"/>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434"/>
    <w:rsid w:val="00BB2CF9"/>
    <w:rsid w:val="00BB5EED"/>
    <w:rsid w:val="00BB60AE"/>
    <w:rsid w:val="00BB6A23"/>
    <w:rsid w:val="00BC08DB"/>
    <w:rsid w:val="00BC3DF5"/>
    <w:rsid w:val="00BC4030"/>
    <w:rsid w:val="00BC4FD6"/>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1EE"/>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7CE"/>
    <w:rsid w:val="00BF4DB7"/>
    <w:rsid w:val="00BF5320"/>
    <w:rsid w:val="00BF5335"/>
    <w:rsid w:val="00BF6346"/>
    <w:rsid w:val="00BF6D20"/>
    <w:rsid w:val="00C00AA4"/>
    <w:rsid w:val="00C01EF6"/>
    <w:rsid w:val="00C02085"/>
    <w:rsid w:val="00C04910"/>
    <w:rsid w:val="00C060EF"/>
    <w:rsid w:val="00C0690F"/>
    <w:rsid w:val="00C076C0"/>
    <w:rsid w:val="00C07ACC"/>
    <w:rsid w:val="00C07B54"/>
    <w:rsid w:val="00C07F8C"/>
    <w:rsid w:val="00C10AAF"/>
    <w:rsid w:val="00C11F1E"/>
    <w:rsid w:val="00C12EF7"/>
    <w:rsid w:val="00C148B4"/>
    <w:rsid w:val="00C1716D"/>
    <w:rsid w:val="00C17699"/>
    <w:rsid w:val="00C178A7"/>
    <w:rsid w:val="00C21EEC"/>
    <w:rsid w:val="00C22638"/>
    <w:rsid w:val="00C2292D"/>
    <w:rsid w:val="00C2350E"/>
    <w:rsid w:val="00C23574"/>
    <w:rsid w:val="00C2432A"/>
    <w:rsid w:val="00C24794"/>
    <w:rsid w:val="00C24CC9"/>
    <w:rsid w:val="00C25667"/>
    <w:rsid w:val="00C260DA"/>
    <w:rsid w:val="00C27075"/>
    <w:rsid w:val="00C315EE"/>
    <w:rsid w:val="00C31AB2"/>
    <w:rsid w:val="00C32440"/>
    <w:rsid w:val="00C33C3A"/>
    <w:rsid w:val="00C34D13"/>
    <w:rsid w:val="00C35F1C"/>
    <w:rsid w:val="00C37D07"/>
    <w:rsid w:val="00C42C04"/>
    <w:rsid w:val="00C437BA"/>
    <w:rsid w:val="00C44219"/>
    <w:rsid w:val="00C445C8"/>
    <w:rsid w:val="00C44760"/>
    <w:rsid w:val="00C44DEE"/>
    <w:rsid w:val="00C46862"/>
    <w:rsid w:val="00C50273"/>
    <w:rsid w:val="00C5135E"/>
    <w:rsid w:val="00C53070"/>
    <w:rsid w:val="00C5370E"/>
    <w:rsid w:val="00C543D9"/>
    <w:rsid w:val="00C54ADC"/>
    <w:rsid w:val="00C54E8B"/>
    <w:rsid w:val="00C55BB7"/>
    <w:rsid w:val="00C668F3"/>
    <w:rsid w:val="00C70B60"/>
    <w:rsid w:val="00C71187"/>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480D"/>
    <w:rsid w:val="00C866FF"/>
    <w:rsid w:val="00C87A47"/>
    <w:rsid w:val="00C87B10"/>
    <w:rsid w:val="00C87E6B"/>
    <w:rsid w:val="00C903A1"/>
    <w:rsid w:val="00C913F4"/>
    <w:rsid w:val="00C9172D"/>
    <w:rsid w:val="00C93174"/>
    <w:rsid w:val="00C933A4"/>
    <w:rsid w:val="00C94BD4"/>
    <w:rsid w:val="00C964D7"/>
    <w:rsid w:val="00CA0682"/>
    <w:rsid w:val="00CA089A"/>
    <w:rsid w:val="00CA22E3"/>
    <w:rsid w:val="00CA29EB"/>
    <w:rsid w:val="00CA2F1C"/>
    <w:rsid w:val="00CA3EA6"/>
    <w:rsid w:val="00CA4335"/>
    <w:rsid w:val="00CA4F47"/>
    <w:rsid w:val="00CA66B5"/>
    <w:rsid w:val="00CA6B9E"/>
    <w:rsid w:val="00CA6FF0"/>
    <w:rsid w:val="00CB059F"/>
    <w:rsid w:val="00CB0B19"/>
    <w:rsid w:val="00CB0C2A"/>
    <w:rsid w:val="00CB234E"/>
    <w:rsid w:val="00CB49B0"/>
    <w:rsid w:val="00CB5056"/>
    <w:rsid w:val="00CB555B"/>
    <w:rsid w:val="00CB678B"/>
    <w:rsid w:val="00CB718F"/>
    <w:rsid w:val="00CB7CDB"/>
    <w:rsid w:val="00CC052D"/>
    <w:rsid w:val="00CC5906"/>
    <w:rsid w:val="00CC6514"/>
    <w:rsid w:val="00CC7052"/>
    <w:rsid w:val="00CD091B"/>
    <w:rsid w:val="00CD129E"/>
    <w:rsid w:val="00CD1C53"/>
    <w:rsid w:val="00CD1CC9"/>
    <w:rsid w:val="00CD47C3"/>
    <w:rsid w:val="00CD4EDE"/>
    <w:rsid w:val="00CD5427"/>
    <w:rsid w:val="00CD7CEF"/>
    <w:rsid w:val="00CE0987"/>
    <w:rsid w:val="00CE0EC9"/>
    <w:rsid w:val="00CE1BDF"/>
    <w:rsid w:val="00CE1C03"/>
    <w:rsid w:val="00CE2622"/>
    <w:rsid w:val="00CE4B24"/>
    <w:rsid w:val="00CF0FB9"/>
    <w:rsid w:val="00CF108B"/>
    <w:rsid w:val="00CF129B"/>
    <w:rsid w:val="00CF156C"/>
    <w:rsid w:val="00CF1581"/>
    <w:rsid w:val="00CF59BA"/>
    <w:rsid w:val="00CF6D3B"/>
    <w:rsid w:val="00CF7733"/>
    <w:rsid w:val="00CF7896"/>
    <w:rsid w:val="00CF7D76"/>
    <w:rsid w:val="00D01582"/>
    <w:rsid w:val="00D02AA6"/>
    <w:rsid w:val="00D02D10"/>
    <w:rsid w:val="00D045A2"/>
    <w:rsid w:val="00D046F4"/>
    <w:rsid w:val="00D05841"/>
    <w:rsid w:val="00D079A8"/>
    <w:rsid w:val="00D07F31"/>
    <w:rsid w:val="00D121EF"/>
    <w:rsid w:val="00D127C3"/>
    <w:rsid w:val="00D129E5"/>
    <w:rsid w:val="00D12F11"/>
    <w:rsid w:val="00D13BF7"/>
    <w:rsid w:val="00D13ED1"/>
    <w:rsid w:val="00D147D7"/>
    <w:rsid w:val="00D15208"/>
    <w:rsid w:val="00D15814"/>
    <w:rsid w:val="00D15B82"/>
    <w:rsid w:val="00D16BA1"/>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1FC7"/>
    <w:rsid w:val="00D3234A"/>
    <w:rsid w:val="00D32B9E"/>
    <w:rsid w:val="00D32CF5"/>
    <w:rsid w:val="00D333FC"/>
    <w:rsid w:val="00D3435A"/>
    <w:rsid w:val="00D35397"/>
    <w:rsid w:val="00D35D77"/>
    <w:rsid w:val="00D40BFD"/>
    <w:rsid w:val="00D413C7"/>
    <w:rsid w:val="00D421FC"/>
    <w:rsid w:val="00D43246"/>
    <w:rsid w:val="00D440D2"/>
    <w:rsid w:val="00D44454"/>
    <w:rsid w:val="00D4587C"/>
    <w:rsid w:val="00D45A51"/>
    <w:rsid w:val="00D45C70"/>
    <w:rsid w:val="00D46112"/>
    <w:rsid w:val="00D4621F"/>
    <w:rsid w:val="00D47C32"/>
    <w:rsid w:val="00D509A5"/>
    <w:rsid w:val="00D52323"/>
    <w:rsid w:val="00D523A1"/>
    <w:rsid w:val="00D53476"/>
    <w:rsid w:val="00D5369B"/>
    <w:rsid w:val="00D54C56"/>
    <w:rsid w:val="00D56B26"/>
    <w:rsid w:val="00D5731A"/>
    <w:rsid w:val="00D576CE"/>
    <w:rsid w:val="00D57774"/>
    <w:rsid w:val="00D577CD"/>
    <w:rsid w:val="00D60347"/>
    <w:rsid w:val="00D60455"/>
    <w:rsid w:val="00D60E27"/>
    <w:rsid w:val="00D61966"/>
    <w:rsid w:val="00D61F02"/>
    <w:rsid w:val="00D621C2"/>
    <w:rsid w:val="00D628B3"/>
    <w:rsid w:val="00D63174"/>
    <w:rsid w:val="00D63F7D"/>
    <w:rsid w:val="00D64554"/>
    <w:rsid w:val="00D651B8"/>
    <w:rsid w:val="00D67259"/>
    <w:rsid w:val="00D67A2D"/>
    <w:rsid w:val="00D67B08"/>
    <w:rsid w:val="00D70339"/>
    <w:rsid w:val="00D7048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2DF2"/>
    <w:rsid w:val="00D8388E"/>
    <w:rsid w:val="00D83B3D"/>
    <w:rsid w:val="00D86C70"/>
    <w:rsid w:val="00D86CF2"/>
    <w:rsid w:val="00D8759A"/>
    <w:rsid w:val="00D9063B"/>
    <w:rsid w:val="00D94B8F"/>
    <w:rsid w:val="00D9536B"/>
    <w:rsid w:val="00D960DF"/>
    <w:rsid w:val="00D96618"/>
    <w:rsid w:val="00D97544"/>
    <w:rsid w:val="00D9761A"/>
    <w:rsid w:val="00D9768F"/>
    <w:rsid w:val="00DA000F"/>
    <w:rsid w:val="00DA227D"/>
    <w:rsid w:val="00DA2B87"/>
    <w:rsid w:val="00DA2CAD"/>
    <w:rsid w:val="00DA3475"/>
    <w:rsid w:val="00DA3F5D"/>
    <w:rsid w:val="00DA4E1D"/>
    <w:rsid w:val="00DB0B8B"/>
    <w:rsid w:val="00DB3095"/>
    <w:rsid w:val="00DB402C"/>
    <w:rsid w:val="00DB5A82"/>
    <w:rsid w:val="00DB61B8"/>
    <w:rsid w:val="00DC1707"/>
    <w:rsid w:val="00DC1D32"/>
    <w:rsid w:val="00DC2E74"/>
    <w:rsid w:val="00DC3776"/>
    <w:rsid w:val="00DC3A41"/>
    <w:rsid w:val="00DC44CD"/>
    <w:rsid w:val="00DC48B4"/>
    <w:rsid w:val="00DC6879"/>
    <w:rsid w:val="00DC68F2"/>
    <w:rsid w:val="00DC6F45"/>
    <w:rsid w:val="00DC71D8"/>
    <w:rsid w:val="00DC7D31"/>
    <w:rsid w:val="00DD029D"/>
    <w:rsid w:val="00DD11C3"/>
    <w:rsid w:val="00DD15FF"/>
    <w:rsid w:val="00DD2D2C"/>
    <w:rsid w:val="00DD4116"/>
    <w:rsid w:val="00DD5C9E"/>
    <w:rsid w:val="00DD7951"/>
    <w:rsid w:val="00DE0513"/>
    <w:rsid w:val="00DE0D1D"/>
    <w:rsid w:val="00DE402B"/>
    <w:rsid w:val="00DE40E5"/>
    <w:rsid w:val="00DE50B5"/>
    <w:rsid w:val="00DE58E9"/>
    <w:rsid w:val="00DE7BA8"/>
    <w:rsid w:val="00DF00CF"/>
    <w:rsid w:val="00DF0391"/>
    <w:rsid w:val="00DF1571"/>
    <w:rsid w:val="00DF31F3"/>
    <w:rsid w:val="00DF5911"/>
    <w:rsid w:val="00DF5D25"/>
    <w:rsid w:val="00DF6347"/>
    <w:rsid w:val="00DF7319"/>
    <w:rsid w:val="00DF761D"/>
    <w:rsid w:val="00E00508"/>
    <w:rsid w:val="00E02ABC"/>
    <w:rsid w:val="00E03057"/>
    <w:rsid w:val="00E047EC"/>
    <w:rsid w:val="00E04AC9"/>
    <w:rsid w:val="00E061F8"/>
    <w:rsid w:val="00E0685E"/>
    <w:rsid w:val="00E07047"/>
    <w:rsid w:val="00E07265"/>
    <w:rsid w:val="00E100F7"/>
    <w:rsid w:val="00E10B0B"/>
    <w:rsid w:val="00E1253B"/>
    <w:rsid w:val="00E13AD7"/>
    <w:rsid w:val="00E14280"/>
    <w:rsid w:val="00E15671"/>
    <w:rsid w:val="00E162F8"/>
    <w:rsid w:val="00E16AF6"/>
    <w:rsid w:val="00E21115"/>
    <w:rsid w:val="00E21D6D"/>
    <w:rsid w:val="00E23AEC"/>
    <w:rsid w:val="00E23D42"/>
    <w:rsid w:val="00E245D0"/>
    <w:rsid w:val="00E26870"/>
    <w:rsid w:val="00E26BAF"/>
    <w:rsid w:val="00E26CCA"/>
    <w:rsid w:val="00E30F86"/>
    <w:rsid w:val="00E312DE"/>
    <w:rsid w:val="00E3244C"/>
    <w:rsid w:val="00E3390F"/>
    <w:rsid w:val="00E33AD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5459"/>
    <w:rsid w:val="00E55629"/>
    <w:rsid w:val="00E56979"/>
    <w:rsid w:val="00E56D23"/>
    <w:rsid w:val="00E575FC"/>
    <w:rsid w:val="00E60BC8"/>
    <w:rsid w:val="00E61E3B"/>
    <w:rsid w:val="00E63242"/>
    <w:rsid w:val="00E65E5A"/>
    <w:rsid w:val="00E702C8"/>
    <w:rsid w:val="00E705C0"/>
    <w:rsid w:val="00E73DB5"/>
    <w:rsid w:val="00E77722"/>
    <w:rsid w:val="00E80456"/>
    <w:rsid w:val="00E80AD1"/>
    <w:rsid w:val="00E8344B"/>
    <w:rsid w:val="00E8409B"/>
    <w:rsid w:val="00E840A7"/>
    <w:rsid w:val="00E87C51"/>
    <w:rsid w:val="00E9042A"/>
    <w:rsid w:val="00E90E42"/>
    <w:rsid w:val="00E925ED"/>
    <w:rsid w:val="00E92B5E"/>
    <w:rsid w:val="00E93D53"/>
    <w:rsid w:val="00E95364"/>
    <w:rsid w:val="00E95EB4"/>
    <w:rsid w:val="00E96FF8"/>
    <w:rsid w:val="00EA0CB2"/>
    <w:rsid w:val="00EA16F0"/>
    <w:rsid w:val="00EA1F47"/>
    <w:rsid w:val="00EA206E"/>
    <w:rsid w:val="00EA225A"/>
    <w:rsid w:val="00EA2BAA"/>
    <w:rsid w:val="00EA37F1"/>
    <w:rsid w:val="00EA388E"/>
    <w:rsid w:val="00EA3CDD"/>
    <w:rsid w:val="00EA43FA"/>
    <w:rsid w:val="00EA5A5F"/>
    <w:rsid w:val="00EA73F5"/>
    <w:rsid w:val="00EA7E8D"/>
    <w:rsid w:val="00EB113E"/>
    <w:rsid w:val="00EB1247"/>
    <w:rsid w:val="00EB266A"/>
    <w:rsid w:val="00EB2B49"/>
    <w:rsid w:val="00EB38ED"/>
    <w:rsid w:val="00EC091C"/>
    <w:rsid w:val="00EC3C42"/>
    <w:rsid w:val="00EC4177"/>
    <w:rsid w:val="00EC5E6F"/>
    <w:rsid w:val="00EC7B7C"/>
    <w:rsid w:val="00ED0629"/>
    <w:rsid w:val="00ED1115"/>
    <w:rsid w:val="00ED12EC"/>
    <w:rsid w:val="00ED191E"/>
    <w:rsid w:val="00ED1E65"/>
    <w:rsid w:val="00ED246C"/>
    <w:rsid w:val="00ED325F"/>
    <w:rsid w:val="00ED3913"/>
    <w:rsid w:val="00ED4B59"/>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23B7"/>
    <w:rsid w:val="00F0430C"/>
    <w:rsid w:val="00F05C37"/>
    <w:rsid w:val="00F05FCA"/>
    <w:rsid w:val="00F06BFC"/>
    <w:rsid w:val="00F07C33"/>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6CB"/>
    <w:rsid w:val="00F30C4D"/>
    <w:rsid w:val="00F31B3F"/>
    <w:rsid w:val="00F324A9"/>
    <w:rsid w:val="00F33EE8"/>
    <w:rsid w:val="00F34570"/>
    <w:rsid w:val="00F3515A"/>
    <w:rsid w:val="00F354B0"/>
    <w:rsid w:val="00F354B9"/>
    <w:rsid w:val="00F36010"/>
    <w:rsid w:val="00F36797"/>
    <w:rsid w:val="00F36AEF"/>
    <w:rsid w:val="00F374ED"/>
    <w:rsid w:val="00F4030B"/>
    <w:rsid w:val="00F41CD0"/>
    <w:rsid w:val="00F42CF7"/>
    <w:rsid w:val="00F43669"/>
    <w:rsid w:val="00F44474"/>
    <w:rsid w:val="00F44AF9"/>
    <w:rsid w:val="00F44DCF"/>
    <w:rsid w:val="00F451F4"/>
    <w:rsid w:val="00F45966"/>
    <w:rsid w:val="00F45EB3"/>
    <w:rsid w:val="00F46035"/>
    <w:rsid w:val="00F47CD2"/>
    <w:rsid w:val="00F50670"/>
    <w:rsid w:val="00F52E81"/>
    <w:rsid w:val="00F56CF6"/>
    <w:rsid w:val="00F5707E"/>
    <w:rsid w:val="00F57C5B"/>
    <w:rsid w:val="00F60311"/>
    <w:rsid w:val="00F61A85"/>
    <w:rsid w:val="00F62700"/>
    <w:rsid w:val="00F62B72"/>
    <w:rsid w:val="00F62E9F"/>
    <w:rsid w:val="00F63F6D"/>
    <w:rsid w:val="00F64F72"/>
    <w:rsid w:val="00F664D4"/>
    <w:rsid w:val="00F66BDD"/>
    <w:rsid w:val="00F66F9B"/>
    <w:rsid w:val="00F67F00"/>
    <w:rsid w:val="00F71863"/>
    <w:rsid w:val="00F73071"/>
    <w:rsid w:val="00F730AE"/>
    <w:rsid w:val="00F7323D"/>
    <w:rsid w:val="00F737CF"/>
    <w:rsid w:val="00F73A1D"/>
    <w:rsid w:val="00F7478A"/>
    <w:rsid w:val="00F7631A"/>
    <w:rsid w:val="00F76898"/>
    <w:rsid w:val="00F769C2"/>
    <w:rsid w:val="00F77FF0"/>
    <w:rsid w:val="00F8118B"/>
    <w:rsid w:val="00F828A4"/>
    <w:rsid w:val="00F82E93"/>
    <w:rsid w:val="00F86F44"/>
    <w:rsid w:val="00F87613"/>
    <w:rsid w:val="00F927D0"/>
    <w:rsid w:val="00F92819"/>
    <w:rsid w:val="00F93F43"/>
    <w:rsid w:val="00F94AD1"/>
    <w:rsid w:val="00F94B63"/>
    <w:rsid w:val="00F95631"/>
    <w:rsid w:val="00F96079"/>
    <w:rsid w:val="00F96506"/>
    <w:rsid w:val="00FA23D3"/>
    <w:rsid w:val="00FA2CF8"/>
    <w:rsid w:val="00FA3384"/>
    <w:rsid w:val="00FA3DBC"/>
    <w:rsid w:val="00FA6407"/>
    <w:rsid w:val="00FA6AEB"/>
    <w:rsid w:val="00FB0508"/>
    <w:rsid w:val="00FB062B"/>
    <w:rsid w:val="00FB0962"/>
    <w:rsid w:val="00FB0D4F"/>
    <w:rsid w:val="00FB3211"/>
    <w:rsid w:val="00FB338F"/>
    <w:rsid w:val="00FB3BBB"/>
    <w:rsid w:val="00FB421A"/>
    <w:rsid w:val="00FB6246"/>
    <w:rsid w:val="00FB64C6"/>
    <w:rsid w:val="00FB76E5"/>
    <w:rsid w:val="00FB7B4F"/>
    <w:rsid w:val="00FB7FE6"/>
    <w:rsid w:val="00FC06B0"/>
    <w:rsid w:val="00FC07A4"/>
    <w:rsid w:val="00FC0F9F"/>
    <w:rsid w:val="00FC10EF"/>
    <w:rsid w:val="00FC1D42"/>
    <w:rsid w:val="00FC2496"/>
    <w:rsid w:val="00FC31B1"/>
    <w:rsid w:val="00FC39BD"/>
    <w:rsid w:val="00FC4912"/>
    <w:rsid w:val="00FC7014"/>
    <w:rsid w:val="00FD06A2"/>
    <w:rsid w:val="00FD07EF"/>
    <w:rsid w:val="00FD22FD"/>
    <w:rsid w:val="00FD2C25"/>
    <w:rsid w:val="00FD3E48"/>
    <w:rsid w:val="00FD47EC"/>
    <w:rsid w:val="00FD54E9"/>
    <w:rsid w:val="00FD65D6"/>
    <w:rsid w:val="00FD6B61"/>
    <w:rsid w:val="00FD6E6B"/>
    <w:rsid w:val="00FD6FE4"/>
    <w:rsid w:val="00FD7C5E"/>
    <w:rsid w:val="00FE0FBF"/>
    <w:rsid w:val="00FE1D8A"/>
    <w:rsid w:val="00FE2EEA"/>
    <w:rsid w:val="00FF0507"/>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24"/>
    <w:pPr>
      <w:keepNext/>
      <w:autoSpaceDE w:val="0"/>
      <w:autoSpaceDN w:val="0"/>
      <w:adjustRightInd w:val="0"/>
      <w:spacing w:before="240" w:after="120" w:line="276" w:lineRule="auto"/>
    </w:pPr>
    <w:rPr>
      <w:rFonts w:ascii="Arial" w:hAnsi="Arial" w:cs="Arial"/>
      <w:sz w:val="24"/>
      <w:szCs w:val="24"/>
      <w:lang w:eastAsia="en-US"/>
    </w:rPr>
  </w:style>
  <w:style w:type="paragraph" w:styleId="Heading1">
    <w:name w:val="heading 1"/>
    <w:aliases w:val="'Part' Heading"/>
    <w:basedOn w:val="Normal"/>
    <w:next w:val="Normal"/>
    <w:link w:val="Heading1Char"/>
    <w:uiPriority w:val="9"/>
    <w:qFormat/>
    <w:rsid w:val="00501993"/>
    <w:pP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spacing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outlineLvl w:val="3"/>
    </w:pPr>
    <w:rPr>
      <w:b/>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EA206E"/>
    <w:pPr>
      <w:outlineLvl w:val="5"/>
    </w:pPr>
    <w:rPr>
      <w:u w:val="single"/>
      <w:lang w:eastAsia="en-AU"/>
    </w:rPr>
  </w:style>
  <w:style w:type="paragraph" w:styleId="Heading7">
    <w:name w:val="heading 7"/>
    <w:basedOn w:val="Normal"/>
    <w:next w:val="Normal"/>
    <w:link w:val="Heading7Char"/>
    <w:uiPriority w:val="9"/>
    <w:unhideWhenUsed/>
    <w:qFormat/>
    <w:rsid w:val="003C50AF"/>
    <w:pPr>
      <w:keepNext w:val="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61611"/>
    <w:rPr>
      <w:sz w:val="16"/>
      <w:szCs w:val="16"/>
    </w:rPr>
  </w:style>
  <w:style w:type="paragraph" w:styleId="CommentText">
    <w:name w:val="annotation text"/>
    <w:basedOn w:val="Normal"/>
    <w:link w:val="CommentTextChar"/>
    <w:unhideWhenUsed/>
    <w:rsid w:val="00B61611"/>
    <w:rPr>
      <w:sz w:val="20"/>
      <w:szCs w:val="20"/>
    </w:rPr>
  </w:style>
  <w:style w:type="character" w:customStyle="1" w:styleId="CommentTextChar">
    <w:name w:val="Comment Text Char"/>
    <w:basedOn w:val="DefaultParagraphFont"/>
    <w:link w:val="CommentText"/>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1C3424"/>
    <w:rPr>
      <w:rFonts w:ascii="Arial" w:hAnsi="Arial" w:cs="Arial"/>
      <w:sz w:val="24"/>
      <w:szCs w:val="24"/>
      <w:lang w:eastAsia="en-US"/>
    </w:rPr>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1C3424"/>
    <w:pPr>
      <w:numPr>
        <w:ilvl w:val="1"/>
        <w:numId w:val="1"/>
      </w:numPr>
    </w:p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rPr>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customStyle="1" w:styleId="N-9pt">
    <w:name w:val="N-9pt"/>
    <w:basedOn w:val="Normal"/>
    <w:next w:val="Normal"/>
    <w:uiPriority w:val="99"/>
    <w:rsid w:val="00825FC8"/>
    <w:pPr>
      <w:tabs>
        <w:tab w:val="right" w:pos="7707"/>
      </w:tabs>
      <w:autoSpaceDE/>
      <w:autoSpaceDN/>
      <w:adjustRightInd/>
      <w:spacing w:before="120" w:after="20" w:line="240" w:lineRule="auto"/>
      <w:jc w:val="both"/>
    </w:pPr>
    <w:rPr>
      <w:rFonts w:eastAsia="Times New Roman"/>
      <w:iCs/>
      <w:sz w:val="18"/>
      <w:szCs w:val="20"/>
    </w:rPr>
  </w:style>
  <w:style w:type="paragraph" w:customStyle="1" w:styleId="Amain">
    <w:name w:val="A main"/>
    <w:basedOn w:val="Normal"/>
    <w:uiPriority w:val="99"/>
    <w:rsid w:val="00825FC8"/>
    <w:pPr>
      <w:keepNext w:val="0"/>
      <w:numPr>
        <w:ilvl w:val="5"/>
        <w:numId w:val="3"/>
      </w:numPr>
      <w:autoSpaceDE/>
      <w:autoSpaceDN/>
      <w:adjustRightInd/>
      <w:spacing w:before="140" w:after="0" w:line="240" w:lineRule="auto"/>
      <w:jc w:val="both"/>
      <w:outlineLvl w:val="5"/>
    </w:pPr>
    <w:rPr>
      <w:rFonts w:ascii="Times New Roman" w:eastAsia="Times New Roman" w:hAnsi="Times New Roman"/>
      <w:iCs/>
      <w:szCs w:val="20"/>
    </w:rPr>
  </w:style>
  <w:style w:type="paragraph" w:customStyle="1" w:styleId="AH5Sec">
    <w:name w:val="A H5 Sec"/>
    <w:basedOn w:val="Normal"/>
    <w:next w:val="Amain"/>
    <w:rsid w:val="00825FC8"/>
    <w:pPr>
      <w:numPr>
        <w:ilvl w:val="4"/>
        <w:numId w:val="3"/>
      </w:numPr>
      <w:autoSpaceDE/>
      <w:autoSpaceDN/>
      <w:adjustRightInd/>
      <w:spacing w:after="0" w:line="240" w:lineRule="auto"/>
      <w:outlineLvl w:val="4"/>
    </w:pPr>
    <w:rPr>
      <w:rFonts w:eastAsia="Times New Roman"/>
      <w:b/>
      <w:iCs/>
      <w:szCs w:val="20"/>
    </w:rPr>
  </w:style>
  <w:style w:type="character" w:customStyle="1" w:styleId="Heading6Char">
    <w:name w:val="Heading 6 Char"/>
    <w:basedOn w:val="DefaultParagraphFont"/>
    <w:link w:val="Heading6"/>
    <w:uiPriority w:val="9"/>
    <w:rsid w:val="00EA206E"/>
    <w:rPr>
      <w:rFonts w:ascii="Arial" w:hAnsi="Arial" w:cs="Arial"/>
      <w:sz w:val="24"/>
      <w:szCs w:val="24"/>
      <w:u w:val="single"/>
    </w:rPr>
  </w:style>
  <w:style w:type="character" w:customStyle="1" w:styleId="Heading7Char">
    <w:name w:val="Heading 7 Char"/>
    <w:basedOn w:val="DefaultParagraphFont"/>
    <w:link w:val="Heading7"/>
    <w:uiPriority w:val="9"/>
    <w:rsid w:val="003C50AF"/>
    <w:rPr>
      <w:rFonts w:ascii="Arial" w:hAnsi="Arial" w:cs="Arial"/>
      <w:i/>
      <w:sz w:val="24"/>
      <w:szCs w:val="24"/>
      <w:lang w:eastAsia="en-US"/>
    </w:rPr>
  </w:style>
  <w:style w:type="paragraph" w:customStyle="1" w:styleId="acthead5">
    <w:name w:val="acthead5"/>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character" w:customStyle="1" w:styleId="charsectno">
    <w:name w:val="charsectno"/>
    <w:basedOn w:val="DefaultParagraphFont"/>
    <w:rsid w:val="00F374ED"/>
  </w:style>
  <w:style w:type="paragraph" w:customStyle="1" w:styleId="subsection">
    <w:name w:val="subsection"/>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sub">
    <w:name w:val="paragraphsub"/>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 w:type="paragraph" w:customStyle="1" w:styleId="penalty">
    <w:name w:val="penalty"/>
    <w:basedOn w:val="Normal"/>
    <w:rsid w:val="00F374ED"/>
    <w:pPr>
      <w:keepNext w:val="0"/>
      <w:autoSpaceDE/>
      <w:autoSpaceDN/>
      <w:adjustRightInd/>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309382">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53582306">
      <w:bodyDiv w:val="1"/>
      <w:marLeft w:val="0"/>
      <w:marRight w:val="0"/>
      <w:marTop w:val="0"/>
      <w:marBottom w:val="0"/>
      <w:divBdr>
        <w:top w:val="none" w:sz="0" w:space="0" w:color="auto"/>
        <w:left w:val="none" w:sz="0" w:space="0" w:color="auto"/>
        <w:bottom w:val="none" w:sz="0" w:space="0" w:color="auto"/>
        <w:right w:val="none" w:sz="0" w:space="0" w:color="auto"/>
      </w:divBdr>
    </w:div>
    <w:div w:id="105928415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67202067">
      <w:bodyDiv w:val="1"/>
      <w:marLeft w:val="0"/>
      <w:marRight w:val="0"/>
      <w:marTop w:val="0"/>
      <w:marBottom w:val="0"/>
      <w:divBdr>
        <w:top w:val="none" w:sz="0" w:space="0" w:color="auto"/>
        <w:left w:val="none" w:sz="0" w:space="0" w:color="auto"/>
        <w:bottom w:val="none" w:sz="0" w:space="0" w:color="auto"/>
        <w:right w:val="none" w:sz="0" w:space="0" w:color="auto"/>
      </w:divBdr>
    </w:div>
    <w:div w:id="21458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61E25"/>
    <w:rsid w:val="00082794"/>
    <w:rsid w:val="00096EF3"/>
    <w:rsid w:val="00097B9E"/>
    <w:rsid w:val="000A5AF0"/>
    <w:rsid w:val="00116A07"/>
    <w:rsid w:val="00157911"/>
    <w:rsid w:val="00190337"/>
    <w:rsid w:val="001A0973"/>
    <w:rsid w:val="001E3093"/>
    <w:rsid w:val="001E64FF"/>
    <w:rsid w:val="00284E98"/>
    <w:rsid w:val="002D7F19"/>
    <w:rsid w:val="002E6453"/>
    <w:rsid w:val="002F59F6"/>
    <w:rsid w:val="00343588"/>
    <w:rsid w:val="003468A4"/>
    <w:rsid w:val="00353DAD"/>
    <w:rsid w:val="00361173"/>
    <w:rsid w:val="003726AA"/>
    <w:rsid w:val="00375D42"/>
    <w:rsid w:val="00390AB4"/>
    <w:rsid w:val="004044F3"/>
    <w:rsid w:val="00412E15"/>
    <w:rsid w:val="00457548"/>
    <w:rsid w:val="00511C9F"/>
    <w:rsid w:val="00555E87"/>
    <w:rsid w:val="005A21F6"/>
    <w:rsid w:val="005B7AAA"/>
    <w:rsid w:val="005D5027"/>
    <w:rsid w:val="005D5330"/>
    <w:rsid w:val="00625540"/>
    <w:rsid w:val="00693D0E"/>
    <w:rsid w:val="006D0BDB"/>
    <w:rsid w:val="00700FD6"/>
    <w:rsid w:val="00772D2C"/>
    <w:rsid w:val="00777B37"/>
    <w:rsid w:val="007F512F"/>
    <w:rsid w:val="00807938"/>
    <w:rsid w:val="00897E4C"/>
    <w:rsid w:val="008C2128"/>
    <w:rsid w:val="009525B9"/>
    <w:rsid w:val="00956E7B"/>
    <w:rsid w:val="00991E3E"/>
    <w:rsid w:val="009B1ABD"/>
    <w:rsid w:val="00A04F29"/>
    <w:rsid w:val="00A22BDD"/>
    <w:rsid w:val="00A75D34"/>
    <w:rsid w:val="00A925D0"/>
    <w:rsid w:val="00AA379E"/>
    <w:rsid w:val="00AD5D04"/>
    <w:rsid w:val="00B10D61"/>
    <w:rsid w:val="00B159E0"/>
    <w:rsid w:val="00B2288D"/>
    <w:rsid w:val="00B76844"/>
    <w:rsid w:val="00B967BB"/>
    <w:rsid w:val="00BD69FC"/>
    <w:rsid w:val="00BD73BB"/>
    <w:rsid w:val="00BF0249"/>
    <w:rsid w:val="00C42A3C"/>
    <w:rsid w:val="00CB5516"/>
    <w:rsid w:val="00D268D3"/>
    <w:rsid w:val="00D54C7F"/>
    <w:rsid w:val="00D86825"/>
    <w:rsid w:val="00DB39EE"/>
    <w:rsid w:val="00EA3E02"/>
    <w:rsid w:val="00EC5CA7"/>
    <w:rsid w:val="00EF70B5"/>
    <w:rsid w:val="00F572BB"/>
    <w:rsid w:val="00FC0A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4.xml><?xml version="1.0" encoding="utf-8"?>
<ds:datastoreItem xmlns:ds="http://schemas.openxmlformats.org/officeDocument/2006/customXml" ds:itemID="{EBD33A2F-2F21-42E2-9EAF-10142248E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8588</Words>
  <Characters>44986</Characters>
  <Application>Microsoft Office Word</Application>
  <DocSecurity>0</DocSecurity>
  <Lines>853</Lines>
  <Paragraphs>326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53446</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4</cp:revision>
  <cp:lastPrinted>2021-08-03T05:01:00Z</cp:lastPrinted>
  <dcterms:created xsi:type="dcterms:W3CDTF">2021-08-04T02:15:00Z</dcterms:created>
  <dcterms:modified xsi:type="dcterms:W3CDTF">2021-08-04T02:15:00Z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