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5FE4FC" w14:textId="77777777" w:rsidR="00CE35BB" w:rsidRDefault="00CE35BB">
      <w:pPr>
        <w:pStyle w:val="Header"/>
        <w:tabs>
          <w:tab w:val="clear" w:pos="4153"/>
          <w:tab w:val="clear" w:pos="8306"/>
        </w:tabs>
      </w:pPr>
    </w:p>
    <w:p w14:paraId="44E07C07" w14:textId="77777777" w:rsidR="00CE35BB" w:rsidRDefault="00CE35BB"/>
    <w:p w14:paraId="7302E245" w14:textId="77777777" w:rsidR="00CE35BB" w:rsidRDefault="00CE35BB">
      <w:pPr>
        <w:spacing w:before="120"/>
        <w:rPr>
          <w:rFonts w:ascii="Arial" w:hAnsi="Arial" w:cs="Arial"/>
        </w:rPr>
      </w:pPr>
      <w:bookmarkStart w:id="0" w:name="_Toc44738651"/>
      <w:smartTag w:uri="urn:schemas-microsoft-com:office:smarttags" w:element="place">
        <w:smartTag w:uri="urn:schemas-microsoft-com:office:smarttags" w:element="State">
          <w:r>
            <w:rPr>
              <w:rFonts w:ascii="Arial" w:hAnsi="Arial" w:cs="Arial"/>
            </w:rPr>
            <w:t>Australian Capital Territory</w:t>
          </w:r>
        </w:smartTag>
      </w:smartTag>
    </w:p>
    <w:p w14:paraId="50AF6714" w14:textId="2072C05F" w:rsidR="00CE35BB" w:rsidRDefault="00CE35BB" w:rsidP="00860C8A">
      <w:pPr>
        <w:pStyle w:val="Billname"/>
        <w:spacing w:before="700" w:after="0"/>
      </w:pPr>
      <w:r>
        <w:t>Gaming Machine (Fees)</w:t>
      </w:r>
      <w:r w:rsidR="00962E3B">
        <w:t xml:space="preserve"> </w:t>
      </w:r>
      <w:r w:rsidRPr="00854772">
        <w:t xml:space="preserve">Determination </w:t>
      </w:r>
      <w:r w:rsidR="00AD4B74">
        <w:t>20</w:t>
      </w:r>
      <w:r w:rsidR="00401F0F">
        <w:t>2</w:t>
      </w:r>
      <w:r w:rsidR="00E84F74">
        <w:t>1</w:t>
      </w:r>
      <w:r w:rsidR="003304E1">
        <w:t xml:space="preserve"> </w:t>
      </w:r>
    </w:p>
    <w:p w14:paraId="74124766" w14:textId="285E3D7C" w:rsidR="00CE35BB" w:rsidRDefault="00CE35BB" w:rsidP="006B21F4">
      <w:pPr>
        <w:spacing w:before="240" w:after="60"/>
        <w:jc w:val="both"/>
        <w:rPr>
          <w:rFonts w:ascii="Arial" w:hAnsi="Arial" w:cs="Arial"/>
          <w:b/>
          <w:bCs/>
          <w:vertAlign w:val="superscript"/>
        </w:rPr>
      </w:pPr>
      <w:r>
        <w:rPr>
          <w:rFonts w:ascii="Arial" w:hAnsi="Arial" w:cs="Arial"/>
          <w:b/>
          <w:bCs/>
        </w:rPr>
        <w:t xml:space="preserve">Disallowable Instrument </w:t>
      </w:r>
      <w:r w:rsidRPr="007164DD">
        <w:rPr>
          <w:rFonts w:ascii="Arial" w:hAnsi="Arial" w:cs="Arial"/>
          <w:b/>
          <w:bCs/>
        </w:rPr>
        <w:t>DI</w:t>
      </w:r>
      <w:r w:rsidR="00A160C5">
        <w:rPr>
          <w:rFonts w:ascii="Arial" w:hAnsi="Arial" w:cs="Arial"/>
          <w:b/>
          <w:bCs/>
        </w:rPr>
        <w:t>20</w:t>
      </w:r>
      <w:r w:rsidR="00401F0F">
        <w:rPr>
          <w:rFonts w:ascii="Arial" w:hAnsi="Arial" w:cs="Arial"/>
          <w:b/>
          <w:bCs/>
        </w:rPr>
        <w:t>2</w:t>
      </w:r>
      <w:r w:rsidR="00E84F74">
        <w:rPr>
          <w:rFonts w:ascii="Arial" w:hAnsi="Arial" w:cs="Arial"/>
          <w:b/>
          <w:bCs/>
        </w:rPr>
        <w:t>1</w:t>
      </w:r>
      <w:r w:rsidR="00806044" w:rsidRPr="00B82319">
        <w:rPr>
          <w:rFonts w:ascii="Arial" w:hAnsi="Arial" w:cs="Arial"/>
          <w:b/>
          <w:bCs/>
        </w:rPr>
        <w:t>–</w:t>
      </w:r>
      <w:r w:rsidR="00B82319" w:rsidRPr="00B82319">
        <w:rPr>
          <w:rFonts w:ascii="Arial" w:hAnsi="Arial" w:cs="Arial"/>
          <w:b/>
          <w:bCs/>
        </w:rPr>
        <w:t>151</w:t>
      </w:r>
    </w:p>
    <w:p w14:paraId="7C4A0BC9" w14:textId="77777777" w:rsidR="00CE35BB" w:rsidRDefault="00CE35BB" w:rsidP="006B21F4">
      <w:pPr>
        <w:pStyle w:val="madeunder"/>
        <w:spacing w:before="240" w:after="120"/>
      </w:pPr>
      <w:r>
        <w:t xml:space="preserve">made under the  </w:t>
      </w:r>
    </w:p>
    <w:p w14:paraId="3FB3286A" w14:textId="77777777" w:rsidR="00CE35BB" w:rsidRPr="00D86025" w:rsidRDefault="00CE35BB" w:rsidP="006B21F4">
      <w:pPr>
        <w:pStyle w:val="CoverActName"/>
      </w:pPr>
      <w:r w:rsidRPr="00D86025">
        <w:rPr>
          <w:sz w:val="20"/>
          <w:szCs w:val="20"/>
        </w:rPr>
        <w:t>Gaming Machine Act 2004,</w:t>
      </w:r>
      <w:r w:rsidR="001B275B" w:rsidRPr="00D86025">
        <w:rPr>
          <w:sz w:val="20"/>
          <w:szCs w:val="20"/>
        </w:rPr>
        <w:t xml:space="preserve"> section 177 (Determination of f</w:t>
      </w:r>
      <w:r w:rsidRPr="00D86025">
        <w:rPr>
          <w:sz w:val="20"/>
          <w:szCs w:val="20"/>
        </w:rPr>
        <w:t>ees)</w:t>
      </w:r>
    </w:p>
    <w:p w14:paraId="572230DD" w14:textId="77777777" w:rsidR="00CE35BB" w:rsidRDefault="00CE35BB" w:rsidP="006B21F4">
      <w:pPr>
        <w:pStyle w:val="N-line3"/>
        <w:pBdr>
          <w:bottom w:val="none" w:sz="0" w:space="0" w:color="auto"/>
        </w:pBdr>
      </w:pPr>
    </w:p>
    <w:p w14:paraId="55B97DA1" w14:textId="77777777" w:rsidR="00CE35BB" w:rsidRDefault="00CE35BB" w:rsidP="006B21F4">
      <w:pPr>
        <w:jc w:val="both"/>
      </w:pPr>
    </w:p>
    <w:p w14:paraId="4815602E" w14:textId="77777777" w:rsidR="00CE35BB" w:rsidRDefault="00CE35BB" w:rsidP="006B21F4">
      <w:pPr>
        <w:pStyle w:val="Heading3"/>
        <w:jc w:val="both"/>
      </w:pPr>
      <w:r>
        <w:t>EXPLANATORY STATEMENT</w:t>
      </w:r>
    </w:p>
    <w:p w14:paraId="7717A49E" w14:textId="77777777" w:rsidR="00CE35BB" w:rsidRDefault="00CE35BB" w:rsidP="006B21F4">
      <w:pPr>
        <w:jc w:val="both"/>
      </w:pPr>
    </w:p>
    <w:p w14:paraId="61132E6B" w14:textId="77777777" w:rsidR="00CE35BB" w:rsidRDefault="00CE35BB" w:rsidP="006B21F4">
      <w:pPr>
        <w:pStyle w:val="N-line3"/>
        <w:pBdr>
          <w:top w:val="single" w:sz="12" w:space="1" w:color="auto"/>
          <w:bottom w:val="none" w:sz="0" w:space="0" w:color="auto"/>
        </w:pBdr>
      </w:pPr>
    </w:p>
    <w:p w14:paraId="37E8A3CD" w14:textId="77777777" w:rsidR="00246E0C" w:rsidRDefault="00246E0C" w:rsidP="00246E0C">
      <w:pPr>
        <w:jc w:val="both"/>
      </w:pPr>
      <w:r>
        <w:t xml:space="preserve">The </w:t>
      </w:r>
      <w:r>
        <w:rPr>
          <w:i/>
          <w:iCs/>
        </w:rPr>
        <w:t xml:space="preserve">Gaming Machine Act 2004 </w:t>
      </w:r>
      <w:r>
        <w:t>(the Act)</w:t>
      </w:r>
      <w:r>
        <w:rPr>
          <w:i/>
          <w:iCs/>
        </w:rPr>
        <w:t xml:space="preserve"> </w:t>
      </w:r>
      <w:r>
        <w:t>regulates the operation of gaming machines in the Territory.</w:t>
      </w:r>
    </w:p>
    <w:p w14:paraId="72E0BCA5" w14:textId="77777777" w:rsidR="00246E0C" w:rsidRDefault="00246E0C" w:rsidP="00246E0C">
      <w:pPr>
        <w:jc w:val="both"/>
      </w:pPr>
    </w:p>
    <w:p w14:paraId="32B20997" w14:textId="16EF493F" w:rsidR="00246E0C" w:rsidRPr="007231A3" w:rsidRDefault="00246E0C" w:rsidP="00246E0C">
      <w:pPr>
        <w:jc w:val="both"/>
      </w:pPr>
      <w:r>
        <w:t xml:space="preserve">This instrument revokes the </w:t>
      </w:r>
      <w:r w:rsidR="00B935CF">
        <w:t xml:space="preserve">previous </w:t>
      </w:r>
      <w:r>
        <w:t xml:space="preserve">determination of fees made by Disallowable Instrument </w:t>
      </w:r>
      <w:r w:rsidRPr="007231A3">
        <w:t>DI</w:t>
      </w:r>
      <w:r w:rsidR="00AD4B74">
        <w:t>20</w:t>
      </w:r>
      <w:r w:rsidR="00E84F74">
        <w:t>20</w:t>
      </w:r>
      <w:r w:rsidR="00AD4B74">
        <w:t>-</w:t>
      </w:r>
      <w:r w:rsidR="00E84F74">
        <w:t>129</w:t>
      </w:r>
      <w:r w:rsidR="00E74CF9">
        <w:t>.</w:t>
      </w:r>
    </w:p>
    <w:p w14:paraId="7326C53D" w14:textId="77777777" w:rsidR="00246E0C" w:rsidRDefault="00246E0C" w:rsidP="00246E0C">
      <w:pPr>
        <w:jc w:val="both"/>
      </w:pPr>
    </w:p>
    <w:p w14:paraId="316997C4" w14:textId="3330CC29" w:rsidR="00246E0C" w:rsidRDefault="00246E0C" w:rsidP="00246E0C">
      <w:pPr>
        <w:jc w:val="both"/>
      </w:pPr>
      <w:r>
        <w:t>Section 177 of the Act provides that the Minister may determine fees for the Act. This instrument provides for fees in relation to administrative tasks performed under the Act, including applications and notifications for approvals, licences, authorisation certificates, storage permits, permits for linked jackpot arrangements and amendments to those licences, certificates, schedules and permits issued by the ACT Gambling and Racing Commission.</w:t>
      </w:r>
    </w:p>
    <w:p w14:paraId="7215157C" w14:textId="2DE63906" w:rsidR="005D750F" w:rsidRDefault="005D750F" w:rsidP="00246E0C">
      <w:pPr>
        <w:jc w:val="both"/>
      </w:pPr>
    </w:p>
    <w:p w14:paraId="74266222" w14:textId="42B37660" w:rsidR="005D750F" w:rsidRDefault="005D750F" w:rsidP="00246E0C">
      <w:pPr>
        <w:jc w:val="both"/>
      </w:pPr>
      <w:r>
        <w:t>DI2020-129 included fees that were listed as ‘Nil’ where the matter for which the fee was payable was undertaken as a result of the surrender of a gaming machine authorisation to receive an incentive payment under the ACT Government’s COVID-19 Economic Survival Package (ESP). This arrangement was put in place to support community clubs and Casino Canberra in the early days of the COVID-19 pandemic. This arrangement has now concluded.</w:t>
      </w:r>
    </w:p>
    <w:p w14:paraId="6B90F635" w14:textId="314B3296" w:rsidR="00B76924" w:rsidRDefault="00B76924" w:rsidP="00B76924">
      <w:pPr>
        <w:jc w:val="both"/>
      </w:pPr>
    </w:p>
    <w:p w14:paraId="3C1ECBC2" w14:textId="38787AFC" w:rsidR="00E3769F" w:rsidRPr="00E3769F" w:rsidRDefault="00E3769F" w:rsidP="00E3769F">
      <w:pPr>
        <w:jc w:val="both"/>
        <w:rPr>
          <w:szCs w:val="20"/>
        </w:rPr>
      </w:pPr>
      <w:r w:rsidRPr="00E3769F">
        <w:rPr>
          <w:szCs w:val="20"/>
        </w:rPr>
        <w:t xml:space="preserve">The new determination sets the fees that will apply </w:t>
      </w:r>
      <w:r w:rsidR="00C97003">
        <w:rPr>
          <w:szCs w:val="20"/>
        </w:rPr>
        <w:t>beginning on</w:t>
      </w:r>
      <w:r w:rsidRPr="00E3769F">
        <w:rPr>
          <w:szCs w:val="20"/>
        </w:rPr>
        <w:t xml:space="preserve"> 1 July 2021 and repeals the </w:t>
      </w:r>
      <w:r w:rsidRPr="00A362A3">
        <w:rPr>
          <w:i/>
          <w:iCs/>
        </w:rPr>
        <w:t>Gaming Machine</w:t>
      </w:r>
      <w:r w:rsidRPr="00A362A3">
        <w:rPr>
          <w:i/>
          <w:iCs/>
          <w:szCs w:val="20"/>
        </w:rPr>
        <w:t xml:space="preserve"> (Fees) Determination 2020</w:t>
      </w:r>
      <w:r w:rsidRPr="00E3769F">
        <w:rPr>
          <w:szCs w:val="20"/>
        </w:rPr>
        <w:t xml:space="preserve"> DI2020-1</w:t>
      </w:r>
      <w:r>
        <w:rPr>
          <w:szCs w:val="20"/>
        </w:rPr>
        <w:t>29</w:t>
      </w:r>
      <w:r w:rsidRPr="00E3769F">
        <w:rPr>
          <w:szCs w:val="20"/>
        </w:rPr>
        <w:t xml:space="preserve">. It provides for fee increases in line with annual adjustments to the Wages Price Index (WPI) of 1.75%, rounded down to the nearest dollar for most fees, with the exception of fees that have been consecutively rounded down in previous years by more than $1.00 in which case have been rounded up to the nearest dollar. This approach also aligns with the 2021 Treasury Guidelines for Fees and Charges. </w:t>
      </w:r>
    </w:p>
    <w:p w14:paraId="5F6C2D5F" w14:textId="30BFAB96" w:rsidR="00C47792" w:rsidRPr="001A566D" w:rsidRDefault="00C47792" w:rsidP="00B935CF">
      <w:pPr>
        <w:jc w:val="both"/>
      </w:pPr>
    </w:p>
    <w:p w14:paraId="07D4B456" w14:textId="77777777" w:rsidR="00AD2980" w:rsidRDefault="00AD2980" w:rsidP="00AD2980">
      <w:pPr>
        <w:jc w:val="both"/>
      </w:pPr>
      <w:r>
        <w:t>A determination under section 177 is a disallowable instrument and must be tabled in the Legislative Assembly.</w:t>
      </w:r>
    </w:p>
    <w:p w14:paraId="38926EBC" w14:textId="77777777" w:rsidR="00246E0C" w:rsidRDefault="00246E0C" w:rsidP="006B21F4">
      <w:pPr>
        <w:jc w:val="both"/>
      </w:pPr>
    </w:p>
    <w:p w14:paraId="4CA69FE9" w14:textId="48D9258B" w:rsidR="005D750F" w:rsidRPr="005D750F" w:rsidRDefault="005D750F" w:rsidP="005D750F">
      <w:pPr>
        <w:jc w:val="both"/>
        <w:rPr>
          <w:b/>
          <w:bCs/>
        </w:rPr>
      </w:pPr>
      <w:r w:rsidRPr="005D750F">
        <w:rPr>
          <w:b/>
          <w:bCs/>
        </w:rPr>
        <w:t>Regulatory Impact Statement (RIS)</w:t>
      </w:r>
    </w:p>
    <w:p w14:paraId="144C542B" w14:textId="77777777" w:rsidR="005D750F" w:rsidRDefault="005D750F" w:rsidP="005D750F">
      <w:pPr>
        <w:jc w:val="both"/>
      </w:pPr>
      <w:r>
        <w:t xml:space="preserve">A RIS is not required for this fee determination. Section 36(1)(k) of the </w:t>
      </w:r>
      <w:r w:rsidRPr="008E46D5">
        <w:rPr>
          <w:i/>
          <w:iCs/>
        </w:rPr>
        <w:t>Legislation Act 2001</w:t>
      </w:r>
      <w:r>
        <w:t xml:space="preserve"> provides that it is not necessary to provide a RIS for an amendment of a fee consistent with announced government policy. </w:t>
      </w:r>
    </w:p>
    <w:p w14:paraId="4D822182" w14:textId="2823E39D" w:rsidR="005D750F" w:rsidRDefault="005D750F" w:rsidP="005D750F">
      <w:pPr>
        <w:jc w:val="both"/>
        <w:rPr>
          <w:b/>
          <w:bCs/>
          <w:u w:val="single"/>
        </w:rPr>
      </w:pPr>
    </w:p>
    <w:p w14:paraId="03DFB3EA" w14:textId="77777777" w:rsidR="005D750F" w:rsidRPr="005D750F" w:rsidRDefault="005D750F" w:rsidP="005D750F">
      <w:pPr>
        <w:jc w:val="both"/>
        <w:rPr>
          <w:b/>
          <w:bCs/>
          <w:u w:val="single"/>
        </w:rPr>
      </w:pPr>
    </w:p>
    <w:p w14:paraId="37CE4D28" w14:textId="77777777" w:rsidR="005D750F" w:rsidRDefault="005D750F" w:rsidP="006B21F4">
      <w:pPr>
        <w:jc w:val="both"/>
      </w:pPr>
    </w:p>
    <w:p w14:paraId="4F0EE03B" w14:textId="77952306" w:rsidR="005D750F" w:rsidRDefault="005D750F" w:rsidP="005D750F">
      <w:pPr>
        <w:jc w:val="both"/>
        <w:rPr>
          <w:b/>
          <w:bCs/>
        </w:rPr>
      </w:pPr>
      <w:r>
        <w:rPr>
          <w:b/>
          <w:bCs/>
        </w:rPr>
        <w:t xml:space="preserve">Human Rights </w:t>
      </w:r>
    </w:p>
    <w:p w14:paraId="6E1B6594" w14:textId="057DC6F0" w:rsidR="006F7D35" w:rsidRDefault="005D750F" w:rsidP="00D319B0">
      <w:pPr>
        <w:jc w:val="both"/>
      </w:pPr>
      <w:r>
        <w:t xml:space="preserve">The terms of reference of the Standing Committee on Justice and Community Safety (Legislative Scrutiny Role) require consideration of the human rights impacts of bills and subordinate legislation, among other matters. </w:t>
      </w:r>
      <w:bookmarkEnd w:id="0"/>
      <w:r w:rsidR="003A255F">
        <w:t>There are no human rights impacts arising from the new determination.</w:t>
      </w:r>
    </w:p>
    <w:p w14:paraId="454597FD" w14:textId="7CDDA819" w:rsidR="00B82319" w:rsidRDefault="00B82319" w:rsidP="00D319B0">
      <w:pPr>
        <w:jc w:val="both"/>
      </w:pPr>
    </w:p>
    <w:p w14:paraId="5E86B959" w14:textId="71816551" w:rsidR="00B82319" w:rsidRDefault="00B82319" w:rsidP="00D319B0">
      <w:pPr>
        <w:jc w:val="both"/>
      </w:pPr>
    </w:p>
    <w:p w14:paraId="0C18DA67" w14:textId="307F4C34" w:rsidR="00B82319" w:rsidRDefault="00B82319" w:rsidP="00D319B0">
      <w:pPr>
        <w:jc w:val="both"/>
      </w:pPr>
    </w:p>
    <w:p w14:paraId="1E9B35DE" w14:textId="53D196BE" w:rsidR="00B82319" w:rsidRDefault="00B82319" w:rsidP="00D319B0">
      <w:pPr>
        <w:jc w:val="both"/>
      </w:pPr>
      <w:r>
        <w:t>25 June 2021</w:t>
      </w:r>
    </w:p>
    <w:sectPr w:rsidR="00B82319" w:rsidSect="004A2DC2">
      <w:headerReference w:type="even" r:id="rId7"/>
      <w:headerReference w:type="default" r:id="rId8"/>
      <w:footerReference w:type="even" r:id="rId9"/>
      <w:footerReference w:type="default" r:id="rId10"/>
      <w:headerReference w:type="first" r:id="rId11"/>
      <w:footerReference w:type="first" r:id="rId12"/>
      <w:pgSz w:w="11907" w:h="16840" w:code="9"/>
      <w:pgMar w:top="1197" w:right="1588" w:bottom="426" w:left="1588" w:header="720" w:footer="720" w:gutter="0"/>
      <w:paperSrc w:first="3" w:other="7"/>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01E69C" w14:textId="77777777" w:rsidR="00607516" w:rsidRDefault="00607516">
      <w:r>
        <w:separator/>
      </w:r>
    </w:p>
  </w:endnote>
  <w:endnote w:type="continuationSeparator" w:id="0">
    <w:p w14:paraId="1AA10AB6" w14:textId="77777777" w:rsidR="00607516" w:rsidRDefault="00607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B01C5A" w14:textId="77777777" w:rsidR="000F36F1" w:rsidRDefault="000F36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916BBA" w14:textId="04BABE12" w:rsidR="0045509E" w:rsidRPr="000F36F1" w:rsidRDefault="000F36F1" w:rsidP="000F36F1">
    <w:pPr>
      <w:pStyle w:val="Footer"/>
      <w:jc w:val="center"/>
      <w:rPr>
        <w:rFonts w:ascii="Arial" w:hAnsi="Arial" w:cs="Arial"/>
        <w:sz w:val="14"/>
        <w:szCs w:val="20"/>
      </w:rPr>
    </w:pPr>
    <w:r w:rsidRPr="000F36F1">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75CA9E" w14:textId="2EEAE75E" w:rsidR="000F36F1" w:rsidRPr="000F36F1" w:rsidRDefault="000F36F1" w:rsidP="000F36F1">
    <w:pPr>
      <w:pStyle w:val="Footer"/>
      <w:jc w:val="center"/>
      <w:rPr>
        <w:rFonts w:ascii="Arial" w:hAnsi="Arial" w:cs="Arial"/>
        <w:sz w:val="14"/>
      </w:rPr>
    </w:pPr>
    <w:r w:rsidRPr="000F36F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2453BC" w14:textId="77777777" w:rsidR="00607516" w:rsidRDefault="00607516">
      <w:r>
        <w:separator/>
      </w:r>
    </w:p>
  </w:footnote>
  <w:footnote w:type="continuationSeparator" w:id="0">
    <w:p w14:paraId="044E1B92" w14:textId="77777777" w:rsidR="00607516" w:rsidRDefault="006075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ADDF5" w14:textId="77777777" w:rsidR="004A2DC2" w:rsidRDefault="004A2DC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C1D63E" w14:textId="77777777" w:rsidR="004A2DC2" w:rsidRDefault="004A2DC2" w:rsidP="004A2DC2">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8B1DCE" w14:textId="77777777" w:rsidR="000F36F1" w:rsidRDefault="000F36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B2CD8" w14:textId="77777777" w:rsidR="000F36F1" w:rsidRDefault="000F36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B58AB"/>
    <w:multiLevelType w:val="hybridMultilevel"/>
    <w:tmpl w:val="FCE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C7075A"/>
    <w:multiLevelType w:val="hybridMultilevel"/>
    <w:tmpl w:val="403CA8CE"/>
    <w:lvl w:ilvl="0" w:tplc="FAAC2F56">
      <w:start w:val="3"/>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88D0927"/>
    <w:multiLevelType w:val="hybridMultilevel"/>
    <w:tmpl w:val="3E663EB4"/>
    <w:lvl w:ilvl="0" w:tplc="0D04CFCC">
      <w:start w:val="1"/>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8922D19"/>
    <w:multiLevelType w:val="hybridMultilevel"/>
    <w:tmpl w:val="01903F68"/>
    <w:lvl w:ilvl="0" w:tplc="FC26E184">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70B64E4"/>
    <w:multiLevelType w:val="multilevel"/>
    <w:tmpl w:val="921A7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8C52D09"/>
    <w:multiLevelType w:val="hybridMultilevel"/>
    <w:tmpl w:val="83885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5145732"/>
    <w:multiLevelType w:val="hybridMultilevel"/>
    <w:tmpl w:val="BE28BD58"/>
    <w:lvl w:ilvl="0" w:tplc="042686D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1080"/>
        </w:tabs>
        <w:ind w:left="1080" w:hanging="360"/>
      </w:pPr>
      <w:rPr>
        <w:rFonts w:ascii="Courier New" w:hAnsi="Courier New" w:hint="default"/>
      </w:rPr>
    </w:lvl>
    <w:lvl w:ilvl="5" w:tplc="04090005" w:tentative="1">
      <w:start w:val="1"/>
      <w:numFmt w:val="bullet"/>
      <w:lvlText w:val=""/>
      <w:lvlJc w:val="left"/>
      <w:pPr>
        <w:tabs>
          <w:tab w:val="num" w:pos="1800"/>
        </w:tabs>
        <w:ind w:left="1800" w:hanging="360"/>
      </w:pPr>
      <w:rPr>
        <w:rFonts w:ascii="Wingdings" w:hAnsi="Wingdings" w:hint="default"/>
      </w:rPr>
    </w:lvl>
    <w:lvl w:ilvl="6" w:tplc="04090001" w:tentative="1">
      <w:start w:val="1"/>
      <w:numFmt w:val="bullet"/>
      <w:lvlText w:val=""/>
      <w:lvlJc w:val="left"/>
      <w:pPr>
        <w:tabs>
          <w:tab w:val="num" w:pos="2520"/>
        </w:tabs>
        <w:ind w:left="2520" w:hanging="360"/>
      </w:pPr>
      <w:rPr>
        <w:rFonts w:ascii="Symbol" w:hAnsi="Symbol" w:hint="default"/>
      </w:rPr>
    </w:lvl>
    <w:lvl w:ilvl="7" w:tplc="04090003" w:tentative="1">
      <w:start w:val="1"/>
      <w:numFmt w:val="bullet"/>
      <w:lvlText w:val="o"/>
      <w:lvlJc w:val="left"/>
      <w:pPr>
        <w:tabs>
          <w:tab w:val="num" w:pos="3240"/>
        </w:tabs>
        <w:ind w:left="3240" w:hanging="360"/>
      </w:pPr>
      <w:rPr>
        <w:rFonts w:ascii="Courier New" w:hAnsi="Courier New" w:hint="default"/>
      </w:rPr>
    </w:lvl>
    <w:lvl w:ilvl="8" w:tplc="04090005" w:tentative="1">
      <w:start w:val="1"/>
      <w:numFmt w:val="bullet"/>
      <w:lvlText w:val=""/>
      <w:lvlJc w:val="left"/>
      <w:pPr>
        <w:tabs>
          <w:tab w:val="num" w:pos="3960"/>
        </w:tabs>
        <w:ind w:left="3960" w:hanging="360"/>
      </w:pPr>
      <w:rPr>
        <w:rFonts w:ascii="Wingdings" w:hAnsi="Wingdings" w:hint="default"/>
      </w:rPr>
    </w:lvl>
  </w:abstractNum>
  <w:abstractNum w:abstractNumId="8"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5E193B5D"/>
    <w:multiLevelType w:val="hybridMultilevel"/>
    <w:tmpl w:val="A4EA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1"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2"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8"/>
  </w:num>
  <w:num w:numId="2">
    <w:abstractNumId w:val="11"/>
  </w:num>
  <w:num w:numId="3">
    <w:abstractNumId w:val="12"/>
  </w:num>
  <w:num w:numId="4">
    <w:abstractNumId w:val="10"/>
  </w:num>
  <w:num w:numId="5">
    <w:abstractNumId w:val="3"/>
  </w:num>
  <w:num w:numId="6">
    <w:abstractNumId w:val="7"/>
  </w:num>
  <w:num w:numId="7">
    <w:abstractNumId w:val="2"/>
  </w:num>
  <w:num w:numId="8">
    <w:abstractNumId w:val="0"/>
  </w:num>
  <w:num w:numId="9">
    <w:abstractNumId w:val="1"/>
  </w:num>
  <w:num w:numId="10">
    <w:abstractNumId w:val="9"/>
  </w:num>
  <w:num w:numId="11">
    <w:abstractNumId w:val="4"/>
  </w:num>
  <w:num w:numId="12">
    <w:abstractNumId w:val="5"/>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2B"/>
    <w:rsid w:val="00003AE4"/>
    <w:rsid w:val="00012A90"/>
    <w:rsid w:val="00015A9C"/>
    <w:rsid w:val="00020854"/>
    <w:rsid w:val="00021C84"/>
    <w:rsid w:val="0002572B"/>
    <w:rsid w:val="00027139"/>
    <w:rsid w:val="000328C8"/>
    <w:rsid w:val="00063AF2"/>
    <w:rsid w:val="00081E9E"/>
    <w:rsid w:val="0009067E"/>
    <w:rsid w:val="00090BF7"/>
    <w:rsid w:val="00095BA5"/>
    <w:rsid w:val="000B41F1"/>
    <w:rsid w:val="000D52F3"/>
    <w:rsid w:val="000E4045"/>
    <w:rsid w:val="000E4CF2"/>
    <w:rsid w:val="000E6864"/>
    <w:rsid w:val="000F36F1"/>
    <w:rsid w:val="000F5748"/>
    <w:rsid w:val="000F7E31"/>
    <w:rsid w:val="00103089"/>
    <w:rsid w:val="00106260"/>
    <w:rsid w:val="00110FC0"/>
    <w:rsid w:val="001168E6"/>
    <w:rsid w:val="001267B3"/>
    <w:rsid w:val="00144984"/>
    <w:rsid w:val="001449C6"/>
    <w:rsid w:val="00174A59"/>
    <w:rsid w:val="0019182B"/>
    <w:rsid w:val="001955AE"/>
    <w:rsid w:val="0019751F"/>
    <w:rsid w:val="001A3F16"/>
    <w:rsid w:val="001A4183"/>
    <w:rsid w:val="001A566D"/>
    <w:rsid w:val="001A5C1B"/>
    <w:rsid w:val="001A7856"/>
    <w:rsid w:val="001B251D"/>
    <w:rsid w:val="001B275B"/>
    <w:rsid w:val="001C704B"/>
    <w:rsid w:val="001D6A27"/>
    <w:rsid w:val="001D6F55"/>
    <w:rsid w:val="001E77F4"/>
    <w:rsid w:val="001F3822"/>
    <w:rsid w:val="0020111E"/>
    <w:rsid w:val="00206F6D"/>
    <w:rsid w:val="00212423"/>
    <w:rsid w:val="00231F3D"/>
    <w:rsid w:val="00236585"/>
    <w:rsid w:val="0023727D"/>
    <w:rsid w:val="00240E3F"/>
    <w:rsid w:val="00246E0C"/>
    <w:rsid w:val="00247E7A"/>
    <w:rsid w:val="00254164"/>
    <w:rsid w:val="002615E3"/>
    <w:rsid w:val="002617EA"/>
    <w:rsid w:val="002620DE"/>
    <w:rsid w:val="00264F68"/>
    <w:rsid w:val="002661D3"/>
    <w:rsid w:val="00271938"/>
    <w:rsid w:val="00276E8D"/>
    <w:rsid w:val="002B2389"/>
    <w:rsid w:val="002B33D0"/>
    <w:rsid w:val="002B495F"/>
    <w:rsid w:val="002B566F"/>
    <w:rsid w:val="002B77C6"/>
    <w:rsid w:val="002D07EA"/>
    <w:rsid w:val="002D796F"/>
    <w:rsid w:val="002E463C"/>
    <w:rsid w:val="002F1F60"/>
    <w:rsid w:val="002F36E3"/>
    <w:rsid w:val="002F5E06"/>
    <w:rsid w:val="00301FE9"/>
    <w:rsid w:val="0032588A"/>
    <w:rsid w:val="003304E1"/>
    <w:rsid w:val="00336BB8"/>
    <w:rsid w:val="0034027A"/>
    <w:rsid w:val="00347A85"/>
    <w:rsid w:val="003547E4"/>
    <w:rsid w:val="0035756B"/>
    <w:rsid w:val="00357D95"/>
    <w:rsid w:val="00360EFB"/>
    <w:rsid w:val="00361A73"/>
    <w:rsid w:val="00365326"/>
    <w:rsid w:val="003778E2"/>
    <w:rsid w:val="0038117C"/>
    <w:rsid w:val="00391A74"/>
    <w:rsid w:val="00394812"/>
    <w:rsid w:val="003A255F"/>
    <w:rsid w:val="003A5901"/>
    <w:rsid w:val="003B629D"/>
    <w:rsid w:val="003C1E9B"/>
    <w:rsid w:val="003D6C5F"/>
    <w:rsid w:val="003D7176"/>
    <w:rsid w:val="003D763E"/>
    <w:rsid w:val="003E4F88"/>
    <w:rsid w:val="003E64F5"/>
    <w:rsid w:val="003F4874"/>
    <w:rsid w:val="00401F0F"/>
    <w:rsid w:val="00403F00"/>
    <w:rsid w:val="0041060A"/>
    <w:rsid w:val="00415D57"/>
    <w:rsid w:val="00422531"/>
    <w:rsid w:val="004270D5"/>
    <w:rsid w:val="00440DE3"/>
    <w:rsid w:val="004432F8"/>
    <w:rsid w:val="0044674C"/>
    <w:rsid w:val="00451EC8"/>
    <w:rsid w:val="0045473C"/>
    <w:rsid w:val="0045509E"/>
    <w:rsid w:val="00470E22"/>
    <w:rsid w:val="00474423"/>
    <w:rsid w:val="00475A48"/>
    <w:rsid w:val="004A0410"/>
    <w:rsid w:val="004A2DC2"/>
    <w:rsid w:val="004A488D"/>
    <w:rsid w:val="004A4FE6"/>
    <w:rsid w:val="004B454E"/>
    <w:rsid w:val="004C2192"/>
    <w:rsid w:val="004C4138"/>
    <w:rsid w:val="004D0EB1"/>
    <w:rsid w:val="004E76A4"/>
    <w:rsid w:val="004F217D"/>
    <w:rsid w:val="00502ECF"/>
    <w:rsid w:val="005110BE"/>
    <w:rsid w:val="0051546C"/>
    <w:rsid w:val="00520086"/>
    <w:rsid w:val="0052129F"/>
    <w:rsid w:val="00525744"/>
    <w:rsid w:val="0054400C"/>
    <w:rsid w:val="005467E0"/>
    <w:rsid w:val="00553699"/>
    <w:rsid w:val="005559EE"/>
    <w:rsid w:val="00556C73"/>
    <w:rsid w:val="00564C14"/>
    <w:rsid w:val="00567094"/>
    <w:rsid w:val="00567B01"/>
    <w:rsid w:val="005724D1"/>
    <w:rsid w:val="00572875"/>
    <w:rsid w:val="005775A9"/>
    <w:rsid w:val="0058044A"/>
    <w:rsid w:val="00587D42"/>
    <w:rsid w:val="005A45D5"/>
    <w:rsid w:val="005A4AA8"/>
    <w:rsid w:val="005A55BF"/>
    <w:rsid w:val="005B3BC0"/>
    <w:rsid w:val="005B4918"/>
    <w:rsid w:val="005B6A26"/>
    <w:rsid w:val="005C38D4"/>
    <w:rsid w:val="005C46FA"/>
    <w:rsid w:val="005D179F"/>
    <w:rsid w:val="005D750F"/>
    <w:rsid w:val="005D7AC6"/>
    <w:rsid w:val="005E1F6B"/>
    <w:rsid w:val="005E203B"/>
    <w:rsid w:val="005E68C0"/>
    <w:rsid w:val="005F13D5"/>
    <w:rsid w:val="00605C44"/>
    <w:rsid w:val="00607516"/>
    <w:rsid w:val="00613A75"/>
    <w:rsid w:val="006200D4"/>
    <w:rsid w:val="00621085"/>
    <w:rsid w:val="00630E06"/>
    <w:rsid w:val="00646E43"/>
    <w:rsid w:val="0065354E"/>
    <w:rsid w:val="006551EF"/>
    <w:rsid w:val="006619A0"/>
    <w:rsid w:val="00666786"/>
    <w:rsid w:val="006700DC"/>
    <w:rsid w:val="00681150"/>
    <w:rsid w:val="006866D9"/>
    <w:rsid w:val="0069477D"/>
    <w:rsid w:val="006A5EFA"/>
    <w:rsid w:val="006B21F4"/>
    <w:rsid w:val="006B3778"/>
    <w:rsid w:val="006B6270"/>
    <w:rsid w:val="006C28B5"/>
    <w:rsid w:val="006C2F7E"/>
    <w:rsid w:val="006D05D3"/>
    <w:rsid w:val="006D4B73"/>
    <w:rsid w:val="006D60BC"/>
    <w:rsid w:val="006E0F2A"/>
    <w:rsid w:val="006F0C8B"/>
    <w:rsid w:val="006F1E1D"/>
    <w:rsid w:val="006F4FC9"/>
    <w:rsid w:val="006F7D35"/>
    <w:rsid w:val="0070440E"/>
    <w:rsid w:val="00704FBF"/>
    <w:rsid w:val="00705368"/>
    <w:rsid w:val="00712EC1"/>
    <w:rsid w:val="00714603"/>
    <w:rsid w:val="007164DD"/>
    <w:rsid w:val="007231A3"/>
    <w:rsid w:val="00723DB7"/>
    <w:rsid w:val="007260C6"/>
    <w:rsid w:val="00735326"/>
    <w:rsid w:val="00735531"/>
    <w:rsid w:val="00736A6D"/>
    <w:rsid w:val="00744AF5"/>
    <w:rsid w:val="0074686E"/>
    <w:rsid w:val="00771172"/>
    <w:rsid w:val="00774D5F"/>
    <w:rsid w:val="00792857"/>
    <w:rsid w:val="00797638"/>
    <w:rsid w:val="007A421A"/>
    <w:rsid w:val="007A4B08"/>
    <w:rsid w:val="007B4393"/>
    <w:rsid w:val="007B6608"/>
    <w:rsid w:val="007C30BC"/>
    <w:rsid w:val="007D6963"/>
    <w:rsid w:val="007E2B0F"/>
    <w:rsid w:val="007E7D78"/>
    <w:rsid w:val="007F5A69"/>
    <w:rsid w:val="00801AF8"/>
    <w:rsid w:val="008026A5"/>
    <w:rsid w:val="0080382F"/>
    <w:rsid w:val="00804B90"/>
    <w:rsid w:val="008057A3"/>
    <w:rsid w:val="00806044"/>
    <w:rsid w:val="00807D21"/>
    <w:rsid w:val="00807F07"/>
    <w:rsid w:val="00845E35"/>
    <w:rsid w:val="00847E72"/>
    <w:rsid w:val="00854646"/>
    <w:rsid w:val="00854772"/>
    <w:rsid w:val="008547FF"/>
    <w:rsid w:val="00860C8A"/>
    <w:rsid w:val="00860D0F"/>
    <w:rsid w:val="00863A2A"/>
    <w:rsid w:val="00874B9D"/>
    <w:rsid w:val="0087628B"/>
    <w:rsid w:val="00877B2D"/>
    <w:rsid w:val="00885462"/>
    <w:rsid w:val="00891D32"/>
    <w:rsid w:val="008A0CEC"/>
    <w:rsid w:val="008A30A3"/>
    <w:rsid w:val="008A7368"/>
    <w:rsid w:val="008C069F"/>
    <w:rsid w:val="008C15D4"/>
    <w:rsid w:val="008D2C21"/>
    <w:rsid w:val="008E33D0"/>
    <w:rsid w:val="008E5208"/>
    <w:rsid w:val="009058EB"/>
    <w:rsid w:val="00916384"/>
    <w:rsid w:val="009168E2"/>
    <w:rsid w:val="009223D7"/>
    <w:rsid w:val="00925EB2"/>
    <w:rsid w:val="0092666E"/>
    <w:rsid w:val="00931307"/>
    <w:rsid w:val="00933A89"/>
    <w:rsid w:val="00933D69"/>
    <w:rsid w:val="0093723F"/>
    <w:rsid w:val="00940140"/>
    <w:rsid w:val="009433B8"/>
    <w:rsid w:val="009455FC"/>
    <w:rsid w:val="009465CB"/>
    <w:rsid w:val="00947F53"/>
    <w:rsid w:val="00950945"/>
    <w:rsid w:val="0095370D"/>
    <w:rsid w:val="009574B2"/>
    <w:rsid w:val="00960168"/>
    <w:rsid w:val="00962E3B"/>
    <w:rsid w:val="00963D57"/>
    <w:rsid w:val="00970226"/>
    <w:rsid w:val="00972878"/>
    <w:rsid w:val="00990642"/>
    <w:rsid w:val="009962B1"/>
    <w:rsid w:val="009A1599"/>
    <w:rsid w:val="009A5D41"/>
    <w:rsid w:val="009B39D2"/>
    <w:rsid w:val="009B40A5"/>
    <w:rsid w:val="009D53C4"/>
    <w:rsid w:val="009E4385"/>
    <w:rsid w:val="009E6CBE"/>
    <w:rsid w:val="00A03782"/>
    <w:rsid w:val="00A12DC7"/>
    <w:rsid w:val="00A138C6"/>
    <w:rsid w:val="00A145DD"/>
    <w:rsid w:val="00A160C5"/>
    <w:rsid w:val="00A16780"/>
    <w:rsid w:val="00A252B7"/>
    <w:rsid w:val="00A362A3"/>
    <w:rsid w:val="00A4468B"/>
    <w:rsid w:val="00A4723F"/>
    <w:rsid w:val="00A53AE6"/>
    <w:rsid w:val="00A548B2"/>
    <w:rsid w:val="00A92006"/>
    <w:rsid w:val="00A97A86"/>
    <w:rsid w:val="00AB3985"/>
    <w:rsid w:val="00AB6067"/>
    <w:rsid w:val="00AC5078"/>
    <w:rsid w:val="00AC58F1"/>
    <w:rsid w:val="00AC5FD0"/>
    <w:rsid w:val="00AD2980"/>
    <w:rsid w:val="00AD2E74"/>
    <w:rsid w:val="00AD4B74"/>
    <w:rsid w:val="00AE05E4"/>
    <w:rsid w:val="00AF0BB4"/>
    <w:rsid w:val="00AF5DD3"/>
    <w:rsid w:val="00B0329C"/>
    <w:rsid w:val="00B104F0"/>
    <w:rsid w:val="00B132D3"/>
    <w:rsid w:val="00B56243"/>
    <w:rsid w:val="00B7034A"/>
    <w:rsid w:val="00B76924"/>
    <w:rsid w:val="00B77A07"/>
    <w:rsid w:val="00B82319"/>
    <w:rsid w:val="00B846DB"/>
    <w:rsid w:val="00B935CF"/>
    <w:rsid w:val="00B96EA2"/>
    <w:rsid w:val="00BA62CF"/>
    <w:rsid w:val="00BB0CF5"/>
    <w:rsid w:val="00BB38D9"/>
    <w:rsid w:val="00BB6001"/>
    <w:rsid w:val="00BB6CB9"/>
    <w:rsid w:val="00BC20B1"/>
    <w:rsid w:val="00BD692B"/>
    <w:rsid w:val="00BD77CA"/>
    <w:rsid w:val="00BE122B"/>
    <w:rsid w:val="00BE1ED4"/>
    <w:rsid w:val="00BE3C1E"/>
    <w:rsid w:val="00BE7337"/>
    <w:rsid w:val="00BF145F"/>
    <w:rsid w:val="00BF1857"/>
    <w:rsid w:val="00BF1867"/>
    <w:rsid w:val="00C021E8"/>
    <w:rsid w:val="00C27AA4"/>
    <w:rsid w:val="00C31580"/>
    <w:rsid w:val="00C31974"/>
    <w:rsid w:val="00C47792"/>
    <w:rsid w:val="00C7293C"/>
    <w:rsid w:val="00C851CE"/>
    <w:rsid w:val="00C97003"/>
    <w:rsid w:val="00CA0574"/>
    <w:rsid w:val="00CA662D"/>
    <w:rsid w:val="00CB767F"/>
    <w:rsid w:val="00CD026F"/>
    <w:rsid w:val="00CE0DC6"/>
    <w:rsid w:val="00CE35BB"/>
    <w:rsid w:val="00CF0375"/>
    <w:rsid w:val="00CF08E1"/>
    <w:rsid w:val="00D06640"/>
    <w:rsid w:val="00D06FCD"/>
    <w:rsid w:val="00D10961"/>
    <w:rsid w:val="00D319B0"/>
    <w:rsid w:val="00D34538"/>
    <w:rsid w:val="00D34B00"/>
    <w:rsid w:val="00D444E6"/>
    <w:rsid w:val="00D5394B"/>
    <w:rsid w:val="00D569F1"/>
    <w:rsid w:val="00D57830"/>
    <w:rsid w:val="00D60556"/>
    <w:rsid w:val="00D657F4"/>
    <w:rsid w:val="00D7005F"/>
    <w:rsid w:val="00D70FEA"/>
    <w:rsid w:val="00D723A9"/>
    <w:rsid w:val="00D72B50"/>
    <w:rsid w:val="00D74E89"/>
    <w:rsid w:val="00D75B60"/>
    <w:rsid w:val="00D76E20"/>
    <w:rsid w:val="00D86025"/>
    <w:rsid w:val="00D908F1"/>
    <w:rsid w:val="00D91333"/>
    <w:rsid w:val="00DA03FA"/>
    <w:rsid w:val="00DA6026"/>
    <w:rsid w:val="00DA73CC"/>
    <w:rsid w:val="00DB2E56"/>
    <w:rsid w:val="00DD704B"/>
    <w:rsid w:val="00DE1AB8"/>
    <w:rsid w:val="00DE4337"/>
    <w:rsid w:val="00DE591C"/>
    <w:rsid w:val="00DE6DB2"/>
    <w:rsid w:val="00DF21E5"/>
    <w:rsid w:val="00DF2607"/>
    <w:rsid w:val="00DF2F46"/>
    <w:rsid w:val="00E064DD"/>
    <w:rsid w:val="00E11A01"/>
    <w:rsid w:val="00E31AF1"/>
    <w:rsid w:val="00E3769F"/>
    <w:rsid w:val="00E51479"/>
    <w:rsid w:val="00E643A8"/>
    <w:rsid w:val="00E70128"/>
    <w:rsid w:val="00E74CF9"/>
    <w:rsid w:val="00E75D99"/>
    <w:rsid w:val="00E76E62"/>
    <w:rsid w:val="00E84F74"/>
    <w:rsid w:val="00E85B84"/>
    <w:rsid w:val="00E91F7A"/>
    <w:rsid w:val="00EA04D3"/>
    <w:rsid w:val="00EB2527"/>
    <w:rsid w:val="00EB5F55"/>
    <w:rsid w:val="00EC34CD"/>
    <w:rsid w:val="00ED629D"/>
    <w:rsid w:val="00EF152D"/>
    <w:rsid w:val="00EF698D"/>
    <w:rsid w:val="00F06709"/>
    <w:rsid w:val="00F1342D"/>
    <w:rsid w:val="00F161EC"/>
    <w:rsid w:val="00F30920"/>
    <w:rsid w:val="00F353B7"/>
    <w:rsid w:val="00F40BFD"/>
    <w:rsid w:val="00F46E31"/>
    <w:rsid w:val="00F47FF6"/>
    <w:rsid w:val="00F515B4"/>
    <w:rsid w:val="00F54F39"/>
    <w:rsid w:val="00F604EE"/>
    <w:rsid w:val="00F61E27"/>
    <w:rsid w:val="00F7011A"/>
    <w:rsid w:val="00F7433A"/>
    <w:rsid w:val="00F75517"/>
    <w:rsid w:val="00F81AB8"/>
    <w:rsid w:val="00F869A6"/>
    <w:rsid w:val="00F86CA2"/>
    <w:rsid w:val="00F90C96"/>
    <w:rsid w:val="00F94A69"/>
    <w:rsid w:val="00FA35AE"/>
    <w:rsid w:val="00FA4CF4"/>
    <w:rsid w:val="00FB11EF"/>
    <w:rsid w:val="00FB4447"/>
    <w:rsid w:val="00FB61C4"/>
    <w:rsid w:val="00FD19AA"/>
    <w:rsid w:val="00FD25F4"/>
    <w:rsid w:val="00FD77B2"/>
    <w:rsid w:val="00FE14C3"/>
    <w:rsid w:val="00FF15E7"/>
    <w:rsid w:val="00FF3F77"/>
    <w:rsid w:val="00FF71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6145"/>
    <o:shapelayout v:ext="edit">
      <o:idmap v:ext="edit" data="1"/>
    </o:shapelayout>
  </w:shapeDefaults>
  <w:decimalSymbol w:val="."/>
  <w:listSeparator w:val=","/>
  <w14:docId w14:val="2D5C625C"/>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uiPriority="99" w:unhideWhenUsed="1"/>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Normal (Web)"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270"/>
    <w:rPr>
      <w:sz w:val="24"/>
      <w:szCs w:val="24"/>
      <w:lang w:eastAsia="en-US"/>
    </w:rPr>
  </w:style>
  <w:style w:type="paragraph" w:styleId="Heading1">
    <w:name w:val="heading 1"/>
    <w:basedOn w:val="Normal"/>
    <w:next w:val="Normal"/>
    <w:link w:val="Heading1Char"/>
    <w:uiPriority w:val="9"/>
    <w:qFormat/>
    <w:rsid w:val="006B6270"/>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6B6270"/>
    <w:pPr>
      <w:keepNext/>
      <w:jc w:val="center"/>
      <w:outlineLvl w:val="1"/>
    </w:pPr>
    <w:rPr>
      <w:b/>
      <w:bCs/>
    </w:rPr>
  </w:style>
  <w:style w:type="paragraph" w:styleId="Heading3">
    <w:name w:val="heading 3"/>
    <w:basedOn w:val="Normal"/>
    <w:next w:val="Normal"/>
    <w:link w:val="Heading3Char"/>
    <w:uiPriority w:val="9"/>
    <w:qFormat/>
    <w:rsid w:val="006B6270"/>
    <w:pPr>
      <w:keepNext/>
      <w:outlineLvl w:val="2"/>
    </w:pPr>
    <w:rPr>
      <w:rFonts w:ascii="Arial" w:hAnsi="Arial" w:cs="Arial"/>
      <w:b/>
      <w:bCs/>
      <w:sz w:val="28"/>
      <w:szCs w:val="28"/>
    </w:rPr>
  </w:style>
  <w:style w:type="paragraph" w:styleId="Heading4">
    <w:name w:val="heading 4"/>
    <w:basedOn w:val="Normal"/>
    <w:next w:val="Normal"/>
    <w:link w:val="Heading4Char"/>
    <w:uiPriority w:val="9"/>
    <w:qFormat/>
    <w:rsid w:val="006B6270"/>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27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locked/>
    <w:rsid w:val="006B6270"/>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6B6270"/>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6B6270"/>
    <w:rPr>
      <w:rFonts w:ascii="Calibri" w:hAnsi="Calibri" w:cs="Times New Roman"/>
      <w:b/>
      <w:bCs/>
      <w:sz w:val="28"/>
      <w:szCs w:val="28"/>
      <w:lang w:val="x-none" w:eastAsia="en-US"/>
    </w:rPr>
  </w:style>
  <w:style w:type="paragraph" w:customStyle="1" w:styleId="Billname">
    <w:name w:val="Billname"/>
    <w:basedOn w:val="Normal"/>
    <w:rsid w:val="006B6270"/>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B6270"/>
    <w:pPr>
      <w:pBdr>
        <w:bottom w:val="single" w:sz="12" w:space="1" w:color="auto"/>
      </w:pBdr>
      <w:jc w:val="both"/>
    </w:pPr>
  </w:style>
  <w:style w:type="paragraph" w:customStyle="1" w:styleId="madeunder">
    <w:name w:val="made under"/>
    <w:basedOn w:val="Normal"/>
    <w:rsid w:val="006B6270"/>
    <w:pPr>
      <w:spacing w:before="180" w:after="60"/>
      <w:jc w:val="both"/>
    </w:pPr>
  </w:style>
  <w:style w:type="paragraph" w:customStyle="1" w:styleId="CoverActName">
    <w:name w:val="CoverActName"/>
    <w:basedOn w:val="Normal"/>
    <w:rsid w:val="006B6270"/>
    <w:pPr>
      <w:tabs>
        <w:tab w:val="left" w:pos="2600"/>
      </w:tabs>
      <w:spacing w:before="200" w:after="60"/>
      <w:jc w:val="both"/>
    </w:pPr>
    <w:rPr>
      <w:rFonts w:ascii="Arial" w:hAnsi="Arial" w:cs="Arial"/>
      <w:b/>
      <w:bCs/>
    </w:rPr>
  </w:style>
  <w:style w:type="paragraph" w:styleId="BodyTextIndent">
    <w:name w:val="Body Text Indent"/>
    <w:basedOn w:val="Normal"/>
    <w:link w:val="BodyTextIndentChar"/>
    <w:uiPriority w:val="99"/>
    <w:rsid w:val="006B6270"/>
    <w:pPr>
      <w:ind w:left="567"/>
    </w:pPr>
    <w:rPr>
      <w:rFonts w:ascii="CG Times (WN)" w:hAnsi="CG Times (WN)"/>
      <w:lang w:val="en-GB"/>
    </w:rPr>
  </w:style>
  <w:style w:type="character" w:customStyle="1" w:styleId="BodyTextIndentChar">
    <w:name w:val="Body Text Indent Char"/>
    <w:basedOn w:val="DefaultParagraphFont"/>
    <w:link w:val="BodyTextIndent"/>
    <w:uiPriority w:val="99"/>
    <w:semiHidden/>
    <w:locked/>
    <w:rsid w:val="006B6270"/>
    <w:rPr>
      <w:rFonts w:cs="Times New Roman"/>
      <w:sz w:val="24"/>
      <w:szCs w:val="24"/>
      <w:lang w:val="x-none" w:eastAsia="en-US"/>
    </w:rPr>
  </w:style>
  <w:style w:type="paragraph" w:customStyle="1" w:styleId="Amain">
    <w:name w:val="A main"/>
    <w:basedOn w:val="Normal"/>
    <w:rsid w:val="006B6270"/>
    <w:pPr>
      <w:tabs>
        <w:tab w:val="right" w:pos="500"/>
        <w:tab w:val="left" w:pos="700"/>
      </w:tabs>
      <w:spacing w:before="80" w:after="60"/>
      <w:ind w:left="700" w:hanging="700"/>
      <w:jc w:val="both"/>
      <w:outlineLvl w:val="5"/>
    </w:pPr>
  </w:style>
  <w:style w:type="paragraph" w:styleId="Header">
    <w:name w:val="header"/>
    <w:basedOn w:val="Normal"/>
    <w:link w:val="HeaderChar"/>
    <w:uiPriority w:val="99"/>
    <w:rsid w:val="006B6270"/>
    <w:pPr>
      <w:tabs>
        <w:tab w:val="center" w:pos="4153"/>
        <w:tab w:val="right" w:pos="8306"/>
      </w:tabs>
    </w:pPr>
  </w:style>
  <w:style w:type="character" w:customStyle="1" w:styleId="HeaderChar">
    <w:name w:val="Header Char"/>
    <w:basedOn w:val="DefaultParagraphFont"/>
    <w:link w:val="Header"/>
    <w:uiPriority w:val="99"/>
    <w:locked/>
    <w:rsid w:val="006B6270"/>
    <w:rPr>
      <w:rFonts w:cs="Times New Roman"/>
      <w:sz w:val="24"/>
      <w:szCs w:val="24"/>
      <w:lang w:val="x-none" w:eastAsia="en-US"/>
    </w:rPr>
  </w:style>
  <w:style w:type="paragraph" w:styleId="Footer">
    <w:name w:val="footer"/>
    <w:basedOn w:val="Normal"/>
    <w:link w:val="FooterChar"/>
    <w:uiPriority w:val="99"/>
    <w:rsid w:val="006B6270"/>
    <w:pPr>
      <w:tabs>
        <w:tab w:val="center" w:pos="4153"/>
        <w:tab w:val="right" w:pos="8306"/>
      </w:tabs>
    </w:pPr>
  </w:style>
  <w:style w:type="character" w:customStyle="1" w:styleId="FooterChar">
    <w:name w:val="Footer Char"/>
    <w:basedOn w:val="DefaultParagraphFont"/>
    <w:link w:val="Footer"/>
    <w:uiPriority w:val="99"/>
    <w:locked/>
    <w:rsid w:val="006B6270"/>
    <w:rPr>
      <w:rFonts w:cs="Times New Roman"/>
      <w:sz w:val="24"/>
      <w:szCs w:val="24"/>
      <w:lang w:val="x-none" w:eastAsia="en-US"/>
    </w:rPr>
  </w:style>
  <w:style w:type="character" w:styleId="PageNumber">
    <w:name w:val="page number"/>
    <w:basedOn w:val="DefaultParagraphFont"/>
    <w:uiPriority w:val="99"/>
    <w:rsid w:val="006B6270"/>
    <w:rPr>
      <w:rFonts w:cs="Times New Roman"/>
    </w:rPr>
  </w:style>
  <w:style w:type="paragraph" w:styleId="BalloonText">
    <w:name w:val="Balloon Text"/>
    <w:basedOn w:val="Normal"/>
    <w:link w:val="BalloonTextChar"/>
    <w:uiPriority w:val="99"/>
    <w:semiHidden/>
    <w:rsid w:val="00DB2E5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6270"/>
    <w:rPr>
      <w:rFonts w:ascii="Tahoma" w:hAnsi="Tahoma" w:cs="Tahoma"/>
      <w:sz w:val="16"/>
      <w:szCs w:val="16"/>
      <w:lang w:val="x-none" w:eastAsia="en-US"/>
    </w:rPr>
  </w:style>
  <w:style w:type="paragraph" w:styleId="FootnoteText">
    <w:name w:val="footnote text"/>
    <w:basedOn w:val="Normal"/>
    <w:link w:val="FootnoteTextChar"/>
    <w:uiPriority w:val="99"/>
    <w:rsid w:val="003D6C5F"/>
    <w:rPr>
      <w:sz w:val="20"/>
      <w:szCs w:val="20"/>
    </w:rPr>
  </w:style>
  <w:style w:type="character" w:customStyle="1" w:styleId="FootnoteTextChar">
    <w:name w:val="Footnote Text Char"/>
    <w:basedOn w:val="DefaultParagraphFont"/>
    <w:link w:val="FootnoteText"/>
    <w:uiPriority w:val="99"/>
    <w:locked/>
    <w:rsid w:val="003D6C5F"/>
    <w:rPr>
      <w:rFonts w:cs="Times New Roman"/>
      <w:lang w:val="x-none" w:eastAsia="en-US"/>
    </w:rPr>
  </w:style>
  <w:style w:type="character" w:styleId="FootnoteReference">
    <w:name w:val="footnote reference"/>
    <w:basedOn w:val="DefaultParagraphFont"/>
    <w:uiPriority w:val="99"/>
    <w:rsid w:val="003D6C5F"/>
    <w:rPr>
      <w:rFonts w:cs="Times New Roman"/>
      <w:vertAlign w:val="superscript"/>
    </w:rPr>
  </w:style>
  <w:style w:type="paragraph" w:styleId="ListParagraph">
    <w:name w:val="List Paragraph"/>
    <w:basedOn w:val="Normal"/>
    <w:uiPriority w:val="34"/>
    <w:qFormat/>
    <w:rsid w:val="00FE14C3"/>
    <w:pPr>
      <w:ind w:left="720"/>
    </w:pPr>
  </w:style>
  <w:style w:type="paragraph" w:customStyle="1" w:styleId="LongTitle">
    <w:name w:val="LongTitle"/>
    <w:basedOn w:val="Normal"/>
    <w:uiPriority w:val="99"/>
    <w:rsid w:val="00947F53"/>
    <w:pPr>
      <w:spacing w:before="240" w:after="60"/>
      <w:jc w:val="both"/>
    </w:pPr>
    <w:rPr>
      <w:rFonts w:eastAsiaTheme="minorEastAsia"/>
    </w:rPr>
  </w:style>
  <w:style w:type="character" w:styleId="CommentReference">
    <w:name w:val="annotation reference"/>
    <w:basedOn w:val="DefaultParagraphFont"/>
    <w:rsid w:val="009A5D41"/>
    <w:rPr>
      <w:sz w:val="16"/>
      <w:szCs w:val="16"/>
    </w:rPr>
  </w:style>
  <w:style w:type="paragraph" w:styleId="CommentText">
    <w:name w:val="annotation text"/>
    <w:basedOn w:val="Normal"/>
    <w:link w:val="CommentTextChar"/>
    <w:rsid w:val="009A5D41"/>
    <w:rPr>
      <w:sz w:val="20"/>
      <w:szCs w:val="20"/>
    </w:rPr>
  </w:style>
  <w:style w:type="character" w:customStyle="1" w:styleId="CommentTextChar">
    <w:name w:val="Comment Text Char"/>
    <w:basedOn w:val="DefaultParagraphFont"/>
    <w:link w:val="CommentText"/>
    <w:rsid w:val="009A5D41"/>
    <w:rPr>
      <w:lang w:eastAsia="en-US"/>
    </w:rPr>
  </w:style>
  <w:style w:type="paragraph" w:styleId="CommentSubject">
    <w:name w:val="annotation subject"/>
    <w:basedOn w:val="CommentText"/>
    <w:next w:val="CommentText"/>
    <w:link w:val="CommentSubjectChar"/>
    <w:rsid w:val="009A5D41"/>
    <w:rPr>
      <w:b/>
      <w:bCs/>
    </w:rPr>
  </w:style>
  <w:style w:type="character" w:customStyle="1" w:styleId="CommentSubjectChar">
    <w:name w:val="Comment Subject Char"/>
    <w:basedOn w:val="CommentTextChar"/>
    <w:link w:val="CommentSubject"/>
    <w:rsid w:val="009A5D41"/>
    <w:rPr>
      <w:b/>
      <w:bCs/>
      <w:lang w:eastAsia="en-US"/>
    </w:rPr>
  </w:style>
  <w:style w:type="table" w:styleId="TableGrid">
    <w:name w:val="Table Grid"/>
    <w:basedOn w:val="TableNormal"/>
    <w:rsid w:val="00AD29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C47792"/>
    <w:rPr>
      <w:color w:val="0000FF" w:themeColor="hyperlink"/>
      <w:u w:val="single"/>
    </w:rPr>
  </w:style>
  <w:style w:type="character" w:styleId="UnresolvedMention">
    <w:name w:val="Unresolved Mention"/>
    <w:basedOn w:val="DefaultParagraphFont"/>
    <w:uiPriority w:val="99"/>
    <w:semiHidden/>
    <w:unhideWhenUsed/>
    <w:rsid w:val="00C47792"/>
    <w:rPr>
      <w:color w:val="605E5C"/>
      <w:shd w:val="clear" w:color="auto" w:fill="E1DFDD"/>
    </w:rPr>
  </w:style>
  <w:style w:type="paragraph" w:styleId="NormalWeb">
    <w:name w:val="Normal (Web)"/>
    <w:basedOn w:val="Normal"/>
    <w:uiPriority w:val="99"/>
    <w:unhideWhenUsed/>
    <w:rsid w:val="00C47792"/>
    <w:p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2107170">
      <w:bodyDiv w:val="1"/>
      <w:marLeft w:val="0"/>
      <w:marRight w:val="0"/>
      <w:marTop w:val="0"/>
      <w:marBottom w:val="0"/>
      <w:divBdr>
        <w:top w:val="none" w:sz="0" w:space="0" w:color="auto"/>
        <w:left w:val="none" w:sz="0" w:space="0" w:color="auto"/>
        <w:bottom w:val="none" w:sz="0" w:space="0" w:color="auto"/>
        <w:right w:val="none" w:sz="0" w:space="0" w:color="auto"/>
      </w:divBdr>
    </w:div>
    <w:div w:id="963342580">
      <w:bodyDiv w:val="1"/>
      <w:marLeft w:val="0"/>
      <w:marRight w:val="0"/>
      <w:marTop w:val="0"/>
      <w:marBottom w:val="0"/>
      <w:divBdr>
        <w:top w:val="none" w:sz="0" w:space="0" w:color="auto"/>
        <w:left w:val="none" w:sz="0" w:space="0" w:color="auto"/>
        <w:bottom w:val="none" w:sz="0" w:space="0" w:color="auto"/>
        <w:right w:val="none" w:sz="0" w:space="0" w:color="auto"/>
      </w:divBdr>
    </w:div>
    <w:div w:id="100686120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384</Words>
  <Characters>2129</Characters>
  <Application>Microsoft Office Word</Application>
  <DocSecurity>0</DocSecurity>
  <Lines>58</Lines>
  <Paragraphs>17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2017-05-18T06:31:00Z</cp:lastPrinted>
  <dcterms:created xsi:type="dcterms:W3CDTF">2021-06-25T05:07:00Z</dcterms:created>
  <dcterms:modified xsi:type="dcterms:W3CDTF">2021-06-25T05:07:00Z</dcterms:modified>
</cp:coreProperties>
</file>