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56F49" w14:textId="77777777" w:rsidR="00B04048" w:rsidRDefault="00B04048" w:rsidP="006F4177">
      <w:pPr>
        <w:spacing w:before="120"/>
        <w:outlineLvl w:val="0"/>
        <w:rPr>
          <w:rFonts w:ascii="Arial" w:hAnsi="Arial" w:cs="Arial"/>
        </w:rPr>
      </w:pPr>
      <w:bookmarkStart w:id="0" w:name="_Toc44738651"/>
    </w:p>
    <w:p w14:paraId="581996B2" w14:textId="4B24614C" w:rsidR="00C17FAB" w:rsidRPr="00520F36" w:rsidRDefault="000A0CDA" w:rsidP="006F4177">
      <w:pPr>
        <w:spacing w:before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17FAB" w:rsidRPr="00520F36">
        <w:rPr>
          <w:rFonts w:ascii="Arial" w:hAnsi="Arial" w:cs="Arial"/>
        </w:rPr>
        <w:t>ustralian Capital Territory</w:t>
      </w:r>
    </w:p>
    <w:p w14:paraId="037C94A8" w14:textId="1E1D411C" w:rsidR="00CC3FA7" w:rsidRDefault="009F3470" w:rsidP="00CC3FA7">
      <w:pPr>
        <w:pStyle w:val="Billname"/>
        <w:spacing w:before="700"/>
        <w:ind w:right="-624"/>
      </w:pPr>
      <w:r w:rsidRPr="009F3470">
        <w:t>Taxation Administration (Payroll Tax) COVID</w:t>
      </w:r>
      <w:r>
        <w:noBreakHyphen/>
      </w:r>
      <w:r w:rsidRPr="009F3470">
        <w:t>19 Exemption Scheme Determination</w:t>
      </w:r>
      <w:r w:rsidR="00EE3408">
        <w:t> </w:t>
      </w:r>
      <w:r w:rsidRPr="009F3470">
        <w:t>202</w:t>
      </w:r>
      <w:r w:rsidR="00CD2B68">
        <w:t>1</w:t>
      </w:r>
      <w:r w:rsidR="008E0389">
        <w:t xml:space="preserve"> (No 2)</w:t>
      </w:r>
    </w:p>
    <w:p w14:paraId="54A9C731" w14:textId="6C896189" w:rsidR="00C17FAB" w:rsidRPr="00520F36" w:rsidRDefault="00CC3FA7" w:rsidP="006F4177">
      <w:pPr>
        <w:spacing w:before="340"/>
        <w:outlineLvl w:val="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 xml:space="preserve">Disallowable </w:t>
      </w:r>
      <w:r w:rsidR="002D7C60" w:rsidRPr="00520F36">
        <w:rPr>
          <w:rFonts w:ascii="Arial" w:hAnsi="Arial" w:cs="Arial"/>
          <w:b/>
          <w:bCs/>
        </w:rPr>
        <w:t>instrument DI</w:t>
      </w:r>
      <w:r w:rsidR="000C0320" w:rsidRPr="00520F36">
        <w:rPr>
          <w:rFonts w:ascii="Arial" w:hAnsi="Arial" w:cs="Arial"/>
          <w:b/>
          <w:bCs/>
        </w:rPr>
        <w:t>20</w:t>
      </w:r>
      <w:r w:rsidR="00427F9B">
        <w:rPr>
          <w:rFonts w:ascii="Arial" w:hAnsi="Arial" w:cs="Arial"/>
          <w:b/>
          <w:bCs/>
        </w:rPr>
        <w:t>2</w:t>
      </w:r>
      <w:r w:rsidR="00CD2B68">
        <w:rPr>
          <w:rFonts w:ascii="Arial" w:hAnsi="Arial" w:cs="Arial"/>
          <w:b/>
          <w:bCs/>
        </w:rPr>
        <w:t>1</w:t>
      </w:r>
      <w:r w:rsidR="00C17FAB" w:rsidRPr="00520F36">
        <w:rPr>
          <w:rFonts w:ascii="Arial" w:hAnsi="Arial" w:cs="Arial"/>
          <w:b/>
          <w:bCs/>
        </w:rPr>
        <w:t>–</w:t>
      </w:r>
      <w:r w:rsidR="00925BC9">
        <w:rPr>
          <w:rFonts w:ascii="Arial" w:hAnsi="Arial" w:cs="Arial"/>
          <w:b/>
          <w:bCs/>
        </w:rPr>
        <w:t>177</w:t>
      </w:r>
    </w:p>
    <w:p w14:paraId="104B89C1" w14:textId="77777777" w:rsidR="00C17FAB" w:rsidRPr="00520F36" w:rsidRDefault="00C17FAB" w:rsidP="00DA3B00">
      <w:pPr>
        <w:pStyle w:val="madeunder"/>
        <w:spacing w:before="300" w:after="0"/>
      </w:pPr>
      <w:r w:rsidRPr="00520F36">
        <w:t xml:space="preserve">made under the  </w:t>
      </w:r>
    </w:p>
    <w:p w14:paraId="3CF07A9E" w14:textId="79D1397B" w:rsidR="00C17FAB" w:rsidRPr="00520F36" w:rsidRDefault="002F36B3" w:rsidP="006F4177">
      <w:pPr>
        <w:pStyle w:val="CoverActName"/>
        <w:spacing w:before="320" w:after="0"/>
        <w:outlineLvl w:val="0"/>
        <w:rPr>
          <w:rFonts w:cs="Arial"/>
          <w:sz w:val="20"/>
        </w:rPr>
      </w:pPr>
      <w:r>
        <w:rPr>
          <w:i/>
          <w:sz w:val="20"/>
        </w:rPr>
        <w:t>Taxation Administration</w:t>
      </w:r>
      <w:r w:rsidRPr="003C1C84">
        <w:rPr>
          <w:i/>
          <w:sz w:val="20"/>
        </w:rPr>
        <w:t xml:space="preserve"> Act </w:t>
      </w:r>
      <w:r>
        <w:rPr>
          <w:i/>
          <w:sz w:val="20"/>
        </w:rPr>
        <w:t>1999</w:t>
      </w:r>
      <w:r w:rsidR="000C0320" w:rsidRPr="00520F36">
        <w:rPr>
          <w:rFonts w:cs="Arial"/>
          <w:i/>
          <w:sz w:val="20"/>
        </w:rPr>
        <w:t xml:space="preserve">, </w:t>
      </w:r>
      <w:r w:rsidR="000C0320" w:rsidRPr="00520F36">
        <w:rPr>
          <w:rFonts w:cs="Arial"/>
          <w:sz w:val="20"/>
        </w:rPr>
        <w:t xml:space="preserve">s </w:t>
      </w:r>
      <w:r>
        <w:rPr>
          <w:sz w:val="20"/>
        </w:rPr>
        <w:t>137E (COVID-19 Exemption Scheme)</w:t>
      </w:r>
    </w:p>
    <w:p w14:paraId="709CE081" w14:textId="77777777" w:rsidR="00C17FAB" w:rsidRPr="00520F36" w:rsidRDefault="00C17FAB" w:rsidP="006F4177">
      <w:pPr>
        <w:spacing w:before="360"/>
        <w:ind w:right="565"/>
        <w:outlineLvl w:val="0"/>
        <w:rPr>
          <w:rFonts w:ascii="Arial" w:hAnsi="Arial" w:cs="Arial"/>
          <w:b/>
          <w:bCs/>
          <w:sz w:val="28"/>
          <w:szCs w:val="28"/>
        </w:rPr>
      </w:pPr>
      <w:r w:rsidRPr="00520F36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D5D9E49" w14:textId="77777777" w:rsidR="00C17FAB" w:rsidRPr="00520F36" w:rsidRDefault="00C17FAB">
      <w:pPr>
        <w:pStyle w:val="N-line3"/>
        <w:pBdr>
          <w:bottom w:val="none" w:sz="0" w:space="0" w:color="auto"/>
        </w:pBdr>
      </w:pPr>
    </w:p>
    <w:p w14:paraId="1B8E463D" w14:textId="77777777" w:rsidR="00C17FAB" w:rsidRPr="00520F36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B21392F" w14:textId="77777777" w:rsidR="00C07E4C" w:rsidRPr="00520F36" w:rsidRDefault="00C07E4C" w:rsidP="00C07E4C"/>
    <w:p w14:paraId="2AACB923" w14:textId="77777777" w:rsidR="00B04048" w:rsidRDefault="00B04048" w:rsidP="00C77D03"/>
    <w:p w14:paraId="13E43253" w14:textId="756E7C8A" w:rsidR="00FD1187" w:rsidRDefault="00FD1187" w:rsidP="00C77D03">
      <w:r>
        <w:t>On 12 August 2020, the Government announced a Youth Support Package to address the economic impacts of COVID-19 on young people.</w:t>
      </w:r>
    </w:p>
    <w:p w14:paraId="16CF9129" w14:textId="77777777" w:rsidR="00FD1187" w:rsidRDefault="00FD1187" w:rsidP="00C77D03"/>
    <w:p w14:paraId="6D70CE3A" w14:textId="28EA052E" w:rsidR="008E0389" w:rsidRDefault="00E5461D" w:rsidP="008E0389">
      <w:r>
        <w:t xml:space="preserve">As part of </w:t>
      </w:r>
      <w:r w:rsidR="00FD1187">
        <w:t>the Youth Support Package</w:t>
      </w:r>
      <w:r>
        <w:t xml:space="preserve">, the </w:t>
      </w:r>
      <w:r w:rsidR="009C29BC" w:rsidRPr="009C29BC">
        <w:rPr>
          <w:i/>
          <w:iCs/>
        </w:rPr>
        <w:t>Taxation Administration (Payroll Tax) COVID-19 Exemption Scheme Determination 2020</w:t>
      </w:r>
      <w:r>
        <w:t xml:space="preserve"> </w:t>
      </w:r>
      <w:r w:rsidR="008E0389">
        <w:t xml:space="preserve">determined </w:t>
      </w:r>
      <w:r>
        <w:t>a scheme</w:t>
      </w:r>
      <w:r w:rsidR="0099199D">
        <w:t xml:space="preserve"> </w:t>
      </w:r>
      <w:r w:rsidR="00C76331">
        <w:t xml:space="preserve">to exempt </w:t>
      </w:r>
      <w:r w:rsidR="002E57BB">
        <w:t xml:space="preserve">wages paid or payable to </w:t>
      </w:r>
      <w:r w:rsidR="00497109">
        <w:t xml:space="preserve">eligible </w:t>
      </w:r>
      <w:r w:rsidR="00164171">
        <w:t xml:space="preserve">apprentices or trainees </w:t>
      </w:r>
      <w:r w:rsidR="005D632E">
        <w:t>for the period 1</w:t>
      </w:r>
      <w:r w:rsidR="00F72118">
        <w:t> </w:t>
      </w:r>
      <w:r w:rsidR="00A3533F">
        <w:t>August</w:t>
      </w:r>
      <w:r w:rsidR="00F72118">
        <w:t> </w:t>
      </w:r>
      <w:r w:rsidR="005D632E">
        <w:t xml:space="preserve">2020 to </w:t>
      </w:r>
      <w:r w:rsidR="00752A95">
        <w:t>31</w:t>
      </w:r>
      <w:r w:rsidR="008D36E1">
        <w:t> </w:t>
      </w:r>
      <w:r w:rsidR="00A3533F">
        <w:t>January</w:t>
      </w:r>
      <w:r w:rsidR="008D36E1">
        <w:t> </w:t>
      </w:r>
      <w:r w:rsidR="00752A95">
        <w:t>202</w:t>
      </w:r>
      <w:r w:rsidR="00A3533F">
        <w:t>1</w:t>
      </w:r>
      <w:r w:rsidR="00752A95">
        <w:t>.</w:t>
      </w:r>
      <w:r w:rsidR="008E0389">
        <w:t xml:space="preserve"> </w:t>
      </w:r>
      <w:r w:rsidR="008E0389" w:rsidRPr="009C29BC">
        <w:rPr>
          <w:i/>
          <w:iCs/>
        </w:rPr>
        <w:t>Taxation Administration (Payroll Tax) COVID-19 Exemption Scheme Determination 202</w:t>
      </w:r>
      <w:r w:rsidR="002634DB">
        <w:rPr>
          <w:i/>
          <w:iCs/>
        </w:rPr>
        <w:t>1</w:t>
      </w:r>
      <w:r w:rsidR="008E0389">
        <w:rPr>
          <w:i/>
          <w:iCs/>
        </w:rPr>
        <w:t xml:space="preserve"> </w:t>
      </w:r>
      <w:r w:rsidR="008E0389">
        <w:t xml:space="preserve">extended the operation of the payroll tax exemption for eligible apprentices or trainees until 30 June 2021, in line with the Government’s further announcement of 17 December 2020. </w:t>
      </w:r>
    </w:p>
    <w:p w14:paraId="5E31667F" w14:textId="1BA477EA" w:rsidR="00E5461D" w:rsidRPr="008E0389" w:rsidRDefault="00E5461D" w:rsidP="00C77D03"/>
    <w:p w14:paraId="2EE3AF97" w14:textId="7816E455" w:rsidR="00CD2B68" w:rsidRDefault="00CD2B68" w:rsidP="00C77D03">
      <w:r>
        <w:t>This instrument (</w:t>
      </w:r>
      <w:r w:rsidRPr="00CA5323">
        <w:t>the</w:t>
      </w:r>
      <w:r w:rsidRPr="00CA5323">
        <w:rPr>
          <w:b/>
          <w:bCs/>
        </w:rPr>
        <w:t xml:space="preserve"> </w:t>
      </w:r>
      <w:r>
        <w:rPr>
          <w:b/>
          <w:bCs/>
        </w:rPr>
        <w:t xml:space="preserve">Payroll Tax </w:t>
      </w:r>
      <w:r w:rsidRPr="00CA5323">
        <w:rPr>
          <w:b/>
          <w:bCs/>
        </w:rPr>
        <w:t>Exemption</w:t>
      </w:r>
      <w:r w:rsidRPr="00A2628E">
        <w:rPr>
          <w:b/>
          <w:bCs/>
        </w:rPr>
        <w:t xml:space="preserve"> </w:t>
      </w:r>
      <w:r w:rsidRPr="00CA5323">
        <w:rPr>
          <w:b/>
          <w:bCs/>
        </w:rPr>
        <w:t>Determination</w:t>
      </w:r>
      <w:r>
        <w:t xml:space="preserve">) </w:t>
      </w:r>
      <w:r w:rsidR="008E0389">
        <w:t xml:space="preserve">provides for </w:t>
      </w:r>
      <w:r>
        <w:t xml:space="preserve">the operation of </w:t>
      </w:r>
      <w:r w:rsidR="008E0389">
        <w:t xml:space="preserve">a further </w:t>
      </w:r>
      <w:r>
        <w:t xml:space="preserve">payroll tax exemption for eligible apprentices or trainees </w:t>
      </w:r>
      <w:r w:rsidR="004A5186">
        <w:t xml:space="preserve">for the period 1 July 2021 to </w:t>
      </w:r>
      <w:r>
        <w:t xml:space="preserve">30 June </w:t>
      </w:r>
      <w:r w:rsidR="008E0389">
        <w:t>2022</w:t>
      </w:r>
      <w:r>
        <w:t xml:space="preserve">. </w:t>
      </w:r>
    </w:p>
    <w:p w14:paraId="37D120AA" w14:textId="3CA96F42" w:rsidR="00E5461D" w:rsidRDefault="00E5461D" w:rsidP="00C77D03"/>
    <w:p w14:paraId="5813DAA7" w14:textId="76229459" w:rsidR="00670187" w:rsidRDefault="00670187" w:rsidP="00670187">
      <w:r>
        <w:t xml:space="preserve">A payroll tax exemption for wages paid to </w:t>
      </w:r>
      <w:r w:rsidRPr="00811D1F">
        <w:t xml:space="preserve">certain </w:t>
      </w:r>
      <w:r w:rsidR="00497109" w:rsidRPr="00811D1F">
        <w:t xml:space="preserve">apprentices or trainees </w:t>
      </w:r>
      <w:r w:rsidRPr="00811D1F">
        <w:t xml:space="preserve">will reduce the costs associated with taking on a new </w:t>
      </w:r>
      <w:r w:rsidR="00497109" w:rsidRPr="00811D1F">
        <w:t xml:space="preserve">apprentice or trainee, </w:t>
      </w:r>
      <w:r w:rsidR="00497109" w:rsidRPr="004978A0">
        <w:t>or to recommence a suspended approved training contract with an existing apprentice or trainee</w:t>
      </w:r>
      <w:r w:rsidR="00660AFE" w:rsidRPr="00811D1F">
        <w:t xml:space="preserve"> </w:t>
      </w:r>
      <w:r w:rsidRPr="00811D1F">
        <w:t>and</w:t>
      </w:r>
      <w:r>
        <w:t xml:space="preserve"> may </w:t>
      </w:r>
      <w:r w:rsidR="00791EFD">
        <w:t>encourage</w:t>
      </w:r>
      <w:r>
        <w:t xml:space="preserve"> employers to take on additional staff from target cohorts.</w:t>
      </w:r>
    </w:p>
    <w:p w14:paraId="1DB4D987" w14:textId="77777777" w:rsidR="00E64237" w:rsidRDefault="00E64237" w:rsidP="00670187"/>
    <w:p w14:paraId="15F5F1A5" w14:textId="203D7325" w:rsidR="00CD2B68" w:rsidRDefault="00670187">
      <w:r>
        <w:t>Wages paid to</w:t>
      </w:r>
      <w:r w:rsidR="00A3533F">
        <w:t xml:space="preserve"> certain</w:t>
      </w:r>
      <w:r>
        <w:t xml:space="preserve"> apprentices and trainees are already exempt from payroll tax</w:t>
      </w:r>
      <w:r w:rsidR="00A3533F">
        <w:t xml:space="preserve"> under the </w:t>
      </w:r>
      <w:r w:rsidR="00A3533F" w:rsidRPr="00A3533F">
        <w:rPr>
          <w:i/>
          <w:iCs/>
        </w:rPr>
        <w:t>Payroll Tax Act 2011</w:t>
      </w:r>
      <w:r>
        <w:t xml:space="preserve">. </w:t>
      </w:r>
      <w:r w:rsidR="008E0389">
        <w:t>P</w:t>
      </w:r>
      <w:r>
        <w:t>ayroll tax exemptions to wages paid</w:t>
      </w:r>
      <w:r w:rsidR="008C3242">
        <w:t xml:space="preserve"> or payable</w:t>
      </w:r>
      <w:r>
        <w:t xml:space="preserve"> to</w:t>
      </w:r>
      <w:r w:rsidR="00A3533F">
        <w:t xml:space="preserve"> </w:t>
      </w:r>
      <w:r>
        <w:t>new employees who are apprentices or trainees</w:t>
      </w:r>
      <w:r w:rsidR="008C3242">
        <w:t xml:space="preserve"> and existing casual employees who </w:t>
      </w:r>
      <w:r w:rsidR="00BE638E">
        <w:t>become apprentices or trainees</w:t>
      </w:r>
      <w:r>
        <w:t xml:space="preserve"> provide a</w:t>
      </w:r>
      <w:r w:rsidR="00E64237">
        <w:t xml:space="preserve"> broader</w:t>
      </w:r>
      <w:r>
        <w:t xml:space="preserve"> </w:t>
      </w:r>
      <w:r w:rsidR="00A3533F">
        <w:t xml:space="preserve">incentive </w:t>
      </w:r>
      <w:r>
        <w:t xml:space="preserve">to </w:t>
      </w:r>
      <w:r w:rsidR="00E64237">
        <w:t xml:space="preserve">any </w:t>
      </w:r>
      <w:r>
        <w:t>employer</w:t>
      </w:r>
      <w:r w:rsidR="00FB798F">
        <w:t>s</w:t>
      </w:r>
      <w:r>
        <w:t xml:space="preserve"> who take on apprentices and trainees.</w:t>
      </w:r>
    </w:p>
    <w:p w14:paraId="22F6C55A" w14:textId="77777777" w:rsidR="0061332A" w:rsidRDefault="0061332A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55D72235" w14:textId="707711E7" w:rsidR="00896DB3" w:rsidRPr="00C47F0F" w:rsidRDefault="00C47F0F" w:rsidP="00B04048">
      <w:pPr>
        <w:spacing w:before="120"/>
        <w:rPr>
          <w:rFonts w:ascii="Arial" w:hAnsi="Arial" w:cs="Arial"/>
          <w:b/>
          <w:sz w:val="26"/>
          <w:szCs w:val="26"/>
        </w:rPr>
      </w:pPr>
      <w:r w:rsidRPr="00C47F0F">
        <w:rPr>
          <w:rFonts w:ascii="Arial" w:hAnsi="Arial" w:cs="Arial"/>
          <w:b/>
          <w:sz w:val="26"/>
          <w:szCs w:val="26"/>
        </w:rPr>
        <w:lastRenderedPageBreak/>
        <w:t>Payroll Tax Exemption Determination</w:t>
      </w:r>
    </w:p>
    <w:p w14:paraId="05CEB65C" w14:textId="77777777" w:rsidR="009C3E3F" w:rsidRDefault="009C3E3F" w:rsidP="00E105CE"/>
    <w:p w14:paraId="050DE08D" w14:textId="7988D15F" w:rsidR="009C3E3F" w:rsidRPr="00E105CE" w:rsidRDefault="009C3E3F" w:rsidP="009C3E3F">
      <w:r w:rsidRPr="00E105CE">
        <w:t>The Payroll Tax Exemption Determination</w:t>
      </w:r>
      <w:r>
        <w:t>:</w:t>
      </w:r>
    </w:p>
    <w:p w14:paraId="5020805D" w14:textId="39054F1B" w:rsidR="009C3E3F" w:rsidRDefault="00FA197F" w:rsidP="00FA197F">
      <w:pPr>
        <w:pStyle w:val="ListParagraph"/>
        <w:numPr>
          <w:ilvl w:val="0"/>
          <w:numId w:val="21"/>
        </w:numPr>
      </w:pPr>
      <w:r>
        <w:t>reduce</w:t>
      </w:r>
      <w:r w:rsidR="00CD2B68">
        <w:t>s</w:t>
      </w:r>
      <w:r>
        <w:t xml:space="preserve"> the costs associated with taking on </w:t>
      </w:r>
      <w:r w:rsidR="00B42C1D">
        <w:t>apprentices or trainees</w:t>
      </w:r>
      <w:r w:rsidR="00651EE6">
        <w:t>;</w:t>
      </w:r>
      <w:r w:rsidR="00261087">
        <w:t xml:space="preserve"> and</w:t>
      </w:r>
    </w:p>
    <w:p w14:paraId="340CA65A" w14:textId="47C5F997" w:rsidR="00651EE6" w:rsidRDefault="00651EE6" w:rsidP="00FA197F">
      <w:pPr>
        <w:pStyle w:val="ListParagraph"/>
        <w:numPr>
          <w:ilvl w:val="0"/>
          <w:numId w:val="21"/>
        </w:numPr>
      </w:pPr>
      <w:r>
        <w:t>encourage</w:t>
      </w:r>
      <w:r w:rsidR="00CD2B68">
        <w:t xml:space="preserve">s </w:t>
      </w:r>
      <w:r>
        <w:t xml:space="preserve">employers to take on additional </w:t>
      </w:r>
      <w:r w:rsidR="008E3286">
        <w:t xml:space="preserve">apprentices or trainees </w:t>
      </w:r>
      <w:r>
        <w:t>from target cohorts</w:t>
      </w:r>
      <w:r w:rsidR="00E556B2">
        <w:t>.</w:t>
      </w:r>
    </w:p>
    <w:p w14:paraId="5971D174" w14:textId="77777777" w:rsidR="009C3E3F" w:rsidRDefault="009C3E3F" w:rsidP="00E105CE"/>
    <w:p w14:paraId="73A86985" w14:textId="10D51F87" w:rsidR="00E105CE" w:rsidRDefault="00E105CE" w:rsidP="00E105CE">
      <w:r w:rsidRPr="00E105CE">
        <w:t xml:space="preserve">The Payroll Tax Exemption Determination </w:t>
      </w:r>
      <w:r>
        <w:t>sets out, for the purposes of the exemption</w:t>
      </w:r>
      <w:r w:rsidR="00E556B2">
        <w:t>:</w:t>
      </w:r>
    </w:p>
    <w:p w14:paraId="04972C5F" w14:textId="2FD5A452" w:rsidR="00E556B2" w:rsidRDefault="00E556B2" w:rsidP="00E556B2">
      <w:pPr>
        <w:pStyle w:val="ListParagraph"/>
        <w:numPr>
          <w:ilvl w:val="0"/>
          <w:numId w:val="13"/>
        </w:numPr>
      </w:pPr>
      <w:r>
        <w:t>the eligibility requirements; and</w:t>
      </w:r>
    </w:p>
    <w:p w14:paraId="3ABB77E8" w14:textId="43FF178B" w:rsidR="00E556B2" w:rsidRDefault="00E556B2" w:rsidP="00E556B2">
      <w:pPr>
        <w:pStyle w:val="ListParagraph"/>
        <w:numPr>
          <w:ilvl w:val="0"/>
          <w:numId w:val="13"/>
        </w:numPr>
      </w:pPr>
      <w:r>
        <w:t>the period of exemption.</w:t>
      </w:r>
    </w:p>
    <w:p w14:paraId="2C3717DF" w14:textId="77777777" w:rsidR="008E3286" w:rsidRDefault="008E3286" w:rsidP="00B04048"/>
    <w:p w14:paraId="505F2B8C" w14:textId="0690BCB2" w:rsidR="003C7903" w:rsidRPr="00E338E3" w:rsidRDefault="003C7903" w:rsidP="003C7903">
      <w:pPr>
        <w:keepNext/>
        <w:rPr>
          <w:rFonts w:ascii="Arial" w:hAnsi="Arial" w:cs="Arial"/>
          <w:b/>
          <w:szCs w:val="24"/>
        </w:rPr>
      </w:pPr>
      <w:r w:rsidRPr="00E338E3">
        <w:rPr>
          <w:rFonts w:ascii="Arial" w:hAnsi="Arial" w:cs="Arial"/>
          <w:b/>
          <w:szCs w:val="24"/>
        </w:rPr>
        <w:t xml:space="preserve">Eligible </w:t>
      </w:r>
      <w:r>
        <w:rPr>
          <w:rFonts w:ascii="Arial" w:hAnsi="Arial" w:cs="Arial"/>
          <w:b/>
          <w:szCs w:val="24"/>
        </w:rPr>
        <w:t>employees</w:t>
      </w:r>
    </w:p>
    <w:p w14:paraId="66072D3C" w14:textId="79A3A0AC" w:rsidR="00E105CE" w:rsidRDefault="00E105CE" w:rsidP="00E105CE"/>
    <w:p w14:paraId="0DC4AD30" w14:textId="4BD071A2" w:rsidR="00913395" w:rsidRDefault="003C7903" w:rsidP="00A3533F">
      <w:pPr>
        <w:keepNext/>
      </w:pPr>
      <w:r w:rsidRPr="00D96ECB">
        <w:t xml:space="preserve">The </w:t>
      </w:r>
      <w:r>
        <w:t>exemption</w:t>
      </w:r>
      <w:r w:rsidRPr="00D96ECB">
        <w:t xml:space="preserve"> </w:t>
      </w:r>
      <w:r w:rsidR="006F5788">
        <w:t xml:space="preserve">applies </w:t>
      </w:r>
      <w:r w:rsidRPr="00D96ECB">
        <w:t xml:space="preserve">to </w:t>
      </w:r>
      <w:r>
        <w:t>wages paid or payable to eligible employees</w:t>
      </w:r>
      <w:r w:rsidR="00C62E5C">
        <w:t xml:space="preserve"> for the period </w:t>
      </w:r>
      <w:r w:rsidR="0061332A">
        <w:t>1 </w:t>
      </w:r>
      <w:r w:rsidR="008E0389">
        <w:t>July</w:t>
      </w:r>
      <w:r w:rsidR="00CD2B68">
        <w:t xml:space="preserve"> 2021</w:t>
      </w:r>
      <w:r w:rsidR="008E0389">
        <w:t xml:space="preserve"> to 30 June 2022 inclusive</w:t>
      </w:r>
      <w:r w:rsidR="00C62E5C">
        <w:t>.</w:t>
      </w:r>
    </w:p>
    <w:p w14:paraId="79AEBF77" w14:textId="77777777" w:rsidR="00913395" w:rsidRDefault="00913395" w:rsidP="00A3533F">
      <w:pPr>
        <w:keepNext/>
      </w:pPr>
    </w:p>
    <w:p w14:paraId="77E0FF41" w14:textId="2D900166" w:rsidR="002A04BC" w:rsidRDefault="008E3286" w:rsidP="002A04BC">
      <w:pPr>
        <w:keepNext/>
      </w:pPr>
      <w:r>
        <w:t xml:space="preserve">An eligible </w:t>
      </w:r>
      <w:r w:rsidR="00C62E5C">
        <w:t xml:space="preserve">employee </w:t>
      </w:r>
      <w:r>
        <w:t xml:space="preserve">is any </w:t>
      </w:r>
      <w:r w:rsidR="00F07CD4">
        <w:t>apprentice or trainee who</w:t>
      </w:r>
      <w:r w:rsidR="002A04BC">
        <w:t>, on or after 1 August 2020, either:</w:t>
      </w:r>
    </w:p>
    <w:p w14:paraId="7DC90505" w14:textId="513C959E" w:rsidR="00561CB1" w:rsidRDefault="00E0373A">
      <w:pPr>
        <w:pStyle w:val="ListParagraph"/>
        <w:keepNext/>
        <w:numPr>
          <w:ilvl w:val="0"/>
          <w:numId w:val="13"/>
        </w:numPr>
      </w:pPr>
      <w:r>
        <w:t>commence</w:t>
      </w:r>
      <w:r w:rsidR="008E3286">
        <w:t>s</w:t>
      </w:r>
      <w:r w:rsidR="005C69BF">
        <w:t xml:space="preserve"> </w:t>
      </w:r>
      <w:r w:rsidR="00561CB1">
        <w:t xml:space="preserve">an approved training contract </w:t>
      </w:r>
      <w:r>
        <w:t>with an employer</w:t>
      </w:r>
      <w:r w:rsidR="003469C8">
        <w:t>,</w:t>
      </w:r>
      <w:r w:rsidR="00C62E5C">
        <w:t xml:space="preserve"> and</w:t>
      </w:r>
      <w:r w:rsidR="002A04BC">
        <w:t xml:space="preserve"> </w:t>
      </w:r>
      <w:r w:rsidR="00561CB1">
        <w:t>either:</w:t>
      </w:r>
    </w:p>
    <w:p w14:paraId="2631CBD0" w14:textId="221E21EA" w:rsidR="00561CB1" w:rsidRDefault="00287856" w:rsidP="00561CB1">
      <w:pPr>
        <w:pStyle w:val="ListParagraph"/>
        <w:keepNext/>
        <w:numPr>
          <w:ilvl w:val="1"/>
          <w:numId w:val="13"/>
        </w:numPr>
      </w:pPr>
      <w:r>
        <w:t>had not been employed by the employer o</w:t>
      </w:r>
      <w:r w:rsidR="001238B1">
        <w:t>r</w:t>
      </w:r>
      <w:r>
        <w:t xml:space="preserve"> an employer of the same group in the month before the commen</w:t>
      </w:r>
      <w:r w:rsidR="001238B1">
        <w:t>cement</w:t>
      </w:r>
      <w:r>
        <w:t xml:space="preserve"> of the approved training contract</w:t>
      </w:r>
      <w:r w:rsidR="00561CB1">
        <w:t>;</w:t>
      </w:r>
      <w:r w:rsidR="0061387B">
        <w:t xml:space="preserve"> or</w:t>
      </w:r>
    </w:p>
    <w:p w14:paraId="29616B4E" w14:textId="50D5F9A7" w:rsidR="00561CB1" w:rsidRDefault="00287856" w:rsidP="00561CB1">
      <w:pPr>
        <w:pStyle w:val="ListParagraph"/>
        <w:keepNext/>
        <w:numPr>
          <w:ilvl w:val="1"/>
          <w:numId w:val="13"/>
        </w:numPr>
      </w:pPr>
      <w:r>
        <w:t xml:space="preserve">had been </w:t>
      </w:r>
      <w:r w:rsidR="002A04BC">
        <w:t>a casual employee of that employer prior to commencement of the approved training contract</w:t>
      </w:r>
      <w:r w:rsidR="0061387B">
        <w:t>; or</w:t>
      </w:r>
    </w:p>
    <w:p w14:paraId="3E077F83" w14:textId="79EC7259" w:rsidR="0061387B" w:rsidRPr="00811D1F" w:rsidRDefault="005B1C9C" w:rsidP="008C69ED">
      <w:pPr>
        <w:pStyle w:val="ListParagraph"/>
        <w:keepNext/>
        <w:numPr>
          <w:ilvl w:val="0"/>
          <w:numId w:val="13"/>
        </w:numPr>
      </w:pPr>
      <w:r>
        <w:t xml:space="preserve">recommences a suspended approved training contract with their employer which had been suspended prior to </w:t>
      </w:r>
      <w:r w:rsidRPr="0061332A">
        <w:t>1 August 2020</w:t>
      </w:r>
      <w:r>
        <w:t xml:space="preserve"> as a result of the COVID-19 emergency</w:t>
      </w:r>
      <w:r w:rsidR="0061387B" w:rsidRPr="00811D1F">
        <w:t>.</w:t>
      </w:r>
    </w:p>
    <w:p w14:paraId="69468A51" w14:textId="77777777" w:rsidR="00441374" w:rsidRPr="00811D1F" w:rsidRDefault="00441374" w:rsidP="00A3533F">
      <w:pPr>
        <w:keepNext/>
      </w:pPr>
    </w:p>
    <w:p w14:paraId="044B0EE1" w14:textId="65AF8A98" w:rsidR="00A3533F" w:rsidRDefault="00A3533F" w:rsidP="005817ED">
      <w:r w:rsidRPr="00811D1F">
        <w:t>To support the integrity of the measure,</w:t>
      </w:r>
      <w:r w:rsidR="005817ED" w:rsidRPr="00811D1F">
        <w:t xml:space="preserve"> </w:t>
      </w:r>
      <w:r w:rsidR="005817ED" w:rsidRPr="004978A0">
        <w:t xml:space="preserve">the </w:t>
      </w:r>
      <w:r w:rsidR="00287856" w:rsidRPr="00E105CE">
        <w:t>Payroll Tax Exemption Determination</w:t>
      </w:r>
      <w:r w:rsidR="00287856" w:rsidRPr="004978A0">
        <w:t xml:space="preserve"> </w:t>
      </w:r>
      <w:r w:rsidR="00287856">
        <w:t xml:space="preserve">excludes an employer from being eligible for the exemption if </w:t>
      </w:r>
      <w:r w:rsidR="00C7277B" w:rsidRPr="004978A0">
        <w:t xml:space="preserve">eligible employees are employed to replace </w:t>
      </w:r>
      <w:r w:rsidR="00287856">
        <w:t>another employee</w:t>
      </w:r>
      <w:r w:rsidR="00B04048">
        <w:t>,</w:t>
      </w:r>
      <w:r w:rsidR="00287856">
        <w:t xml:space="preserve"> </w:t>
      </w:r>
      <w:r w:rsidR="00C7277B" w:rsidRPr="004978A0">
        <w:t xml:space="preserve">apprentice or trainee </w:t>
      </w:r>
      <w:r w:rsidR="00287856">
        <w:t xml:space="preserve">without </w:t>
      </w:r>
      <w:r w:rsidR="00C7277B" w:rsidRPr="004978A0">
        <w:t>reasonable justification</w:t>
      </w:r>
      <w:r w:rsidR="00512345" w:rsidRPr="004978A0">
        <w:t>.</w:t>
      </w:r>
    </w:p>
    <w:p w14:paraId="1557E68A" w14:textId="24F3AC0C" w:rsidR="003C7903" w:rsidRDefault="003C7903" w:rsidP="00E105CE"/>
    <w:p w14:paraId="48568EF2" w14:textId="38EDE9E3" w:rsidR="00A22034" w:rsidRPr="00F44C41" w:rsidRDefault="00A22034" w:rsidP="00A22034">
      <w:pPr>
        <w:keepNext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Expiry</w:t>
      </w:r>
    </w:p>
    <w:p w14:paraId="3BB6BD1F" w14:textId="77777777" w:rsidR="00A22034" w:rsidRDefault="00A22034" w:rsidP="00A22034"/>
    <w:p w14:paraId="6C82149E" w14:textId="358A992D" w:rsidR="00A22034" w:rsidRDefault="00A22034" w:rsidP="00A22034">
      <w:pPr>
        <w:rPr>
          <w:lang w:val="en-US"/>
        </w:rPr>
      </w:pPr>
      <w:r>
        <w:rPr>
          <w:lang w:val="en-US"/>
        </w:rPr>
        <w:t xml:space="preserve">This instrument expires on </w:t>
      </w:r>
      <w:r w:rsidR="00635471">
        <w:rPr>
          <w:lang w:val="en-US"/>
        </w:rPr>
        <w:t>3</w:t>
      </w:r>
      <w:r w:rsidR="00CD2B68">
        <w:rPr>
          <w:lang w:val="en-US"/>
        </w:rPr>
        <w:t>1 July</w:t>
      </w:r>
      <w:r w:rsidR="00F07CD4">
        <w:rPr>
          <w:lang w:val="en-US"/>
        </w:rPr>
        <w:t xml:space="preserve"> </w:t>
      </w:r>
      <w:r w:rsidR="008E0389" w:rsidRPr="00A3533F">
        <w:rPr>
          <w:lang w:val="en-US"/>
        </w:rPr>
        <w:t>202</w:t>
      </w:r>
      <w:r w:rsidR="008E0389">
        <w:rPr>
          <w:lang w:val="en-US"/>
        </w:rPr>
        <w:t>2</w:t>
      </w:r>
      <w:r>
        <w:rPr>
          <w:lang w:val="en-US"/>
        </w:rPr>
        <w:t xml:space="preserve">. </w:t>
      </w:r>
    </w:p>
    <w:p w14:paraId="5F131766" w14:textId="7C947EC7" w:rsidR="00CD2B68" w:rsidRDefault="00CD2B68" w:rsidP="00A22034">
      <w:pPr>
        <w:rPr>
          <w:lang w:val="en-US"/>
        </w:rPr>
      </w:pPr>
    </w:p>
    <w:p w14:paraId="5C4A1796" w14:textId="77777777" w:rsidR="00A22034" w:rsidRDefault="00A22034" w:rsidP="00A22034">
      <w:pPr>
        <w:keepNext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Human Rights Act 2004</w:t>
      </w:r>
    </w:p>
    <w:p w14:paraId="2177ACF0" w14:textId="77777777" w:rsidR="00A22034" w:rsidRDefault="00A22034" w:rsidP="00A22034">
      <w:pPr>
        <w:rPr>
          <w:rFonts w:ascii="Arial" w:hAnsi="Arial" w:cs="Arial"/>
          <w:b/>
          <w:sz w:val="26"/>
          <w:szCs w:val="26"/>
        </w:rPr>
      </w:pPr>
    </w:p>
    <w:p w14:paraId="073225B1" w14:textId="2747FF3D" w:rsidR="00A22034" w:rsidRDefault="00A22034" w:rsidP="00A22034">
      <w:r>
        <w:t xml:space="preserve">This instrument provides an exemption to payroll tax and does not limit, and is consistent with, human rights. By </w:t>
      </w:r>
      <w:r w:rsidRPr="00AA7482">
        <w:t xml:space="preserve">providing exemption to </w:t>
      </w:r>
      <w:r w:rsidR="00AA7482">
        <w:t>wages paid or payable to eligible employees</w:t>
      </w:r>
      <w:r>
        <w:t>, it promotes the right to work (s</w:t>
      </w:r>
      <w:r w:rsidR="00F07CD4">
        <w:t>ection</w:t>
      </w:r>
      <w:r w:rsidR="008D36E1">
        <w:t xml:space="preserve"> </w:t>
      </w:r>
      <w:r>
        <w:t xml:space="preserve">27B of the </w:t>
      </w:r>
      <w:r w:rsidRPr="00FE67D1">
        <w:rPr>
          <w:i/>
          <w:iCs/>
        </w:rPr>
        <w:t>Human Rights Act</w:t>
      </w:r>
      <w:r w:rsidR="008D36E1">
        <w:rPr>
          <w:i/>
          <w:iCs/>
        </w:rPr>
        <w:t> </w:t>
      </w:r>
      <w:r w:rsidRPr="00FE67D1">
        <w:rPr>
          <w:i/>
          <w:iCs/>
        </w:rPr>
        <w:t>2004</w:t>
      </w:r>
      <w:r>
        <w:t>) by supporting jobs for the</w:t>
      </w:r>
      <w:r w:rsidR="00670187">
        <w:t xml:space="preserve"> ACT community, especially young people, including apprentices and trainees, who have been disproportionally affected</w:t>
      </w:r>
      <w:r w:rsidR="0062479F">
        <w:t xml:space="preserve"> by the COVID-19 pandemic</w:t>
      </w:r>
      <w:r>
        <w:t>.</w:t>
      </w:r>
    </w:p>
    <w:p w14:paraId="29DCBB1D" w14:textId="77777777" w:rsidR="00A22034" w:rsidRDefault="00A22034" w:rsidP="00A22034"/>
    <w:p w14:paraId="140309C6" w14:textId="24190FB5" w:rsidR="00A22034" w:rsidRDefault="00A22034" w:rsidP="00A22034">
      <w:r>
        <w:t xml:space="preserve">In accordance with the legislation, the </w:t>
      </w:r>
      <w:r w:rsidR="005209CD" w:rsidRPr="00E105CE">
        <w:t xml:space="preserve">Payroll Tax Exemption </w:t>
      </w:r>
      <w:r>
        <w:t>Determination includes a statement about whether</w:t>
      </w:r>
      <w:r w:rsidR="00287856">
        <w:t xml:space="preserve"> </w:t>
      </w:r>
      <w:r>
        <w:t xml:space="preserve">the scheme is consistent with human rights. </w:t>
      </w:r>
    </w:p>
    <w:p w14:paraId="539ABA49" w14:textId="77777777" w:rsidR="00A22034" w:rsidRDefault="00A22034" w:rsidP="00A22034"/>
    <w:p w14:paraId="71E955B0" w14:textId="31119B35" w:rsidR="00A22034" w:rsidRDefault="00183572" w:rsidP="00A22034">
      <w:r w:rsidRPr="00650681">
        <w:t>T</w:t>
      </w:r>
      <w:r w:rsidR="00A22034" w:rsidRPr="00650681">
        <w:t xml:space="preserve">he ACT Human Rights Commission has been consulted </w:t>
      </w:r>
      <w:r w:rsidRPr="00650681">
        <w:t>on</w:t>
      </w:r>
      <w:r w:rsidR="00A22034" w:rsidRPr="00650681">
        <w:t xml:space="preserve"> the </w:t>
      </w:r>
      <w:r w:rsidR="002532FE" w:rsidRPr="00650681">
        <w:t xml:space="preserve">Payroll Tax Exemption </w:t>
      </w:r>
      <w:r w:rsidR="00A22034" w:rsidRPr="00650681">
        <w:t>Determination.</w:t>
      </w:r>
    </w:p>
    <w:p w14:paraId="1F89329B" w14:textId="77777777" w:rsidR="00A22034" w:rsidRDefault="00A22034" w:rsidP="00A22034"/>
    <w:p w14:paraId="703C81BD" w14:textId="77777777" w:rsidR="00A22034" w:rsidRDefault="00A22034" w:rsidP="00E105CE"/>
    <w:p w14:paraId="6A7D014B" w14:textId="0AA29918" w:rsidR="007D28F9" w:rsidRPr="00520F36" w:rsidRDefault="007D28F9">
      <w:r w:rsidRPr="00520F36">
        <w:t xml:space="preserve">Authorised by </w:t>
      </w:r>
      <w:r w:rsidR="00AA6B8B" w:rsidRPr="00520F36">
        <w:t>the</w:t>
      </w:r>
      <w:r w:rsidR="005C73CE" w:rsidRPr="00520F36">
        <w:t xml:space="preserve"> </w:t>
      </w:r>
      <w:r w:rsidR="00755B4A">
        <w:t>Treasurer</w:t>
      </w:r>
    </w:p>
    <w:p w14:paraId="58A79A13" w14:textId="24EE3F74" w:rsidR="00AA6B8B" w:rsidRDefault="00755B4A">
      <w:r>
        <w:t>Andrew Barr MLA</w:t>
      </w:r>
    </w:p>
    <w:sectPr w:rsidR="00AA6B8B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7A291" w14:textId="77777777" w:rsidR="00D3463A" w:rsidRDefault="00D3463A" w:rsidP="00C17FAB">
      <w:r>
        <w:separator/>
      </w:r>
    </w:p>
  </w:endnote>
  <w:endnote w:type="continuationSeparator" w:id="0">
    <w:p w14:paraId="6741F435" w14:textId="77777777" w:rsidR="00D3463A" w:rsidRDefault="00D3463A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2F42B" w14:textId="77777777" w:rsidR="00A04AA5" w:rsidRDefault="00A04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E59E3" w14:textId="6D5A803B" w:rsidR="005477AA" w:rsidRPr="00A04AA5" w:rsidRDefault="00A04AA5" w:rsidP="00A04AA5">
    <w:pPr>
      <w:pStyle w:val="Footer"/>
      <w:jc w:val="center"/>
      <w:rPr>
        <w:rFonts w:cs="Arial"/>
        <w:sz w:val="14"/>
      </w:rPr>
    </w:pPr>
    <w:r w:rsidRPr="00A04AA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9DC7" w14:textId="77777777" w:rsidR="00A04AA5" w:rsidRDefault="00A04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73FB5" w14:textId="77777777" w:rsidR="00D3463A" w:rsidRDefault="00D3463A" w:rsidP="00C17FAB">
      <w:r>
        <w:separator/>
      </w:r>
    </w:p>
  </w:footnote>
  <w:footnote w:type="continuationSeparator" w:id="0">
    <w:p w14:paraId="0EAF1E3E" w14:textId="77777777" w:rsidR="00D3463A" w:rsidRDefault="00D3463A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9F0D7" w14:textId="77777777" w:rsidR="00A04AA5" w:rsidRDefault="00A04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BB4B6" w14:textId="77777777" w:rsidR="00A04AA5" w:rsidRDefault="00A04A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0F94D" w14:textId="77777777" w:rsidR="00A04AA5" w:rsidRDefault="00A04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7A42C7"/>
    <w:multiLevelType w:val="hybridMultilevel"/>
    <w:tmpl w:val="F53465B4"/>
    <w:lvl w:ilvl="0" w:tplc="0C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67479"/>
    <w:multiLevelType w:val="hybridMultilevel"/>
    <w:tmpl w:val="0F3E0C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71568"/>
    <w:multiLevelType w:val="hybridMultilevel"/>
    <w:tmpl w:val="996C3D50"/>
    <w:lvl w:ilvl="0" w:tplc="02640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82E7E"/>
    <w:multiLevelType w:val="hybridMultilevel"/>
    <w:tmpl w:val="92180AF8"/>
    <w:lvl w:ilvl="0" w:tplc="308A9238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44827844"/>
    <w:multiLevelType w:val="hybridMultilevel"/>
    <w:tmpl w:val="2CB0D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4416C"/>
    <w:multiLevelType w:val="hybridMultilevel"/>
    <w:tmpl w:val="B572476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F335A"/>
    <w:multiLevelType w:val="hybridMultilevel"/>
    <w:tmpl w:val="C31A709E"/>
    <w:lvl w:ilvl="0" w:tplc="18EC8A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E95950"/>
    <w:multiLevelType w:val="hybridMultilevel"/>
    <w:tmpl w:val="30D6E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F6636"/>
    <w:multiLevelType w:val="hybridMultilevel"/>
    <w:tmpl w:val="39A49D4E"/>
    <w:lvl w:ilvl="0" w:tplc="370ADA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714EF"/>
    <w:multiLevelType w:val="hybridMultilevel"/>
    <w:tmpl w:val="DA581434"/>
    <w:lvl w:ilvl="0" w:tplc="FBACB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22A27"/>
    <w:multiLevelType w:val="hybridMultilevel"/>
    <w:tmpl w:val="BBD0B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0AD7C41"/>
    <w:multiLevelType w:val="hybridMultilevel"/>
    <w:tmpl w:val="053AE3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E4F40AE4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18"/>
  </w:num>
  <w:num w:numId="6">
    <w:abstractNumId w:val="1"/>
  </w:num>
  <w:num w:numId="7">
    <w:abstractNumId w:val="8"/>
  </w:num>
  <w:num w:numId="8">
    <w:abstractNumId w:val="9"/>
  </w:num>
  <w:num w:numId="9">
    <w:abstractNumId w:val="20"/>
  </w:num>
  <w:num w:numId="10">
    <w:abstractNumId w:val="19"/>
  </w:num>
  <w:num w:numId="11">
    <w:abstractNumId w:val="5"/>
  </w:num>
  <w:num w:numId="12">
    <w:abstractNumId w:val="12"/>
  </w:num>
  <w:num w:numId="13">
    <w:abstractNumId w:val="14"/>
  </w:num>
  <w:num w:numId="14">
    <w:abstractNumId w:val="11"/>
  </w:num>
  <w:num w:numId="15">
    <w:abstractNumId w:val="17"/>
  </w:num>
  <w:num w:numId="16">
    <w:abstractNumId w:val="6"/>
  </w:num>
  <w:num w:numId="17">
    <w:abstractNumId w:val="13"/>
  </w:num>
  <w:num w:numId="18">
    <w:abstractNumId w:val="16"/>
  </w:num>
  <w:num w:numId="19">
    <w:abstractNumId w:val="15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60"/>
    <w:rsid w:val="00012096"/>
    <w:rsid w:val="00012988"/>
    <w:rsid w:val="0001521F"/>
    <w:rsid w:val="00031942"/>
    <w:rsid w:val="000370B7"/>
    <w:rsid w:val="0004401B"/>
    <w:rsid w:val="00044D06"/>
    <w:rsid w:val="00047F7C"/>
    <w:rsid w:val="0005616A"/>
    <w:rsid w:val="00057DF4"/>
    <w:rsid w:val="00067FC7"/>
    <w:rsid w:val="00084151"/>
    <w:rsid w:val="00084A95"/>
    <w:rsid w:val="000A0CDA"/>
    <w:rsid w:val="000A4950"/>
    <w:rsid w:val="000A4BA4"/>
    <w:rsid w:val="000A69CC"/>
    <w:rsid w:val="000B47B3"/>
    <w:rsid w:val="000C0320"/>
    <w:rsid w:val="000D7351"/>
    <w:rsid w:val="00104E59"/>
    <w:rsid w:val="0011786A"/>
    <w:rsid w:val="001238B1"/>
    <w:rsid w:val="0013287B"/>
    <w:rsid w:val="001364BF"/>
    <w:rsid w:val="0015449C"/>
    <w:rsid w:val="001546D9"/>
    <w:rsid w:val="00163067"/>
    <w:rsid w:val="00164171"/>
    <w:rsid w:val="0016668E"/>
    <w:rsid w:val="00172535"/>
    <w:rsid w:val="0017278A"/>
    <w:rsid w:val="00175FAA"/>
    <w:rsid w:val="00183572"/>
    <w:rsid w:val="001B66A3"/>
    <w:rsid w:val="001D43EE"/>
    <w:rsid w:val="001F780B"/>
    <w:rsid w:val="00233323"/>
    <w:rsid w:val="00244B5E"/>
    <w:rsid w:val="002532FE"/>
    <w:rsid w:val="00256FA9"/>
    <w:rsid w:val="00261087"/>
    <w:rsid w:val="002634DB"/>
    <w:rsid w:val="002838D3"/>
    <w:rsid w:val="00287856"/>
    <w:rsid w:val="00295B06"/>
    <w:rsid w:val="002A04BC"/>
    <w:rsid w:val="002A3727"/>
    <w:rsid w:val="002C747B"/>
    <w:rsid w:val="002D24F1"/>
    <w:rsid w:val="002D3299"/>
    <w:rsid w:val="002D6F30"/>
    <w:rsid w:val="002D7C60"/>
    <w:rsid w:val="002E57BB"/>
    <w:rsid w:val="002F36B3"/>
    <w:rsid w:val="003135A1"/>
    <w:rsid w:val="00324663"/>
    <w:rsid w:val="003469C8"/>
    <w:rsid w:val="003543A7"/>
    <w:rsid w:val="003642CE"/>
    <w:rsid w:val="00377126"/>
    <w:rsid w:val="003A2713"/>
    <w:rsid w:val="003B114F"/>
    <w:rsid w:val="003B2344"/>
    <w:rsid w:val="003C158F"/>
    <w:rsid w:val="003C7903"/>
    <w:rsid w:val="003E168F"/>
    <w:rsid w:val="00411529"/>
    <w:rsid w:val="004119D9"/>
    <w:rsid w:val="00427F9B"/>
    <w:rsid w:val="00441374"/>
    <w:rsid w:val="00475FB5"/>
    <w:rsid w:val="00497109"/>
    <w:rsid w:val="004978A0"/>
    <w:rsid w:val="004A5186"/>
    <w:rsid w:val="004E6ED0"/>
    <w:rsid w:val="004F4E2E"/>
    <w:rsid w:val="005035B3"/>
    <w:rsid w:val="00512345"/>
    <w:rsid w:val="005209CD"/>
    <w:rsid w:val="00520F36"/>
    <w:rsid w:val="00545537"/>
    <w:rsid w:val="005477AA"/>
    <w:rsid w:val="00561CB1"/>
    <w:rsid w:val="00577614"/>
    <w:rsid w:val="00577C99"/>
    <w:rsid w:val="005817ED"/>
    <w:rsid w:val="00581A87"/>
    <w:rsid w:val="005B0A55"/>
    <w:rsid w:val="005B1C9C"/>
    <w:rsid w:val="005C69BF"/>
    <w:rsid w:val="005C73CE"/>
    <w:rsid w:val="005D632E"/>
    <w:rsid w:val="005D7612"/>
    <w:rsid w:val="005E0D3B"/>
    <w:rsid w:val="005E1E81"/>
    <w:rsid w:val="005F6A8E"/>
    <w:rsid w:val="005F6AF3"/>
    <w:rsid w:val="005F6C0A"/>
    <w:rsid w:val="0061332A"/>
    <w:rsid w:val="0061387B"/>
    <w:rsid w:val="006174F0"/>
    <w:rsid w:val="0062479F"/>
    <w:rsid w:val="00635471"/>
    <w:rsid w:val="006432F8"/>
    <w:rsid w:val="00650681"/>
    <w:rsid w:val="00651EE6"/>
    <w:rsid w:val="00656F3F"/>
    <w:rsid w:val="00660AFE"/>
    <w:rsid w:val="0066291F"/>
    <w:rsid w:val="0066799B"/>
    <w:rsid w:val="00670187"/>
    <w:rsid w:val="0069653A"/>
    <w:rsid w:val="006A45E0"/>
    <w:rsid w:val="006A550B"/>
    <w:rsid w:val="006C5788"/>
    <w:rsid w:val="006C7109"/>
    <w:rsid w:val="006C7D45"/>
    <w:rsid w:val="006D043D"/>
    <w:rsid w:val="006D2B49"/>
    <w:rsid w:val="006D2FC8"/>
    <w:rsid w:val="006E47F1"/>
    <w:rsid w:val="006F11E7"/>
    <w:rsid w:val="006F4177"/>
    <w:rsid w:val="006F5788"/>
    <w:rsid w:val="007346AC"/>
    <w:rsid w:val="00737396"/>
    <w:rsid w:val="00746C1D"/>
    <w:rsid w:val="00750038"/>
    <w:rsid w:val="00752A95"/>
    <w:rsid w:val="00755B4A"/>
    <w:rsid w:val="007659B0"/>
    <w:rsid w:val="007819E5"/>
    <w:rsid w:val="00791EFD"/>
    <w:rsid w:val="0079709A"/>
    <w:rsid w:val="007D28F9"/>
    <w:rsid w:val="007D6E52"/>
    <w:rsid w:val="007E7717"/>
    <w:rsid w:val="007F669E"/>
    <w:rsid w:val="00803D9B"/>
    <w:rsid w:val="00811D1F"/>
    <w:rsid w:val="008254D8"/>
    <w:rsid w:val="008275AD"/>
    <w:rsid w:val="00831E29"/>
    <w:rsid w:val="00842517"/>
    <w:rsid w:val="00860C3C"/>
    <w:rsid w:val="0086346C"/>
    <w:rsid w:val="00896DB3"/>
    <w:rsid w:val="008A124E"/>
    <w:rsid w:val="008A56E8"/>
    <w:rsid w:val="008C0A45"/>
    <w:rsid w:val="008C3242"/>
    <w:rsid w:val="008C69ED"/>
    <w:rsid w:val="008D36E1"/>
    <w:rsid w:val="008E0389"/>
    <w:rsid w:val="008E3286"/>
    <w:rsid w:val="00906BE8"/>
    <w:rsid w:val="00913395"/>
    <w:rsid w:val="00925BC9"/>
    <w:rsid w:val="00930A10"/>
    <w:rsid w:val="00953D64"/>
    <w:rsid w:val="00964B20"/>
    <w:rsid w:val="0099199D"/>
    <w:rsid w:val="009943F3"/>
    <w:rsid w:val="00994473"/>
    <w:rsid w:val="009C29BC"/>
    <w:rsid w:val="009C2A35"/>
    <w:rsid w:val="009C3E3F"/>
    <w:rsid w:val="009C6B4D"/>
    <w:rsid w:val="009D7400"/>
    <w:rsid w:val="009E46E7"/>
    <w:rsid w:val="009F3470"/>
    <w:rsid w:val="00A0434D"/>
    <w:rsid w:val="00A04AA5"/>
    <w:rsid w:val="00A05764"/>
    <w:rsid w:val="00A22034"/>
    <w:rsid w:val="00A3533F"/>
    <w:rsid w:val="00A438C9"/>
    <w:rsid w:val="00A56DE4"/>
    <w:rsid w:val="00A56F28"/>
    <w:rsid w:val="00A665DB"/>
    <w:rsid w:val="00A82A9D"/>
    <w:rsid w:val="00A84C4F"/>
    <w:rsid w:val="00A87FA6"/>
    <w:rsid w:val="00A90B67"/>
    <w:rsid w:val="00A96525"/>
    <w:rsid w:val="00AA6B8B"/>
    <w:rsid w:val="00AA7482"/>
    <w:rsid w:val="00AE2586"/>
    <w:rsid w:val="00B04048"/>
    <w:rsid w:val="00B258A9"/>
    <w:rsid w:val="00B30776"/>
    <w:rsid w:val="00B42C1D"/>
    <w:rsid w:val="00B474F6"/>
    <w:rsid w:val="00B54D34"/>
    <w:rsid w:val="00B67ABD"/>
    <w:rsid w:val="00B82282"/>
    <w:rsid w:val="00BA71C4"/>
    <w:rsid w:val="00BB5C97"/>
    <w:rsid w:val="00BC61FF"/>
    <w:rsid w:val="00BD2818"/>
    <w:rsid w:val="00BE45A4"/>
    <w:rsid w:val="00BE5EB3"/>
    <w:rsid w:val="00BE638E"/>
    <w:rsid w:val="00BF07D4"/>
    <w:rsid w:val="00C07E4C"/>
    <w:rsid w:val="00C17FAB"/>
    <w:rsid w:val="00C47F0F"/>
    <w:rsid w:val="00C614AD"/>
    <w:rsid w:val="00C62E5C"/>
    <w:rsid w:val="00C66225"/>
    <w:rsid w:val="00C7277B"/>
    <w:rsid w:val="00C76331"/>
    <w:rsid w:val="00C77D03"/>
    <w:rsid w:val="00C80CE3"/>
    <w:rsid w:val="00C83B7E"/>
    <w:rsid w:val="00C94AA5"/>
    <w:rsid w:val="00C97F02"/>
    <w:rsid w:val="00CA11F6"/>
    <w:rsid w:val="00CA540C"/>
    <w:rsid w:val="00CB2277"/>
    <w:rsid w:val="00CB46F5"/>
    <w:rsid w:val="00CB5A12"/>
    <w:rsid w:val="00CB6874"/>
    <w:rsid w:val="00CC3FA7"/>
    <w:rsid w:val="00CD2B68"/>
    <w:rsid w:val="00CD697C"/>
    <w:rsid w:val="00CE2DC9"/>
    <w:rsid w:val="00CE599C"/>
    <w:rsid w:val="00CF0B1F"/>
    <w:rsid w:val="00CF1C02"/>
    <w:rsid w:val="00D13F6F"/>
    <w:rsid w:val="00D3463A"/>
    <w:rsid w:val="00D36662"/>
    <w:rsid w:val="00D44937"/>
    <w:rsid w:val="00D44F56"/>
    <w:rsid w:val="00D45330"/>
    <w:rsid w:val="00D56FBF"/>
    <w:rsid w:val="00D624E7"/>
    <w:rsid w:val="00D72B24"/>
    <w:rsid w:val="00D91ECF"/>
    <w:rsid w:val="00DA1B90"/>
    <w:rsid w:val="00DA3B00"/>
    <w:rsid w:val="00DA410E"/>
    <w:rsid w:val="00DC022E"/>
    <w:rsid w:val="00DC1939"/>
    <w:rsid w:val="00E0336D"/>
    <w:rsid w:val="00E0373A"/>
    <w:rsid w:val="00E05B50"/>
    <w:rsid w:val="00E105CE"/>
    <w:rsid w:val="00E534C1"/>
    <w:rsid w:val="00E5461D"/>
    <w:rsid w:val="00E556B2"/>
    <w:rsid w:val="00E60774"/>
    <w:rsid w:val="00E60E52"/>
    <w:rsid w:val="00E64237"/>
    <w:rsid w:val="00E64DA7"/>
    <w:rsid w:val="00E809D1"/>
    <w:rsid w:val="00E82F6B"/>
    <w:rsid w:val="00E856E4"/>
    <w:rsid w:val="00E94C80"/>
    <w:rsid w:val="00EB2F3D"/>
    <w:rsid w:val="00EB365D"/>
    <w:rsid w:val="00EB466E"/>
    <w:rsid w:val="00EB4C95"/>
    <w:rsid w:val="00ED6089"/>
    <w:rsid w:val="00EE3408"/>
    <w:rsid w:val="00EE3561"/>
    <w:rsid w:val="00EE47CE"/>
    <w:rsid w:val="00F07CD4"/>
    <w:rsid w:val="00F119D0"/>
    <w:rsid w:val="00F33B72"/>
    <w:rsid w:val="00F357F7"/>
    <w:rsid w:val="00F43DFE"/>
    <w:rsid w:val="00F51E5C"/>
    <w:rsid w:val="00F72118"/>
    <w:rsid w:val="00FA197F"/>
    <w:rsid w:val="00FB798F"/>
    <w:rsid w:val="00FC277C"/>
    <w:rsid w:val="00FD1187"/>
    <w:rsid w:val="00FD75CE"/>
    <w:rsid w:val="00FF02B4"/>
    <w:rsid w:val="00FF091E"/>
    <w:rsid w:val="00FF38BD"/>
    <w:rsid w:val="00FF3C99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55985415"/>
  <w15:docId w15:val="{C613F87D-B3BC-45CB-868E-9427CDDE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DocumentMap">
    <w:name w:val="Document Map"/>
    <w:basedOn w:val="Normal"/>
    <w:link w:val="DocumentMapChar"/>
    <w:uiPriority w:val="99"/>
    <w:semiHidden/>
    <w:unhideWhenUsed/>
    <w:rsid w:val="006F417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417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56F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4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C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C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C4F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C4F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33323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06BE8"/>
    <w:pPr>
      <w:spacing w:before="100" w:beforeAutospacing="1" w:after="100" w:afterAutospacing="1"/>
    </w:pPr>
    <w:rPr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906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9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10CD-3AE5-45E7-AF1E-93027192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3350</Characters>
  <Application>Microsoft Office Word</Application>
  <DocSecurity>0</DocSecurity>
  <Lines>95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Moxon, KarenL</cp:lastModifiedBy>
  <cp:revision>4</cp:revision>
  <cp:lastPrinted>2019-04-29T03:14:00Z</cp:lastPrinted>
  <dcterms:created xsi:type="dcterms:W3CDTF">2021-06-30T00:40:00Z</dcterms:created>
  <dcterms:modified xsi:type="dcterms:W3CDTF">2021-06-30T00:40:00Z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1244284</vt:lpwstr>
  </property>
  <property fmtid="{D5CDD505-2E9C-101B-9397-08002B2CF9AE}" pid="4" name="JMSREQUIREDCHECKIN">
    <vt:lpwstr/>
  </property>
</Properties>
</file>