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D70F1" w:rsidRDefault="005D70F1">
      <w:pPr>
        <w:spacing w:before="120"/>
        <w:rPr>
          <w:rFonts w:ascii="Arial" w:hAnsi="Arial" w:cs="Arial"/>
        </w:rPr>
      </w:pPr>
      <w:bookmarkStart w:id="0" w:name="_Toc44738651"/>
      <w:smartTag w:uri="urn:schemas-microsoft-com:office:smarttags" w:element="place">
        <w:smartTag w:uri="urn:schemas-microsoft-com:office:smarttags" w:element="State">
          <w:r>
            <w:rPr>
              <w:rFonts w:ascii="Arial" w:hAnsi="Arial" w:cs="Arial"/>
            </w:rPr>
            <w:t>Australian Capital Territory</w:t>
          </w:r>
        </w:smartTag>
      </w:smartTag>
      <w:r w:rsidR="008A5C9A">
        <w:rPr>
          <w:rFonts w:ascii="Arial" w:hAnsi="Arial" w:cs="Arial"/>
        </w:rPr>
        <w:t xml:space="preserve"> </w:t>
      </w:r>
      <w:r w:rsidR="00460184">
        <w:rPr>
          <w:rFonts w:ascii="Arial" w:hAnsi="Arial" w:cs="Arial"/>
        </w:rPr>
        <w:t xml:space="preserve"> </w:t>
      </w:r>
    </w:p>
    <w:p w:rsidR="005D70F1" w:rsidRDefault="005E3B6D">
      <w:pPr>
        <w:pStyle w:val="Billname"/>
        <w:spacing w:before="700"/>
      </w:pPr>
      <w:r w:rsidRPr="005E3B6D">
        <w:t>Utilities (ACT Retail Electricity – Transparency and Comparability Code) Determination 2021</w:t>
      </w:r>
    </w:p>
    <w:p w:rsidR="005D70F1" w:rsidRDefault="005D70F1">
      <w:pPr>
        <w:spacing w:before="240" w:after="60"/>
        <w:rPr>
          <w:rFonts w:ascii="Arial" w:hAnsi="Arial" w:cs="Arial"/>
          <w:b/>
          <w:bCs/>
          <w:vertAlign w:val="superscript"/>
        </w:rPr>
      </w:pPr>
      <w:r>
        <w:rPr>
          <w:rFonts w:ascii="Arial" w:hAnsi="Arial" w:cs="Arial"/>
          <w:b/>
          <w:bCs/>
        </w:rPr>
        <w:t>Disallowable instrument DI20</w:t>
      </w:r>
      <w:r w:rsidR="00460184">
        <w:rPr>
          <w:rFonts w:ascii="Arial" w:hAnsi="Arial" w:cs="Arial"/>
          <w:b/>
          <w:bCs/>
        </w:rPr>
        <w:t>21</w:t>
      </w:r>
      <w:r>
        <w:rPr>
          <w:rFonts w:ascii="Arial" w:hAnsi="Arial" w:cs="Arial"/>
          <w:b/>
          <w:bCs/>
        </w:rPr>
        <w:t>–</w:t>
      </w:r>
      <w:r w:rsidR="00822D53">
        <w:rPr>
          <w:rFonts w:ascii="Arial" w:hAnsi="Arial" w:cs="Arial"/>
          <w:b/>
          <w:bCs/>
        </w:rPr>
        <w:t>182</w:t>
      </w:r>
    </w:p>
    <w:p w:rsidR="005D70F1" w:rsidRDefault="005D70F1">
      <w:pPr>
        <w:pStyle w:val="madeunder"/>
        <w:spacing w:before="240" w:after="120"/>
      </w:pPr>
      <w:r>
        <w:t xml:space="preserve">made under the  </w:t>
      </w:r>
    </w:p>
    <w:p w:rsidR="005D70F1" w:rsidRDefault="00460184">
      <w:pPr>
        <w:pStyle w:val="CoverActName"/>
        <w:rPr>
          <w:rFonts w:cs="Arial"/>
          <w:sz w:val="20"/>
        </w:rPr>
      </w:pPr>
      <w:r>
        <w:rPr>
          <w:rFonts w:cs="Arial"/>
          <w:sz w:val="20"/>
        </w:rPr>
        <w:t xml:space="preserve">Utilities Act 2000, section 59 </w:t>
      </w:r>
      <w:r w:rsidR="005D70F1">
        <w:rPr>
          <w:rFonts w:cs="Arial"/>
          <w:sz w:val="20"/>
        </w:rPr>
        <w:t>(</w:t>
      </w:r>
      <w:r>
        <w:rPr>
          <w:rFonts w:cs="Arial"/>
          <w:sz w:val="20"/>
        </w:rPr>
        <w:t>Determined Codes</w:t>
      </w:r>
      <w:r w:rsidR="005D70F1">
        <w:rPr>
          <w:rFonts w:cs="Arial"/>
          <w:sz w:val="20"/>
        </w:rPr>
        <w:t>)</w:t>
      </w:r>
      <w:r w:rsidR="008A5C9A">
        <w:rPr>
          <w:rFonts w:cs="Arial"/>
          <w:sz w:val="20"/>
        </w:rPr>
        <w:t xml:space="preserve"> </w:t>
      </w:r>
      <w:r w:rsidR="00B43548">
        <w:rPr>
          <w:rFonts w:cs="Arial"/>
          <w:sz w:val="20"/>
        </w:rPr>
        <w:t>and s63 (Public Access)</w:t>
      </w:r>
    </w:p>
    <w:p w:rsidR="005D70F1" w:rsidRDefault="005D70F1" w:rsidP="00897A8C">
      <w:pPr>
        <w:spacing w:before="360" w:after="120"/>
        <w:ind w:right="567"/>
        <w:rPr>
          <w:rFonts w:ascii="Arial" w:hAnsi="Arial" w:cs="Arial"/>
          <w:b/>
          <w:bCs/>
          <w:sz w:val="28"/>
          <w:szCs w:val="28"/>
        </w:rPr>
      </w:pPr>
      <w:r>
        <w:rPr>
          <w:rFonts w:ascii="Arial" w:hAnsi="Arial" w:cs="Arial"/>
          <w:b/>
          <w:bCs/>
          <w:sz w:val="28"/>
          <w:szCs w:val="28"/>
        </w:rPr>
        <w:t>EXPLANATORY STATEMENT</w:t>
      </w:r>
      <w:r w:rsidR="008A5C9A">
        <w:rPr>
          <w:rFonts w:ascii="Arial" w:hAnsi="Arial" w:cs="Arial"/>
          <w:b/>
          <w:bCs/>
          <w:sz w:val="28"/>
          <w:szCs w:val="28"/>
        </w:rPr>
        <w:t xml:space="preserve"> </w:t>
      </w:r>
    </w:p>
    <w:p w:rsidR="005D70F1" w:rsidRDefault="005D70F1" w:rsidP="00897A8C">
      <w:pPr>
        <w:pStyle w:val="N-line3"/>
        <w:pBdr>
          <w:top w:val="single" w:sz="12" w:space="1" w:color="auto"/>
          <w:bottom w:val="none" w:sz="0" w:space="0" w:color="auto"/>
        </w:pBdr>
        <w:spacing w:before="120" w:after="120"/>
      </w:pPr>
    </w:p>
    <w:bookmarkEnd w:id="0"/>
    <w:p w:rsidR="00B43548" w:rsidRPr="003D4B05" w:rsidRDefault="00B43548" w:rsidP="004E7511">
      <w:pPr>
        <w:keepNext/>
        <w:spacing w:after="120"/>
        <w:rPr>
          <w:b/>
          <w:bCs/>
        </w:rPr>
      </w:pPr>
      <w:r w:rsidRPr="003D4B05">
        <w:rPr>
          <w:b/>
          <w:bCs/>
        </w:rPr>
        <w:t xml:space="preserve">Purpose of the </w:t>
      </w:r>
      <w:r w:rsidR="005E3B6D" w:rsidRPr="005E3B6D">
        <w:rPr>
          <w:b/>
          <w:bCs/>
          <w:i/>
          <w:iCs/>
        </w:rPr>
        <w:t>Utilities (ACT Retail Electricity – Transparency and Comparability Code) Determination 2021</w:t>
      </w:r>
    </w:p>
    <w:p w:rsidR="00B43548" w:rsidRDefault="00B43548" w:rsidP="00897A8C">
      <w:pPr>
        <w:spacing w:before="120" w:after="120"/>
      </w:pPr>
      <w:r>
        <w:t>T</w:t>
      </w:r>
      <w:r w:rsidR="00AF374F">
        <w:t xml:space="preserve">he </w:t>
      </w:r>
      <w:r w:rsidR="005E3B6D" w:rsidRPr="005E3B6D">
        <w:rPr>
          <w:i/>
          <w:iCs/>
        </w:rPr>
        <w:t>Utilities (ACT Retail Electricity – Transparency and Comparability Code) Determination 2021</w:t>
      </w:r>
      <w:r w:rsidR="00AF374F">
        <w:t xml:space="preserve"> (Code) is an industry code determined by the Independent Competition and Regulatory Commission (ICRC) under the </w:t>
      </w:r>
      <w:r w:rsidR="00AF374F" w:rsidRPr="003D4B05">
        <w:rPr>
          <w:i/>
          <w:iCs/>
        </w:rPr>
        <w:t>Utilities Act 2000</w:t>
      </w:r>
      <w:r w:rsidR="00AC31BB">
        <w:rPr>
          <w:i/>
          <w:iCs/>
        </w:rPr>
        <w:t xml:space="preserve"> </w:t>
      </w:r>
      <w:r w:rsidR="00AC31BB" w:rsidRPr="002D0FA9">
        <w:t>(ACT)</w:t>
      </w:r>
      <w:r w:rsidR="00AF374F">
        <w:t xml:space="preserve"> (Utilities Act). </w:t>
      </w:r>
    </w:p>
    <w:p w:rsidR="00B7312D" w:rsidRDefault="00AF374F" w:rsidP="00897A8C">
      <w:pPr>
        <w:spacing w:before="120" w:after="120"/>
      </w:pPr>
      <w:r w:rsidRPr="00B7312D">
        <w:t xml:space="preserve">The Code outlines the </w:t>
      </w:r>
      <w:r w:rsidR="00261604">
        <w:t>requirements for electricity retailers to</w:t>
      </w:r>
      <w:r w:rsidR="00B7312D">
        <w:t>:</w:t>
      </w:r>
    </w:p>
    <w:p w:rsidR="00B7312D" w:rsidRDefault="00261604" w:rsidP="006E563A">
      <w:pPr>
        <w:numPr>
          <w:ilvl w:val="0"/>
          <w:numId w:val="9"/>
        </w:numPr>
        <w:spacing w:before="40" w:after="40"/>
        <w:ind w:left="714" w:hanging="357"/>
      </w:pPr>
      <w:r>
        <w:t xml:space="preserve">compare their prices to </w:t>
      </w:r>
      <w:r w:rsidR="008A2978">
        <w:t xml:space="preserve">the </w:t>
      </w:r>
      <w:r w:rsidR="008A2978" w:rsidRPr="009750A8">
        <w:rPr>
          <w:i/>
          <w:iCs/>
        </w:rPr>
        <w:t>Utilities (Representative Consumption and Reference Price) Determination 2021</w:t>
      </w:r>
      <w:r>
        <w:t xml:space="preserve"> in advertising to small customers </w:t>
      </w:r>
    </w:p>
    <w:p w:rsidR="00F61FD3" w:rsidRDefault="00261604" w:rsidP="006E563A">
      <w:pPr>
        <w:numPr>
          <w:ilvl w:val="0"/>
          <w:numId w:val="9"/>
        </w:numPr>
        <w:spacing w:before="40" w:after="40"/>
        <w:ind w:left="714" w:hanging="357"/>
      </w:pPr>
      <w:r>
        <w:t xml:space="preserve">undertake a better offer check </w:t>
      </w:r>
      <w:r w:rsidR="00B7312D">
        <w:t>to identify if the retailer has a better offer for the small customer</w:t>
      </w:r>
      <w:r w:rsidR="0060434D">
        <w:t>,</w:t>
      </w:r>
      <w:r w:rsidR="00B7312D">
        <w:t xml:space="preserve"> </w:t>
      </w:r>
      <w:r w:rsidR="004E7511">
        <w:t>give</w:t>
      </w:r>
      <w:r>
        <w:t xml:space="preserve"> a message to </w:t>
      </w:r>
      <w:r w:rsidR="00B7312D">
        <w:t xml:space="preserve">small customers that they </w:t>
      </w:r>
      <w:r w:rsidR="004E7511">
        <w:t xml:space="preserve">may </w:t>
      </w:r>
      <w:r w:rsidR="00B7312D">
        <w:t>have a better offer</w:t>
      </w:r>
      <w:r w:rsidR="0060434D">
        <w:t>,</w:t>
      </w:r>
      <w:r w:rsidR="00B7312D">
        <w:t xml:space="preserve"> and </w:t>
      </w:r>
      <w:r w:rsidR="00897A8C">
        <w:t xml:space="preserve">encourage </w:t>
      </w:r>
      <w:r w:rsidR="00B7312D">
        <w:t xml:space="preserve">the small customer </w:t>
      </w:r>
      <w:r w:rsidR="00897A8C">
        <w:t>to</w:t>
      </w:r>
      <w:r w:rsidR="00B7312D">
        <w:t xml:space="preserve"> </w:t>
      </w:r>
      <w:r w:rsidR="00897A8C">
        <w:t>contact</w:t>
      </w:r>
      <w:r w:rsidR="00B7312D">
        <w:t xml:space="preserve"> them </w:t>
      </w:r>
    </w:p>
    <w:p w:rsidR="00F61FD3" w:rsidRDefault="00F61FD3" w:rsidP="006E563A">
      <w:pPr>
        <w:numPr>
          <w:ilvl w:val="0"/>
          <w:numId w:val="9"/>
        </w:numPr>
        <w:spacing w:before="40" w:after="40"/>
        <w:ind w:left="714" w:hanging="357"/>
      </w:pPr>
      <w:r>
        <w:t xml:space="preserve">give </w:t>
      </w:r>
      <w:r w:rsidRPr="00B7312D">
        <w:t>small customers</w:t>
      </w:r>
      <w:r>
        <w:t xml:space="preserve"> an entitlement to clear, timely and reliable information, provided in a respectful manner, to assist the </w:t>
      </w:r>
      <w:r w:rsidRPr="00B7312D">
        <w:t>small customer</w:t>
      </w:r>
      <w:r>
        <w:t xml:space="preserve"> to assess the suitability of, and select, a </w:t>
      </w:r>
      <w:r w:rsidRPr="00B7312D">
        <w:t>retail electricity contract</w:t>
      </w:r>
      <w:r>
        <w:t>.</w:t>
      </w:r>
    </w:p>
    <w:p w:rsidR="00456B9A" w:rsidRDefault="00B7312D" w:rsidP="00897A8C">
      <w:pPr>
        <w:spacing w:before="120" w:after="120"/>
      </w:pPr>
      <w:r>
        <w:t>The</w:t>
      </w:r>
      <w:r w:rsidR="001708D1">
        <w:t>re is also an</w:t>
      </w:r>
      <w:r>
        <w:t xml:space="preserve"> obligation</w:t>
      </w:r>
      <w:r w:rsidR="00897A8C">
        <w:t xml:space="preserve"> for retailers</w:t>
      </w:r>
      <w:r>
        <w:t xml:space="preserve"> to </w:t>
      </w:r>
      <w:r w:rsidR="00897A8C">
        <w:t>give</w:t>
      </w:r>
      <w:r>
        <w:t xml:space="preserve"> small customers the contact details of the </w:t>
      </w:r>
      <w:r w:rsidR="00897A8C">
        <w:t xml:space="preserve">Australian Government’s </w:t>
      </w:r>
      <w:r>
        <w:t xml:space="preserve">price comparator website. </w:t>
      </w:r>
    </w:p>
    <w:p w:rsidR="00250C81" w:rsidRDefault="00F61FD3" w:rsidP="00897A8C">
      <w:pPr>
        <w:spacing w:before="120" w:after="120"/>
      </w:pPr>
      <w:r>
        <w:t>To</w:t>
      </w:r>
      <w:r w:rsidR="00B57DE9">
        <w:t xml:space="preserve"> minimise the costs of implementing the Code, the </w:t>
      </w:r>
      <w:r w:rsidR="00EA3877">
        <w:t>ICRC</w:t>
      </w:r>
      <w:r w:rsidR="00B57DE9">
        <w:t xml:space="preserve"> has decided </w:t>
      </w:r>
      <w:r>
        <w:t>to allow a</w:t>
      </w:r>
      <w:r w:rsidR="00B57DE9">
        <w:t xml:space="preserve"> transitional </w:t>
      </w:r>
      <w:r w:rsidR="00456B9A">
        <w:t xml:space="preserve">period </w:t>
      </w:r>
      <w:r w:rsidR="00B57DE9">
        <w:t xml:space="preserve">for retailers </w:t>
      </w:r>
      <w:r w:rsidR="00456B9A">
        <w:t>to implement</w:t>
      </w:r>
      <w:r w:rsidR="00B57DE9">
        <w:t xml:space="preserve"> the obligation to identify if </w:t>
      </w:r>
      <w:r w:rsidR="00456B9A">
        <w:t>they have</w:t>
      </w:r>
      <w:r w:rsidR="00B57DE9">
        <w:t xml:space="preserve"> a better offer available for the small customer</w:t>
      </w:r>
      <w:r w:rsidR="00456B9A">
        <w:t xml:space="preserve">. </w:t>
      </w:r>
    </w:p>
    <w:p w:rsidR="00B43548" w:rsidRDefault="00897A8C" w:rsidP="00897A8C">
      <w:pPr>
        <w:spacing w:before="120" w:after="120"/>
      </w:pPr>
      <w:r>
        <w:t>During</w:t>
      </w:r>
      <w:r w:rsidR="00456B9A">
        <w:t xml:space="preserve"> the transitional period</w:t>
      </w:r>
      <w:r w:rsidR="00F61FD3">
        <w:t xml:space="preserve">, </w:t>
      </w:r>
      <w:r w:rsidR="00456B9A">
        <w:t>retailer</w:t>
      </w:r>
      <w:r w:rsidR="00F61FD3">
        <w:t>s</w:t>
      </w:r>
      <w:r w:rsidR="00456B9A">
        <w:t xml:space="preserve"> will</w:t>
      </w:r>
      <w:r w:rsidR="00F61FD3">
        <w:t xml:space="preserve"> </w:t>
      </w:r>
      <w:r w:rsidR="00456B9A">
        <w:t>have to provide a message to small customers</w:t>
      </w:r>
      <w:r w:rsidR="00F61FD3">
        <w:t xml:space="preserve"> </w:t>
      </w:r>
      <w:r>
        <w:t>on</w:t>
      </w:r>
      <w:r w:rsidR="00456B9A">
        <w:t xml:space="preserve"> the</w:t>
      </w:r>
      <w:r w:rsidR="00F61FD3">
        <w:t>ir</w:t>
      </w:r>
      <w:r w:rsidR="00456B9A">
        <w:t xml:space="preserve"> bill</w:t>
      </w:r>
      <w:r w:rsidR="00F61FD3">
        <w:t>s</w:t>
      </w:r>
      <w:r w:rsidR="00456B9A">
        <w:t>,</w:t>
      </w:r>
      <w:r w:rsidR="00F61FD3">
        <w:t xml:space="preserve"> recommending</w:t>
      </w:r>
      <w:r w:rsidR="00456B9A">
        <w:t xml:space="preserve"> the small customer contact the retailer to discuss the different plans that are available</w:t>
      </w:r>
      <w:r w:rsidR="00250C81">
        <w:t>. The message must also</w:t>
      </w:r>
      <w:r w:rsidR="00456B9A">
        <w:t xml:space="preserve"> provide the contact details of the </w:t>
      </w:r>
      <w:r>
        <w:t xml:space="preserve">Australian Government’s </w:t>
      </w:r>
      <w:r w:rsidR="00456B9A">
        <w:t xml:space="preserve">price comparator website. </w:t>
      </w:r>
    </w:p>
    <w:p w:rsidR="00B43548" w:rsidRPr="00AF374F" w:rsidRDefault="00250C81" w:rsidP="00897A8C">
      <w:pPr>
        <w:spacing w:before="120" w:after="120"/>
      </w:pPr>
      <w:r>
        <w:lastRenderedPageBreak/>
        <w:t>I</w:t>
      </w:r>
      <w:r w:rsidR="00B43548" w:rsidRPr="00B43548">
        <w:t xml:space="preserve">n </w:t>
      </w:r>
      <w:r w:rsidR="00B43548" w:rsidRPr="003D4B05">
        <w:t>the</w:t>
      </w:r>
      <w:r w:rsidR="00B43548" w:rsidRPr="003D4B05">
        <w:rPr>
          <w:i/>
          <w:iCs/>
        </w:rPr>
        <w:t xml:space="preserve"> Utilities (Improving Transparency and Comparability of Retail Electricity Offers) Ministerial</w:t>
      </w:r>
      <w:r w:rsidR="00B43548" w:rsidRPr="002D0FA9">
        <w:rPr>
          <w:i/>
          <w:iCs/>
        </w:rPr>
        <w:t xml:space="preserve"> </w:t>
      </w:r>
      <w:r w:rsidR="00B43548" w:rsidRPr="003D4B05">
        <w:rPr>
          <w:i/>
          <w:iCs/>
        </w:rPr>
        <w:t>Direction</w:t>
      </w:r>
      <w:r w:rsidR="00B43548" w:rsidRPr="002D0FA9">
        <w:rPr>
          <w:i/>
          <w:iCs/>
        </w:rPr>
        <w:t xml:space="preserve"> 2021</w:t>
      </w:r>
      <w:r w:rsidR="00897A8C">
        <w:rPr>
          <w:i/>
          <w:iCs/>
        </w:rPr>
        <w:t>,</w:t>
      </w:r>
      <w:r w:rsidRPr="00250C81">
        <w:t xml:space="preserve"> </w:t>
      </w:r>
      <w:r>
        <w:t>t</w:t>
      </w:r>
      <w:r w:rsidRPr="00B43548">
        <w:t xml:space="preserve">he Minister gave a direction to the </w:t>
      </w:r>
      <w:r w:rsidR="004E7511">
        <w:t>ICRC</w:t>
      </w:r>
      <w:r w:rsidRPr="00B43548">
        <w:t xml:space="preserve"> </w:t>
      </w:r>
      <w:r w:rsidR="00B43548" w:rsidRPr="00B43548">
        <w:t>to determine an industry code to:</w:t>
      </w:r>
    </w:p>
    <w:p w:rsidR="00B43548" w:rsidRPr="00AF374F" w:rsidRDefault="00B43548" w:rsidP="006E563A">
      <w:pPr>
        <w:numPr>
          <w:ilvl w:val="0"/>
          <w:numId w:val="9"/>
        </w:numPr>
        <w:spacing w:before="40" w:after="40"/>
        <w:ind w:left="714" w:hanging="357"/>
      </w:pPr>
      <w:r w:rsidRPr="00AF374F">
        <w:t>compare the annual price of their offers to the reference bill to enable customers to more easily compare electricity offers</w:t>
      </w:r>
      <w:r w:rsidR="004E7511">
        <w:t>; and</w:t>
      </w:r>
    </w:p>
    <w:p w:rsidR="00B43548" w:rsidRPr="00B43548" w:rsidRDefault="00B43548" w:rsidP="006E563A">
      <w:pPr>
        <w:numPr>
          <w:ilvl w:val="0"/>
          <w:numId w:val="9"/>
        </w:numPr>
        <w:spacing w:before="40" w:after="40"/>
        <w:ind w:left="714" w:hanging="357"/>
      </w:pPr>
      <w:r w:rsidRPr="00AF374F">
        <w:t>regularly</w:t>
      </w:r>
      <w:r w:rsidRPr="00B43548">
        <w:t xml:space="preserve"> </w:t>
      </w:r>
      <w:r w:rsidRPr="00AF374F">
        <w:t>notify their customers if they have a better offer and ask</w:t>
      </w:r>
      <w:r w:rsidRPr="00B43548">
        <w:t xml:space="preserve"> </w:t>
      </w:r>
      <w:r w:rsidRPr="00AF374F">
        <w:t>customers to contact</w:t>
      </w:r>
      <w:r w:rsidRPr="00B43548">
        <w:t xml:space="preserve"> </w:t>
      </w:r>
      <w:r w:rsidRPr="00AF374F">
        <w:t>them for information.</w:t>
      </w:r>
    </w:p>
    <w:p w:rsidR="001708D1" w:rsidRPr="002D0FA9" w:rsidRDefault="001708D1" w:rsidP="004E7511">
      <w:pPr>
        <w:keepNext/>
        <w:spacing w:before="120" w:after="120"/>
        <w:rPr>
          <w:b/>
          <w:bCs/>
        </w:rPr>
      </w:pPr>
      <w:r w:rsidRPr="003D4B05">
        <w:rPr>
          <w:b/>
          <w:bCs/>
        </w:rPr>
        <w:t xml:space="preserve">Consultation on the new Code </w:t>
      </w:r>
    </w:p>
    <w:p w:rsidR="008D181D" w:rsidRDefault="00AF374F" w:rsidP="00897A8C">
      <w:pPr>
        <w:spacing w:before="120" w:after="120"/>
      </w:pPr>
      <w:r>
        <w:t>Section 59 of the Utilities Act provides for industry codes to be determined by the ICRC. The ICRC may determine an industry code if</w:t>
      </w:r>
      <w:r w:rsidR="008D181D">
        <w:t>:</w:t>
      </w:r>
    </w:p>
    <w:p w:rsidR="008D181D" w:rsidRDefault="008D181D" w:rsidP="006E563A">
      <w:pPr>
        <w:numPr>
          <w:ilvl w:val="0"/>
          <w:numId w:val="9"/>
        </w:numPr>
        <w:spacing w:before="40" w:after="40"/>
        <w:ind w:left="714" w:hanging="357"/>
      </w:pPr>
      <w:r>
        <w:t xml:space="preserve">it has </w:t>
      </w:r>
      <w:r w:rsidR="00AF374F">
        <w:t>consulted with the Minister and the Minister responsible for technical regulation</w:t>
      </w:r>
      <w:r>
        <w:t>; and</w:t>
      </w:r>
    </w:p>
    <w:p w:rsidR="008D181D" w:rsidRDefault="008D181D" w:rsidP="006E563A">
      <w:pPr>
        <w:numPr>
          <w:ilvl w:val="0"/>
          <w:numId w:val="9"/>
        </w:numPr>
        <w:spacing w:before="40" w:after="40"/>
        <w:ind w:left="714" w:hanging="357"/>
      </w:pPr>
      <w:r>
        <w:t xml:space="preserve">it </w:t>
      </w:r>
      <w:r w:rsidR="00AF374F">
        <w:t xml:space="preserve">is satisfied that the code is not inconsistent in material respects with another industry code or a technical code; and </w:t>
      </w:r>
    </w:p>
    <w:p w:rsidR="00F61FD3" w:rsidRDefault="008D181D" w:rsidP="006E563A">
      <w:pPr>
        <w:numPr>
          <w:ilvl w:val="0"/>
          <w:numId w:val="9"/>
        </w:numPr>
        <w:spacing w:before="40" w:after="40"/>
        <w:ind w:left="714" w:hanging="357"/>
      </w:pPr>
      <w:r>
        <w:t xml:space="preserve">it finds </w:t>
      </w:r>
      <w:r w:rsidR="00AF374F">
        <w:t>it is necessary or convenient to determine the code.</w:t>
      </w:r>
    </w:p>
    <w:p w:rsidR="00F61FD3" w:rsidRDefault="00F61FD3" w:rsidP="00897A8C">
      <w:pPr>
        <w:spacing w:before="120" w:after="120"/>
      </w:pPr>
      <w:r>
        <w:t xml:space="preserve">In accordance with section 59 of the Utilities Act, the ICRC consulted with the Minister and is satisfied that the Code is not inconsistent in material respects with another industry code or a technical code and it is necessary to determine the Code. </w:t>
      </w:r>
    </w:p>
    <w:p w:rsidR="00B43548" w:rsidRDefault="00AF374F" w:rsidP="00897A8C">
      <w:pPr>
        <w:spacing w:before="120" w:after="120"/>
      </w:pPr>
      <w:r>
        <w:t xml:space="preserve">Section 60 of the Utilities Act sets out the public consultation requirements for </w:t>
      </w:r>
      <w:r w:rsidR="004E7511">
        <w:t xml:space="preserve">making an </w:t>
      </w:r>
      <w:r>
        <w:t xml:space="preserve">industry code. </w:t>
      </w:r>
    </w:p>
    <w:p w:rsidR="00B43548" w:rsidRDefault="00AF374F" w:rsidP="00897A8C">
      <w:pPr>
        <w:spacing w:before="120" w:after="120"/>
      </w:pPr>
      <w:r>
        <w:t xml:space="preserve">In accordance with </w:t>
      </w:r>
      <w:r w:rsidR="002E6FF0">
        <w:t xml:space="preserve">section 60 </w:t>
      </w:r>
      <w:r>
        <w:t xml:space="preserve">the Utilities Act, the ICRC has consulted with relevant parties on the new Code. </w:t>
      </w:r>
      <w:r w:rsidR="00B43548">
        <w:t>S</w:t>
      </w:r>
      <w:r>
        <w:t xml:space="preserve">ubmissions received and the outcomes of the consultations are detailed in the </w:t>
      </w:r>
      <w:r w:rsidR="004E7511">
        <w:t>ICRC’s</w:t>
      </w:r>
      <w:r>
        <w:t xml:space="preserve"> final decision on the </w:t>
      </w:r>
      <w:r w:rsidR="00B43548">
        <w:t>ACT Retail Electricity (Transparency and Comparability) Code</w:t>
      </w:r>
      <w:r w:rsidR="001708D1">
        <w:t xml:space="preserve"> and report</w:t>
      </w:r>
      <w:r w:rsidR="002E6FF0">
        <w:t xml:space="preserve"> </w:t>
      </w:r>
      <w:r w:rsidR="001708D1">
        <w:t>a</w:t>
      </w:r>
      <w:r>
        <w:t xml:space="preserve">re available on the </w:t>
      </w:r>
      <w:r w:rsidR="004E7511">
        <w:t>ICRC’s</w:t>
      </w:r>
      <w:r>
        <w:t xml:space="preserve"> website</w:t>
      </w:r>
      <w:r w:rsidR="002E6FF0">
        <w:t xml:space="preserve"> —</w:t>
      </w:r>
      <w:r>
        <w:t xml:space="preserve"> www.icrc.act.gov.au. </w:t>
      </w:r>
    </w:p>
    <w:p w:rsidR="00AF374F" w:rsidRDefault="00AF374F" w:rsidP="00897A8C">
      <w:pPr>
        <w:spacing w:before="120" w:after="120"/>
        <w:rPr>
          <w:rFonts w:ascii="Arial" w:hAnsi="Arial" w:cs="Arial"/>
        </w:rPr>
      </w:pPr>
      <w:r>
        <w:t xml:space="preserve">The </w:t>
      </w:r>
      <w:r w:rsidR="004E7511">
        <w:t>ICRC</w:t>
      </w:r>
      <w:r>
        <w:t xml:space="preserve"> has had regard to the submissions received in response to the consultation process. Public access to the Code </w:t>
      </w:r>
      <w:r w:rsidR="002E6FF0">
        <w:t>a</w:t>
      </w:r>
      <w:r>
        <w:t xml:space="preserve">nd the </w:t>
      </w:r>
      <w:r w:rsidR="004E7511">
        <w:t>ICRC’s</w:t>
      </w:r>
      <w:r>
        <w:t xml:space="preserve"> </w:t>
      </w:r>
      <w:r w:rsidR="001708D1">
        <w:t>report</w:t>
      </w:r>
      <w:r>
        <w:t xml:space="preserve"> are available on the </w:t>
      </w:r>
      <w:r w:rsidR="004E7511">
        <w:t>ICRC’s</w:t>
      </w:r>
      <w:r>
        <w:t xml:space="preserve"> website</w:t>
      </w:r>
      <w:r w:rsidR="002E6FF0">
        <w:t xml:space="preserve"> —</w:t>
      </w:r>
      <w:r>
        <w:t xml:space="preserve"> www.icrc.act.gov.au. These documents are also available for inspection by members of the public between 9:00 am and 5:00 pm, Monday to Friday, at the </w:t>
      </w:r>
      <w:r w:rsidR="00897A8C">
        <w:t>commission’s</w:t>
      </w:r>
      <w:r>
        <w:t xml:space="preserve"> office</w:t>
      </w:r>
      <w:r w:rsidR="00B43548">
        <w:t xml:space="preserve">. </w:t>
      </w:r>
      <w:r>
        <w:t>Hard copies can be made available on request.</w:t>
      </w:r>
    </w:p>
    <w:p w:rsidR="00460184" w:rsidRPr="003D4B05" w:rsidRDefault="00B43548" w:rsidP="00897A8C">
      <w:pPr>
        <w:keepNext/>
        <w:spacing w:before="120" w:after="120"/>
        <w:rPr>
          <w:b/>
          <w:bCs/>
        </w:rPr>
      </w:pPr>
      <w:r w:rsidRPr="003D4B05">
        <w:rPr>
          <w:b/>
          <w:bCs/>
        </w:rPr>
        <w:t xml:space="preserve">Regulatory </w:t>
      </w:r>
      <w:r w:rsidR="003D4B05" w:rsidRPr="003D4B05">
        <w:rPr>
          <w:b/>
          <w:bCs/>
        </w:rPr>
        <w:t>impact statement</w:t>
      </w:r>
    </w:p>
    <w:p w:rsidR="00983470" w:rsidRPr="003D4B05" w:rsidRDefault="00460184" w:rsidP="00897A8C">
      <w:pPr>
        <w:spacing w:before="120" w:after="120"/>
      </w:pPr>
      <w:r w:rsidRPr="003D4B05">
        <w:t xml:space="preserve">A </w:t>
      </w:r>
      <w:r w:rsidR="00983470" w:rsidRPr="003D4B05">
        <w:t>regulatory impact statement is not required as this instrument does not impose appreciable costs on the community or a part of the community</w:t>
      </w:r>
      <w:r w:rsidR="002E6FF0">
        <w:t xml:space="preserve"> —</w:t>
      </w:r>
      <w:r w:rsidR="00983470" w:rsidRPr="003D4B05">
        <w:t xml:space="preserve"> s</w:t>
      </w:r>
      <w:r w:rsidR="003D4B05" w:rsidRPr="003D4B05">
        <w:t>ection</w:t>
      </w:r>
      <w:r w:rsidR="00983470" w:rsidRPr="003D4B05">
        <w:t xml:space="preserve"> 34 (1) of the </w:t>
      </w:r>
      <w:r w:rsidR="00983470" w:rsidRPr="002D0FA9">
        <w:rPr>
          <w:i/>
          <w:iCs/>
        </w:rPr>
        <w:t>Legislation Act 2001</w:t>
      </w:r>
      <w:r w:rsidR="00897A8C">
        <w:rPr>
          <w:i/>
          <w:iCs/>
        </w:rPr>
        <w:t xml:space="preserve"> </w:t>
      </w:r>
      <w:r w:rsidR="00AC31BB" w:rsidRPr="002D0FA9">
        <w:t>(ACT)</w:t>
      </w:r>
      <w:r w:rsidR="00983470" w:rsidRPr="003D4B05">
        <w:t>. Further, the ministerial direction does not operate to the disadvantage of anyone by adversely affecting their rights or imposing liabilities on the person</w:t>
      </w:r>
      <w:r w:rsidR="002E6FF0">
        <w:t xml:space="preserve"> — </w:t>
      </w:r>
      <w:r w:rsidR="00983470" w:rsidRPr="003D4B05">
        <w:t>s</w:t>
      </w:r>
      <w:r w:rsidR="003D4B05" w:rsidRPr="003D4B05">
        <w:t>ection</w:t>
      </w:r>
      <w:r w:rsidR="00983470" w:rsidRPr="003D4B05">
        <w:t xml:space="preserve"> 36 (1) of the </w:t>
      </w:r>
      <w:r w:rsidR="00983470" w:rsidRPr="002D0FA9">
        <w:rPr>
          <w:i/>
          <w:iCs/>
        </w:rPr>
        <w:t>Legislation Act 2001</w:t>
      </w:r>
      <w:r w:rsidR="002E6FF0">
        <w:rPr>
          <w:i/>
          <w:iCs/>
        </w:rPr>
        <w:t xml:space="preserve"> </w:t>
      </w:r>
      <w:r w:rsidR="002E6FF0" w:rsidRPr="002D0FA9">
        <w:t>(ACT)</w:t>
      </w:r>
      <w:r w:rsidR="001708D1">
        <w:t>.</w:t>
      </w:r>
    </w:p>
    <w:p w:rsidR="003D4B05" w:rsidRPr="003D4B05" w:rsidRDefault="003D4B05" w:rsidP="004E7511">
      <w:pPr>
        <w:keepNext/>
        <w:spacing w:before="120" w:after="120"/>
        <w:rPr>
          <w:b/>
          <w:bCs/>
        </w:rPr>
      </w:pPr>
      <w:r w:rsidRPr="003D4B05">
        <w:rPr>
          <w:b/>
          <w:bCs/>
        </w:rPr>
        <w:t xml:space="preserve">Human </w:t>
      </w:r>
      <w:r>
        <w:rPr>
          <w:b/>
          <w:bCs/>
        </w:rPr>
        <w:t>r</w:t>
      </w:r>
      <w:r w:rsidRPr="003D4B05">
        <w:rPr>
          <w:b/>
          <w:bCs/>
        </w:rPr>
        <w:t>ights</w:t>
      </w:r>
    </w:p>
    <w:p w:rsidR="005D70F1" w:rsidRPr="003D4B05" w:rsidRDefault="00983470" w:rsidP="00897A8C">
      <w:pPr>
        <w:spacing w:before="120" w:after="120"/>
      </w:pPr>
      <w:r w:rsidRPr="003D4B05">
        <w:t xml:space="preserve">There are no human rights implications arising from this instrument. The instrument does not engage any rights under the </w:t>
      </w:r>
      <w:r w:rsidRPr="002D0FA9">
        <w:rPr>
          <w:i/>
          <w:iCs/>
        </w:rPr>
        <w:t>Human Rights Act 2004</w:t>
      </w:r>
      <w:r w:rsidR="002E6FF0">
        <w:t xml:space="preserve"> (ACT)</w:t>
      </w:r>
      <w:r w:rsidRPr="003D4B05">
        <w:t>.</w:t>
      </w:r>
    </w:p>
    <w:sectPr w:rsidR="005D70F1" w:rsidRPr="003D4B05">
      <w:headerReference w:type="even" r:id="rId7"/>
      <w:headerReference w:type="default" r:id="rId8"/>
      <w:footerReference w:type="even" r:id="rId9"/>
      <w:footerReference w:type="default" r:id="rId10"/>
      <w:headerReference w:type="first" r:id="rId11"/>
      <w:footerReference w:type="first" r:id="rId12"/>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C2556" w:rsidRDefault="00FC2556">
      <w:r>
        <w:separator/>
      </w:r>
    </w:p>
  </w:endnote>
  <w:endnote w:type="continuationSeparator" w:id="0">
    <w:p w:rsidR="00FC2556" w:rsidRDefault="00FC2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E1798" w:rsidRDefault="004E17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E1798" w:rsidRPr="00657238" w:rsidRDefault="00657238" w:rsidP="00657238">
    <w:pPr>
      <w:pStyle w:val="Footer"/>
      <w:jc w:val="center"/>
      <w:rPr>
        <w:rFonts w:cs="Arial"/>
        <w:sz w:val="14"/>
      </w:rPr>
    </w:pPr>
    <w:r w:rsidRPr="00657238">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E1798" w:rsidRDefault="004E17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C2556" w:rsidRDefault="00FC2556">
      <w:r>
        <w:separator/>
      </w:r>
    </w:p>
  </w:footnote>
  <w:footnote w:type="continuationSeparator" w:id="0">
    <w:p w:rsidR="00FC2556" w:rsidRDefault="00FC25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E1798" w:rsidRDefault="004E17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E1798" w:rsidRDefault="004E17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E1798" w:rsidRDefault="004E17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5"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6"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7" w15:restartNumberingAfterBreak="0">
    <w:nsid w:val="46656151"/>
    <w:multiLevelType w:val="hybridMultilevel"/>
    <w:tmpl w:val="3C68C0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B470A60"/>
    <w:multiLevelType w:val="hybridMultilevel"/>
    <w:tmpl w:val="543008D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0" w15:restartNumberingAfterBreak="0">
    <w:nsid w:val="71B6264D"/>
    <w:multiLevelType w:val="hybridMultilevel"/>
    <w:tmpl w:val="33A00D1A"/>
    <w:lvl w:ilvl="0" w:tplc="D22EDB7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7B1F3391"/>
    <w:multiLevelType w:val="hybridMultilevel"/>
    <w:tmpl w:val="118A62F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6"/>
  </w:num>
  <w:num w:numId="5">
    <w:abstractNumId w:val="9"/>
  </w:num>
  <w:num w:numId="6">
    <w:abstractNumId w:val="1"/>
  </w:num>
  <w:num w:numId="7">
    <w:abstractNumId w:val="4"/>
  </w:num>
  <w:num w:numId="8">
    <w:abstractNumId w:val="5"/>
  </w:num>
  <w:num w:numId="9">
    <w:abstractNumId w:val="7"/>
  </w:num>
  <w:num w:numId="10">
    <w:abstractNumId w:val="11"/>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4252F"/>
    <w:rsid w:val="000A0EB4"/>
    <w:rsid w:val="00101849"/>
    <w:rsid w:val="00113D79"/>
    <w:rsid w:val="001708D1"/>
    <w:rsid w:val="00250C81"/>
    <w:rsid w:val="00261604"/>
    <w:rsid w:val="002D0FA9"/>
    <w:rsid w:val="002E6FF0"/>
    <w:rsid w:val="002F0011"/>
    <w:rsid w:val="003164F5"/>
    <w:rsid w:val="003656E1"/>
    <w:rsid w:val="003D4B05"/>
    <w:rsid w:val="00456B9A"/>
    <w:rsid w:val="00460184"/>
    <w:rsid w:val="004E1798"/>
    <w:rsid w:val="004E7511"/>
    <w:rsid w:val="00512B2D"/>
    <w:rsid w:val="005169FA"/>
    <w:rsid w:val="005D70F1"/>
    <w:rsid w:val="005E13DF"/>
    <w:rsid w:val="005E3B6D"/>
    <w:rsid w:val="0060434D"/>
    <w:rsid w:val="00623FF2"/>
    <w:rsid w:val="006450BC"/>
    <w:rsid w:val="00657238"/>
    <w:rsid w:val="00664A9B"/>
    <w:rsid w:val="006B33AE"/>
    <w:rsid w:val="006C4239"/>
    <w:rsid w:val="006D7B5C"/>
    <w:rsid w:val="006E563A"/>
    <w:rsid w:val="007A55AC"/>
    <w:rsid w:val="00822D53"/>
    <w:rsid w:val="00897A8C"/>
    <w:rsid w:val="008A2978"/>
    <w:rsid w:val="008A5C9A"/>
    <w:rsid w:val="008D181D"/>
    <w:rsid w:val="009013BD"/>
    <w:rsid w:val="009750A8"/>
    <w:rsid w:val="00983470"/>
    <w:rsid w:val="00A55D59"/>
    <w:rsid w:val="00AC31BB"/>
    <w:rsid w:val="00AE59CA"/>
    <w:rsid w:val="00AE631E"/>
    <w:rsid w:val="00AF374F"/>
    <w:rsid w:val="00B43548"/>
    <w:rsid w:val="00B57DE9"/>
    <w:rsid w:val="00B7312D"/>
    <w:rsid w:val="00C150D5"/>
    <w:rsid w:val="00C4252F"/>
    <w:rsid w:val="00D54EF7"/>
    <w:rsid w:val="00D73D5A"/>
    <w:rsid w:val="00DF5B70"/>
    <w:rsid w:val="00EA3877"/>
    <w:rsid w:val="00F61FD3"/>
    <w:rsid w:val="00FC25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8E7E516F-5308-44B0-9A4E-0CB75B0B9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pPr>
      <w:keepNext/>
      <w:widowControl w:val="0"/>
      <w:jc w:val="center"/>
      <w:outlineLvl w:val="1"/>
    </w:pPr>
    <w:rPr>
      <w:rFonts w:ascii="Arial" w:hAnsi="Arial" w:cs="Arial"/>
      <w:i/>
      <w:iCs/>
      <w:sz w:val="16"/>
      <w:szCs w:val="16"/>
    </w:rPr>
  </w:style>
  <w:style w:type="paragraph" w:styleId="Heading3">
    <w:name w:val="heading 3"/>
    <w:basedOn w:val="Normal"/>
    <w:next w:val="Normal"/>
    <w:qFormat/>
    <w:pPr>
      <w:keepNext/>
      <w:pBdr>
        <w:right w:val="single" w:sz="4" w:space="4" w:color="auto"/>
      </w:pBdr>
      <w:outlineLvl w:val="2"/>
    </w:pPr>
    <w:rPr>
      <w:i/>
      <w:iCs/>
      <w:sz w:val="22"/>
      <w:szCs w:val="22"/>
    </w:rPr>
  </w:style>
  <w:style w:type="paragraph" w:styleId="Heading4">
    <w:name w:val="heading 4"/>
    <w:basedOn w:val="Normal"/>
    <w:next w:val="Normal"/>
    <w:qFormat/>
    <w:pPr>
      <w:keepNext/>
      <w:pBdr>
        <w:right w:val="single" w:sz="4" w:space="4" w:color="auto"/>
      </w:pBdr>
      <w:ind w:left="743" w:hanging="709"/>
      <w:outlineLvl w:val="3"/>
    </w:pPr>
    <w:rPr>
      <w:i/>
      <w:iCs/>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pPr>
      <w:tabs>
        <w:tab w:val="left" w:pos="2880"/>
      </w:tabs>
      <w:spacing w:before="120" w:after="60" w:line="240" w:lineRule="exact"/>
    </w:pPr>
    <w:rPr>
      <w:rFonts w:ascii="Arial" w:hAnsi="Arial"/>
      <w:sz w:val="18"/>
    </w:rPr>
  </w:style>
  <w:style w:type="paragraph" w:customStyle="1" w:styleId="Billname">
    <w:name w:val="Billname"/>
    <w:basedOn w:val="Normal"/>
    <w:pPr>
      <w:tabs>
        <w:tab w:val="left" w:pos="2400"/>
        <w:tab w:val="left" w:pos="2880"/>
      </w:tabs>
      <w:spacing w:before="1220" w:after="100"/>
    </w:pPr>
    <w:rPr>
      <w:rFonts w:ascii="Arial" w:hAnsi="Arial"/>
      <w:b/>
      <w:sz w:val="40"/>
    </w:rPr>
  </w:style>
  <w:style w:type="paragraph" w:customStyle="1" w:styleId="Amain">
    <w:name w:val="A main"/>
    <w:basedOn w:val="Normal"/>
    <w:pPr>
      <w:tabs>
        <w:tab w:val="right" w:pos="500"/>
        <w:tab w:val="left" w:pos="700"/>
      </w:tabs>
      <w:spacing w:before="80" w:after="60"/>
      <w:ind w:left="700" w:hanging="700"/>
      <w:jc w:val="both"/>
      <w:outlineLvl w:val="5"/>
    </w:pPr>
  </w:style>
  <w:style w:type="paragraph" w:customStyle="1" w:styleId="N-line3">
    <w:name w:val="N-line3"/>
    <w:basedOn w:val="Normal"/>
    <w:next w:val="Normal"/>
    <w:pPr>
      <w:pBdr>
        <w:bottom w:val="single" w:sz="12" w:space="1" w:color="auto"/>
      </w:pBdr>
      <w:jc w:val="both"/>
    </w:pPr>
  </w:style>
  <w:style w:type="paragraph" w:customStyle="1" w:styleId="madeunder">
    <w:name w:val="made under"/>
    <w:basedOn w:val="Normal"/>
    <w:pPr>
      <w:spacing w:before="180" w:after="60"/>
      <w:jc w:val="both"/>
    </w:pPr>
  </w:style>
  <w:style w:type="paragraph" w:customStyle="1" w:styleId="CoverActName">
    <w:name w:val="CoverActName"/>
    <w:basedOn w:val="Normal"/>
    <w:pPr>
      <w:tabs>
        <w:tab w:val="left" w:pos="2600"/>
      </w:tabs>
      <w:spacing w:before="200" w:after="60"/>
      <w:jc w:val="both"/>
    </w:pPr>
    <w:rPr>
      <w:rFonts w:ascii="Arial" w:hAnsi="Arial"/>
      <w:b/>
    </w:rPr>
  </w:style>
  <w:style w:type="paragraph" w:customStyle="1" w:styleId="06Copyright">
    <w:name w:val="06Copyright"/>
    <w:basedOn w:val="Normal"/>
    <w:pPr>
      <w:tabs>
        <w:tab w:val="left" w:pos="2880"/>
      </w:tabs>
    </w:pPr>
  </w:style>
  <w:style w:type="paragraph" w:customStyle="1" w:styleId="Apara">
    <w:name w:val="A para"/>
    <w:basedOn w:val="Normal"/>
    <w:pPr>
      <w:numPr>
        <w:ilvl w:val="6"/>
        <w:numId w:val="227"/>
      </w:numPr>
      <w:spacing w:before="80" w:after="60"/>
      <w:jc w:val="both"/>
      <w:outlineLvl w:val="6"/>
    </w:pPr>
  </w:style>
  <w:style w:type="paragraph" w:customStyle="1" w:styleId="Asubpara">
    <w:name w:val="A subpara"/>
    <w:basedOn w:val="Normal"/>
    <w:pPr>
      <w:numPr>
        <w:ilvl w:val="7"/>
        <w:numId w:val="227"/>
      </w:numPr>
      <w:spacing w:before="80" w:after="60"/>
      <w:jc w:val="both"/>
      <w:outlineLvl w:val="7"/>
    </w:pPr>
  </w:style>
  <w:style w:type="paragraph" w:customStyle="1" w:styleId="Asubsubpara">
    <w:name w:val="A subsubpara"/>
    <w:basedOn w:val="Normal"/>
    <w:pPr>
      <w:numPr>
        <w:ilvl w:val="8"/>
        <w:numId w:val="227"/>
      </w:numPr>
      <w:spacing w:before="80" w:after="60"/>
      <w:jc w:val="both"/>
      <w:outlineLvl w:val="8"/>
    </w:pPr>
  </w:style>
  <w:style w:type="paragraph" w:customStyle="1" w:styleId="AH5Sec">
    <w:name w:val="A H5 Sec"/>
    <w:basedOn w:val="Normal"/>
    <w:next w:val="Amain"/>
    <w:pPr>
      <w:keepNext/>
      <w:numPr>
        <w:ilvl w:val="4"/>
        <w:numId w:val="1"/>
      </w:numPr>
      <w:spacing w:before="180" w:after="60"/>
      <w:outlineLvl w:val="4"/>
    </w:pPr>
    <w:rPr>
      <w:rFonts w:ascii="Arial" w:hAnsi="Arial"/>
      <w:b/>
    </w:rPr>
  </w:style>
  <w:style w:type="paragraph" w:styleId="Header">
    <w:name w:val="header"/>
    <w:basedOn w:val="Normal"/>
    <w:pPr>
      <w:tabs>
        <w:tab w:val="left" w:pos="2880"/>
        <w:tab w:val="center" w:pos="4153"/>
        <w:tab w:val="right" w:pos="8306"/>
      </w:tabs>
    </w:pPr>
  </w:style>
  <w:style w:type="paragraph" w:customStyle="1" w:styleId="ref">
    <w:name w:val="ref"/>
    <w:basedOn w:val="Normal"/>
    <w:next w:val="Normal"/>
    <w:pPr>
      <w:spacing w:after="60"/>
      <w:jc w:val="both"/>
    </w:pPr>
    <w:rPr>
      <w:sz w:val="18"/>
    </w:rPr>
  </w:style>
  <w:style w:type="character" w:customStyle="1" w:styleId="CharDivText">
    <w:name w:val="CharDivText"/>
    <w:basedOn w:val="DefaultParagraphFont"/>
  </w:style>
  <w:style w:type="paragraph" w:customStyle="1" w:styleId="CoverInForce">
    <w:name w:val="CoverInForce"/>
    <w:basedOn w:val="Normal"/>
    <w:pPr>
      <w:tabs>
        <w:tab w:val="left" w:pos="2600"/>
      </w:tabs>
      <w:spacing w:before="200" w:after="60"/>
      <w:jc w:val="both"/>
    </w:pPr>
    <w:rPr>
      <w:rFonts w:ascii="Arial" w:hAnsi="Arial"/>
    </w:rPr>
  </w:style>
  <w:style w:type="paragraph" w:customStyle="1" w:styleId="AFHdg">
    <w:name w:val="AFHdg"/>
    <w:basedOn w:val="Normal"/>
    <w:pPr>
      <w:tabs>
        <w:tab w:val="left" w:pos="2600"/>
      </w:tabs>
      <w:spacing w:before="80" w:after="60"/>
      <w:jc w:val="both"/>
    </w:pPr>
    <w:rPr>
      <w:rFonts w:ascii="Arial" w:hAnsi="Arial"/>
      <w:b/>
      <w:sz w:val="32"/>
    </w:rPr>
  </w:style>
  <w:style w:type="paragraph" w:customStyle="1" w:styleId="ApprFormHd">
    <w:name w:val="ApprFormHd"/>
    <w:basedOn w:val="Normal"/>
    <w:pPr>
      <w:keepNext/>
      <w:tabs>
        <w:tab w:val="left" w:pos="2600"/>
      </w:tabs>
      <w:spacing w:before="320" w:after="60"/>
      <w:outlineLvl w:val="0"/>
    </w:pPr>
    <w:rPr>
      <w:rFonts w:ascii="Arial" w:hAnsi="Arial"/>
      <w:b/>
      <w:sz w:val="34"/>
    </w:rPr>
  </w:style>
  <w:style w:type="character" w:styleId="PageNumber">
    <w:name w:val="page number"/>
    <w:basedOn w:val="DefaultParagraphFont"/>
  </w:style>
  <w:style w:type="paragraph" w:customStyle="1" w:styleId="Aparabullet">
    <w:name w:val="A para bullet"/>
    <w:basedOn w:val="Normal"/>
    <w:pPr>
      <w:numPr>
        <w:numId w:val="4"/>
      </w:numPr>
    </w:p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rPr>
      <w:color w:val="0000FF"/>
      <w:u w:val="single"/>
    </w:rPr>
  </w:style>
  <w:style w:type="paragraph" w:styleId="BodyTextIndent">
    <w:name w:val="Body Text Indent"/>
    <w:basedOn w:val="Normal"/>
    <w:pPr>
      <w:spacing w:before="120" w:after="60"/>
      <w:ind w:left="709"/>
    </w:pPr>
  </w:style>
  <w:style w:type="paragraph" w:customStyle="1" w:styleId="Minister">
    <w:name w:val="Minister"/>
    <w:basedOn w:val="Normal"/>
    <w:pPr>
      <w:spacing w:before="880" w:after="60"/>
      <w:jc w:val="right"/>
    </w:pPr>
    <w:rPr>
      <w:caps/>
      <w:szCs w:val="24"/>
    </w:rPr>
  </w:style>
  <w:style w:type="paragraph" w:customStyle="1" w:styleId="DateLine">
    <w:name w:val="DateLine"/>
    <w:basedOn w:val="Normal"/>
    <w:pPr>
      <w:tabs>
        <w:tab w:val="left" w:pos="4320"/>
      </w:tabs>
      <w:spacing w:before="80" w:after="60"/>
      <w:jc w:val="both"/>
    </w:pPr>
    <w:rPr>
      <w:szCs w:val="24"/>
    </w:rPr>
  </w:style>
  <w:style w:type="paragraph" w:customStyle="1" w:styleId="MinisterWord">
    <w:name w:val="MinisterWord"/>
    <w:basedOn w:val="Normal"/>
    <w:pPr>
      <w:tabs>
        <w:tab w:val="left" w:pos="2880"/>
      </w:tabs>
      <w:jc w:val="right"/>
    </w:pPr>
    <w:rPr>
      <w:szCs w:val="24"/>
    </w:rPr>
  </w:style>
  <w:style w:type="character" w:styleId="FollowedHyperlink">
    <w:name w:val="FollowedHyperlink"/>
    <w:rPr>
      <w:color w:val="800080"/>
      <w:u w:val="single"/>
    </w:rPr>
  </w:style>
  <w:style w:type="character" w:styleId="FootnoteReference">
    <w:name w:val="footnote reference"/>
    <w:semiHidden/>
    <w:rPr>
      <w:rFonts w:ascii="Times New Roman" w:hAnsi="Times New Roman" w:cs="Times New Roman"/>
      <w:sz w:val="24"/>
      <w:szCs w:val="24"/>
      <w:vertAlign w:val="superscript"/>
    </w:rPr>
  </w:style>
  <w:style w:type="paragraph" w:styleId="FootnoteText">
    <w:name w:val="footnote text"/>
    <w:basedOn w:val="Normal"/>
    <w:semiHidden/>
    <w:pPr>
      <w:spacing w:before="80" w:after="60"/>
      <w:jc w:val="both"/>
    </w:pPr>
    <w:rPr>
      <w:szCs w:val="24"/>
    </w:rPr>
  </w:style>
  <w:style w:type="paragraph" w:customStyle="1" w:styleId="ShadedSchClause">
    <w:name w:val="Shaded Sch Clause"/>
    <w:basedOn w:val="Normal"/>
    <w:next w:val="Normal"/>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style>
  <w:style w:type="character" w:styleId="CommentReference">
    <w:name w:val="annotation reference"/>
    <w:rsid w:val="007A55AC"/>
    <w:rPr>
      <w:sz w:val="16"/>
      <w:szCs w:val="16"/>
    </w:rPr>
  </w:style>
  <w:style w:type="paragraph" w:styleId="CommentText">
    <w:name w:val="annotation text"/>
    <w:basedOn w:val="Normal"/>
    <w:link w:val="CommentTextChar"/>
    <w:rsid w:val="007A55AC"/>
    <w:rPr>
      <w:sz w:val="20"/>
    </w:rPr>
  </w:style>
  <w:style w:type="character" w:customStyle="1" w:styleId="CommentTextChar">
    <w:name w:val="Comment Text Char"/>
    <w:link w:val="CommentText"/>
    <w:rsid w:val="007A55AC"/>
    <w:rPr>
      <w:lang w:eastAsia="en-US"/>
    </w:rPr>
  </w:style>
  <w:style w:type="paragraph" w:styleId="CommentSubject">
    <w:name w:val="annotation subject"/>
    <w:basedOn w:val="CommentText"/>
    <w:next w:val="CommentText"/>
    <w:link w:val="CommentSubjectChar"/>
    <w:rsid w:val="007A55AC"/>
    <w:rPr>
      <w:b/>
      <w:bCs/>
    </w:rPr>
  </w:style>
  <w:style w:type="character" w:customStyle="1" w:styleId="CommentSubjectChar">
    <w:name w:val="Comment Subject Char"/>
    <w:link w:val="CommentSubject"/>
    <w:rsid w:val="007A55AC"/>
    <w:rPr>
      <w:b/>
      <w:bCs/>
      <w:lang w:eastAsia="en-US"/>
    </w:rPr>
  </w:style>
  <w:style w:type="paragraph" w:styleId="Revision">
    <w:name w:val="Revision"/>
    <w:hidden/>
    <w:uiPriority w:val="99"/>
    <w:semiHidden/>
    <w:rsid w:val="002E6FF0"/>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9511969">
      <w:bodyDiv w:val="1"/>
      <w:marLeft w:val="0"/>
      <w:marRight w:val="0"/>
      <w:marTop w:val="0"/>
      <w:marBottom w:val="0"/>
      <w:divBdr>
        <w:top w:val="none" w:sz="0" w:space="0" w:color="auto"/>
        <w:left w:val="none" w:sz="0" w:space="0" w:color="auto"/>
        <w:bottom w:val="none" w:sz="0" w:space="0" w:color="auto"/>
        <w:right w:val="none" w:sz="0" w:space="0" w:color="auto"/>
      </w:divBdr>
      <w:divsChild>
        <w:div w:id="93943102">
          <w:marLeft w:val="0"/>
          <w:marRight w:val="0"/>
          <w:marTop w:val="0"/>
          <w:marBottom w:val="0"/>
          <w:divBdr>
            <w:top w:val="none" w:sz="0" w:space="0" w:color="auto"/>
            <w:left w:val="none" w:sz="0" w:space="0" w:color="auto"/>
            <w:bottom w:val="none" w:sz="0" w:space="0" w:color="auto"/>
            <w:right w:val="none" w:sz="0" w:space="0" w:color="auto"/>
          </w:divBdr>
        </w:div>
        <w:div w:id="132409923">
          <w:marLeft w:val="0"/>
          <w:marRight w:val="0"/>
          <w:marTop w:val="0"/>
          <w:marBottom w:val="0"/>
          <w:divBdr>
            <w:top w:val="none" w:sz="0" w:space="0" w:color="auto"/>
            <w:left w:val="none" w:sz="0" w:space="0" w:color="auto"/>
            <w:bottom w:val="none" w:sz="0" w:space="0" w:color="auto"/>
            <w:right w:val="none" w:sz="0" w:space="0" w:color="auto"/>
          </w:divBdr>
        </w:div>
        <w:div w:id="292903746">
          <w:marLeft w:val="0"/>
          <w:marRight w:val="0"/>
          <w:marTop w:val="0"/>
          <w:marBottom w:val="0"/>
          <w:divBdr>
            <w:top w:val="none" w:sz="0" w:space="0" w:color="auto"/>
            <w:left w:val="none" w:sz="0" w:space="0" w:color="auto"/>
            <w:bottom w:val="none" w:sz="0" w:space="0" w:color="auto"/>
            <w:right w:val="none" w:sz="0" w:space="0" w:color="auto"/>
          </w:divBdr>
        </w:div>
        <w:div w:id="479882174">
          <w:marLeft w:val="0"/>
          <w:marRight w:val="0"/>
          <w:marTop w:val="0"/>
          <w:marBottom w:val="0"/>
          <w:divBdr>
            <w:top w:val="none" w:sz="0" w:space="0" w:color="auto"/>
            <w:left w:val="none" w:sz="0" w:space="0" w:color="auto"/>
            <w:bottom w:val="none" w:sz="0" w:space="0" w:color="auto"/>
            <w:right w:val="none" w:sz="0" w:space="0" w:color="auto"/>
          </w:divBdr>
        </w:div>
        <w:div w:id="712970943">
          <w:marLeft w:val="0"/>
          <w:marRight w:val="0"/>
          <w:marTop w:val="0"/>
          <w:marBottom w:val="0"/>
          <w:divBdr>
            <w:top w:val="none" w:sz="0" w:space="0" w:color="auto"/>
            <w:left w:val="none" w:sz="0" w:space="0" w:color="auto"/>
            <w:bottom w:val="none" w:sz="0" w:space="0" w:color="auto"/>
            <w:right w:val="none" w:sz="0" w:space="0" w:color="auto"/>
          </w:divBdr>
        </w:div>
        <w:div w:id="725185362">
          <w:marLeft w:val="0"/>
          <w:marRight w:val="0"/>
          <w:marTop w:val="0"/>
          <w:marBottom w:val="0"/>
          <w:divBdr>
            <w:top w:val="none" w:sz="0" w:space="0" w:color="auto"/>
            <w:left w:val="none" w:sz="0" w:space="0" w:color="auto"/>
            <w:bottom w:val="none" w:sz="0" w:space="0" w:color="auto"/>
            <w:right w:val="none" w:sz="0" w:space="0" w:color="auto"/>
          </w:divBdr>
        </w:div>
        <w:div w:id="761029920">
          <w:marLeft w:val="0"/>
          <w:marRight w:val="0"/>
          <w:marTop w:val="0"/>
          <w:marBottom w:val="0"/>
          <w:divBdr>
            <w:top w:val="none" w:sz="0" w:space="0" w:color="auto"/>
            <w:left w:val="none" w:sz="0" w:space="0" w:color="auto"/>
            <w:bottom w:val="none" w:sz="0" w:space="0" w:color="auto"/>
            <w:right w:val="none" w:sz="0" w:space="0" w:color="auto"/>
          </w:divBdr>
        </w:div>
        <w:div w:id="1069185639">
          <w:marLeft w:val="0"/>
          <w:marRight w:val="0"/>
          <w:marTop w:val="0"/>
          <w:marBottom w:val="0"/>
          <w:divBdr>
            <w:top w:val="none" w:sz="0" w:space="0" w:color="auto"/>
            <w:left w:val="none" w:sz="0" w:space="0" w:color="auto"/>
            <w:bottom w:val="none" w:sz="0" w:space="0" w:color="auto"/>
            <w:right w:val="none" w:sz="0" w:space="0" w:color="auto"/>
          </w:divBdr>
        </w:div>
        <w:div w:id="1215657939">
          <w:marLeft w:val="0"/>
          <w:marRight w:val="0"/>
          <w:marTop w:val="0"/>
          <w:marBottom w:val="0"/>
          <w:divBdr>
            <w:top w:val="none" w:sz="0" w:space="0" w:color="auto"/>
            <w:left w:val="none" w:sz="0" w:space="0" w:color="auto"/>
            <w:bottom w:val="none" w:sz="0" w:space="0" w:color="auto"/>
            <w:right w:val="none" w:sz="0" w:space="0" w:color="auto"/>
          </w:divBdr>
        </w:div>
        <w:div w:id="1249728991">
          <w:marLeft w:val="0"/>
          <w:marRight w:val="0"/>
          <w:marTop w:val="0"/>
          <w:marBottom w:val="0"/>
          <w:divBdr>
            <w:top w:val="none" w:sz="0" w:space="0" w:color="auto"/>
            <w:left w:val="none" w:sz="0" w:space="0" w:color="auto"/>
            <w:bottom w:val="none" w:sz="0" w:space="0" w:color="auto"/>
            <w:right w:val="none" w:sz="0" w:space="0" w:color="auto"/>
          </w:divBdr>
        </w:div>
        <w:div w:id="1393193730">
          <w:marLeft w:val="0"/>
          <w:marRight w:val="0"/>
          <w:marTop w:val="0"/>
          <w:marBottom w:val="0"/>
          <w:divBdr>
            <w:top w:val="none" w:sz="0" w:space="0" w:color="auto"/>
            <w:left w:val="none" w:sz="0" w:space="0" w:color="auto"/>
            <w:bottom w:val="none" w:sz="0" w:space="0" w:color="auto"/>
            <w:right w:val="none" w:sz="0" w:space="0" w:color="auto"/>
          </w:divBdr>
        </w:div>
        <w:div w:id="1604877314">
          <w:marLeft w:val="0"/>
          <w:marRight w:val="0"/>
          <w:marTop w:val="0"/>
          <w:marBottom w:val="0"/>
          <w:divBdr>
            <w:top w:val="none" w:sz="0" w:space="0" w:color="auto"/>
            <w:left w:val="none" w:sz="0" w:space="0" w:color="auto"/>
            <w:bottom w:val="none" w:sz="0" w:space="0" w:color="auto"/>
            <w:right w:val="none" w:sz="0" w:space="0" w:color="auto"/>
          </w:divBdr>
        </w:div>
        <w:div w:id="1724451816">
          <w:marLeft w:val="0"/>
          <w:marRight w:val="0"/>
          <w:marTop w:val="0"/>
          <w:marBottom w:val="0"/>
          <w:divBdr>
            <w:top w:val="none" w:sz="0" w:space="0" w:color="auto"/>
            <w:left w:val="none" w:sz="0" w:space="0" w:color="auto"/>
            <w:bottom w:val="none" w:sz="0" w:space="0" w:color="auto"/>
            <w:right w:val="none" w:sz="0" w:space="0" w:color="auto"/>
          </w:divBdr>
        </w:div>
        <w:div w:id="1776905740">
          <w:marLeft w:val="0"/>
          <w:marRight w:val="0"/>
          <w:marTop w:val="0"/>
          <w:marBottom w:val="0"/>
          <w:divBdr>
            <w:top w:val="none" w:sz="0" w:space="0" w:color="auto"/>
            <w:left w:val="none" w:sz="0" w:space="0" w:color="auto"/>
            <w:bottom w:val="none" w:sz="0" w:space="0" w:color="auto"/>
            <w:right w:val="none" w:sz="0" w:space="0" w:color="auto"/>
          </w:divBdr>
        </w:div>
        <w:div w:id="1934125430">
          <w:marLeft w:val="0"/>
          <w:marRight w:val="0"/>
          <w:marTop w:val="0"/>
          <w:marBottom w:val="0"/>
          <w:divBdr>
            <w:top w:val="none" w:sz="0" w:space="0" w:color="auto"/>
            <w:left w:val="none" w:sz="0" w:space="0" w:color="auto"/>
            <w:bottom w:val="none" w:sz="0" w:space="0" w:color="auto"/>
            <w:right w:val="none" w:sz="0" w:space="0" w:color="auto"/>
          </w:divBdr>
        </w:div>
        <w:div w:id="1975521296">
          <w:marLeft w:val="0"/>
          <w:marRight w:val="0"/>
          <w:marTop w:val="0"/>
          <w:marBottom w:val="0"/>
          <w:divBdr>
            <w:top w:val="none" w:sz="0" w:space="0" w:color="auto"/>
            <w:left w:val="none" w:sz="0" w:space="0" w:color="auto"/>
            <w:bottom w:val="none" w:sz="0" w:space="0" w:color="auto"/>
            <w:right w:val="none" w:sz="0" w:space="0" w:color="auto"/>
          </w:divBdr>
        </w:div>
        <w:div w:id="20288713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693</Words>
  <Characters>3825</Characters>
  <Application>Microsoft Office Word</Application>
  <DocSecurity>0</DocSecurity>
  <Lines>72</Lines>
  <Paragraphs>31</Paragraphs>
  <ScaleCrop>false</ScaleCrop>
  <HeadingPairs>
    <vt:vector size="2" baseType="variant">
      <vt:variant>
        <vt:lpstr>Title</vt:lpstr>
      </vt:variant>
      <vt:variant>
        <vt:i4>1</vt:i4>
      </vt:variant>
    </vt:vector>
  </HeadingPairs>
  <TitlesOfParts>
    <vt:vector size="1" baseType="lpstr">
      <vt:lpstr>Templates and checklist for the notification of registrable instruments on the ACT legislation register</vt:lpstr>
    </vt:vector>
  </TitlesOfParts>
  <Company>InTACT</Company>
  <LinksUpToDate>false</LinksUpToDate>
  <CharactersWithSpaces>4517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Templates and checklist for the notification of registrable instruments on the ACT legislation register</dc:title>
  <dc:subject/>
  <dc:creator>Anna Anderberg-Hewitt</dc:creator>
  <cp:keywords>2</cp:keywords>
  <dc:description/>
  <cp:lastModifiedBy>Moxon, KarenL</cp:lastModifiedBy>
  <cp:revision>4</cp:revision>
  <cp:lastPrinted>2006-03-31T04:28:00Z</cp:lastPrinted>
  <dcterms:created xsi:type="dcterms:W3CDTF">2021-07-05T00:29:00Z</dcterms:created>
  <dcterms:modified xsi:type="dcterms:W3CDTF">2021-07-05T00:29:00Z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A29699874</vt:lpwstr>
  </property>
  <property fmtid="{D5CDD505-2E9C-101B-9397-08002B2CF9AE}" pid="3" name="Objective-Title">
    <vt:lpwstr>ACT  Retail Electricity (Transparency and Comparability) Code Explanatory Statement</vt:lpwstr>
  </property>
  <property fmtid="{D5CDD505-2E9C-101B-9397-08002B2CF9AE}" pid="4" name="Objective-Comment">
    <vt:lpwstr/>
  </property>
  <property fmtid="{D5CDD505-2E9C-101B-9397-08002B2CF9AE}" pid="5" name="Objective-CreationStamp">
    <vt:filetime>2021-06-25T05:37:37Z</vt:filetime>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DatePublished">
    <vt:filetime>2021-07-01T05:47:07Z</vt:filetime>
  </property>
  <property fmtid="{D5CDD505-2E9C-101B-9397-08002B2CF9AE}" pid="9" name="Objective-ModificationStamp">
    <vt:filetime>2021-07-01T05:58:27Z</vt:filetime>
  </property>
  <property fmtid="{D5CDD505-2E9C-101B-9397-08002B2CF9AE}" pid="10" name="Objective-Owner">
    <vt:lpwstr>Christopher Adkins</vt:lpwstr>
  </property>
  <property fmtid="{D5CDD505-2E9C-101B-9397-08002B2CF9AE}" pid="11" name="Objective-Path">
    <vt:lpwstr>Whole of ACT Government:ICRC - Independent Competition and Regulatory Commission:04. PROJECTS:01. Energy:ACT Retail Electricity (Transparency and Comparability) Code:08. Final code and report:Final documents:</vt:lpwstr>
  </property>
  <property fmtid="{D5CDD505-2E9C-101B-9397-08002B2CF9AE}" pid="12" name="Objective-Parent">
    <vt:lpwstr>Final documents</vt:lpwstr>
  </property>
  <property fmtid="{D5CDD505-2E9C-101B-9397-08002B2CF9AE}" pid="13" name="Objective-State">
    <vt:lpwstr>Published</vt:lpwstr>
  </property>
  <property fmtid="{D5CDD505-2E9C-101B-9397-08002B2CF9AE}" pid="14" name="Objective-Version">
    <vt:lpwstr>10.0</vt:lpwstr>
  </property>
  <property fmtid="{D5CDD505-2E9C-101B-9397-08002B2CF9AE}" pid="15" name="Objective-VersionNumber">
    <vt:r8>11</vt:r8>
  </property>
  <property fmtid="{D5CDD505-2E9C-101B-9397-08002B2CF9AE}" pid="16" name="Objective-VersionComment">
    <vt:lpwstr/>
  </property>
  <property fmtid="{D5CDD505-2E9C-101B-9397-08002B2CF9AE}" pid="17" name="Objective-FileNumber">
    <vt:lpwstr>1-2021/28481</vt:lpwstr>
  </property>
  <property fmtid="{D5CDD505-2E9C-101B-9397-08002B2CF9AE}" pid="18" name="Objective-Classification">
    <vt:lpwstr>[Inherited - Unclassified (beige file cover)]</vt:lpwstr>
  </property>
  <property fmtid="{D5CDD505-2E9C-101B-9397-08002B2CF9AE}" pid="19" name="Objective-Caveats">
    <vt:lpwstr/>
  </property>
  <property fmtid="{D5CDD505-2E9C-101B-9397-08002B2CF9AE}" pid="20" name="Objective-Owner Agency">
    <vt:lpwstr>ICRC</vt:lpwstr>
  </property>
  <property fmtid="{D5CDD505-2E9C-101B-9397-08002B2CF9AE}" pid="21" name="Objective-Document Type">
    <vt:lpwstr>0-Document</vt:lpwstr>
  </property>
  <property fmtid="{D5CDD505-2E9C-101B-9397-08002B2CF9AE}" pid="22" name="Objective-Language">
    <vt:lpwstr>English (en)</vt:lpwstr>
  </property>
  <property fmtid="{D5CDD505-2E9C-101B-9397-08002B2CF9AE}" pid="23" name="Objective-Jurisdiction">
    <vt:lpwstr>ACT</vt:lpwstr>
  </property>
  <property fmtid="{D5CDD505-2E9C-101B-9397-08002B2CF9AE}" pid="24" name="Objective-Customers">
    <vt:lpwstr/>
  </property>
  <property fmtid="{D5CDD505-2E9C-101B-9397-08002B2CF9AE}" pid="25" name="Objective-Places">
    <vt:lpwstr/>
  </property>
  <property fmtid="{D5CDD505-2E9C-101B-9397-08002B2CF9AE}" pid="26" name="Objective-Transaction Reference">
    <vt:lpwstr/>
  </property>
  <property fmtid="{D5CDD505-2E9C-101B-9397-08002B2CF9AE}" pid="27" name="Objective-Document Created By">
    <vt:lpwstr/>
  </property>
  <property fmtid="{D5CDD505-2E9C-101B-9397-08002B2CF9AE}" pid="28" name="Objective-Document Created On">
    <vt:lpwstr/>
  </property>
  <property fmtid="{D5CDD505-2E9C-101B-9397-08002B2CF9AE}" pid="29" name="Objective-Covers Period From">
    <vt:lpwstr/>
  </property>
  <property fmtid="{D5CDD505-2E9C-101B-9397-08002B2CF9AE}" pid="30" name="Objective-Covers Period To">
    <vt:lpwstr/>
  </property>
  <property fmtid="{D5CDD505-2E9C-101B-9397-08002B2CF9AE}" pid="31" name="DMSID">
    <vt:lpwstr>1356596</vt:lpwstr>
  </property>
  <property fmtid="{D5CDD505-2E9C-101B-9397-08002B2CF9AE}" pid="32" name="CHECKEDOUTFROMJMS">
    <vt:lpwstr/>
  </property>
  <property fmtid="{D5CDD505-2E9C-101B-9397-08002B2CF9AE}" pid="33" name="JMSREQUIREDCHECKIN">
    <vt:lpwstr/>
  </property>
</Properties>
</file>