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D227" w14:textId="77777777" w:rsidR="006F3722" w:rsidRDefault="006F372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AB2FEEE" w14:textId="77777777" w:rsidR="006F3722" w:rsidRPr="00684307" w:rsidRDefault="006F3722">
      <w:pPr>
        <w:pStyle w:val="BodyText3"/>
        <w:spacing w:before="480"/>
      </w:pPr>
      <w:bookmarkStart w:id="0" w:name="Citation"/>
      <w:r w:rsidRPr="00684307">
        <w:t xml:space="preserve">Legislative Assembly (Members’ Staff) </w:t>
      </w:r>
      <w:r w:rsidR="00087035" w:rsidRPr="00684307">
        <w:t xml:space="preserve">Variable Terms </w:t>
      </w:r>
      <w:r w:rsidRPr="00684307">
        <w:t>Of Employm</w:t>
      </w:r>
      <w:r w:rsidR="00F67D76" w:rsidRPr="00684307">
        <w:t xml:space="preserve">ent Of </w:t>
      </w:r>
      <w:r w:rsidR="00E1584A" w:rsidRPr="00684307">
        <w:t>Office-holders’</w:t>
      </w:r>
      <w:r w:rsidR="00F67D76" w:rsidRPr="00684307">
        <w:t xml:space="preserve"> Staff </w:t>
      </w:r>
      <w:r w:rsidR="00087035" w:rsidRPr="00684307">
        <w:t xml:space="preserve">Determination </w:t>
      </w:r>
      <w:r w:rsidR="00F67D76" w:rsidRPr="00684307">
        <w:t>20</w:t>
      </w:r>
      <w:r w:rsidR="00E1584A" w:rsidRPr="00684307">
        <w:t>2</w:t>
      </w:r>
      <w:r w:rsidR="00F67D76" w:rsidRPr="00684307">
        <w:t>1</w:t>
      </w:r>
      <w:bookmarkEnd w:id="0"/>
      <w:r w:rsidR="00087035" w:rsidRPr="00684307">
        <w:t xml:space="preserve"> (No 1)</w:t>
      </w:r>
    </w:p>
    <w:p w14:paraId="1FEAC55B" w14:textId="77777777" w:rsidR="006F3722" w:rsidRPr="00684307" w:rsidRDefault="006F3722">
      <w:pPr>
        <w:spacing w:before="240" w:after="60"/>
        <w:rPr>
          <w:rFonts w:ascii="Arial" w:hAnsi="Arial" w:cs="Arial"/>
          <w:b/>
          <w:bCs/>
        </w:rPr>
      </w:pPr>
      <w:r w:rsidRPr="00684307">
        <w:rPr>
          <w:rFonts w:ascii="Arial" w:hAnsi="Arial" w:cs="Arial"/>
          <w:b/>
          <w:bCs/>
        </w:rPr>
        <w:t xml:space="preserve">Disallowable instrument </w:t>
      </w:r>
      <w:r w:rsidRPr="00684307">
        <w:rPr>
          <w:rFonts w:ascii="Arial" w:hAnsi="Arial" w:cs="Arial"/>
          <w:b/>
          <w:bCs/>
        </w:rPr>
        <w:fldChar w:fldCharType="begin"/>
      </w:r>
      <w:r w:rsidRPr="00684307">
        <w:rPr>
          <w:rFonts w:ascii="Arial" w:hAnsi="Arial" w:cs="Arial"/>
          <w:b/>
          <w:bCs/>
        </w:rPr>
        <w:instrText xml:space="preserve"> DOCPROPERTY "Category"  \* MERGEFORMAT </w:instrText>
      </w:r>
      <w:r w:rsidRPr="00684307">
        <w:rPr>
          <w:rFonts w:ascii="Arial" w:hAnsi="Arial" w:cs="Arial"/>
          <w:b/>
          <w:bCs/>
        </w:rPr>
        <w:fldChar w:fldCharType="separate"/>
      </w:r>
      <w:r w:rsidR="002C24CE">
        <w:rPr>
          <w:rFonts w:ascii="Arial" w:hAnsi="Arial" w:cs="Arial"/>
          <w:b/>
          <w:bCs/>
        </w:rPr>
        <w:t>DI2021-184</w:t>
      </w:r>
      <w:r w:rsidRPr="00684307">
        <w:rPr>
          <w:rFonts w:ascii="Arial" w:hAnsi="Arial" w:cs="Arial"/>
          <w:b/>
          <w:bCs/>
        </w:rPr>
        <w:fldChar w:fldCharType="end"/>
      </w:r>
    </w:p>
    <w:p w14:paraId="0CA2062F" w14:textId="77777777" w:rsidR="006F3722" w:rsidRPr="00684307" w:rsidRDefault="006F3722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14:paraId="3ED3EF8C" w14:textId="77777777" w:rsidR="006F3722" w:rsidRPr="00684307" w:rsidRDefault="006F3722">
      <w:pPr>
        <w:pStyle w:val="CoverSubHdg"/>
        <w:spacing w:before="0"/>
      </w:pPr>
      <w:r w:rsidRPr="00684307">
        <w:t>Legislative Assembl</w:t>
      </w:r>
      <w:r w:rsidR="00087035" w:rsidRPr="00684307">
        <w:t>y (Members’ Staff) Ac</w:t>
      </w:r>
      <w:r w:rsidR="00F9264A" w:rsidRPr="00684307">
        <w:t>t 1989, s 6 (3</w:t>
      </w:r>
      <w:r w:rsidR="00087035" w:rsidRPr="00684307">
        <w:t>) (Terms</w:t>
      </w:r>
      <w:r w:rsidRPr="00684307">
        <w:t xml:space="preserve"> of employment)</w:t>
      </w:r>
    </w:p>
    <w:p w14:paraId="6399A9B8" w14:textId="77777777" w:rsidR="006F3722" w:rsidRPr="00684307" w:rsidRDefault="006F3722">
      <w:pPr>
        <w:pStyle w:val="N-line3"/>
        <w:pBdr>
          <w:bottom w:val="none" w:sz="0" w:space="0" w:color="auto"/>
        </w:pBdr>
      </w:pPr>
    </w:p>
    <w:p w14:paraId="1910EC36" w14:textId="77777777" w:rsidR="006F3722" w:rsidRPr="00684307" w:rsidRDefault="006F3722">
      <w:pPr>
        <w:pStyle w:val="BillBasic"/>
        <w:spacing w:before="0"/>
        <w:rPr>
          <w:b/>
          <w:bCs/>
        </w:rPr>
      </w:pPr>
      <w:r w:rsidRPr="00684307">
        <w:rPr>
          <w:b/>
          <w:bCs/>
        </w:rPr>
        <w:t>EXPLANATORY STATEMENT</w:t>
      </w:r>
    </w:p>
    <w:p w14:paraId="39428A77" w14:textId="77777777" w:rsidR="006F3722" w:rsidRPr="00684307" w:rsidRDefault="006F3722">
      <w:pPr>
        <w:pStyle w:val="N-line3"/>
        <w:pBdr>
          <w:top w:val="single" w:sz="12" w:space="1" w:color="auto"/>
          <w:bottom w:val="none" w:sz="0" w:space="0" w:color="auto"/>
        </w:pBdr>
      </w:pPr>
    </w:p>
    <w:p w14:paraId="48C6CF92" w14:textId="77777777" w:rsidR="006F3722" w:rsidRPr="00684307" w:rsidRDefault="006F3722">
      <w:pPr>
        <w:pStyle w:val="Heading4"/>
        <w:numPr>
          <w:ilvl w:val="0"/>
          <w:numId w:val="0"/>
        </w:numPr>
        <w:spacing w:before="0" w:after="0"/>
      </w:pPr>
      <w:r w:rsidRPr="00684307">
        <w:t>Legislative Context</w:t>
      </w:r>
    </w:p>
    <w:p w14:paraId="0E15F3CD" w14:textId="77777777" w:rsidR="006F3722" w:rsidRPr="00684307" w:rsidRDefault="006F372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B36B831" w14:textId="77777777" w:rsidR="006F3722" w:rsidRPr="00684307" w:rsidRDefault="006F3722" w:rsidP="005E71D6">
      <w:pPr>
        <w:ind w:right="-29"/>
      </w:pPr>
      <w:r w:rsidRPr="00684307">
        <w:t xml:space="preserve">The </w:t>
      </w:r>
      <w:r w:rsidRPr="00684307">
        <w:rPr>
          <w:i/>
          <w:iCs/>
        </w:rPr>
        <w:t>Legislative Assembly (Members’ Staff) Act 1989</w:t>
      </w:r>
      <w:r w:rsidRPr="00684307">
        <w:t xml:space="preserve"> (</w:t>
      </w:r>
      <w:r w:rsidR="00E1584A" w:rsidRPr="00684307">
        <w:t>‘</w:t>
      </w:r>
      <w:r w:rsidRPr="00684307">
        <w:t>the Act</w:t>
      </w:r>
      <w:r w:rsidR="00E1584A" w:rsidRPr="00684307">
        <w:t>’</w:t>
      </w:r>
      <w:r w:rsidRPr="00684307">
        <w:t xml:space="preserve">) provides for the employment of </w:t>
      </w:r>
      <w:r w:rsidR="005A0A37" w:rsidRPr="00684307">
        <w:t>staff by</w:t>
      </w:r>
      <w:r w:rsidR="005E71D6" w:rsidRPr="00684307">
        <w:t xml:space="preserve"> members</w:t>
      </w:r>
      <w:r w:rsidR="00D06FD0" w:rsidRPr="00684307">
        <w:t xml:space="preserve"> of the Legislative Assembly. </w:t>
      </w:r>
      <w:r w:rsidR="00F9264A" w:rsidRPr="00684307">
        <w:t>Subsection 5</w:t>
      </w:r>
      <w:r w:rsidRPr="00684307">
        <w:t xml:space="preserve">(1) of the Act gives </w:t>
      </w:r>
      <w:r w:rsidR="00CA2C78" w:rsidRPr="00684307">
        <w:t>office-hold</w:t>
      </w:r>
      <w:r w:rsidRPr="00684307">
        <w:t>ers the author</w:t>
      </w:r>
      <w:r w:rsidR="005E71D6" w:rsidRPr="00684307">
        <w:t xml:space="preserve">ity to employ staff. </w:t>
      </w:r>
      <w:r w:rsidR="00F9264A" w:rsidRPr="00684307">
        <w:t>Section 6(3</w:t>
      </w:r>
      <w:r w:rsidR="00D06FD0" w:rsidRPr="00684307">
        <w:t>)</w:t>
      </w:r>
      <w:r w:rsidRPr="00684307">
        <w:t xml:space="preserve"> of the Act </w:t>
      </w:r>
      <w:r w:rsidR="00D06FD0" w:rsidRPr="00684307">
        <w:t>provides for the Chief Minister to determine in writing the variable terms of employment of</w:t>
      </w:r>
      <w:r w:rsidR="00631427" w:rsidRPr="00684307">
        <w:t xml:space="preserve"> employees employed under part 2 of the Act (‘part 2 employees’)</w:t>
      </w:r>
      <w:r w:rsidRPr="00684307">
        <w:t>.</w:t>
      </w:r>
      <w:r w:rsidR="00D06FD0" w:rsidRPr="00684307">
        <w:t xml:space="preserve"> Such a determination</w:t>
      </w:r>
      <w:r w:rsidR="00F67D76" w:rsidRPr="00684307">
        <w:t xml:space="preserve"> is a disallowable instrument.</w:t>
      </w:r>
    </w:p>
    <w:p w14:paraId="7D451CE5" w14:textId="77777777" w:rsidR="006F3722" w:rsidRPr="00684307" w:rsidRDefault="006F372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726903" w14:textId="77777777" w:rsidR="006F3722" w:rsidRPr="00684307" w:rsidRDefault="006F3722">
      <w:pPr>
        <w:pStyle w:val="Heading4"/>
        <w:numPr>
          <w:ilvl w:val="0"/>
          <w:numId w:val="0"/>
        </w:numPr>
        <w:spacing w:before="0" w:after="0"/>
      </w:pPr>
      <w:r w:rsidRPr="00684307">
        <w:t>Outline</w:t>
      </w:r>
    </w:p>
    <w:p w14:paraId="4333809D" w14:textId="77777777" w:rsidR="006F3722" w:rsidRPr="00684307" w:rsidRDefault="006F372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9D9EFC9" w14:textId="77777777" w:rsidR="00096F8D" w:rsidRPr="00684307" w:rsidRDefault="00C75464" w:rsidP="00FE2C24">
      <w:pPr>
        <w:ind w:right="-29"/>
      </w:pPr>
      <w:r w:rsidRPr="00684307">
        <w:t>The variable terms of employmen</w:t>
      </w:r>
      <w:r w:rsidR="00F9264A" w:rsidRPr="00684307">
        <w:t>t of part 2</w:t>
      </w:r>
      <w:r w:rsidRPr="00684307">
        <w:t xml:space="preserve"> employees</w:t>
      </w:r>
      <w:r w:rsidR="00F9264A" w:rsidRPr="00684307">
        <w:t xml:space="preserve"> under the Act are principally </w:t>
      </w:r>
      <w:r w:rsidR="00D06FD0" w:rsidRPr="00684307">
        <w:t xml:space="preserve">regulated by </w:t>
      </w:r>
      <w:bookmarkStart w:id="1" w:name="_Hlk74295039"/>
      <w:r w:rsidR="00D06FD0" w:rsidRPr="00684307">
        <w:t>the</w:t>
      </w:r>
      <w:r w:rsidR="006F20CB" w:rsidRPr="00684307">
        <w:t xml:space="preserve"> applicable enterprise agreement made under the </w:t>
      </w:r>
      <w:r w:rsidR="006F20CB" w:rsidRPr="00684307">
        <w:rPr>
          <w:i/>
        </w:rPr>
        <w:t>Fair Work Act 2009</w:t>
      </w:r>
      <w:r w:rsidR="006F20CB" w:rsidRPr="00684307">
        <w:t>, currently the</w:t>
      </w:r>
      <w:r w:rsidR="00D06FD0" w:rsidRPr="00684307">
        <w:t xml:space="preserve"> </w:t>
      </w:r>
      <w:bookmarkEnd w:id="1"/>
      <w:r w:rsidR="00D06FD0" w:rsidRPr="00684307">
        <w:rPr>
          <w:bCs/>
          <w:i/>
        </w:rPr>
        <w:t>ACT Legislative Assembly Members’ Staff Enterprise Agreement 201</w:t>
      </w:r>
      <w:r w:rsidR="009E1093" w:rsidRPr="00684307">
        <w:rPr>
          <w:bCs/>
          <w:i/>
        </w:rPr>
        <w:t>8</w:t>
      </w:r>
      <w:r w:rsidR="00D06FD0" w:rsidRPr="00684307">
        <w:rPr>
          <w:bCs/>
          <w:i/>
        </w:rPr>
        <w:t>-20</w:t>
      </w:r>
      <w:r w:rsidR="009E1093" w:rsidRPr="00684307">
        <w:rPr>
          <w:bCs/>
          <w:i/>
        </w:rPr>
        <w:t>2</w:t>
      </w:r>
      <w:r w:rsidR="00D06FD0" w:rsidRPr="00684307">
        <w:rPr>
          <w:bCs/>
          <w:i/>
        </w:rPr>
        <w:t>1</w:t>
      </w:r>
      <w:r w:rsidR="005E2368" w:rsidRPr="00684307">
        <w:rPr>
          <w:bCs/>
        </w:rPr>
        <w:t xml:space="preserve"> (</w:t>
      </w:r>
      <w:r w:rsidR="00A63188" w:rsidRPr="00684307">
        <w:rPr>
          <w:bCs/>
        </w:rPr>
        <w:t>‘</w:t>
      </w:r>
      <w:r w:rsidR="005E2368" w:rsidRPr="00684307">
        <w:rPr>
          <w:bCs/>
        </w:rPr>
        <w:t>the Agreement</w:t>
      </w:r>
      <w:r w:rsidR="00A63188" w:rsidRPr="00684307">
        <w:rPr>
          <w:bCs/>
        </w:rPr>
        <w:t>’</w:t>
      </w:r>
      <w:r w:rsidR="00F9264A" w:rsidRPr="00684307">
        <w:rPr>
          <w:bCs/>
        </w:rPr>
        <w:t>).</w:t>
      </w:r>
      <w:r w:rsidR="005E2368" w:rsidRPr="00684307">
        <w:rPr>
          <w:bCs/>
        </w:rPr>
        <w:t xml:space="preserve"> </w:t>
      </w:r>
      <w:r w:rsidR="00D06FD0" w:rsidRPr="00684307">
        <w:rPr>
          <w:bCs/>
        </w:rPr>
        <w:t>This includes entitlements in respect of leave.</w:t>
      </w:r>
      <w:r w:rsidR="00377E93" w:rsidRPr="00684307">
        <w:rPr>
          <w:bCs/>
        </w:rPr>
        <w:t xml:space="preserve"> </w:t>
      </w:r>
    </w:p>
    <w:p w14:paraId="28D0C950" w14:textId="77777777" w:rsidR="00D06FD0" w:rsidRPr="00684307" w:rsidRDefault="00D06FD0">
      <w:pPr>
        <w:ind w:right="-20"/>
      </w:pPr>
    </w:p>
    <w:p w14:paraId="6CC7CCFD" w14:textId="77777777" w:rsidR="00377E93" w:rsidRPr="00684307" w:rsidRDefault="00A63188" w:rsidP="00A63188">
      <w:pPr>
        <w:ind w:right="-171"/>
        <w:rPr>
          <w:strike/>
        </w:rPr>
      </w:pPr>
      <w:r w:rsidRPr="00684307">
        <w:t>D</w:t>
      </w:r>
      <w:r w:rsidR="00377E93" w:rsidRPr="00684307">
        <w:t xml:space="preserve">etermination </w:t>
      </w:r>
      <w:r w:rsidRPr="00684307">
        <w:t xml:space="preserve">DI2016-276 </w:t>
      </w:r>
      <w:r w:rsidR="00377E93" w:rsidRPr="00684307">
        <w:t>provide</w:t>
      </w:r>
      <w:r w:rsidRPr="00684307">
        <w:t>d</w:t>
      </w:r>
      <w:r w:rsidR="00377E93" w:rsidRPr="00684307">
        <w:t xml:space="preserve"> for the portability of accrued </w:t>
      </w:r>
      <w:r w:rsidR="00201C30" w:rsidRPr="00684307">
        <w:t xml:space="preserve">personal </w:t>
      </w:r>
      <w:r w:rsidR="00377E93" w:rsidRPr="00684307">
        <w:t>leave</w:t>
      </w:r>
      <w:r w:rsidR="00201C30" w:rsidRPr="00684307">
        <w:t>, annual leave and long service leave</w:t>
      </w:r>
      <w:r w:rsidR="00377E93" w:rsidRPr="00684307">
        <w:t xml:space="preserve"> entitlements when </w:t>
      </w:r>
      <w:r w:rsidR="00236216" w:rsidRPr="00684307">
        <w:t>officers</w:t>
      </w:r>
      <w:r w:rsidR="00377E93" w:rsidRPr="00684307">
        <w:t xml:space="preserve"> take Leave Without Pay from the </w:t>
      </w:r>
      <w:r w:rsidR="00236216" w:rsidRPr="00684307">
        <w:t>ACT Public Service (</w:t>
      </w:r>
      <w:r w:rsidR="00377E93" w:rsidRPr="00684307">
        <w:t>ACTPS</w:t>
      </w:r>
      <w:r w:rsidR="00236216" w:rsidRPr="00684307">
        <w:t>)</w:t>
      </w:r>
      <w:r w:rsidR="00377E93" w:rsidRPr="00684307">
        <w:t xml:space="preserve"> to work for a Minister.</w:t>
      </w:r>
      <w:r w:rsidR="00201C30" w:rsidRPr="00684307">
        <w:t xml:space="preserve"> The determination also provide</w:t>
      </w:r>
      <w:r w:rsidRPr="00684307">
        <w:t>d</w:t>
      </w:r>
      <w:r w:rsidR="00201C30" w:rsidRPr="00684307">
        <w:t xml:space="preserve"> for accrued leave entitlements to be transferred back to the ACTPS, when </w:t>
      </w:r>
      <w:r w:rsidR="00236216" w:rsidRPr="00684307">
        <w:t>officers</w:t>
      </w:r>
      <w:r w:rsidR="00201C30" w:rsidRPr="00684307">
        <w:t xml:space="preserve"> return to the ACTPS. </w:t>
      </w:r>
      <w:r w:rsidR="00C97450" w:rsidRPr="00684307">
        <w:rPr>
          <w:bCs/>
        </w:rPr>
        <w:t xml:space="preserve">Employment with a </w:t>
      </w:r>
      <w:r w:rsidR="00C97450" w:rsidRPr="00684307">
        <w:t xml:space="preserve">Commonwealth department or instrumentality is currently not recognised for the purpose of </w:t>
      </w:r>
      <w:r w:rsidR="00236216" w:rsidRPr="00684307">
        <w:t xml:space="preserve">the </w:t>
      </w:r>
      <w:r w:rsidR="00C97450" w:rsidRPr="00684307">
        <w:t>accrual of leave entitlements</w:t>
      </w:r>
      <w:r w:rsidR="00684307" w:rsidRPr="00684307">
        <w:t>.</w:t>
      </w:r>
    </w:p>
    <w:p w14:paraId="480FF853" w14:textId="77777777" w:rsidR="00C97450" w:rsidRPr="00684307" w:rsidRDefault="00C97450" w:rsidP="00A63188">
      <w:pPr>
        <w:ind w:right="-171"/>
        <w:rPr>
          <w:strike/>
        </w:rPr>
      </w:pPr>
    </w:p>
    <w:p w14:paraId="27B67014" w14:textId="77777777" w:rsidR="00CA3E82" w:rsidRPr="00684307" w:rsidRDefault="00A63188" w:rsidP="00CA3E82">
      <w:pPr>
        <w:ind w:right="-454"/>
      </w:pPr>
      <w:r w:rsidRPr="00684307">
        <w:t xml:space="preserve">The purpose of this determination is to extend the portability of </w:t>
      </w:r>
      <w:r w:rsidR="00CA3E82" w:rsidRPr="00684307">
        <w:t>accrued leave entitlements to:</w:t>
      </w:r>
    </w:p>
    <w:p w14:paraId="1CF686A2" w14:textId="77777777" w:rsidR="00A63188" w:rsidRPr="00684307" w:rsidRDefault="00CA3E82" w:rsidP="00CA3E82">
      <w:pPr>
        <w:numPr>
          <w:ilvl w:val="0"/>
          <w:numId w:val="2"/>
        </w:numPr>
        <w:ind w:right="-171"/>
      </w:pPr>
      <w:r w:rsidRPr="00684307">
        <w:t>all office-holders’ staff; and</w:t>
      </w:r>
    </w:p>
    <w:p w14:paraId="3897C6C0" w14:textId="77777777" w:rsidR="00CA3E82" w:rsidRPr="00684307" w:rsidRDefault="00C97450" w:rsidP="00CA3E82">
      <w:pPr>
        <w:numPr>
          <w:ilvl w:val="0"/>
          <w:numId w:val="2"/>
        </w:numPr>
        <w:ind w:right="-171"/>
      </w:pPr>
      <w:r w:rsidRPr="00684307">
        <w:t xml:space="preserve">employment </w:t>
      </w:r>
      <w:r w:rsidR="00CA3E82" w:rsidRPr="00684307">
        <w:t>with a Commonwealth department or instrumentality.</w:t>
      </w:r>
    </w:p>
    <w:p w14:paraId="31B07BAF" w14:textId="77777777" w:rsidR="00C97450" w:rsidRPr="00684307" w:rsidRDefault="00C97450" w:rsidP="008509C9">
      <w:pPr>
        <w:ind w:right="-20"/>
      </w:pPr>
    </w:p>
    <w:p w14:paraId="5A85AA6F" w14:textId="77777777" w:rsidR="006F3722" w:rsidRPr="00684307" w:rsidRDefault="00697783" w:rsidP="008509C9">
      <w:pPr>
        <w:ind w:right="-20"/>
        <w:rPr>
          <w:rFonts w:ascii="Arial" w:hAnsi="Arial" w:cs="Arial"/>
          <w:b/>
          <w:bCs/>
        </w:rPr>
      </w:pPr>
      <w:r w:rsidRPr="00684307">
        <w:rPr>
          <w:rFonts w:ascii="Arial" w:hAnsi="Arial" w:cs="Arial"/>
          <w:b/>
          <w:bCs/>
        </w:rPr>
        <w:t>Variable Terms</w:t>
      </w:r>
    </w:p>
    <w:p w14:paraId="54E85790" w14:textId="77777777" w:rsidR="006F3722" w:rsidRPr="00684307" w:rsidRDefault="006F3722">
      <w:pPr>
        <w:pStyle w:val="Header"/>
        <w:tabs>
          <w:tab w:val="clear" w:pos="4153"/>
          <w:tab w:val="clear" w:pos="8306"/>
        </w:tabs>
      </w:pPr>
    </w:p>
    <w:p w14:paraId="70741716" w14:textId="77777777" w:rsidR="006F3722" w:rsidRPr="00684307" w:rsidRDefault="006F3722">
      <w:pPr>
        <w:pStyle w:val="Header"/>
        <w:tabs>
          <w:tab w:val="clear" w:pos="4153"/>
          <w:tab w:val="clear" w:pos="8306"/>
        </w:tabs>
      </w:pPr>
      <w:r w:rsidRPr="00684307">
        <w:t xml:space="preserve">Numbered clauses 1 to </w:t>
      </w:r>
      <w:r w:rsidR="0037050C" w:rsidRPr="00684307">
        <w:t>4</w:t>
      </w:r>
      <w:r w:rsidRPr="00684307">
        <w:t xml:space="preserve"> </w:t>
      </w:r>
      <w:r w:rsidR="005F4F59" w:rsidRPr="00684307">
        <w:t xml:space="preserve">of the determination </w:t>
      </w:r>
      <w:r w:rsidRPr="00684307">
        <w:t>contain technical provisions.</w:t>
      </w:r>
      <w:r w:rsidR="00F62528" w:rsidRPr="00684307">
        <w:t xml:space="preserve"> The date of commencement of the instrument in clause 2 has been set as 1 July 2021. The definition of ‘office-holder’ in clause 4 replaces that of ‘Minister’.</w:t>
      </w:r>
    </w:p>
    <w:p w14:paraId="30A696C9" w14:textId="77777777" w:rsidR="006F3722" w:rsidRPr="00684307" w:rsidRDefault="006F3722">
      <w:pPr>
        <w:pStyle w:val="Header"/>
        <w:tabs>
          <w:tab w:val="clear" w:pos="4153"/>
          <w:tab w:val="clear" w:pos="8306"/>
        </w:tabs>
      </w:pPr>
    </w:p>
    <w:p w14:paraId="01F3772A" w14:textId="77777777" w:rsidR="00F62528" w:rsidRPr="00684307" w:rsidRDefault="00F62528">
      <w:pPr>
        <w:pStyle w:val="Header"/>
        <w:tabs>
          <w:tab w:val="clear" w:pos="4153"/>
          <w:tab w:val="clear" w:pos="8306"/>
        </w:tabs>
      </w:pPr>
      <w:r w:rsidRPr="00684307">
        <w:t>Numbered clause 5 revokes the existing disallowable instrument DI2016-276.</w:t>
      </w:r>
    </w:p>
    <w:p w14:paraId="742F2713" w14:textId="77777777" w:rsidR="00F62528" w:rsidRPr="00684307" w:rsidRDefault="00F62528">
      <w:pPr>
        <w:pStyle w:val="Header"/>
        <w:tabs>
          <w:tab w:val="clear" w:pos="4153"/>
          <w:tab w:val="clear" w:pos="8306"/>
        </w:tabs>
      </w:pPr>
    </w:p>
    <w:p w14:paraId="4FFAF32C" w14:textId="77777777" w:rsidR="00201C30" w:rsidRPr="00684307" w:rsidRDefault="0037050C" w:rsidP="004320F0">
      <w:pPr>
        <w:pStyle w:val="Header"/>
        <w:tabs>
          <w:tab w:val="clear" w:pos="4153"/>
          <w:tab w:val="clear" w:pos="8306"/>
        </w:tabs>
        <w:ind w:right="-171"/>
      </w:pPr>
      <w:r w:rsidRPr="00684307">
        <w:lastRenderedPageBreak/>
        <w:t>Numbered clause</w:t>
      </w:r>
      <w:r w:rsidR="00F62528" w:rsidRPr="00684307">
        <w:t>s</w:t>
      </w:r>
      <w:r w:rsidRPr="00684307">
        <w:t xml:space="preserve"> </w:t>
      </w:r>
      <w:r w:rsidR="00F62528" w:rsidRPr="00684307">
        <w:t>6 and 7</w:t>
      </w:r>
      <w:r w:rsidR="00F66630" w:rsidRPr="00684307">
        <w:t xml:space="preserve"> specif</w:t>
      </w:r>
      <w:r w:rsidR="00197C97" w:rsidRPr="00684307">
        <w:t>y</w:t>
      </w:r>
      <w:r w:rsidR="00F66630" w:rsidRPr="00684307">
        <w:t xml:space="preserve"> </w:t>
      </w:r>
      <w:r w:rsidR="00201C30" w:rsidRPr="00684307">
        <w:t>that the purpose of the instrument is to determine the variable terms of employment of part 2 employees.</w:t>
      </w:r>
    </w:p>
    <w:p w14:paraId="694FC5B5" w14:textId="77777777" w:rsidR="00201C30" w:rsidRPr="00684307" w:rsidRDefault="00201C30">
      <w:pPr>
        <w:pStyle w:val="Header"/>
        <w:tabs>
          <w:tab w:val="clear" w:pos="4153"/>
          <w:tab w:val="clear" w:pos="8306"/>
        </w:tabs>
      </w:pPr>
    </w:p>
    <w:p w14:paraId="3460B215" w14:textId="77777777" w:rsidR="00DA5934" w:rsidRPr="00684307" w:rsidRDefault="00DA5934" w:rsidP="004320F0">
      <w:pPr>
        <w:pStyle w:val="Header"/>
        <w:tabs>
          <w:tab w:val="clear" w:pos="4153"/>
          <w:tab w:val="clear" w:pos="8306"/>
        </w:tabs>
        <w:ind w:right="-29"/>
      </w:pPr>
      <w:r w:rsidRPr="00684307">
        <w:t xml:space="preserve">Numbered clause </w:t>
      </w:r>
      <w:r w:rsidR="004320F0" w:rsidRPr="00684307">
        <w:t>8(1)</w:t>
      </w:r>
      <w:r w:rsidR="00F66630" w:rsidRPr="00684307">
        <w:t xml:space="preserve"> </w:t>
      </w:r>
      <w:r w:rsidRPr="00684307">
        <w:t>specifies</w:t>
      </w:r>
      <w:r w:rsidR="00157D8D" w:rsidRPr="00684307">
        <w:t xml:space="preserve"> the variab</w:t>
      </w:r>
      <w:r w:rsidR="005A0A37" w:rsidRPr="00684307">
        <w:t xml:space="preserve">le terms of employment </w:t>
      </w:r>
      <w:r w:rsidRPr="00684307">
        <w:t xml:space="preserve">that are to apply to </w:t>
      </w:r>
      <w:r w:rsidR="00BB254D" w:rsidRPr="00684307">
        <w:t>officer</w:t>
      </w:r>
      <w:r w:rsidRPr="00684307">
        <w:t>s who are granted Leave Without Pay from the ACTPS to undertake employment with a</w:t>
      </w:r>
      <w:r w:rsidR="004320F0" w:rsidRPr="00684307">
        <w:t>n office-holder</w:t>
      </w:r>
      <w:r w:rsidRPr="00684307">
        <w:t>.</w:t>
      </w:r>
      <w:r w:rsidR="004320F0" w:rsidRPr="00684307">
        <w:t xml:space="preserve"> In clause 8(1) references </w:t>
      </w:r>
      <w:r w:rsidR="00CA4EA9" w:rsidRPr="00684307">
        <w:t xml:space="preserve">to </w:t>
      </w:r>
      <w:r w:rsidR="00BB254D" w:rsidRPr="00684307">
        <w:t xml:space="preserve">‘employee’ </w:t>
      </w:r>
      <w:r w:rsidR="00CA4EA9" w:rsidRPr="00684307">
        <w:t xml:space="preserve">have been replaced with ‘officer’ and references </w:t>
      </w:r>
      <w:r w:rsidR="004320F0" w:rsidRPr="00684307">
        <w:t>to ‘Minister’ have been replaced with ‘office-holder’.</w:t>
      </w:r>
      <w:r w:rsidR="00BB254D" w:rsidRPr="00684307">
        <w:t xml:space="preserve"> The remaining provisions of clause 8(1) remain unaltered.</w:t>
      </w:r>
    </w:p>
    <w:p w14:paraId="7C9C96BC" w14:textId="77777777" w:rsidR="00DA5934" w:rsidRPr="00684307" w:rsidRDefault="00DA5934">
      <w:pPr>
        <w:pStyle w:val="Header"/>
        <w:tabs>
          <w:tab w:val="clear" w:pos="4153"/>
          <w:tab w:val="clear" w:pos="8306"/>
        </w:tabs>
      </w:pPr>
    </w:p>
    <w:p w14:paraId="1E4F9299" w14:textId="77777777" w:rsidR="006F20CB" w:rsidRPr="00684307" w:rsidRDefault="004320F0" w:rsidP="006F20CB">
      <w:pPr>
        <w:pStyle w:val="Header"/>
        <w:tabs>
          <w:tab w:val="clear" w:pos="4153"/>
          <w:tab w:val="clear" w:pos="8306"/>
        </w:tabs>
      </w:pPr>
      <w:r w:rsidRPr="00684307">
        <w:t>Numbered clause 8(2) has been added.</w:t>
      </w:r>
      <w:r w:rsidR="006F20CB" w:rsidRPr="00684307">
        <w:t xml:space="preserve"> </w:t>
      </w:r>
      <w:r w:rsidR="00BB254D" w:rsidRPr="00684307">
        <w:t>C</w:t>
      </w:r>
      <w:r w:rsidR="006F20CB" w:rsidRPr="00684307">
        <w:t xml:space="preserve">lause 8(2) specifies the variable terms of employment that are to apply to part </w:t>
      </w:r>
      <w:r w:rsidR="00BB254D" w:rsidRPr="00684307">
        <w:t>2</w:t>
      </w:r>
      <w:r w:rsidR="006F20CB" w:rsidRPr="00684307">
        <w:t xml:space="preserve"> employees whose </w:t>
      </w:r>
      <w:r w:rsidR="00E30590" w:rsidRPr="00684307">
        <w:t>employment</w:t>
      </w:r>
      <w:r w:rsidR="006F20CB" w:rsidRPr="00684307">
        <w:t xml:space="preserve"> with a Commonwealth department or instrumentality is to be recognised for leave purposes.</w:t>
      </w:r>
    </w:p>
    <w:p w14:paraId="6DB7CB6D" w14:textId="77777777" w:rsidR="006F20CB" w:rsidRPr="00684307" w:rsidRDefault="006F20CB" w:rsidP="006F20CB">
      <w:pPr>
        <w:pStyle w:val="Header"/>
        <w:tabs>
          <w:tab w:val="clear" w:pos="4153"/>
          <w:tab w:val="clear" w:pos="8306"/>
        </w:tabs>
      </w:pPr>
    </w:p>
    <w:p w14:paraId="3F03F841" w14:textId="77777777" w:rsidR="006F20CB" w:rsidRPr="00684307" w:rsidRDefault="006F20CB" w:rsidP="006F20CB">
      <w:pPr>
        <w:pStyle w:val="Header"/>
        <w:tabs>
          <w:tab w:val="clear" w:pos="4153"/>
          <w:tab w:val="clear" w:pos="8306"/>
        </w:tabs>
      </w:pPr>
      <w:r w:rsidRPr="00684307">
        <w:t xml:space="preserve">Numbered clause 8(2)(a) specifies that a part </w:t>
      </w:r>
      <w:r w:rsidR="00BB254D" w:rsidRPr="00684307">
        <w:t>2</w:t>
      </w:r>
      <w:r w:rsidRPr="00684307">
        <w:t xml:space="preserve"> employee will</w:t>
      </w:r>
      <w:r w:rsidR="00BB254D" w:rsidRPr="00684307">
        <w:t xml:space="preserve">, </w:t>
      </w:r>
      <w:bookmarkStart w:id="2" w:name="_Hlk74301637"/>
      <w:r w:rsidR="00E30590" w:rsidRPr="00684307">
        <w:t>subject to the relevant allowable break period</w:t>
      </w:r>
      <w:bookmarkEnd w:id="2"/>
      <w:r w:rsidR="00BB254D" w:rsidRPr="00684307">
        <w:t>,</w:t>
      </w:r>
      <w:r w:rsidRPr="00684307">
        <w:t xml:space="preserve"> be credited with any personal leave balance accrued with a Commonwealth department or instrumentality. </w:t>
      </w:r>
    </w:p>
    <w:p w14:paraId="16579F92" w14:textId="77777777" w:rsidR="006F20CB" w:rsidRPr="00684307" w:rsidRDefault="006F20CB" w:rsidP="006F20CB">
      <w:pPr>
        <w:pStyle w:val="Header"/>
        <w:tabs>
          <w:tab w:val="clear" w:pos="4153"/>
          <w:tab w:val="clear" w:pos="8306"/>
        </w:tabs>
      </w:pPr>
    </w:p>
    <w:p w14:paraId="3A91623B" w14:textId="77777777" w:rsidR="006F20CB" w:rsidRPr="00684307" w:rsidRDefault="006F20CB" w:rsidP="006F20CB">
      <w:pPr>
        <w:pStyle w:val="Header"/>
        <w:tabs>
          <w:tab w:val="clear" w:pos="4153"/>
          <w:tab w:val="clear" w:pos="8306"/>
        </w:tabs>
        <w:rPr>
          <w:strike/>
        </w:rPr>
      </w:pPr>
      <w:r w:rsidRPr="00684307">
        <w:t xml:space="preserve">Numbered clause 8(2)(b) specifies that a part </w:t>
      </w:r>
      <w:r w:rsidR="00BB254D" w:rsidRPr="00684307">
        <w:t>2</w:t>
      </w:r>
      <w:r w:rsidRPr="00684307">
        <w:t xml:space="preserve"> employee will</w:t>
      </w:r>
      <w:r w:rsidR="00BB254D" w:rsidRPr="00684307">
        <w:t xml:space="preserve">, </w:t>
      </w:r>
      <w:r w:rsidR="00E30590" w:rsidRPr="00684307">
        <w:t>subject to the relevant allowable break period</w:t>
      </w:r>
      <w:r w:rsidR="00BB254D" w:rsidRPr="00684307">
        <w:t>,</w:t>
      </w:r>
      <w:r w:rsidRPr="00684307">
        <w:t xml:space="preserve"> be credited with any annual leave balance accrued with a Commonwealth department or instrumentality. </w:t>
      </w:r>
    </w:p>
    <w:p w14:paraId="76724221" w14:textId="77777777" w:rsidR="006F20CB" w:rsidRPr="00684307" w:rsidRDefault="006F20CB" w:rsidP="006F20CB">
      <w:pPr>
        <w:pStyle w:val="Header"/>
        <w:tabs>
          <w:tab w:val="clear" w:pos="4153"/>
          <w:tab w:val="clear" w:pos="8306"/>
        </w:tabs>
      </w:pPr>
    </w:p>
    <w:p w14:paraId="185FDDE2" w14:textId="77777777" w:rsidR="00C97450" w:rsidRPr="00684307" w:rsidRDefault="006F20CB" w:rsidP="006F20CB">
      <w:pPr>
        <w:pStyle w:val="Style18"/>
        <w:numPr>
          <w:ilvl w:val="0"/>
          <w:numId w:val="0"/>
        </w:numPr>
        <w:tabs>
          <w:tab w:val="clear" w:pos="1134"/>
        </w:tabs>
        <w:rPr>
          <w:color w:val="auto"/>
        </w:rPr>
      </w:pPr>
      <w:r w:rsidRPr="00684307">
        <w:rPr>
          <w:color w:val="auto"/>
        </w:rPr>
        <w:t xml:space="preserve">Numbered clause 8(2)(c) specifies that a part </w:t>
      </w:r>
      <w:r w:rsidR="00BB254D" w:rsidRPr="00684307">
        <w:rPr>
          <w:color w:val="auto"/>
        </w:rPr>
        <w:t>2</w:t>
      </w:r>
      <w:r w:rsidRPr="00684307">
        <w:rPr>
          <w:color w:val="auto"/>
        </w:rPr>
        <w:t xml:space="preserve"> employee wil</w:t>
      </w:r>
      <w:r w:rsidR="00BB254D" w:rsidRPr="00684307">
        <w:rPr>
          <w:color w:val="auto"/>
        </w:rPr>
        <w:t xml:space="preserve">l, </w:t>
      </w:r>
      <w:r w:rsidR="00E30590" w:rsidRPr="00684307">
        <w:rPr>
          <w:color w:val="auto"/>
        </w:rPr>
        <w:t>subject to the relevant allowable break period</w:t>
      </w:r>
      <w:r w:rsidR="00BB254D" w:rsidRPr="00684307">
        <w:rPr>
          <w:color w:val="auto"/>
        </w:rPr>
        <w:t>,</w:t>
      </w:r>
      <w:r w:rsidRPr="00684307">
        <w:rPr>
          <w:color w:val="auto"/>
        </w:rPr>
        <w:t xml:space="preserve"> have their </w:t>
      </w:r>
      <w:r w:rsidR="00E30590" w:rsidRPr="00684307">
        <w:rPr>
          <w:color w:val="auto"/>
        </w:rPr>
        <w:t>employment</w:t>
      </w:r>
      <w:r w:rsidRPr="00684307">
        <w:rPr>
          <w:color w:val="auto"/>
        </w:rPr>
        <w:t xml:space="preserve"> with a Commonwealth department or instrumentality counted towards the accrual of long service as though accrued during the employee’s employment with a</w:t>
      </w:r>
      <w:r w:rsidR="007F20A1" w:rsidRPr="00684307">
        <w:rPr>
          <w:color w:val="auto"/>
        </w:rPr>
        <w:t>n</w:t>
      </w:r>
      <w:r w:rsidRPr="00684307">
        <w:rPr>
          <w:color w:val="auto"/>
        </w:rPr>
        <w:t xml:space="preserve"> </w:t>
      </w:r>
      <w:r w:rsidR="00515498" w:rsidRPr="00684307">
        <w:rPr>
          <w:color w:val="auto"/>
        </w:rPr>
        <w:t>office-hold</w:t>
      </w:r>
      <w:r w:rsidRPr="00684307">
        <w:rPr>
          <w:color w:val="auto"/>
        </w:rPr>
        <w:t xml:space="preserve">er. </w:t>
      </w:r>
    </w:p>
    <w:p w14:paraId="30CFDE2D" w14:textId="77777777" w:rsidR="00C97450" w:rsidRPr="00684307" w:rsidRDefault="00C97450" w:rsidP="006F20CB">
      <w:pPr>
        <w:pStyle w:val="Style18"/>
        <w:numPr>
          <w:ilvl w:val="0"/>
          <w:numId w:val="0"/>
        </w:numPr>
        <w:tabs>
          <w:tab w:val="clear" w:pos="1134"/>
        </w:tabs>
        <w:rPr>
          <w:color w:val="auto"/>
        </w:rPr>
      </w:pPr>
    </w:p>
    <w:p w14:paraId="318B2B3B" w14:textId="77777777" w:rsidR="006F20CB" w:rsidRPr="00684307" w:rsidRDefault="006F20CB" w:rsidP="006F20CB">
      <w:pPr>
        <w:pStyle w:val="Header"/>
        <w:tabs>
          <w:tab w:val="clear" w:pos="4153"/>
          <w:tab w:val="clear" w:pos="8306"/>
        </w:tabs>
        <w:rPr>
          <w:strike/>
        </w:rPr>
      </w:pPr>
      <w:r w:rsidRPr="00684307">
        <w:t xml:space="preserve">Numbered clause 8(2)(d) provides that a part </w:t>
      </w:r>
      <w:r w:rsidR="00515498" w:rsidRPr="00684307">
        <w:t>2</w:t>
      </w:r>
      <w:r w:rsidRPr="00684307">
        <w:t xml:space="preserve"> employee is entitled to use </w:t>
      </w:r>
      <w:bookmarkStart w:id="3" w:name="_Hlk74838481"/>
      <w:r w:rsidRPr="00684307">
        <w:t xml:space="preserve">any such leave transferred from a Commonwealth department or instrumentality </w:t>
      </w:r>
      <w:bookmarkStart w:id="4" w:name="_Hlk74838559"/>
      <w:bookmarkEnd w:id="3"/>
      <w:r w:rsidRPr="00684307">
        <w:t>in accordance with the applicable enterprise agreement, subject to the approval of the</w:t>
      </w:r>
      <w:bookmarkEnd w:id="4"/>
      <w:r w:rsidRPr="00684307">
        <w:t xml:space="preserve"> </w:t>
      </w:r>
      <w:r w:rsidR="00515498" w:rsidRPr="00684307">
        <w:t>office-hold</w:t>
      </w:r>
      <w:r w:rsidRPr="00684307">
        <w:t xml:space="preserve">er or an authorised person. </w:t>
      </w:r>
    </w:p>
    <w:p w14:paraId="430649D4" w14:textId="77777777" w:rsidR="004320F0" w:rsidRPr="00684307" w:rsidRDefault="004320F0">
      <w:pPr>
        <w:pStyle w:val="Header"/>
        <w:tabs>
          <w:tab w:val="clear" w:pos="4153"/>
          <w:tab w:val="clear" w:pos="8306"/>
        </w:tabs>
      </w:pPr>
    </w:p>
    <w:p w14:paraId="634B2A39" w14:textId="77777777" w:rsidR="00C97450" w:rsidRPr="00684307" w:rsidRDefault="00C97450" w:rsidP="00C97450">
      <w:pPr>
        <w:pStyle w:val="Style18"/>
        <w:numPr>
          <w:ilvl w:val="0"/>
          <w:numId w:val="0"/>
        </w:numPr>
        <w:tabs>
          <w:tab w:val="clear" w:pos="1134"/>
        </w:tabs>
        <w:rPr>
          <w:color w:val="auto"/>
        </w:rPr>
      </w:pPr>
      <w:r w:rsidRPr="00684307">
        <w:rPr>
          <w:color w:val="auto"/>
        </w:rPr>
        <w:t>Numbered clause 8(2)(e) provides that any service for which a payment has been made will not be recognised</w:t>
      </w:r>
      <w:r w:rsidR="00A06638" w:rsidRPr="00684307">
        <w:rPr>
          <w:color w:val="auto"/>
        </w:rPr>
        <w:t>,</w:t>
      </w:r>
      <w:r w:rsidRPr="00684307">
        <w:rPr>
          <w:color w:val="auto"/>
        </w:rPr>
        <w:t xml:space="preserve"> </w:t>
      </w:r>
      <w:bookmarkStart w:id="5" w:name="_Hlk75180734"/>
      <w:r w:rsidRPr="00684307">
        <w:rPr>
          <w:color w:val="auto"/>
        </w:rPr>
        <w:t>to prevent double-dipping</w:t>
      </w:r>
      <w:bookmarkEnd w:id="5"/>
      <w:r w:rsidRPr="00684307">
        <w:rPr>
          <w:color w:val="auto"/>
        </w:rPr>
        <w:t>.</w:t>
      </w:r>
    </w:p>
    <w:p w14:paraId="559FAF3D" w14:textId="77777777" w:rsidR="001D0B7F" w:rsidRPr="00684307" w:rsidRDefault="001D0B7F">
      <w:pPr>
        <w:pStyle w:val="Header"/>
        <w:tabs>
          <w:tab w:val="clear" w:pos="4153"/>
          <w:tab w:val="clear" w:pos="8306"/>
        </w:tabs>
      </w:pPr>
    </w:p>
    <w:sectPr w:rsidR="001D0B7F" w:rsidRPr="00684307" w:rsidSect="00850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1907" w:h="16839" w:code="9"/>
      <w:pgMar w:top="1418" w:right="1588" w:bottom="709" w:left="1701" w:header="726" w:footer="5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645C2" w14:textId="77777777" w:rsidR="00D0180A" w:rsidRDefault="00D0180A">
      <w:r>
        <w:separator/>
      </w:r>
    </w:p>
  </w:endnote>
  <w:endnote w:type="continuationSeparator" w:id="0">
    <w:p w14:paraId="598E25C9" w14:textId="77777777" w:rsidR="00D0180A" w:rsidRDefault="00D0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36D3" w14:textId="77777777" w:rsidR="009A2B9A" w:rsidRDefault="009A2B9A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9A2B9A" w14:paraId="69CFE921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7A38E2" w14:textId="77777777" w:rsidR="009A2B9A" w:rsidRDefault="009A2B9A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t>2</w:t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E51616" w14:textId="77777777" w:rsidR="009A2B9A" w:rsidRDefault="009A2B9A">
          <w:pPr>
            <w:pStyle w:val="Footer"/>
            <w:jc w:val="center"/>
          </w:pPr>
          <w:fldSimple w:instr=" REF Citation *\charformat  \* MERGEFORMAT ">
            <w:r w:rsidR="00913AB9" w:rsidRPr="00684307">
              <w:t xml:space="preserve">Legislative Assembly (Members’ Staff) Variable Terms Of Employment Of </w:t>
            </w:r>
            <w:r w:rsidR="00913AB9" w:rsidRPr="00913AB9">
              <w:rPr>
                <w:color w:val="FF0000"/>
              </w:rPr>
              <w:t xml:space="preserve">Office-holders’ </w:t>
            </w:r>
            <w:r w:rsidR="00913AB9" w:rsidRPr="00684307">
              <w:t xml:space="preserve">Staff Determination </w:t>
            </w:r>
            <w:r w:rsidR="00913AB9" w:rsidRPr="00913AB9">
              <w:rPr>
                <w:color w:val="FF0000"/>
              </w:rPr>
              <w:t>2021</w:t>
            </w:r>
          </w:fldSimple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8D179E" w14:textId="77777777" w:rsidR="009A2B9A" w:rsidRPr="00CA3E82" w:rsidRDefault="009A2B9A">
          <w:pPr>
            <w:pStyle w:val="Footer"/>
            <w:jc w:val="right"/>
            <w:rPr>
              <w:color w:val="FF0000"/>
            </w:rPr>
          </w:pPr>
          <w:r w:rsidRPr="00CA3E82">
            <w:rPr>
              <w:color w:val="FF0000"/>
            </w:rPr>
            <w:fldChar w:fldCharType="begin"/>
          </w:r>
          <w:r w:rsidRPr="00CA3E82">
            <w:rPr>
              <w:color w:val="FF0000"/>
            </w:rPr>
            <w:instrText xml:space="preserve"> DOCPROPERTY "Category"  </w:instrText>
          </w:r>
          <w:r w:rsidRPr="00CA3E82">
            <w:rPr>
              <w:color w:val="FF0000"/>
            </w:rPr>
            <w:fldChar w:fldCharType="separate"/>
          </w:r>
          <w:r w:rsidR="00913AB9">
            <w:rPr>
              <w:color w:val="FF0000"/>
            </w:rPr>
            <w:t>DI2021-184</w:t>
          </w:r>
          <w:r w:rsidRPr="00CA3E82">
            <w:rPr>
              <w:color w:val="FF0000"/>
            </w:rPr>
            <w:fldChar w:fldCharType="end"/>
          </w:r>
          <w:r w:rsidRPr="00CA3E82">
            <w:rPr>
              <w:color w:val="FF0000"/>
            </w:rPr>
            <w:br/>
          </w:r>
          <w:r w:rsidRPr="00CA3E82">
            <w:rPr>
              <w:color w:val="FF0000"/>
            </w:rPr>
            <w:fldChar w:fldCharType="begin"/>
          </w:r>
          <w:r w:rsidRPr="00CA3E82">
            <w:rPr>
              <w:color w:val="FF0000"/>
            </w:rPr>
            <w:instrText xml:space="preserve"> DOCPROPERTY "RepubDt"  </w:instrText>
          </w:r>
          <w:r w:rsidRPr="00CA3E82">
            <w:rPr>
              <w:color w:val="FF0000"/>
            </w:rPr>
            <w:fldChar w:fldCharType="separate"/>
          </w:r>
          <w:r w:rsidR="00913AB9">
            <w:rPr>
              <w:color w:val="FF0000"/>
            </w:rPr>
            <w:t xml:space="preserve">  </w:t>
          </w:r>
          <w:r w:rsidRPr="00CA3E82">
            <w:rPr>
              <w:color w:val="FF0000"/>
            </w:rPr>
            <w:fldChar w:fldCharType="end"/>
          </w:r>
        </w:p>
      </w:tc>
    </w:tr>
  </w:tbl>
  <w:p w14:paraId="682F83EF" w14:textId="77777777" w:rsidR="009A2B9A" w:rsidRPr="000D025D" w:rsidRDefault="000D025D" w:rsidP="000D025D">
    <w:pPr>
      <w:pStyle w:val="Status"/>
      <w:rPr>
        <w:szCs w:val="18"/>
      </w:rPr>
    </w:pPr>
    <w:r w:rsidRPr="000D025D">
      <w:rPr>
        <w:szCs w:val="18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02172" w14:textId="77777777" w:rsidR="009A2B9A" w:rsidRDefault="009A2B9A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03"/>
      <w:gridCol w:w="4400"/>
      <w:gridCol w:w="1759"/>
    </w:tblGrid>
    <w:tr w:rsidR="009A2B9A" w14:paraId="4A61B0C5" w14:textId="77777777" w:rsidTr="00CA3E82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0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6FFF373" w14:textId="77777777" w:rsidR="009A2B9A" w:rsidRPr="00684307" w:rsidRDefault="009A2B9A" w:rsidP="00215112">
          <w:pPr>
            <w:pStyle w:val="Footer"/>
          </w:pPr>
          <w:r w:rsidRPr="00684307">
            <w:t xml:space="preserve">page </w:t>
          </w:r>
          <w:r w:rsidRPr="00684307">
            <w:rPr>
              <w:rStyle w:val="PageNumber"/>
              <w:rFonts w:cs="Arial"/>
            </w:rPr>
            <w:t>2</w:t>
          </w:r>
          <w:r w:rsidRPr="00684307">
            <w:br/>
          </w:r>
          <w:fldSimple w:instr=" DOCPROPERTY &quot;RepubDt&quot;  ">
            <w:r w:rsidR="00913AB9">
              <w:t xml:space="preserve">  </w:t>
            </w:r>
          </w:fldSimple>
        </w:p>
      </w:tc>
      <w:tc>
        <w:tcPr>
          <w:tcW w:w="44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2B55DF" w14:textId="77777777" w:rsidR="009A2B9A" w:rsidRPr="00684307" w:rsidRDefault="009A2B9A" w:rsidP="00F9264A">
          <w:pPr>
            <w:pStyle w:val="Footer"/>
            <w:jc w:val="center"/>
          </w:pPr>
          <w:fldSimple w:instr=" REF Citation *\charformat  \* MERGEFORMAT ">
            <w:r w:rsidR="00913AB9" w:rsidRPr="00684307">
              <w:t>Legislative Assembly (Members’ Staff) Variable Terms Of Employment Of Office-holders’ Staff Determination 2021</w:t>
            </w:r>
          </w:fldSimple>
          <w:r w:rsidRPr="00684307">
            <w:t xml:space="preserve"> (No 1)</w:t>
          </w:r>
        </w:p>
      </w:tc>
      <w:tc>
        <w:tcPr>
          <w:tcW w:w="175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8A36B6" w14:textId="77777777" w:rsidR="009A2B9A" w:rsidRPr="00684307" w:rsidRDefault="00CA3E82">
          <w:pPr>
            <w:pStyle w:val="Footer"/>
            <w:jc w:val="right"/>
          </w:pPr>
          <w:fldSimple w:instr=" DOCPROPERTY &quot;Category&quot;  ">
            <w:r w:rsidR="00913AB9">
              <w:t>DI2021-184</w:t>
            </w:r>
          </w:fldSimple>
        </w:p>
      </w:tc>
    </w:tr>
  </w:tbl>
  <w:p w14:paraId="20C74870" w14:textId="77777777" w:rsidR="009A2B9A" w:rsidRPr="000D025D" w:rsidRDefault="000D025D" w:rsidP="000D025D">
    <w:pPr>
      <w:pStyle w:val="Status"/>
      <w:rPr>
        <w:szCs w:val="18"/>
      </w:rPr>
    </w:pPr>
    <w:r w:rsidRPr="000D025D">
      <w:rPr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0BD5E" w14:textId="77777777" w:rsidR="00811971" w:rsidRPr="000D025D" w:rsidRDefault="000D025D" w:rsidP="000D025D">
    <w:pPr>
      <w:pStyle w:val="Footer"/>
      <w:jc w:val="center"/>
      <w:rPr>
        <w:sz w:val="14"/>
      </w:rPr>
    </w:pPr>
    <w:r w:rsidRPr="000D025D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28B87" w14:textId="77777777" w:rsidR="00D0180A" w:rsidRDefault="00D0180A">
      <w:r>
        <w:separator/>
      </w:r>
    </w:p>
  </w:footnote>
  <w:footnote w:type="continuationSeparator" w:id="0">
    <w:p w14:paraId="106133DC" w14:textId="77777777" w:rsidR="00D0180A" w:rsidRDefault="00D0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787B" w14:textId="77777777" w:rsidR="00811971" w:rsidRDefault="00811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CBF91" w14:textId="77777777" w:rsidR="00811971" w:rsidRDefault="00811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535B2" w14:textId="77777777" w:rsidR="00811971" w:rsidRDefault="00811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4F583066"/>
    <w:multiLevelType w:val="hybridMultilevel"/>
    <w:tmpl w:val="D35272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3235FF"/>
    <w:multiLevelType w:val="hybridMultilevel"/>
    <w:tmpl w:val="A7A27446"/>
    <w:lvl w:ilvl="0" w:tplc="03AC5674">
      <w:start w:val="1"/>
      <w:numFmt w:val="lowerLetter"/>
      <w:pStyle w:val="Style2"/>
      <w:lvlText w:val="(%1)"/>
      <w:lvlJc w:val="left"/>
      <w:pPr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3722"/>
    <w:rsid w:val="00087035"/>
    <w:rsid w:val="00096F8D"/>
    <w:rsid w:val="000977B7"/>
    <w:rsid w:val="000D025D"/>
    <w:rsid w:val="000E47AE"/>
    <w:rsid w:val="00150C89"/>
    <w:rsid w:val="00157D8D"/>
    <w:rsid w:val="00165F4A"/>
    <w:rsid w:val="00197C97"/>
    <w:rsid w:val="001D0B7F"/>
    <w:rsid w:val="001F53C3"/>
    <w:rsid w:val="00201C30"/>
    <w:rsid w:val="00215112"/>
    <w:rsid w:val="00224BB6"/>
    <w:rsid w:val="00236216"/>
    <w:rsid w:val="00284752"/>
    <w:rsid w:val="002B7FFE"/>
    <w:rsid w:val="002C24CE"/>
    <w:rsid w:val="003269BF"/>
    <w:rsid w:val="00327510"/>
    <w:rsid w:val="00335F47"/>
    <w:rsid w:val="0034380C"/>
    <w:rsid w:val="00352071"/>
    <w:rsid w:val="0037050C"/>
    <w:rsid w:val="00377E93"/>
    <w:rsid w:val="0038490D"/>
    <w:rsid w:val="00395042"/>
    <w:rsid w:val="003D7EF4"/>
    <w:rsid w:val="003E3AD7"/>
    <w:rsid w:val="003F004D"/>
    <w:rsid w:val="004320F0"/>
    <w:rsid w:val="0043723E"/>
    <w:rsid w:val="004536C2"/>
    <w:rsid w:val="004B512B"/>
    <w:rsid w:val="004C6DE2"/>
    <w:rsid w:val="004D666D"/>
    <w:rsid w:val="004F306D"/>
    <w:rsid w:val="00515498"/>
    <w:rsid w:val="00545E9C"/>
    <w:rsid w:val="00553C13"/>
    <w:rsid w:val="005747CA"/>
    <w:rsid w:val="005A0A37"/>
    <w:rsid w:val="005A5F33"/>
    <w:rsid w:val="005E2368"/>
    <w:rsid w:val="005E71D6"/>
    <w:rsid w:val="005F0F6B"/>
    <w:rsid w:val="005F4F59"/>
    <w:rsid w:val="006217E8"/>
    <w:rsid w:val="00631427"/>
    <w:rsid w:val="0064460B"/>
    <w:rsid w:val="00684307"/>
    <w:rsid w:val="00697783"/>
    <w:rsid w:val="006C0553"/>
    <w:rsid w:val="006F20CB"/>
    <w:rsid w:val="006F3722"/>
    <w:rsid w:val="00725AA5"/>
    <w:rsid w:val="007513AD"/>
    <w:rsid w:val="00785050"/>
    <w:rsid w:val="007B2FD3"/>
    <w:rsid w:val="007C71DD"/>
    <w:rsid w:val="007F20A1"/>
    <w:rsid w:val="00811971"/>
    <w:rsid w:val="008509C9"/>
    <w:rsid w:val="00870865"/>
    <w:rsid w:val="008F576F"/>
    <w:rsid w:val="0090018E"/>
    <w:rsid w:val="00912938"/>
    <w:rsid w:val="00913AB9"/>
    <w:rsid w:val="0093289E"/>
    <w:rsid w:val="009A2B9A"/>
    <w:rsid w:val="009E1093"/>
    <w:rsid w:val="009E1FC5"/>
    <w:rsid w:val="009F70CC"/>
    <w:rsid w:val="00A06638"/>
    <w:rsid w:val="00A10485"/>
    <w:rsid w:val="00A63188"/>
    <w:rsid w:val="00BB254D"/>
    <w:rsid w:val="00BB6CAF"/>
    <w:rsid w:val="00C23C00"/>
    <w:rsid w:val="00C407DE"/>
    <w:rsid w:val="00C469A6"/>
    <w:rsid w:val="00C75464"/>
    <w:rsid w:val="00C97450"/>
    <w:rsid w:val="00CA2C78"/>
    <w:rsid w:val="00CA3E82"/>
    <w:rsid w:val="00CA4292"/>
    <w:rsid w:val="00CA4EA9"/>
    <w:rsid w:val="00CC14FF"/>
    <w:rsid w:val="00D0180A"/>
    <w:rsid w:val="00D06FD0"/>
    <w:rsid w:val="00D8649B"/>
    <w:rsid w:val="00DA5934"/>
    <w:rsid w:val="00E1584A"/>
    <w:rsid w:val="00E30590"/>
    <w:rsid w:val="00EB4770"/>
    <w:rsid w:val="00F54350"/>
    <w:rsid w:val="00F62528"/>
    <w:rsid w:val="00F66630"/>
    <w:rsid w:val="00F67D76"/>
    <w:rsid w:val="00F81E84"/>
    <w:rsid w:val="00F86762"/>
    <w:rsid w:val="00F9264A"/>
    <w:rsid w:val="00FE2C24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CD101"/>
  <w14:defaultImageDpi w14:val="0"/>
  <w15:docId w15:val="{11D979B9-AA08-4EA7-A2D0-21A755E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28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hAnsi="Arial" w:cs="Arial"/>
      <w:b/>
      <w:bCs/>
      <w:sz w:val="24"/>
      <w:szCs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hAnsi="Times New Roman" w:cs="Times New Roman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i/>
      <w:i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 w:cs="Arial"/>
      <w:i/>
      <w:iCs/>
      <w:sz w:val="20"/>
      <w:szCs w:val="20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 w:cs="Arial"/>
      <w:b/>
      <w:bCs/>
      <w:i/>
      <w:iCs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link w:val="BodyText2Char"/>
    <w:uiPriority w:val="99"/>
    <w:pPr>
      <w:ind w:right="-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character" w:customStyle="1" w:styleId="charItals">
    <w:name w:val="charItals"/>
    <w:basedOn w:val="DefaultParagraphFont"/>
    <w:uiPriority w:val="99"/>
    <w:rPr>
      <w:rFonts w:cs="Times New Roman"/>
      <w:i/>
      <w:iCs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styleId="TOC7">
    <w:name w:val="toc 7"/>
    <w:basedOn w:val="TOC2"/>
    <w:next w:val="Normal"/>
    <w:autoRedefine/>
    <w:uiPriority w:val="99"/>
    <w:pPr>
      <w:keepNext w:val="0"/>
      <w:spacing w:before="120"/>
    </w:pPr>
    <w:rPr>
      <w:sz w:val="20"/>
      <w:szCs w:val="20"/>
    </w:rPr>
  </w:style>
  <w:style w:type="paragraph" w:customStyle="1" w:styleId="Endnote1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uiPriority w:val="99"/>
    <w:pPr>
      <w:keepNext/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character" w:customStyle="1" w:styleId="CharPartNo">
    <w:name w:val="CharPartNo"/>
    <w:basedOn w:val="DefaultParagraphFont"/>
    <w:uiPriority w:val="99"/>
    <w:rPr>
      <w:rFonts w:cs="Times New Roman"/>
    </w:rPr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CharChapNo">
    <w:name w:val="CharChapNo"/>
    <w:basedOn w:val="DefaultParagraphFont"/>
    <w:uiPriority w:val="99"/>
    <w:rPr>
      <w:rFonts w:cs="Times New Roman"/>
    </w:rPr>
  </w:style>
  <w:style w:type="character" w:customStyle="1" w:styleId="CharChapText">
    <w:name w:val="CharChapText"/>
    <w:basedOn w:val="DefaultParagraphFont"/>
    <w:uiPriority w:val="99"/>
    <w:rPr>
      <w:rFonts w:cs="Times New Roman"/>
    </w:rPr>
  </w:style>
  <w:style w:type="character" w:customStyle="1" w:styleId="CharPartText">
    <w:name w:val="CharPartText"/>
    <w:basedOn w:val="DefaultParagraphFont"/>
    <w:uiPriority w:val="9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pPr>
      <w:keepNext w:val="0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spacing w:before="0" w:after="40"/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Pr>
      <w:rFonts w:cs="Times New Roman"/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uiPriority w:val="99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uiPriority w:val="99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uiPriority w:val="99"/>
    <w:pPr>
      <w:spacing w:before="60" w:after="60"/>
    </w:pPr>
  </w:style>
  <w:style w:type="paragraph" w:customStyle="1" w:styleId="IshadedH5Sec">
    <w:name w:val="I shaded H5 Sec"/>
    <w:basedOn w:val="AH5Sec"/>
    <w:uiPriority w:val="99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pPr>
      <w:outlineLvl w:val="9"/>
    </w:pPr>
  </w:style>
  <w:style w:type="paragraph" w:customStyle="1" w:styleId="Penalty">
    <w:name w:val="Penalty"/>
    <w:basedOn w:val="Amainreturn"/>
    <w:uiPriority w:val="99"/>
  </w:style>
  <w:style w:type="paragraph" w:customStyle="1" w:styleId="aNoteText">
    <w:name w:val="aNoteText"/>
    <w:basedOn w:val="aNote"/>
    <w:uiPriority w:val="99"/>
    <w:pPr>
      <w:spacing w:before="20"/>
      <w:ind w:firstLine="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pPr>
      <w:spacing w:before="200"/>
      <w:jc w:val="left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Pr>
      <w:rFonts w:cs="Times New Roman"/>
    </w:rPr>
  </w:style>
  <w:style w:type="character" w:customStyle="1" w:styleId="charTableText">
    <w:name w:val="charTableText"/>
    <w:basedOn w:val="DefaultParagraphFont"/>
    <w:uiPriority w:val="99"/>
    <w:rPr>
      <w:rFonts w:cs="Times New Roman"/>
    </w:rPr>
  </w:style>
  <w:style w:type="paragraph" w:customStyle="1" w:styleId="EndNoteTextEPS">
    <w:name w:val="EndNoteTextEPS"/>
    <w:basedOn w:val="Normal"/>
    <w:uiPriority w:val="99"/>
    <w:pPr>
      <w:spacing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pPr>
      <w:ind w:left="1920" w:right="600"/>
    </w:p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EarlierRepubHdg">
    <w:name w:val="EarlierRepubHdg"/>
    <w:basedOn w:val="Normal"/>
    <w:uiPriority w:val="99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uiPriority w:val="99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uiPriority w:val="99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uiPriority w:val="99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uiPriority w:val="99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uiPriority w:val="99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uiPriority w:val="99"/>
    <w:pPr>
      <w:ind w:left="252"/>
    </w:pPr>
  </w:style>
  <w:style w:type="paragraph" w:customStyle="1" w:styleId="Endnote4">
    <w:name w:val="Endnote4"/>
    <w:basedOn w:val="Endnote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uiPriority w:val="99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uiPriority w:val="99"/>
    <w:pPr>
      <w:ind w:hanging="480"/>
    </w:pPr>
  </w:style>
  <w:style w:type="paragraph" w:customStyle="1" w:styleId="EffectiveDate">
    <w:name w:val="EffectiveDate"/>
    <w:basedOn w:val="Normal"/>
    <w:uiPriority w:val="99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pPr>
      <w:spacing w:before="700" w:after="100"/>
    </w:pPr>
    <w:rPr>
      <w:rFonts w:ascii="Arial" w:hAnsi="Arial" w:cs="Arial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customStyle="1" w:styleId="Style2">
    <w:name w:val="Style2"/>
    <w:basedOn w:val="ListParagraph"/>
    <w:qFormat/>
    <w:rsid w:val="006F20CB"/>
    <w:pPr>
      <w:numPr>
        <w:numId w:val="3"/>
      </w:numPr>
      <w:tabs>
        <w:tab w:val="left" w:pos="567"/>
      </w:tabs>
      <w:autoSpaceDE w:val="0"/>
      <w:autoSpaceDN w:val="0"/>
      <w:adjustRightInd w:val="0"/>
      <w:contextualSpacing/>
    </w:pPr>
  </w:style>
  <w:style w:type="paragraph" w:customStyle="1" w:styleId="Style18">
    <w:name w:val="Style18"/>
    <w:basedOn w:val="Style2"/>
    <w:qFormat/>
    <w:rsid w:val="006F20CB"/>
    <w:pPr>
      <w:tabs>
        <w:tab w:val="clear" w:pos="567"/>
        <w:tab w:val="left" w:pos="1134"/>
      </w:tabs>
      <w:spacing w:after="120"/>
      <w:ind w:left="1134" w:hanging="567"/>
      <w:jc w:val="both"/>
    </w:pPr>
    <w:rPr>
      <w:color w:val="FF0000"/>
    </w:rPr>
  </w:style>
  <w:style w:type="paragraph" w:styleId="ListParagraph">
    <w:name w:val="List Paragraph"/>
    <w:basedOn w:val="Normal"/>
    <w:uiPriority w:val="34"/>
    <w:qFormat/>
    <w:rsid w:val="006F20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3421</Characters>
  <Application>Microsoft Office Word</Application>
  <DocSecurity>0</DocSecurity>
  <Lines>100</Lines>
  <Paragraphs>44</Paragraphs>
  <ScaleCrop>false</ScaleCrop>
  <Company>ACT Government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>2003 184S-4</dc:description>
  <cp:lastModifiedBy>Moxon, KarenL</cp:lastModifiedBy>
  <cp:revision>2</cp:revision>
  <cp:lastPrinted>2015-04-24T06:05:00Z</cp:lastPrinted>
  <dcterms:created xsi:type="dcterms:W3CDTF">2021-07-02T06:58:00Z</dcterms:created>
  <dcterms:modified xsi:type="dcterms:W3CDTF">2021-07-02T06:58:00Z</dcterms:modified>
  <cp:category>DI2021-184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CHECKEDOUTFROMJMS">
    <vt:lpwstr/>
  </property>
  <property fmtid="{D5CDD505-2E9C-101B-9397-08002B2CF9AE}" pid="8" name="DMSID">
    <vt:lpwstr>1355918</vt:lpwstr>
  </property>
  <property fmtid="{D5CDD505-2E9C-101B-9397-08002B2CF9AE}" pid="9" name="JMSREQUIREDCHECKIN">
    <vt:lpwstr/>
  </property>
</Properties>
</file>