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60663"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593FDB1B" w14:textId="72684E77" w:rsidR="00C17FAB" w:rsidRDefault="005509E3">
      <w:pPr>
        <w:pStyle w:val="Billname"/>
        <w:spacing w:before="700"/>
      </w:pPr>
      <w:r>
        <w:t>Utilities (Technical Regulation)</w:t>
      </w:r>
      <w:r w:rsidR="00FD75CE">
        <w:t xml:space="preserve"> (</w:t>
      </w:r>
      <w:r>
        <w:t xml:space="preserve">Gas </w:t>
      </w:r>
      <w:r w:rsidR="009D5C8B">
        <w:t xml:space="preserve">Safety and Network Operation </w:t>
      </w:r>
      <w:r>
        <w:t>Code</w:t>
      </w:r>
      <w:r w:rsidR="00FD75CE">
        <w:t xml:space="preserve">) </w:t>
      </w:r>
      <w:r>
        <w:t>Approval</w:t>
      </w:r>
      <w:r w:rsidR="00FD75CE">
        <w:t xml:space="preserve"> </w:t>
      </w:r>
      <w:r>
        <w:t>2021</w:t>
      </w:r>
    </w:p>
    <w:p w14:paraId="01C57E2B" w14:textId="6006F6C8" w:rsidR="00C17FAB" w:rsidRDefault="002D7C60" w:rsidP="00DA3B00">
      <w:pPr>
        <w:spacing w:before="340"/>
        <w:rPr>
          <w:rFonts w:ascii="Arial" w:hAnsi="Arial" w:cs="Arial"/>
          <w:b/>
          <w:bCs/>
        </w:rPr>
      </w:pPr>
      <w:r>
        <w:rPr>
          <w:rFonts w:ascii="Arial" w:hAnsi="Arial" w:cs="Arial"/>
          <w:b/>
          <w:bCs/>
        </w:rPr>
        <w:t>Disallowable instrument DI</w:t>
      </w:r>
      <w:r w:rsidR="005509E3">
        <w:rPr>
          <w:rFonts w:ascii="Arial" w:hAnsi="Arial" w:cs="Arial"/>
          <w:b/>
          <w:bCs/>
        </w:rPr>
        <w:t>2021</w:t>
      </w:r>
      <w:r w:rsidR="00C17FAB">
        <w:rPr>
          <w:rFonts w:ascii="Arial" w:hAnsi="Arial" w:cs="Arial"/>
          <w:b/>
          <w:bCs/>
        </w:rPr>
        <w:t>–</w:t>
      </w:r>
      <w:r w:rsidR="00FF45F4">
        <w:rPr>
          <w:rFonts w:ascii="Arial" w:hAnsi="Arial" w:cs="Arial"/>
          <w:b/>
          <w:bCs/>
        </w:rPr>
        <w:t>21</w:t>
      </w:r>
      <w:r w:rsidR="003524E8">
        <w:rPr>
          <w:rFonts w:ascii="Arial" w:hAnsi="Arial" w:cs="Arial"/>
          <w:b/>
          <w:bCs/>
        </w:rPr>
        <w:t>7</w:t>
      </w:r>
    </w:p>
    <w:p w14:paraId="1085E58E" w14:textId="77777777" w:rsidR="00C17FAB" w:rsidRDefault="00C17FAB" w:rsidP="00DA3B00">
      <w:pPr>
        <w:pStyle w:val="madeunder"/>
        <w:spacing w:before="300" w:after="0"/>
      </w:pPr>
      <w:r>
        <w:t xml:space="preserve">made under the  </w:t>
      </w:r>
    </w:p>
    <w:p w14:paraId="7BC43953" w14:textId="53300167" w:rsidR="00C17FAB" w:rsidRDefault="005509E3" w:rsidP="00DA3B00">
      <w:pPr>
        <w:pStyle w:val="CoverActName"/>
        <w:spacing w:before="320" w:after="0"/>
        <w:rPr>
          <w:rFonts w:cs="Arial"/>
          <w:sz w:val="20"/>
        </w:rPr>
      </w:pPr>
      <w:r>
        <w:rPr>
          <w:rFonts w:cs="Arial"/>
          <w:sz w:val="20"/>
        </w:rPr>
        <w:t>Utilities (Technical Regulation) Act 2014</w:t>
      </w:r>
      <w:r w:rsidR="00C17FAB">
        <w:rPr>
          <w:rFonts w:cs="Arial"/>
          <w:sz w:val="20"/>
        </w:rPr>
        <w:t xml:space="preserve">, </w:t>
      </w:r>
      <w:r>
        <w:rPr>
          <w:rFonts w:cs="Arial"/>
          <w:sz w:val="20"/>
        </w:rPr>
        <w:t>s 14</w:t>
      </w:r>
      <w:r w:rsidR="00C17FAB">
        <w:rPr>
          <w:rFonts w:cs="Arial"/>
          <w:sz w:val="20"/>
        </w:rPr>
        <w:t xml:space="preserve"> (</w:t>
      </w:r>
      <w:r>
        <w:rPr>
          <w:rFonts w:cs="Arial"/>
          <w:sz w:val="20"/>
        </w:rPr>
        <w:t>Technical codes</w:t>
      </w:r>
      <w:r w:rsidR="007C75D9">
        <w:rPr>
          <w:rFonts w:cs="Arial"/>
          <w:sz w:val="20"/>
        </w:rPr>
        <w:t>—</w:t>
      </w:r>
      <w:r>
        <w:rPr>
          <w:rFonts w:cs="Arial"/>
          <w:sz w:val="20"/>
        </w:rPr>
        <w:t>approval</w:t>
      </w:r>
      <w:r w:rsidR="00C17FAB">
        <w:rPr>
          <w:rFonts w:cs="Arial"/>
          <w:sz w:val="20"/>
        </w:rPr>
        <w:t>)</w:t>
      </w:r>
    </w:p>
    <w:p w14:paraId="31D81399"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4974A488" w14:textId="77777777" w:rsidR="00C17FAB" w:rsidRDefault="00C17FAB">
      <w:pPr>
        <w:pStyle w:val="N-line3"/>
        <w:pBdr>
          <w:bottom w:val="none" w:sz="0" w:space="0" w:color="auto"/>
        </w:pBdr>
      </w:pPr>
    </w:p>
    <w:p w14:paraId="1AD8C7FB" w14:textId="70331D29" w:rsidR="00C17FAB" w:rsidRDefault="00C17FAB">
      <w:pPr>
        <w:pStyle w:val="N-line3"/>
        <w:pBdr>
          <w:top w:val="single" w:sz="12" w:space="1" w:color="auto"/>
          <w:bottom w:val="none" w:sz="0" w:space="0" w:color="auto"/>
        </w:pBdr>
      </w:pPr>
    </w:p>
    <w:p w14:paraId="7403B09C" w14:textId="464C0677" w:rsidR="0051043D" w:rsidRPr="00B24B8A" w:rsidRDefault="00A11FD4" w:rsidP="005509E3">
      <w:pPr>
        <w:rPr>
          <w:szCs w:val="24"/>
        </w:rPr>
      </w:pPr>
      <w:r w:rsidRPr="00B24B8A">
        <w:rPr>
          <w:szCs w:val="24"/>
        </w:rPr>
        <w:t xml:space="preserve">This explanatory statement relates to the </w:t>
      </w:r>
      <w:r w:rsidR="00C514B9" w:rsidRPr="00B24B8A">
        <w:rPr>
          <w:i/>
          <w:iCs/>
          <w:szCs w:val="24"/>
        </w:rPr>
        <w:t xml:space="preserve">Utilities (Technical Regulation) (Gas </w:t>
      </w:r>
      <w:r w:rsidR="009D5C8B" w:rsidRPr="00B24B8A">
        <w:rPr>
          <w:i/>
          <w:iCs/>
          <w:szCs w:val="24"/>
        </w:rPr>
        <w:t xml:space="preserve">Safety and Network Operation </w:t>
      </w:r>
      <w:r w:rsidR="00C514B9" w:rsidRPr="00B24B8A">
        <w:rPr>
          <w:i/>
          <w:iCs/>
          <w:szCs w:val="24"/>
        </w:rPr>
        <w:t>Code) Approval 2021</w:t>
      </w:r>
      <w:r w:rsidR="00C514B9" w:rsidRPr="00B24B8A">
        <w:rPr>
          <w:szCs w:val="24"/>
        </w:rPr>
        <w:t xml:space="preserve"> </w:t>
      </w:r>
      <w:r w:rsidR="0051043D" w:rsidRPr="00B24B8A">
        <w:rPr>
          <w:szCs w:val="24"/>
        </w:rPr>
        <w:t xml:space="preserve">as presented to the Legislative Assembly. </w:t>
      </w:r>
      <w:r w:rsidRPr="00B24B8A">
        <w:rPr>
          <w:szCs w:val="24"/>
        </w:rPr>
        <w:t xml:space="preserve">It has been prepared to assist the reader of the </w:t>
      </w:r>
      <w:r w:rsidR="0051043D" w:rsidRPr="00B24B8A">
        <w:rPr>
          <w:szCs w:val="24"/>
        </w:rPr>
        <w:t xml:space="preserve">disallowable </w:t>
      </w:r>
      <w:r w:rsidR="00C514B9" w:rsidRPr="00B24B8A">
        <w:rPr>
          <w:szCs w:val="24"/>
        </w:rPr>
        <w:t>instrument</w:t>
      </w:r>
      <w:r w:rsidRPr="00B24B8A">
        <w:rPr>
          <w:szCs w:val="24"/>
        </w:rPr>
        <w:t xml:space="preserve">. It does not form part of the </w:t>
      </w:r>
      <w:r w:rsidR="00C514B9" w:rsidRPr="00B24B8A">
        <w:rPr>
          <w:szCs w:val="24"/>
        </w:rPr>
        <w:t xml:space="preserve">instrument </w:t>
      </w:r>
      <w:r w:rsidRPr="00B24B8A">
        <w:rPr>
          <w:szCs w:val="24"/>
        </w:rPr>
        <w:t>and has not been endorsed by the Assembly.</w:t>
      </w:r>
      <w:r w:rsidR="00C514B9" w:rsidRPr="00B24B8A">
        <w:rPr>
          <w:szCs w:val="24"/>
        </w:rPr>
        <w:t xml:space="preserve"> </w:t>
      </w:r>
    </w:p>
    <w:p w14:paraId="7CFBF8CF" w14:textId="77777777" w:rsidR="0051043D" w:rsidRPr="00B24B8A" w:rsidRDefault="0051043D" w:rsidP="005509E3">
      <w:pPr>
        <w:rPr>
          <w:szCs w:val="24"/>
        </w:rPr>
      </w:pPr>
    </w:p>
    <w:p w14:paraId="47D3DC0E" w14:textId="11BA54EF" w:rsidR="0051043D" w:rsidRPr="00B24B8A" w:rsidRDefault="00C514B9" w:rsidP="0051043D">
      <w:pPr>
        <w:rPr>
          <w:szCs w:val="24"/>
        </w:rPr>
      </w:pPr>
      <w:r w:rsidRPr="00B24B8A">
        <w:rPr>
          <w:szCs w:val="24"/>
        </w:rPr>
        <w:t>Th</w:t>
      </w:r>
      <w:r w:rsidR="0051043D" w:rsidRPr="00B24B8A">
        <w:rPr>
          <w:szCs w:val="24"/>
        </w:rPr>
        <w:t>is</w:t>
      </w:r>
      <w:r w:rsidRPr="00B24B8A">
        <w:rPr>
          <w:szCs w:val="24"/>
        </w:rPr>
        <w:t xml:space="preserve"> statement must be read in conjunction with the instrument. It is not, and is not meant to be, a comprehensive description of the instrument. What is said about a provision is not to be taken as an authoritative guide to the meaning of a provision, this being a task for the courts.</w:t>
      </w:r>
    </w:p>
    <w:p w14:paraId="3459133E" w14:textId="77777777" w:rsidR="0051043D" w:rsidRPr="00B24B8A" w:rsidRDefault="0051043D" w:rsidP="0051043D">
      <w:pPr>
        <w:rPr>
          <w:szCs w:val="24"/>
        </w:rPr>
      </w:pPr>
    </w:p>
    <w:p w14:paraId="0D80AFD5" w14:textId="601D5653" w:rsidR="0051043D" w:rsidRPr="00B24B8A" w:rsidRDefault="009709C2" w:rsidP="0051043D">
      <w:pPr>
        <w:pStyle w:val="NoSpacing"/>
        <w:spacing w:after="200"/>
        <w:rPr>
          <w:rFonts w:ascii="Times New Roman" w:hAnsi="Times New Roman"/>
          <w:b/>
          <w:sz w:val="28"/>
          <w:szCs w:val="28"/>
        </w:rPr>
      </w:pPr>
      <w:r w:rsidRPr="00B24B8A">
        <w:rPr>
          <w:rFonts w:ascii="Times New Roman" w:hAnsi="Times New Roman"/>
          <w:b/>
          <w:sz w:val="28"/>
          <w:szCs w:val="28"/>
        </w:rPr>
        <w:t>Overview</w:t>
      </w:r>
    </w:p>
    <w:p w14:paraId="7C42935E" w14:textId="77777777" w:rsidR="00CC3389" w:rsidRPr="00B24B8A" w:rsidRDefault="00CC3389" w:rsidP="00CC3389">
      <w:pPr>
        <w:rPr>
          <w:snapToGrid w:val="0"/>
          <w:szCs w:val="24"/>
        </w:rPr>
      </w:pPr>
      <w:r w:rsidRPr="00B24B8A">
        <w:rPr>
          <w:snapToGrid w:val="0"/>
          <w:szCs w:val="24"/>
        </w:rPr>
        <w:t xml:space="preserve">This is a disallowable instrument under the </w:t>
      </w:r>
      <w:r w:rsidRPr="00B24B8A">
        <w:rPr>
          <w:i/>
          <w:iCs/>
          <w:snapToGrid w:val="0"/>
          <w:szCs w:val="24"/>
        </w:rPr>
        <w:t>Utilities (Technical Regulation) Act 2014</w:t>
      </w:r>
      <w:r w:rsidRPr="00B24B8A">
        <w:rPr>
          <w:snapToGrid w:val="0"/>
          <w:szCs w:val="24"/>
        </w:rPr>
        <w:t xml:space="preserve"> (the </w:t>
      </w:r>
      <w:r w:rsidRPr="007C75D9">
        <w:rPr>
          <w:b/>
          <w:bCs/>
          <w:i/>
          <w:iCs/>
          <w:snapToGrid w:val="0"/>
          <w:szCs w:val="24"/>
        </w:rPr>
        <w:t>Act</w:t>
      </w:r>
      <w:r w:rsidRPr="00B24B8A">
        <w:rPr>
          <w:snapToGrid w:val="0"/>
          <w:szCs w:val="24"/>
        </w:rPr>
        <w:t>). The Act provides a technical regulatory framework for regulated utilities in the Australian Capital Territory. Section 14 of the Act authorises the Minister to approve a technical code as recommended by the technical regulator.</w:t>
      </w:r>
    </w:p>
    <w:p w14:paraId="211C8033" w14:textId="77777777" w:rsidR="00CC3389" w:rsidRPr="00B24B8A" w:rsidRDefault="00CC3389" w:rsidP="00CC3389">
      <w:pPr>
        <w:rPr>
          <w:snapToGrid w:val="0"/>
          <w:szCs w:val="24"/>
        </w:rPr>
      </w:pPr>
    </w:p>
    <w:p w14:paraId="5D6EF287" w14:textId="7F67EEF3" w:rsidR="00CC3389" w:rsidRPr="00B24B8A" w:rsidRDefault="00CC3389" w:rsidP="00CC3389">
      <w:pPr>
        <w:rPr>
          <w:snapToGrid w:val="0"/>
          <w:szCs w:val="24"/>
        </w:rPr>
      </w:pPr>
      <w:r w:rsidRPr="00B24B8A">
        <w:rPr>
          <w:snapToGrid w:val="0"/>
          <w:szCs w:val="24"/>
        </w:rPr>
        <w:t xml:space="preserve">This disallowable instrument is the </w:t>
      </w:r>
      <w:r w:rsidRPr="00B24B8A">
        <w:rPr>
          <w:i/>
          <w:iCs/>
          <w:szCs w:val="24"/>
        </w:rPr>
        <w:t>Utilities (Technical Regulation) (Gas Safety and Network Operation Code) Approval 2021</w:t>
      </w:r>
      <w:r w:rsidRPr="00B24B8A">
        <w:rPr>
          <w:szCs w:val="24"/>
        </w:rPr>
        <w:t xml:space="preserve"> (the </w:t>
      </w:r>
      <w:r w:rsidRPr="007C75D9">
        <w:rPr>
          <w:b/>
          <w:bCs/>
          <w:i/>
          <w:iCs/>
          <w:szCs w:val="24"/>
        </w:rPr>
        <w:t>instrument</w:t>
      </w:r>
      <w:r w:rsidRPr="00B24B8A">
        <w:rPr>
          <w:szCs w:val="24"/>
        </w:rPr>
        <w:t xml:space="preserve">). </w:t>
      </w:r>
      <w:r w:rsidRPr="00B24B8A">
        <w:rPr>
          <w:snapToGrid w:val="0"/>
          <w:szCs w:val="24"/>
        </w:rPr>
        <w:t>The purpose of the instrument is to approve the making of the Gas Safety and Network Operation Code 2021 and revoke the Gas Safety and Operating Plan Code, December 2000 (contained within DI2000-369). The Gas Safety and Network Operation Code (the Code) is a technical code under part 3 of the Act</w:t>
      </w:r>
      <w:r w:rsidRPr="00B24B8A">
        <w:rPr>
          <w:szCs w:val="24"/>
        </w:rPr>
        <w:t>. T</w:t>
      </w:r>
      <w:r w:rsidRPr="00B24B8A">
        <w:rPr>
          <w:snapToGrid w:val="0"/>
          <w:szCs w:val="24"/>
        </w:rPr>
        <w:t xml:space="preserve">he Code is provided in schedule </w:t>
      </w:r>
      <w:r w:rsidR="007C75D9">
        <w:rPr>
          <w:snapToGrid w:val="0"/>
          <w:szCs w:val="24"/>
        </w:rPr>
        <w:t>1 of</w:t>
      </w:r>
      <w:r w:rsidRPr="00B24B8A">
        <w:rPr>
          <w:snapToGrid w:val="0"/>
          <w:szCs w:val="24"/>
        </w:rPr>
        <w:t xml:space="preserve"> the instrument.</w:t>
      </w:r>
    </w:p>
    <w:p w14:paraId="2C6C6E0C" w14:textId="56C68319" w:rsidR="00E029F7" w:rsidRPr="00B24B8A" w:rsidRDefault="00E029F7" w:rsidP="005509E3">
      <w:pPr>
        <w:rPr>
          <w:snapToGrid w:val="0"/>
          <w:szCs w:val="24"/>
        </w:rPr>
      </w:pPr>
    </w:p>
    <w:p w14:paraId="1AC4CF02" w14:textId="61FB49A0" w:rsidR="00C514B9" w:rsidRPr="00B24B8A" w:rsidRDefault="00B3044D" w:rsidP="005509E3">
      <w:pPr>
        <w:rPr>
          <w:szCs w:val="24"/>
        </w:rPr>
      </w:pPr>
      <w:r w:rsidRPr="00B24B8A">
        <w:rPr>
          <w:szCs w:val="24"/>
        </w:rPr>
        <w:t xml:space="preserve">Technical codes must be consistent with the </w:t>
      </w:r>
      <w:r w:rsidR="00C514B9" w:rsidRPr="00B24B8A">
        <w:rPr>
          <w:szCs w:val="24"/>
        </w:rPr>
        <w:t>object</w:t>
      </w:r>
      <w:r w:rsidRPr="00B24B8A">
        <w:rPr>
          <w:szCs w:val="24"/>
        </w:rPr>
        <w:t xml:space="preserve">s </w:t>
      </w:r>
      <w:r w:rsidR="00C514B9" w:rsidRPr="00B24B8A">
        <w:rPr>
          <w:szCs w:val="24"/>
        </w:rPr>
        <w:t>of the Act</w:t>
      </w:r>
      <w:r w:rsidRPr="00B24B8A">
        <w:rPr>
          <w:szCs w:val="24"/>
        </w:rPr>
        <w:t xml:space="preserve"> as follows</w:t>
      </w:r>
      <w:r w:rsidR="00C514B9" w:rsidRPr="00B24B8A">
        <w:rPr>
          <w:szCs w:val="24"/>
        </w:rPr>
        <w:t>:</w:t>
      </w:r>
    </w:p>
    <w:p w14:paraId="79E69616" w14:textId="6E41879B" w:rsidR="00B3044D" w:rsidRPr="00B24B8A" w:rsidRDefault="00B3044D" w:rsidP="007C75D9">
      <w:pPr>
        <w:pStyle w:val="ListBullet"/>
        <w:ind w:left="714" w:hanging="357"/>
        <w:rPr>
          <w:snapToGrid w:val="0"/>
          <w:szCs w:val="24"/>
        </w:rPr>
      </w:pPr>
      <w:r w:rsidRPr="00B24B8A">
        <w:rPr>
          <w:snapToGrid w:val="0"/>
          <w:szCs w:val="24"/>
        </w:rPr>
        <w:t>Ensuring safe, reliable and efficient delivery of regulated utility services</w:t>
      </w:r>
    </w:p>
    <w:p w14:paraId="1E18CA7F" w14:textId="7037EC5C" w:rsidR="00B3044D" w:rsidRPr="00B24B8A" w:rsidRDefault="00B3044D" w:rsidP="007C75D9">
      <w:pPr>
        <w:pStyle w:val="ListBullet"/>
        <w:ind w:left="714" w:hanging="357"/>
        <w:rPr>
          <w:snapToGrid w:val="0"/>
          <w:szCs w:val="24"/>
        </w:rPr>
      </w:pPr>
      <w:r w:rsidRPr="00B24B8A">
        <w:rPr>
          <w:snapToGrid w:val="0"/>
          <w:szCs w:val="24"/>
        </w:rPr>
        <w:t xml:space="preserve">Promotion of long-term serviceability of </w:t>
      </w:r>
      <w:r w:rsidR="007C75D9">
        <w:rPr>
          <w:snapToGrid w:val="0"/>
          <w:szCs w:val="24"/>
        </w:rPr>
        <w:t>regulated</w:t>
      </w:r>
      <w:r w:rsidRPr="00B24B8A">
        <w:rPr>
          <w:snapToGrid w:val="0"/>
          <w:szCs w:val="24"/>
        </w:rPr>
        <w:t xml:space="preserve"> network</w:t>
      </w:r>
      <w:r w:rsidR="007C75D9">
        <w:rPr>
          <w:snapToGrid w:val="0"/>
          <w:szCs w:val="24"/>
        </w:rPr>
        <w:t>s</w:t>
      </w:r>
    </w:p>
    <w:p w14:paraId="381D3165" w14:textId="36D2BCC0" w:rsidR="00B3044D" w:rsidRPr="00B24B8A" w:rsidRDefault="00B3044D" w:rsidP="007C75D9">
      <w:pPr>
        <w:pStyle w:val="ListBullet"/>
        <w:ind w:left="714" w:hanging="357"/>
        <w:rPr>
          <w:snapToGrid w:val="0"/>
          <w:szCs w:val="24"/>
        </w:rPr>
      </w:pPr>
      <w:r w:rsidRPr="00B24B8A">
        <w:rPr>
          <w:snapToGrid w:val="0"/>
          <w:szCs w:val="24"/>
        </w:rPr>
        <w:t>Promotion of networks</w:t>
      </w:r>
      <w:r w:rsidR="007C75D9">
        <w:rPr>
          <w:snapToGrid w:val="0"/>
          <w:szCs w:val="24"/>
        </w:rPr>
        <w:t>’</w:t>
      </w:r>
      <w:r w:rsidRPr="00B24B8A">
        <w:rPr>
          <w:snapToGrid w:val="0"/>
          <w:szCs w:val="24"/>
        </w:rPr>
        <w:t xml:space="preserve"> design integrity and functionality; and </w:t>
      </w:r>
    </w:p>
    <w:p w14:paraId="52FCBF90" w14:textId="45B409F7" w:rsidR="00B3044D" w:rsidRPr="00B24B8A" w:rsidRDefault="00B3044D" w:rsidP="007C75D9">
      <w:pPr>
        <w:pStyle w:val="ListBullet"/>
        <w:ind w:left="714" w:hanging="357"/>
        <w:rPr>
          <w:snapToGrid w:val="0"/>
          <w:szCs w:val="24"/>
        </w:rPr>
      </w:pPr>
      <w:r w:rsidRPr="00B24B8A">
        <w:rPr>
          <w:snapToGrid w:val="0"/>
          <w:szCs w:val="24"/>
        </w:rPr>
        <w:t>Safe and reliable operation of regulated utility service</w:t>
      </w:r>
      <w:r w:rsidR="007C75D9">
        <w:rPr>
          <w:snapToGrid w:val="0"/>
          <w:szCs w:val="24"/>
        </w:rPr>
        <w:t>s.</w:t>
      </w:r>
    </w:p>
    <w:p w14:paraId="25CF86D2" w14:textId="384BD0CF" w:rsidR="00377427" w:rsidRPr="00B24B8A" w:rsidRDefault="005509E3" w:rsidP="00576222">
      <w:pPr>
        <w:rPr>
          <w:szCs w:val="24"/>
        </w:rPr>
      </w:pPr>
      <w:r w:rsidRPr="00B24B8A">
        <w:rPr>
          <w:szCs w:val="24"/>
        </w:rPr>
        <w:lastRenderedPageBreak/>
        <w:t>The purpose of th</w:t>
      </w:r>
      <w:r w:rsidR="00CC3389" w:rsidRPr="00B24B8A">
        <w:rPr>
          <w:szCs w:val="24"/>
        </w:rPr>
        <w:t>e</w:t>
      </w:r>
      <w:r w:rsidRPr="00B24B8A">
        <w:rPr>
          <w:szCs w:val="24"/>
        </w:rPr>
        <w:t xml:space="preserve"> Code is to</w:t>
      </w:r>
      <w:r w:rsidR="00576222" w:rsidRPr="00B24B8A">
        <w:rPr>
          <w:szCs w:val="24"/>
        </w:rPr>
        <w:t xml:space="preserve"> set out the requirements to ensure </w:t>
      </w:r>
      <w:r w:rsidR="00CC3389" w:rsidRPr="00B24B8A">
        <w:rPr>
          <w:szCs w:val="24"/>
        </w:rPr>
        <w:t>the safe and reliable design, construction, maintenance and operation of gas networks in delivering gas to customers</w:t>
      </w:r>
      <w:r w:rsidR="00576222" w:rsidRPr="00B24B8A">
        <w:rPr>
          <w:szCs w:val="24"/>
        </w:rPr>
        <w:t xml:space="preserve">. </w:t>
      </w:r>
      <w:r w:rsidR="00335B29" w:rsidRPr="00B24B8A">
        <w:rPr>
          <w:szCs w:val="24"/>
        </w:rPr>
        <w:t xml:space="preserve">It replaces the existing </w:t>
      </w:r>
      <w:r w:rsidR="004B5BAD" w:rsidRPr="00B24B8A">
        <w:rPr>
          <w:szCs w:val="24"/>
        </w:rPr>
        <w:t xml:space="preserve">Gas </w:t>
      </w:r>
      <w:r w:rsidR="00CC3389" w:rsidRPr="00B24B8A">
        <w:rPr>
          <w:szCs w:val="24"/>
        </w:rPr>
        <w:t xml:space="preserve">Safety and Operating Plan </w:t>
      </w:r>
      <w:r w:rsidR="004B5BAD" w:rsidRPr="00B24B8A">
        <w:rPr>
          <w:szCs w:val="24"/>
        </w:rPr>
        <w:t xml:space="preserve">Code </w:t>
      </w:r>
      <w:r w:rsidR="00576222" w:rsidRPr="00B24B8A">
        <w:rPr>
          <w:szCs w:val="24"/>
        </w:rPr>
        <w:t xml:space="preserve">to </w:t>
      </w:r>
      <w:r w:rsidR="00377427" w:rsidRPr="00B24B8A">
        <w:rPr>
          <w:szCs w:val="24"/>
        </w:rPr>
        <w:t xml:space="preserve">modernise </w:t>
      </w:r>
      <w:r w:rsidR="004B5BAD" w:rsidRPr="00B24B8A">
        <w:rPr>
          <w:szCs w:val="24"/>
        </w:rPr>
        <w:t xml:space="preserve">language </w:t>
      </w:r>
      <w:r w:rsidR="00377427" w:rsidRPr="00B24B8A">
        <w:rPr>
          <w:szCs w:val="24"/>
        </w:rPr>
        <w:t>and ensure consistency with national legislation</w:t>
      </w:r>
      <w:r w:rsidR="00576222" w:rsidRPr="00B24B8A">
        <w:rPr>
          <w:szCs w:val="24"/>
        </w:rPr>
        <w:t xml:space="preserve"> and </w:t>
      </w:r>
      <w:r w:rsidR="00377427" w:rsidRPr="00B24B8A">
        <w:rPr>
          <w:szCs w:val="24"/>
        </w:rPr>
        <w:t>standards</w:t>
      </w:r>
      <w:r w:rsidR="00576222" w:rsidRPr="00B24B8A">
        <w:rPr>
          <w:szCs w:val="24"/>
        </w:rPr>
        <w:t xml:space="preserve"> and current practice.</w:t>
      </w:r>
    </w:p>
    <w:p w14:paraId="033BEF7E" w14:textId="2D5F65C7" w:rsidR="002665A3" w:rsidRPr="00B24B8A" w:rsidRDefault="002665A3" w:rsidP="00576222">
      <w:pPr>
        <w:rPr>
          <w:szCs w:val="24"/>
        </w:rPr>
      </w:pPr>
    </w:p>
    <w:p w14:paraId="366117BC" w14:textId="31E130C7" w:rsidR="002665A3" w:rsidRPr="00B24B8A" w:rsidRDefault="002665A3" w:rsidP="00B24B8A">
      <w:pPr>
        <w:pStyle w:val="ESText"/>
        <w:spacing w:before="0" w:beforeAutospacing="0" w:after="0" w:afterAutospacing="0"/>
      </w:pPr>
      <w:r w:rsidRPr="00B24B8A">
        <w:t>Th</w:t>
      </w:r>
      <w:r w:rsidR="00CC3389" w:rsidRPr="00B24B8A">
        <w:t>e</w:t>
      </w:r>
      <w:r w:rsidRPr="00B24B8A">
        <w:t xml:space="preserve"> Code applies to a utility licensed to distribute gas through a gas distribution network </w:t>
      </w:r>
      <w:r w:rsidR="00CC3389" w:rsidRPr="00B24B8A">
        <w:t xml:space="preserve">and/or gas transmission network </w:t>
      </w:r>
      <w:r w:rsidRPr="00B24B8A">
        <w:t>within the ACT</w:t>
      </w:r>
      <w:r w:rsidRPr="00B24B8A">
        <w:rPr>
          <w:snapToGrid w:val="0"/>
        </w:rPr>
        <w:t>.</w:t>
      </w:r>
      <w:r w:rsidRPr="00B24B8A">
        <w:t xml:space="preserve"> It provides that a utility must conform, at a minimum, with the </w:t>
      </w:r>
      <w:r w:rsidR="001B7A98" w:rsidRPr="00B24B8A">
        <w:t xml:space="preserve">following </w:t>
      </w:r>
      <w:r w:rsidRPr="00B24B8A">
        <w:t>relevant national standards</w:t>
      </w:r>
      <w:r w:rsidR="001B7A98" w:rsidRPr="00B24B8A">
        <w:t>:</w:t>
      </w:r>
    </w:p>
    <w:p w14:paraId="29DB6CA5" w14:textId="77777777" w:rsidR="001B7A98" w:rsidRPr="00B24B8A" w:rsidRDefault="001B7A98" w:rsidP="007C75D9">
      <w:pPr>
        <w:pStyle w:val="ListNumber"/>
        <w:ind w:left="782"/>
        <w:rPr>
          <w:rFonts w:ascii="Times New Roman" w:hAnsi="Times New Roman" w:cs="Times New Roman"/>
          <w:sz w:val="24"/>
          <w:szCs w:val="24"/>
        </w:rPr>
      </w:pPr>
      <w:r w:rsidRPr="00B24B8A">
        <w:rPr>
          <w:rFonts w:ascii="Times New Roman" w:hAnsi="Times New Roman" w:cs="Times New Roman"/>
          <w:sz w:val="24"/>
          <w:szCs w:val="24"/>
        </w:rPr>
        <w:t>AS/NZS 4645 Gas distribution networks</w:t>
      </w:r>
    </w:p>
    <w:p w14:paraId="61E3B840" w14:textId="77777777" w:rsidR="001B7A98" w:rsidRPr="00B24B8A" w:rsidRDefault="001B7A98" w:rsidP="007C75D9">
      <w:pPr>
        <w:pStyle w:val="ListNumber"/>
        <w:ind w:left="782"/>
        <w:rPr>
          <w:rFonts w:ascii="Times New Roman" w:hAnsi="Times New Roman" w:cs="Times New Roman"/>
          <w:sz w:val="24"/>
          <w:szCs w:val="24"/>
        </w:rPr>
      </w:pPr>
      <w:r w:rsidRPr="00B24B8A">
        <w:rPr>
          <w:rFonts w:ascii="Times New Roman" w:hAnsi="Times New Roman" w:cs="Times New Roman"/>
          <w:sz w:val="24"/>
          <w:szCs w:val="24"/>
        </w:rPr>
        <w:t>AS/NZS 2885 Pipelines gas and liquid petroleum</w:t>
      </w:r>
    </w:p>
    <w:p w14:paraId="782065EF" w14:textId="77777777" w:rsidR="001B7A98" w:rsidRPr="00B24B8A" w:rsidRDefault="001B7A98" w:rsidP="007C75D9">
      <w:pPr>
        <w:pStyle w:val="ListNumber"/>
        <w:ind w:left="782"/>
        <w:rPr>
          <w:rFonts w:ascii="Times New Roman" w:hAnsi="Times New Roman" w:cs="Times New Roman"/>
          <w:sz w:val="24"/>
          <w:szCs w:val="24"/>
        </w:rPr>
      </w:pPr>
      <w:r w:rsidRPr="00B24B8A">
        <w:rPr>
          <w:rFonts w:ascii="Times New Roman" w:hAnsi="Times New Roman" w:cs="Times New Roman"/>
          <w:sz w:val="24"/>
          <w:szCs w:val="24"/>
        </w:rPr>
        <w:t>AS 4564 Specification for general purpose natural gas</w:t>
      </w:r>
    </w:p>
    <w:p w14:paraId="525598BB" w14:textId="77777777" w:rsidR="00B24B8A" w:rsidRDefault="00B24B8A" w:rsidP="002665A3">
      <w:pPr>
        <w:pStyle w:val="ESText"/>
        <w:spacing w:before="0" w:beforeAutospacing="0" w:after="0" w:afterAutospacing="0"/>
      </w:pPr>
    </w:p>
    <w:p w14:paraId="28E665C8" w14:textId="20A68CB0" w:rsidR="001B7A98" w:rsidRPr="00B24B8A" w:rsidRDefault="001B7A98" w:rsidP="002665A3">
      <w:pPr>
        <w:pStyle w:val="ESText"/>
        <w:spacing w:before="0" w:beforeAutospacing="0" w:after="0" w:afterAutospacing="0"/>
      </w:pPr>
      <w:bookmarkStart w:id="1" w:name="_Hlk75789073"/>
      <w:r w:rsidRPr="00B24B8A">
        <w:t>These standards may be purchase</w:t>
      </w:r>
      <w:r w:rsidR="00B24B8A" w:rsidRPr="00B24B8A">
        <w:t xml:space="preserve">d at </w:t>
      </w:r>
      <w:hyperlink r:id="rId7" w:history="1">
        <w:r w:rsidR="00B24B8A" w:rsidRPr="00B24B8A">
          <w:rPr>
            <w:rStyle w:val="Hyperlink"/>
          </w:rPr>
          <w:t>www.standards.org.au</w:t>
        </w:r>
      </w:hyperlink>
      <w:r w:rsidR="00B24B8A" w:rsidRPr="00B24B8A">
        <w:t xml:space="preserve">. The copyright in Australian Standards is owned by a non-government organisation, Standards Australia. While it may be prohibitive for members of the public to purchase these standards, undue expense is minimised as the only parties materially affected </w:t>
      </w:r>
      <w:r w:rsidR="00B24B8A">
        <w:t xml:space="preserve">by the Code </w:t>
      </w:r>
      <w:r w:rsidR="00B24B8A" w:rsidRPr="00B24B8A">
        <w:t xml:space="preserve">are regulated utilities. Ensuring the safe, reliable and efficient delivery of </w:t>
      </w:r>
      <w:r w:rsidR="00B24B8A">
        <w:t>utility services</w:t>
      </w:r>
      <w:r w:rsidR="00B24B8A" w:rsidRPr="00B24B8A">
        <w:t xml:space="preserve">, in conformance with Australian Standards or Australian/New Zealand Standards is core business for the utilities. The public can access copies of many </w:t>
      </w:r>
      <w:r w:rsidR="00B24B8A">
        <w:t xml:space="preserve">national </w:t>
      </w:r>
      <w:r w:rsidR="00B24B8A" w:rsidRPr="00B24B8A">
        <w:t>standards at the National Library of Australia.</w:t>
      </w:r>
    </w:p>
    <w:bookmarkEnd w:id="1"/>
    <w:p w14:paraId="45D86675" w14:textId="77777777" w:rsidR="002665A3" w:rsidRPr="00B24B8A" w:rsidRDefault="002665A3" w:rsidP="002665A3">
      <w:pPr>
        <w:pStyle w:val="ESText"/>
        <w:spacing w:before="0" w:beforeAutospacing="0" w:after="0" w:afterAutospacing="0"/>
      </w:pPr>
    </w:p>
    <w:p w14:paraId="19DF6435" w14:textId="485872AA" w:rsidR="002665A3" w:rsidRPr="00B24B8A" w:rsidRDefault="002665A3" w:rsidP="002665A3">
      <w:pPr>
        <w:pStyle w:val="ESText"/>
        <w:spacing w:before="0" w:beforeAutospacing="0" w:after="0" w:afterAutospacing="0"/>
      </w:pPr>
      <w:r w:rsidRPr="00B24B8A">
        <w:t>Th</w:t>
      </w:r>
      <w:r w:rsidR="00CC3389" w:rsidRPr="00B24B8A">
        <w:t>e</w:t>
      </w:r>
      <w:r w:rsidRPr="00B24B8A">
        <w:t xml:space="preserve"> Code </w:t>
      </w:r>
      <w:r w:rsidR="00115D70" w:rsidRPr="00B24B8A">
        <w:t xml:space="preserve">states that a key requirement in achieving the purpose is conformance with AS/NZS 4645 with respect to gas distribution and </w:t>
      </w:r>
      <w:r w:rsidR="00682FD0" w:rsidRPr="00B24B8A">
        <w:t xml:space="preserve">conformance with </w:t>
      </w:r>
      <w:r w:rsidR="00115D70" w:rsidRPr="00B24B8A">
        <w:t>AS/NZS 2885 with respect to gas transmission. This conformance must be partnered with a Safety and Operating Plan or Pipeline Management System (as approved under the Code).</w:t>
      </w:r>
      <w:r w:rsidRPr="00B24B8A">
        <w:t xml:space="preserve"> </w:t>
      </w:r>
    </w:p>
    <w:p w14:paraId="2A140698" w14:textId="77777777" w:rsidR="002665A3" w:rsidRPr="00B24B8A" w:rsidRDefault="002665A3" w:rsidP="002665A3">
      <w:pPr>
        <w:pStyle w:val="ESText"/>
        <w:spacing w:before="0" w:beforeAutospacing="0" w:after="0" w:afterAutospacing="0"/>
      </w:pPr>
    </w:p>
    <w:p w14:paraId="617F02E9" w14:textId="7D387692" w:rsidR="00682FD0" w:rsidRPr="00B24B8A" w:rsidRDefault="00115D70" w:rsidP="002665A3">
      <w:pPr>
        <w:pStyle w:val="ESText"/>
        <w:spacing w:before="0" w:beforeAutospacing="0" w:after="0" w:afterAutospacing="0"/>
      </w:pPr>
      <w:r w:rsidRPr="00B24B8A">
        <w:t xml:space="preserve">The code provides a framework for the lodgment, approval, amendment, implementation and audit of </w:t>
      </w:r>
      <w:r w:rsidR="00682FD0" w:rsidRPr="00B24B8A">
        <w:t>a</w:t>
      </w:r>
      <w:r w:rsidRPr="00B24B8A">
        <w:t xml:space="preserve"> safety and operating plan. For the purposes of the code</w:t>
      </w:r>
      <w:r w:rsidR="00682FD0" w:rsidRPr="00B24B8A">
        <w:t>:</w:t>
      </w:r>
    </w:p>
    <w:p w14:paraId="1851C1A4" w14:textId="77777777" w:rsidR="00682FD0" w:rsidRPr="00B24B8A" w:rsidRDefault="00115D70" w:rsidP="007C75D9">
      <w:pPr>
        <w:pStyle w:val="ListBullet"/>
        <w:ind w:left="714" w:hanging="357"/>
        <w:rPr>
          <w:szCs w:val="24"/>
        </w:rPr>
      </w:pPr>
      <w:r w:rsidRPr="00B24B8A">
        <w:rPr>
          <w:szCs w:val="24"/>
        </w:rPr>
        <w:t>a pipeline management system created in conformance with AS/NZS 2885 will be taken to be a safety and operating plan</w:t>
      </w:r>
      <w:r w:rsidR="00682FD0" w:rsidRPr="00B24B8A">
        <w:rPr>
          <w:szCs w:val="24"/>
        </w:rPr>
        <w:t>; and</w:t>
      </w:r>
    </w:p>
    <w:p w14:paraId="5D4DB7AE" w14:textId="28761224" w:rsidR="002665A3" w:rsidRPr="00B24B8A" w:rsidRDefault="00682FD0" w:rsidP="007C75D9">
      <w:pPr>
        <w:pStyle w:val="ListBullet"/>
        <w:ind w:left="714" w:hanging="357"/>
        <w:rPr>
          <w:szCs w:val="24"/>
        </w:rPr>
      </w:pPr>
      <w:r w:rsidRPr="00B24B8A">
        <w:rPr>
          <w:szCs w:val="24"/>
        </w:rPr>
        <w:t>a safety management study prepared in conformance with AS/NZS 2885 will be taken to be the formal safety assessment</w:t>
      </w:r>
      <w:r w:rsidR="00115D70" w:rsidRPr="00B24B8A">
        <w:rPr>
          <w:szCs w:val="24"/>
        </w:rPr>
        <w:t>.</w:t>
      </w:r>
    </w:p>
    <w:p w14:paraId="54A2BFB3" w14:textId="02A120F4" w:rsidR="00682FD0" w:rsidRPr="00B24B8A" w:rsidRDefault="00682FD0" w:rsidP="00682FD0">
      <w:pPr>
        <w:pStyle w:val="ListBullet"/>
        <w:numPr>
          <w:ilvl w:val="0"/>
          <w:numId w:val="0"/>
        </w:numPr>
        <w:ind w:left="360" w:hanging="360"/>
        <w:rPr>
          <w:szCs w:val="24"/>
        </w:rPr>
      </w:pPr>
    </w:p>
    <w:p w14:paraId="7A79EBD5" w14:textId="07AF925A" w:rsidR="00682FD0" w:rsidRPr="00B24B8A" w:rsidRDefault="00682FD0" w:rsidP="00682FD0">
      <w:pPr>
        <w:pStyle w:val="ListBullet"/>
        <w:numPr>
          <w:ilvl w:val="0"/>
          <w:numId w:val="0"/>
        </w:numPr>
        <w:rPr>
          <w:szCs w:val="24"/>
        </w:rPr>
      </w:pPr>
      <w:r w:rsidRPr="00B24B8A">
        <w:rPr>
          <w:szCs w:val="24"/>
        </w:rPr>
        <w:t xml:space="preserve">The </w:t>
      </w:r>
      <w:r w:rsidR="001B7A98" w:rsidRPr="00B24B8A">
        <w:rPr>
          <w:szCs w:val="24"/>
        </w:rPr>
        <w:t xml:space="preserve">Code </w:t>
      </w:r>
      <w:r w:rsidRPr="00B24B8A">
        <w:rPr>
          <w:szCs w:val="24"/>
        </w:rPr>
        <w:t>requires for a safety and operating plan to be approved by the Chief Technical Officer and the utility’s Chief Executive Officer.</w:t>
      </w:r>
    </w:p>
    <w:p w14:paraId="46D63DBE" w14:textId="240B7798" w:rsidR="001B7A98" w:rsidRPr="00B24B8A" w:rsidRDefault="001B7A98" w:rsidP="00682FD0">
      <w:pPr>
        <w:pStyle w:val="ListBullet"/>
        <w:numPr>
          <w:ilvl w:val="0"/>
          <w:numId w:val="0"/>
        </w:numPr>
        <w:rPr>
          <w:szCs w:val="24"/>
        </w:rPr>
      </w:pPr>
    </w:p>
    <w:p w14:paraId="2AC51531" w14:textId="4D32AE62" w:rsidR="00B3044D" w:rsidRPr="00B24B8A" w:rsidRDefault="00B3044D" w:rsidP="00377427">
      <w:pPr>
        <w:pStyle w:val="ListBullet"/>
        <w:numPr>
          <w:ilvl w:val="0"/>
          <w:numId w:val="0"/>
        </w:numPr>
        <w:rPr>
          <w:szCs w:val="24"/>
        </w:rPr>
      </w:pPr>
      <w:r w:rsidRPr="00B24B8A">
        <w:rPr>
          <w:szCs w:val="24"/>
        </w:rPr>
        <w:t>Th</w:t>
      </w:r>
      <w:r w:rsidR="00115D70" w:rsidRPr="00B24B8A">
        <w:rPr>
          <w:szCs w:val="24"/>
        </w:rPr>
        <w:t>e</w:t>
      </w:r>
      <w:r w:rsidRPr="00B24B8A">
        <w:rPr>
          <w:szCs w:val="24"/>
        </w:rPr>
        <w:t xml:space="preserve"> Code is consistent with the objects of the Act</w:t>
      </w:r>
      <w:r w:rsidR="00576222" w:rsidRPr="00B24B8A">
        <w:rPr>
          <w:szCs w:val="24"/>
        </w:rPr>
        <w:t xml:space="preserve"> and with section 11 of the Act.</w:t>
      </w:r>
    </w:p>
    <w:p w14:paraId="73F28F86" w14:textId="65CAD1BD" w:rsidR="005509E3" w:rsidRPr="00B24B8A" w:rsidRDefault="005509E3" w:rsidP="005509E3">
      <w:pPr>
        <w:rPr>
          <w:szCs w:val="24"/>
        </w:rPr>
      </w:pPr>
    </w:p>
    <w:bookmarkEnd w:id="0"/>
    <w:p w14:paraId="0FBDA595" w14:textId="54F19321" w:rsidR="00E029F7" w:rsidRPr="00B24B8A" w:rsidRDefault="00E029F7" w:rsidP="00B3044D">
      <w:pPr>
        <w:pStyle w:val="ESText"/>
        <w:spacing w:before="0" w:beforeAutospacing="0" w:after="0" w:afterAutospacing="0"/>
        <w:rPr>
          <w:b/>
          <w:bCs/>
        </w:rPr>
      </w:pPr>
      <w:r w:rsidRPr="00B24B8A">
        <w:rPr>
          <w:b/>
          <w:bCs/>
        </w:rPr>
        <w:t>Consultation</w:t>
      </w:r>
    </w:p>
    <w:p w14:paraId="2577FEB5" w14:textId="77777777" w:rsidR="00E029F7" w:rsidRPr="00B24B8A" w:rsidRDefault="00E029F7" w:rsidP="00B3044D">
      <w:pPr>
        <w:pStyle w:val="ESText"/>
        <w:spacing w:before="0" w:beforeAutospacing="0" w:after="0" w:afterAutospacing="0"/>
      </w:pPr>
    </w:p>
    <w:p w14:paraId="0C91EDA8" w14:textId="645286A4" w:rsidR="00CE5AC9" w:rsidRPr="00B24B8A" w:rsidRDefault="00CE5AC9" w:rsidP="00CE5AC9">
      <w:pPr>
        <w:autoSpaceDE w:val="0"/>
        <w:autoSpaceDN w:val="0"/>
        <w:adjustRightInd w:val="0"/>
        <w:rPr>
          <w:szCs w:val="24"/>
        </w:rPr>
      </w:pPr>
      <w:r w:rsidRPr="00B24B8A">
        <w:rPr>
          <w:szCs w:val="24"/>
        </w:rPr>
        <w:t xml:space="preserve">In accordance with section 13 of the Act, the technical regulator consulted the Independent Competition and Regulatory Commission and the relevant regulated utilities to create </w:t>
      </w:r>
      <w:r w:rsidR="00B24B8A">
        <w:rPr>
          <w:szCs w:val="24"/>
        </w:rPr>
        <w:t>the</w:t>
      </w:r>
      <w:r w:rsidRPr="00B24B8A">
        <w:rPr>
          <w:szCs w:val="24"/>
        </w:rPr>
        <w:t xml:space="preserve"> Code. </w:t>
      </w:r>
    </w:p>
    <w:p w14:paraId="60083F16" w14:textId="37690A68" w:rsidR="00E029F7" w:rsidRPr="00B24B8A" w:rsidRDefault="00E029F7" w:rsidP="00CE5AC9">
      <w:pPr>
        <w:autoSpaceDE w:val="0"/>
        <w:autoSpaceDN w:val="0"/>
        <w:adjustRightInd w:val="0"/>
        <w:rPr>
          <w:szCs w:val="24"/>
        </w:rPr>
      </w:pPr>
    </w:p>
    <w:p w14:paraId="53C10256" w14:textId="49247668" w:rsidR="00E029F7" w:rsidRPr="00B24B8A" w:rsidRDefault="00E029F7" w:rsidP="00CE5AC9">
      <w:pPr>
        <w:autoSpaceDE w:val="0"/>
        <w:autoSpaceDN w:val="0"/>
        <w:adjustRightInd w:val="0"/>
        <w:rPr>
          <w:b/>
          <w:bCs/>
          <w:szCs w:val="24"/>
        </w:rPr>
      </w:pPr>
      <w:r w:rsidRPr="00B24B8A">
        <w:rPr>
          <w:b/>
          <w:bCs/>
          <w:szCs w:val="24"/>
        </w:rPr>
        <w:t>Regulatory Impact Statement</w:t>
      </w:r>
    </w:p>
    <w:p w14:paraId="5556F8FB" w14:textId="77777777" w:rsidR="00CE5AC9" w:rsidRPr="00B24B8A" w:rsidRDefault="00CE5AC9" w:rsidP="00CE5AC9">
      <w:pPr>
        <w:autoSpaceDE w:val="0"/>
        <w:autoSpaceDN w:val="0"/>
        <w:adjustRightInd w:val="0"/>
        <w:rPr>
          <w:szCs w:val="24"/>
        </w:rPr>
      </w:pPr>
    </w:p>
    <w:p w14:paraId="049AA2CF" w14:textId="749BD542" w:rsidR="00CE5AC9" w:rsidRPr="00B24B8A" w:rsidRDefault="00CE5AC9" w:rsidP="00CE5AC9">
      <w:pPr>
        <w:autoSpaceDE w:val="0"/>
        <w:autoSpaceDN w:val="0"/>
        <w:adjustRightInd w:val="0"/>
        <w:rPr>
          <w:szCs w:val="24"/>
        </w:rPr>
      </w:pPr>
      <w:r w:rsidRPr="00B24B8A">
        <w:rPr>
          <w:szCs w:val="24"/>
        </w:rPr>
        <w:t xml:space="preserve">A </w:t>
      </w:r>
      <w:r w:rsidR="002A06AD">
        <w:rPr>
          <w:szCs w:val="24"/>
        </w:rPr>
        <w:t>r</w:t>
      </w:r>
      <w:r w:rsidRPr="00B24B8A">
        <w:rPr>
          <w:szCs w:val="24"/>
        </w:rPr>
        <w:t xml:space="preserve">egulatory </w:t>
      </w:r>
      <w:r w:rsidR="002A06AD">
        <w:rPr>
          <w:szCs w:val="24"/>
        </w:rPr>
        <w:t>i</w:t>
      </w:r>
      <w:r w:rsidRPr="00B24B8A">
        <w:rPr>
          <w:szCs w:val="24"/>
        </w:rPr>
        <w:t xml:space="preserve">mpact </w:t>
      </w:r>
      <w:r w:rsidR="002A06AD">
        <w:rPr>
          <w:szCs w:val="24"/>
        </w:rPr>
        <w:t>s</w:t>
      </w:r>
      <w:r w:rsidRPr="00B24B8A">
        <w:rPr>
          <w:szCs w:val="24"/>
        </w:rPr>
        <w:t>tatement for the instrument is not required in accordance with section 34</w:t>
      </w:r>
      <w:r w:rsidR="002A06AD">
        <w:rPr>
          <w:szCs w:val="24"/>
        </w:rPr>
        <w:t xml:space="preserve"> </w:t>
      </w:r>
      <w:r w:rsidRPr="00B24B8A">
        <w:rPr>
          <w:szCs w:val="24"/>
        </w:rPr>
        <w:t xml:space="preserve">(1) of the </w:t>
      </w:r>
      <w:r w:rsidRPr="00B24B8A">
        <w:rPr>
          <w:i/>
          <w:szCs w:val="24"/>
        </w:rPr>
        <w:t>Legislation Act 2001</w:t>
      </w:r>
      <w:r w:rsidR="00576222" w:rsidRPr="00B24B8A">
        <w:rPr>
          <w:iCs/>
          <w:szCs w:val="24"/>
        </w:rPr>
        <w:t>. The update</w:t>
      </w:r>
      <w:r w:rsidR="008A14B7" w:rsidRPr="00B24B8A">
        <w:rPr>
          <w:iCs/>
          <w:szCs w:val="24"/>
        </w:rPr>
        <w:t>s</w:t>
      </w:r>
      <w:r w:rsidR="00576222" w:rsidRPr="00B24B8A">
        <w:rPr>
          <w:iCs/>
          <w:szCs w:val="24"/>
        </w:rPr>
        <w:t xml:space="preserve"> to </w:t>
      </w:r>
      <w:r w:rsidR="00682FD0" w:rsidRPr="00B24B8A">
        <w:rPr>
          <w:iCs/>
          <w:szCs w:val="24"/>
        </w:rPr>
        <w:t>the</w:t>
      </w:r>
      <w:r w:rsidR="00576222" w:rsidRPr="00B24B8A">
        <w:rPr>
          <w:iCs/>
          <w:szCs w:val="24"/>
        </w:rPr>
        <w:t xml:space="preserve"> Code do </w:t>
      </w:r>
      <w:r w:rsidRPr="00B24B8A">
        <w:rPr>
          <w:szCs w:val="24"/>
        </w:rPr>
        <w:t xml:space="preserve">not impose appreciable costs on the community, or part of the community. Further, a </w:t>
      </w:r>
      <w:r w:rsidR="002A06AD">
        <w:rPr>
          <w:szCs w:val="24"/>
        </w:rPr>
        <w:t>r</w:t>
      </w:r>
      <w:r w:rsidRPr="00B24B8A">
        <w:rPr>
          <w:szCs w:val="24"/>
        </w:rPr>
        <w:t xml:space="preserve">egulatory </w:t>
      </w:r>
      <w:r w:rsidR="002A06AD">
        <w:rPr>
          <w:szCs w:val="24"/>
        </w:rPr>
        <w:lastRenderedPageBreak/>
        <w:t>i</w:t>
      </w:r>
      <w:r w:rsidRPr="00B24B8A">
        <w:rPr>
          <w:szCs w:val="24"/>
        </w:rPr>
        <w:t xml:space="preserve">mpact </w:t>
      </w:r>
      <w:r w:rsidR="002A06AD">
        <w:rPr>
          <w:szCs w:val="24"/>
        </w:rPr>
        <w:t>s</w:t>
      </w:r>
      <w:r w:rsidRPr="00B24B8A">
        <w:rPr>
          <w:szCs w:val="24"/>
        </w:rPr>
        <w:t>tatement is unnecessary in accordance with section 36</w:t>
      </w:r>
      <w:r w:rsidR="002A06AD">
        <w:rPr>
          <w:szCs w:val="24"/>
        </w:rPr>
        <w:t xml:space="preserve"> </w:t>
      </w:r>
      <w:r w:rsidRPr="00B24B8A">
        <w:rPr>
          <w:szCs w:val="24"/>
        </w:rPr>
        <w:t>(1)</w:t>
      </w:r>
      <w:r w:rsidR="002A06AD">
        <w:rPr>
          <w:szCs w:val="24"/>
        </w:rPr>
        <w:t xml:space="preserve"> </w:t>
      </w:r>
      <w:r w:rsidRPr="00B24B8A">
        <w:rPr>
          <w:szCs w:val="24"/>
        </w:rPr>
        <w:t xml:space="preserve">(b) of the </w:t>
      </w:r>
      <w:r w:rsidRPr="00B24B8A">
        <w:rPr>
          <w:i/>
          <w:szCs w:val="24"/>
        </w:rPr>
        <w:t>Legislation Act 2001</w:t>
      </w:r>
      <w:r w:rsidRPr="00B24B8A">
        <w:rPr>
          <w:szCs w:val="24"/>
        </w:rPr>
        <w:t>.</w:t>
      </w:r>
    </w:p>
    <w:p w14:paraId="427857F7" w14:textId="1DD378F2" w:rsidR="00E029F7" w:rsidRPr="00B24B8A" w:rsidRDefault="00E029F7" w:rsidP="00CE5AC9">
      <w:pPr>
        <w:autoSpaceDE w:val="0"/>
        <w:autoSpaceDN w:val="0"/>
        <w:adjustRightInd w:val="0"/>
        <w:rPr>
          <w:szCs w:val="24"/>
        </w:rPr>
      </w:pPr>
    </w:p>
    <w:p w14:paraId="54D3AA10" w14:textId="302427D4" w:rsidR="00E029F7" w:rsidRPr="00B24B8A" w:rsidRDefault="00E029F7" w:rsidP="00CE5AC9">
      <w:pPr>
        <w:autoSpaceDE w:val="0"/>
        <w:autoSpaceDN w:val="0"/>
        <w:adjustRightInd w:val="0"/>
        <w:rPr>
          <w:b/>
          <w:bCs/>
          <w:szCs w:val="24"/>
          <w:highlight w:val="yellow"/>
        </w:rPr>
      </w:pPr>
      <w:r w:rsidRPr="00B24B8A">
        <w:rPr>
          <w:b/>
          <w:bCs/>
          <w:szCs w:val="24"/>
        </w:rPr>
        <w:t>Human rights</w:t>
      </w:r>
      <w:r w:rsidR="003D1D64" w:rsidRPr="00B24B8A">
        <w:rPr>
          <w:b/>
          <w:bCs/>
          <w:szCs w:val="24"/>
        </w:rPr>
        <w:t xml:space="preserve"> and Scrutiny of Committee Terms of Reference</w:t>
      </w:r>
    </w:p>
    <w:p w14:paraId="3B6488B6" w14:textId="77777777" w:rsidR="00CE5AC9" w:rsidRPr="00B24B8A" w:rsidRDefault="00CE5AC9" w:rsidP="00CE5AC9">
      <w:pPr>
        <w:autoSpaceDE w:val="0"/>
        <w:autoSpaceDN w:val="0"/>
        <w:adjustRightInd w:val="0"/>
        <w:rPr>
          <w:szCs w:val="24"/>
          <w:highlight w:val="yellow"/>
        </w:rPr>
      </w:pPr>
    </w:p>
    <w:p w14:paraId="1ADD79B9" w14:textId="75705CF8" w:rsidR="00CE5AC9" w:rsidRPr="00B24B8A" w:rsidRDefault="00CE5AC9" w:rsidP="00CE5AC9">
      <w:pPr>
        <w:autoSpaceDE w:val="0"/>
        <w:autoSpaceDN w:val="0"/>
        <w:adjustRightInd w:val="0"/>
        <w:rPr>
          <w:szCs w:val="24"/>
        </w:rPr>
      </w:pPr>
      <w:r w:rsidRPr="00B24B8A">
        <w:rPr>
          <w:szCs w:val="24"/>
        </w:rPr>
        <w:t>Th</w:t>
      </w:r>
      <w:r w:rsidR="00682FD0" w:rsidRPr="00B24B8A">
        <w:rPr>
          <w:szCs w:val="24"/>
        </w:rPr>
        <w:t>e</w:t>
      </w:r>
      <w:r w:rsidRPr="00B24B8A">
        <w:rPr>
          <w:szCs w:val="24"/>
        </w:rPr>
        <w:t xml:space="preserve"> instrument does not engage or limit any person’s human rights. </w:t>
      </w:r>
    </w:p>
    <w:p w14:paraId="3D936C40" w14:textId="77777777" w:rsidR="00CE5AC9" w:rsidRPr="00B24B8A" w:rsidRDefault="00CE5AC9" w:rsidP="00CE5AC9">
      <w:pPr>
        <w:autoSpaceDE w:val="0"/>
        <w:autoSpaceDN w:val="0"/>
        <w:adjustRightInd w:val="0"/>
        <w:rPr>
          <w:szCs w:val="24"/>
        </w:rPr>
      </w:pPr>
    </w:p>
    <w:p w14:paraId="5BAC9602" w14:textId="3E77ED65" w:rsidR="00CE5AC9" w:rsidRPr="00B24B8A" w:rsidRDefault="00CE5AC9" w:rsidP="00CE5AC9">
      <w:pPr>
        <w:autoSpaceDE w:val="0"/>
        <w:autoSpaceDN w:val="0"/>
        <w:adjustRightInd w:val="0"/>
        <w:rPr>
          <w:szCs w:val="24"/>
        </w:rPr>
      </w:pPr>
      <w:r w:rsidRPr="00B24B8A">
        <w:rPr>
          <w:szCs w:val="24"/>
        </w:rPr>
        <w:t>Th</w:t>
      </w:r>
      <w:r w:rsidR="00682FD0" w:rsidRPr="00B24B8A">
        <w:rPr>
          <w:szCs w:val="24"/>
        </w:rPr>
        <w:t>e</w:t>
      </w:r>
      <w:r w:rsidRPr="00B24B8A">
        <w:rPr>
          <w:szCs w:val="24"/>
        </w:rPr>
        <w:t xml:space="preserve"> instrument is consistent with the Legislative Assembly’s Scrutiny </w:t>
      </w:r>
      <w:r w:rsidR="002A06AD">
        <w:rPr>
          <w:szCs w:val="24"/>
        </w:rPr>
        <w:t xml:space="preserve">of </w:t>
      </w:r>
      <w:r w:rsidRPr="00B24B8A">
        <w:rPr>
          <w:szCs w:val="24"/>
        </w:rPr>
        <w:t>Bills Committee Terms of Reference. In particular, the instrument:</w:t>
      </w:r>
    </w:p>
    <w:p w14:paraId="0703C4DD" w14:textId="77777777" w:rsidR="00CE5AC9" w:rsidRPr="00B24B8A" w:rsidRDefault="00CE5AC9" w:rsidP="003D1D64">
      <w:pPr>
        <w:pStyle w:val="ListBullet"/>
        <w:rPr>
          <w:szCs w:val="24"/>
        </w:rPr>
      </w:pPr>
      <w:r w:rsidRPr="00B24B8A">
        <w:rPr>
          <w:szCs w:val="24"/>
        </w:rPr>
        <w:t>is made under a ministerial power found in the Act;</w:t>
      </w:r>
    </w:p>
    <w:p w14:paraId="36A4089C" w14:textId="77777777" w:rsidR="00CE5AC9" w:rsidRPr="00B24B8A" w:rsidRDefault="00CE5AC9" w:rsidP="003D1D64">
      <w:pPr>
        <w:pStyle w:val="ListBullet"/>
        <w:rPr>
          <w:szCs w:val="24"/>
        </w:rPr>
      </w:pPr>
      <w:r w:rsidRPr="00B24B8A">
        <w:rPr>
          <w:szCs w:val="24"/>
        </w:rPr>
        <w:t xml:space="preserve">is in accordance with the general objects of the Act under which the instrument is made; </w:t>
      </w:r>
    </w:p>
    <w:p w14:paraId="4DEB1699" w14:textId="77777777" w:rsidR="00CE5AC9" w:rsidRPr="00B24B8A" w:rsidRDefault="00CE5AC9" w:rsidP="003D1D64">
      <w:pPr>
        <w:pStyle w:val="ListBullet"/>
        <w:rPr>
          <w:szCs w:val="24"/>
        </w:rPr>
      </w:pPr>
      <w:r w:rsidRPr="00B24B8A">
        <w:rPr>
          <w:szCs w:val="24"/>
        </w:rPr>
        <w:t>does not unduly trespass on rights previously established by law; and</w:t>
      </w:r>
    </w:p>
    <w:p w14:paraId="4ECEC1D3" w14:textId="77777777" w:rsidR="00CE5AC9" w:rsidRPr="00B24B8A" w:rsidRDefault="00CE5AC9" w:rsidP="003D1D64">
      <w:pPr>
        <w:pStyle w:val="ListBullet"/>
        <w:rPr>
          <w:szCs w:val="24"/>
        </w:rPr>
      </w:pPr>
      <w:r w:rsidRPr="00B24B8A">
        <w:rPr>
          <w:szCs w:val="24"/>
        </w:rPr>
        <w:t xml:space="preserve">does not make rights, liberties and/or obligations unduly dependent upon non-reviewable decisions.   </w:t>
      </w:r>
    </w:p>
    <w:p w14:paraId="6CEE981D" w14:textId="77777777" w:rsidR="00CE5AC9" w:rsidRPr="00B24B8A" w:rsidRDefault="00CE5AC9" w:rsidP="00CE5AC9">
      <w:pPr>
        <w:autoSpaceDE w:val="0"/>
        <w:autoSpaceDN w:val="0"/>
        <w:adjustRightInd w:val="0"/>
        <w:rPr>
          <w:szCs w:val="24"/>
          <w:highlight w:val="yellow"/>
        </w:rPr>
      </w:pPr>
    </w:p>
    <w:p w14:paraId="1A9629D8" w14:textId="77777777" w:rsidR="00CE5AC9" w:rsidRPr="000820B1" w:rsidRDefault="00CE5AC9" w:rsidP="00CE5AC9">
      <w:pPr>
        <w:autoSpaceDE w:val="0"/>
        <w:autoSpaceDN w:val="0"/>
        <w:adjustRightInd w:val="0"/>
        <w:rPr>
          <w:rFonts w:ascii="Arial" w:hAnsi="Arial" w:cs="Arial"/>
          <w:szCs w:val="24"/>
        </w:rPr>
      </w:pPr>
    </w:p>
    <w:p w14:paraId="29098868" w14:textId="77777777" w:rsidR="00CE5AC9" w:rsidRPr="000C2FDF" w:rsidRDefault="00CE5AC9" w:rsidP="00B3044D">
      <w:pPr>
        <w:pStyle w:val="ESText"/>
        <w:spacing w:before="0" w:beforeAutospacing="0" w:after="0" w:afterAutospacing="0"/>
      </w:pPr>
    </w:p>
    <w:sectPr w:rsidR="00CE5AC9" w:rsidRPr="000C2FDF" w:rsidSect="007346AC">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7DD55" w14:textId="77777777" w:rsidR="00A47DF0" w:rsidRDefault="00A47DF0" w:rsidP="00C17FAB">
      <w:r>
        <w:separator/>
      </w:r>
    </w:p>
  </w:endnote>
  <w:endnote w:type="continuationSeparator" w:id="0">
    <w:p w14:paraId="5DEF0E50" w14:textId="77777777" w:rsidR="00A47DF0" w:rsidRDefault="00A47DF0"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9A260"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567CB" w14:textId="4C06A1F5" w:rsidR="00DA3B00" w:rsidRPr="00111BA2" w:rsidRDefault="00111BA2" w:rsidP="00111BA2">
    <w:pPr>
      <w:pStyle w:val="Footer"/>
      <w:jc w:val="center"/>
      <w:rPr>
        <w:rFonts w:cs="Arial"/>
        <w:sz w:val="14"/>
      </w:rPr>
    </w:pPr>
    <w:r w:rsidRPr="00111BA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D62E0"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B5046" w14:textId="77777777" w:rsidR="00A47DF0" w:rsidRDefault="00A47DF0" w:rsidP="00C17FAB">
      <w:r>
        <w:separator/>
      </w:r>
    </w:p>
  </w:footnote>
  <w:footnote w:type="continuationSeparator" w:id="0">
    <w:p w14:paraId="252BC355" w14:textId="77777777" w:rsidR="00A47DF0" w:rsidRDefault="00A47DF0"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C5F14"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11F10"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48F1B"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93F48BC4"/>
    <w:lvl w:ilvl="0">
      <w:start w:val="1"/>
      <w:numFmt w:val="lowerLetter"/>
      <w:pStyle w:val="ListNumber"/>
      <w:lvlText w:val="(%1)"/>
      <w:lvlJc w:val="left"/>
      <w:pPr>
        <w:tabs>
          <w:tab w:val="num" w:pos="1985"/>
        </w:tabs>
        <w:ind w:left="1985" w:hanging="567"/>
      </w:pPr>
      <w:rPr>
        <w:rFonts w:hint="default"/>
      </w:rPr>
    </w:lvl>
  </w:abstractNum>
  <w:abstractNum w:abstractNumId="2" w15:restartNumberingAfterBreak="0">
    <w:nsid w:val="FFFFFF89"/>
    <w:multiLevelType w:val="singleLevel"/>
    <w:tmpl w:val="FCCEEF4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5"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E262CE"/>
    <w:multiLevelType w:val="hybridMultilevel"/>
    <w:tmpl w:val="AA7CE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892659"/>
    <w:multiLevelType w:val="hybridMultilevel"/>
    <w:tmpl w:val="242E6C60"/>
    <w:lvl w:ilvl="0" w:tplc="35BCF950">
      <w:start w:val="1"/>
      <w:numFmt w:val="lowerLetter"/>
      <w:lvlText w:val="%1)"/>
      <w:lvlJc w:val="left"/>
      <w:pPr>
        <w:ind w:left="1069" w:hanging="360"/>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abstractNum w:abstractNumId="8"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9"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10"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1"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753545D3"/>
    <w:multiLevelType w:val="hybridMultilevel"/>
    <w:tmpl w:val="CB866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abstractNumId w:val="4"/>
  </w:num>
  <w:num w:numId="2">
    <w:abstractNumId w:val="0"/>
  </w:num>
  <w:num w:numId="3">
    <w:abstractNumId w:val="5"/>
  </w:num>
  <w:num w:numId="4">
    <w:abstractNumId w:val="10"/>
  </w:num>
  <w:num w:numId="5">
    <w:abstractNumId w:val="11"/>
  </w:num>
  <w:num w:numId="6">
    <w:abstractNumId w:val="3"/>
  </w:num>
  <w:num w:numId="7">
    <w:abstractNumId w:val="8"/>
  </w:num>
  <w:num w:numId="8">
    <w:abstractNumId w:val="9"/>
  </w:num>
  <w:num w:numId="9">
    <w:abstractNumId w:val="13"/>
  </w:num>
  <w:num w:numId="10">
    <w:abstractNumId w:val="7"/>
  </w:num>
  <w:num w:numId="11">
    <w:abstractNumId w:val="2"/>
  </w:num>
  <w:num w:numId="12">
    <w:abstractNumId w:val="6"/>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7C60"/>
    <w:rsid w:val="000C2FDF"/>
    <w:rsid w:val="00111BA2"/>
    <w:rsid w:val="00115D70"/>
    <w:rsid w:val="00130F3C"/>
    <w:rsid w:val="001434C9"/>
    <w:rsid w:val="0019550A"/>
    <w:rsid w:val="001B7A98"/>
    <w:rsid w:val="00203FD5"/>
    <w:rsid w:val="002665A3"/>
    <w:rsid w:val="002904B0"/>
    <w:rsid w:val="002A06AD"/>
    <w:rsid w:val="002D46C6"/>
    <w:rsid w:val="002D7C60"/>
    <w:rsid w:val="00335B29"/>
    <w:rsid w:val="003524E8"/>
    <w:rsid w:val="00377427"/>
    <w:rsid w:val="003D1D64"/>
    <w:rsid w:val="004B5BAD"/>
    <w:rsid w:val="0051043D"/>
    <w:rsid w:val="00540863"/>
    <w:rsid w:val="005509E3"/>
    <w:rsid w:val="00576222"/>
    <w:rsid w:val="005D5DBF"/>
    <w:rsid w:val="006806DE"/>
    <w:rsid w:val="00682FD0"/>
    <w:rsid w:val="006B763D"/>
    <w:rsid w:val="007346AC"/>
    <w:rsid w:val="007C75D9"/>
    <w:rsid w:val="008050FB"/>
    <w:rsid w:val="00812FBF"/>
    <w:rsid w:val="008A14B7"/>
    <w:rsid w:val="008B78E5"/>
    <w:rsid w:val="00936F49"/>
    <w:rsid w:val="009508A5"/>
    <w:rsid w:val="009709C2"/>
    <w:rsid w:val="00990444"/>
    <w:rsid w:val="009D5C8B"/>
    <w:rsid w:val="00A11FD4"/>
    <w:rsid w:val="00A47DF0"/>
    <w:rsid w:val="00A51CE2"/>
    <w:rsid w:val="00AA3AAC"/>
    <w:rsid w:val="00B24B8A"/>
    <w:rsid w:val="00B3044D"/>
    <w:rsid w:val="00B52C85"/>
    <w:rsid w:val="00BC7CFD"/>
    <w:rsid w:val="00C17FAB"/>
    <w:rsid w:val="00C27369"/>
    <w:rsid w:val="00C514B9"/>
    <w:rsid w:val="00CB641F"/>
    <w:rsid w:val="00CC3389"/>
    <w:rsid w:val="00CE599C"/>
    <w:rsid w:val="00CE5AC9"/>
    <w:rsid w:val="00DA3B00"/>
    <w:rsid w:val="00DF455A"/>
    <w:rsid w:val="00E029F7"/>
    <w:rsid w:val="00E21C5B"/>
    <w:rsid w:val="00E6391E"/>
    <w:rsid w:val="00E7173E"/>
    <w:rsid w:val="00F34A5A"/>
    <w:rsid w:val="00FD75CE"/>
    <w:rsid w:val="00FF45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FD9BE"/>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NoSpacing">
    <w:name w:val="No Spacing"/>
    <w:uiPriority w:val="1"/>
    <w:qFormat/>
    <w:rsid w:val="005509E3"/>
    <w:rPr>
      <w:rFonts w:asciiTheme="minorHAnsi" w:hAnsiTheme="minorHAnsi"/>
      <w:sz w:val="22"/>
      <w:szCs w:val="22"/>
      <w:lang w:eastAsia="en-US"/>
    </w:rPr>
  </w:style>
  <w:style w:type="paragraph" w:customStyle="1" w:styleId="ESText">
    <w:name w:val="ES Text"/>
    <w:basedOn w:val="Normal"/>
    <w:qFormat/>
    <w:rsid w:val="005509E3"/>
    <w:pPr>
      <w:spacing w:before="100" w:beforeAutospacing="1" w:after="100" w:afterAutospacing="1"/>
      <w:contextualSpacing/>
    </w:pPr>
    <w:rPr>
      <w:szCs w:val="24"/>
    </w:rPr>
  </w:style>
  <w:style w:type="paragraph" w:styleId="ListBullet">
    <w:name w:val="List Bullet"/>
    <w:basedOn w:val="Normal"/>
    <w:uiPriority w:val="99"/>
    <w:unhideWhenUsed/>
    <w:rsid w:val="000C2FDF"/>
    <w:pPr>
      <w:numPr>
        <w:numId w:val="11"/>
      </w:numPr>
      <w:contextualSpacing/>
    </w:pPr>
  </w:style>
  <w:style w:type="paragraph" w:styleId="ListParagraph">
    <w:name w:val="List Paragraph"/>
    <w:basedOn w:val="Normal"/>
    <w:link w:val="ListParagraphChar"/>
    <w:uiPriority w:val="34"/>
    <w:qFormat/>
    <w:rsid w:val="00B3044D"/>
    <w:pPr>
      <w:spacing w:after="160" w:line="259" w:lineRule="auto"/>
      <w:ind w:left="720"/>
      <w:contextualSpacing/>
    </w:pPr>
    <w:rPr>
      <w:rFonts w:asciiTheme="minorHAnsi" w:eastAsiaTheme="minorHAnsi" w:hAnsiTheme="minorHAnsi" w:cstheme="minorBidi"/>
      <w:sz w:val="22"/>
      <w:szCs w:val="22"/>
    </w:rPr>
  </w:style>
  <w:style w:type="paragraph" w:customStyle="1" w:styleId="paraplain">
    <w:name w:val="para_plain"/>
    <w:basedOn w:val="Normal"/>
    <w:rsid w:val="00CE5AC9"/>
    <w:pPr>
      <w:tabs>
        <w:tab w:val="left" w:pos="990"/>
      </w:tabs>
      <w:spacing w:after="240"/>
      <w:ind w:left="540"/>
    </w:pPr>
    <w:rPr>
      <w:rFonts w:ascii="Arial" w:hAnsi="Arial"/>
      <w:sz w:val="22"/>
      <w:lang w:eastAsia="en-AU"/>
    </w:rPr>
  </w:style>
  <w:style w:type="character" w:customStyle="1" w:styleId="ListParagraphChar">
    <w:name w:val="List Paragraph Char"/>
    <w:link w:val="ListParagraph"/>
    <w:uiPriority w:val="34"/>
    <w:locked/>
    <w:rsid w:val="00CE5AC9"/>
    <w:rPr>
      <w:rFonts w:asciiTheme="minorHAnsi" w:eastAsiaTheme="minorHAnsi" w:hAnsiTheme="minorHAnsi" w:cstheme="minorBidi"/>
      <w:sz w:val="22"/>
      <w:szCs w:val="22"/>
      <w:lang w:eastAsia="en-US"/>
    </w:rPr>
  </w:style>
  <w:style w:type="paragraph" w:styleId="ListNumber">
    <w:name w:val="List Number"/>
    <w:aliases w:val="List Alpha"/>
    <w:basedOn w:val="Normal"/>
    <w:autoRedefine/>
    <w:uiPriority w:val="99"/>
    <w:unhideWhenUsed/>
    <w:qFormat/>
    <w:rsid w:val="00B24B8A"/>
    <w:pPr>
      <w:numPr>
        <w:numId w:val="14"/>
      </w:numPr>
      <w:tabs>
        <w:tab w:val="clear" w:pos="1985"/>
        <w:tab w:val="num" w:pos="567"/>
      </w:tabs>
      <w:ind w:left="567" w:hanging="425"/>
    </w:pPr>
    <w:rPr>
      <w:rFonts w:ascii="Arial" w:eastAsiaTheme="minorHAnsi" w:hAnsi="Arial" w:cstheme="minorBidi"/>
      <w:w w:val="105"/>
      <w:sz w:val="22"/>
      <w:szCs w:val="22"/>
      <w:lang w:val="en-US"/>
    </w:rPr>
  </w:style>
  <w:style w:type="character" w:styleId="UnresolvedMention">
    <w:name w:val="Unresolved Mention"/>
    <w:basedOn w:val="DefaultParagraphFont"/>
    <w:uiPriority w:val="99"/>
    <w:semiHidden/>
    <w:unhideWhenUsed/>
    <w:rsid w:val="00B24B8A"/>
    <w:rPr>
      <w:color w:val="605E5C"/>
      <w:shd w:val="clear" w:color="auto" w:fill="E1DFDD"/>
    </w:rPr>
  </w:style>
  <w:style w:type="character" w:styleId="CommentReference">
    <w:name w:val="annotation reference"/>
    <w:basedOn w:val="DefaultParagraphFont"/>
    <w:uiPriority w:val="99"/>
    <w:semiHidden/>
    <w:unhideWhenUsed/>
    <w:rsid w:val="002A06AD"/>
    <w:rPr>
      <w:sz w:val="16"/>
      <w:szCs w:val="16"/>
    </w:rPr>
  </w:style>
  <w:style w:type="paragraph" w:styleId="CommentText">
    <w:name w:val="annotation text"/>
    <w:basedOn w:val="Normal"/>
    <w:link w:val="CommentTextChar"/>
    <w:uiPriority w:val="99"/>
    <w:semiHidden/>
    <w:unhideWhenUsed/>
    <w:rsid w:val="002A06AD"/>
    <w:rPr>
      <w:sz w:val="20"/>
    </w:rPr>
  </w:style>
  <w:style w:type="character" w:customStyle="1" w:styleId="CommentTextChar">
    <w:name w:val="Comment Text Char"/>
    <w:basedOn w:val="DefaultParagraphFont"/>
    <w:link w:val="CommentText"/>
    <w:uiPriority w:val="99"/>
    <w:semiHidden/>
    <w:rsid w:val="002A06AD"/>
    <w:rPr>
      <w:lang w:eastAsia="en-US"/>
    </w:rPr>
  </w:style>
  <w:style w:type="paragraph" w:styleId="CommentSubject">
    <w:name w:val="annotation subject"/>
    <w:basedOn w:val="CommentText"/>
    <w:next w:val="CommentText"/>
    <w:link w:val="CommentSubjectChar"/>
    <w:uiPriority w:val="99"/>
    <w:semiHidden/>
    <w:unhideWhenUsed/>
    <w:rsid w:val="002A06AD"/>
    <w:rPr>
      <w:b/>
      <w:bCs/>
    </w:rPr>
  </w:style>
  <w:style w:type="character" w:customStyle="1" w:styleId="CommentSubjectChar">
    <w:name w:val="Comment Subject Char"/>
    <w:basedOn w:val="CommentTextChar"/>
    <w:link w:val="CommentSubject"/>
    <w:uiPriority w:val="99"/>
    <w:semiHidden/>
    <w:rsid w:val="002A06A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tandards.org.a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4665</Characters>
  <Application>Microsoft Office Word</Application>
  <DocSecurity>0</DocSecurity>
  <Lines>106</Lines>
  <Paragraphs>39</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Moxon, KarenL</cp:lastModifiedBy>
  <cp:revision>4</cp:revision>
  <cp:lastPrinted>2006-03-31T04:28:00Z</cp:lastPrinted>
  <dcterms:created xsi:type="dcterms:W3CDTF">2021-09-01T05:34:00Z</dcterms:created>
  <dcterms:modified xsi:type="dcterms:W3CDTF">2021-09-01T05:34:00Z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A29543169</vt:lpwstr>
  </property>
  <property fmtid="{D5CDD505-2E9C-101B-9397-08002B2CF9AE}" pid="4" name="Objective-Title">
    <vt:lpwstr>Att A1 - DI2021-XX UTR (Gas Safety and Network Operation Code) Approval  Explanatory Statement</vt:lpwstr>
  </property>
  <property fmtid="{D5CDD505-2E9C-101B-9397-08002B2CF9AE}" pid="5" name="Objective-Comment">
    <vt:lpwstr/>
  </property>
  <property fmtid="{D5CDD505-2E9C-101B-9397-08002B2CF9AE}" pid="6" name="Objective-CreationStamp">
    <vt:filetime>2021-06-09T01:34:57Z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2021-07-22T08:50:18Z</vt:filetime>
  </property>
  <property fmtid="{D5CDD505-2E9C-101B-9397-08002B2CF9AE}" pid="10" name="Objective-ModificationStamp">
    <vt:filetime>2021-07-22T08:50:18Z</vt:filetime>
  </property>
  <property fmtid="{D5CDD505-2E9C-101B-9397-08002B2CF9AE}" pid="11" name="Objective-Owner">
    <vt:lpwstr>Phillipa Jacomb</vt:lpwstr>
  </property>
  <property fmtid="{D5CDD505-2E9C-101B-9397-08002B2CF9AE}" pid="12" name="Objective-Path">
    <vt:lpwstr>Whole of ACT Government:EPSDD - Environment Planning and Sustainable Development Directorate:07. Ministerial, Cabinet and Government Relations:06. Ministerials:2021 - Ministerial and Chief Ministerial Briefs / Correspondence:Technical Regulator (AC):01. April - June:21/40668 - Ministerial Information Brief - Rattenbury - Gas Technical Code Instruments for approval:</vt:lpwstr>
  </property>
  <property fmtid="{D5CDD505-2E9C-101B-9397-08002B2CF9AE}" pid="13" name="Objective-Parent">
    <vt:lpwstr>21/40668 - Ministerial Information Brief - Rattenbury - Gas Technical Code Instruments for approval</vt:lpwstr>
  </property>
  <property fmtid="{D5CDD505-2E9C-101B-9397-08002B2CF9AE}" pid="14" name="Objective-State">
    <vt:lpwstr>Published</vt:lpwstr>
  </property>
  <property fmtid="{D5CDD505-2E9C-101B-9397-08002B2CF9AE}" pid="15" name="Objective-Version">
    <vt:lpwstr>7.0</vt:lpwstr>
  </property>
  <property fmtid="{D5CDD505-2E9C-101B-9397-08002B2CF9AE}" pid="16" name="Objective-VersionNumber">
    <vt:r8>7</vt:r8>
  </property>
  <property fmtid="{D5CDD505-2E9C-101B-9397-08002B2CF9AE}" pid="17" name="Objective-VersionComment">
    <vt:lpwstr/>
  </property>
  <property fmtid="{D5CDD505-2E9C-101B-9397-08002B2CF9AE}" pid="18" name="Objective-FileNumber">
    <vt:lpwstr>1-2021/40668</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ACCESS CANBERRA</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CHECKEDOUTFROMJMS">
    <vt:lpwstr/>
  </property>
  <property fmtid="{D5CDD505-2E9C-101B-9397-08002B2CF9AE}" pid="33" name="DMSID">
    <vt:lpwstr>1380929</vt:lpwstr>
  </property>
  <property fmtid="{D5CDD505-2E9C-101B-9397-08002B2CF9AE}" pid="34" name="JMSREQUIREDCHECKIN">
    <vt:lpwstr/>
  </property>
</Properties>
</file>