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DDEA3" w14:textId="4DEC570E" w:rsidR="0030585F" w:rsidRPr="00D4690B" w:rsidRDefault="0030585F" w:rsidP="00AF0D54">
      <w:pPr>
        <w:autoSpaceDE w:val="0"/>
        <w:autoSpaceDN w:val="0"/>
        <w:adjustRightInd w:val="0"/>
        <w:spacing w:before="240" w:after="120"/>
        <w:jc w:val="center"/>
        <w:rPr>
          <w:rFonts w:asciiTheme="minorHAnsi" w:hAnsiTheme="minorHAnsi" w:cstheme="minorHAnsi"/>
          <w:b/>
          <w:bCs/>
          <w:szCs w:val="24"/>
        </w:rPr>
      </w:pPr>
      <w:r w:rsidRPr="00D4690B">
        <w:rPr>
          <w:rFonts w:asciiTheme="minorHAnsi" w:hAnsiTheme="minorHAnsi" w:cstheme="minorHAnsi"/>
          <w:b/>
          <w:bCs/>
          <w:szCs w:val="24"/>
        </w:rPr>
        <w:t>20</w:t>
      </w:r>
      <w:r w:rsidR="00050F68" w:rsidRPr="00D4690B">
        <w:rPr>
          <w:rFonts w:asciiTheme="minorHAnsi" w:hAnsiTheme="minorHAnsi" w:cstheme="minorHAnsi"/>
          <w:b/>
          <w:bCs/>
          <w:szCs w:val="24"/>
        </w:rPr>
        <w:t>2</w:t>
      </w:r>
      <w:r w:rsidR="00D4690B" w:rsidRPr="00D4690B">
        <w:rPr>
          <w:rFonts w:asciiTheme="minorHAnsi" w:hAnsiTheme="minorHAnsi" w:cstheme="minorHAnsi"/>
          <w:b/>
          <w:bCs/>
          <w:szCs w:val="24"/>
        </w:rPr>
        <w:t>1</w:t>
      </w:r>
    </w:p>
    <w:p w14:paraId="6FD2F644" w14:textId="77777777" w:rsidR="0030585F" w:rsidRPr="00D4690B" w:rsidRDefault="0030585F" w:rsidP="00A363CB">
      <w:pPr>
        <w:autoSpaceDE w:val="0"/>
        <w:autoSpaceDN w:val="0"/>
        <w:adjustRightInd w:val="0"/>
        <w:spacing w:before="240" w:after="120"/>
        <w:jc w:val="center"/>
        <w:rPr>
          <w:rFonts w:asciiTheme="minorHAnsi" w:hAnsiTheme="minorHAnsi" w:cstheme="minorHAnsi"/>
          <w:b/>
          <w:bCs/>
          <w:szCs w:val="24"/>
        </w:rPr>
      </w:pPr>
    </w:p>
    <w:p w14:paraId="0B3E93DB" w14:textId="77777777" w:rsidR="0030585F" w:rsidRPr="00D4690B" w:rsidRDefault="0030585F" w:rsidP="002E1092">
      <w:pPr>
        <w:autoSpaceDE w:val="0"/>
        <w:autoSpaceDN w:val="0"/>
        <w:adjustRightInd w:val="0"/>
        <w:spacing w:before="240" w:after="120"/>
        <w:rPr>
          <w:rFonts w:asciiTheme="minorHAnsi" w:hAnsiTheme="minorHAnsi" w:cstheme="minorHAnsi"/>
          <w:b/>
          <w:bCs/>
          <w:szCs w:val="24"/>
        </w:rPr>
      </w:pPr>
    </w:p>
    <w:p w14:paraId="7ABAE37D" w14:textId="77777777" w:rsidR="00EE32FF" w:rsidRPr="00D4690B" w:rsidRDefault="00EE32FF" w:rsidP="002E1092">
      <w:pPr>
        <w:autoSpaceDE w:val="0"/>
        <w:autoSpaceDN w:val="0"/>
        <w:adjustRightInd w:val="0"/>
        <w:spacing w:before="240" w:after="120"/>
        <w:rPr>
          <w:rFonts w:asciiTheme="minorHAnsi" w:hAnsiTheme="minorHAnsi" w:cstheme="minorHAnsi"/>
          <w:b/>
          <w:bCs/>
          <w:szCs w:val="24"/>
        </w:rPr>
      </w:pPr>
    </w:p>
    <w:p w14:paraId="6EB635AF" w14:textId="2B2519DE" w:rsidR="0030585F" w:rsidRPr="00D4690B" w:rsidRDefault="00050F68" w:rsidP="00A363CB">
      <w:pPr>
        <w:autoSpaceDE w:val="0"/>
        <w:autoSpaceDN w:val="0"/>
        <w:adjustRightInd w:val="0"/>
        <w:spacing w:before="240" w:after="120"/>
        <w:jc w:val="center"/>
        <w:rPr>
          <w:rFonts w:asciiTheme="minorHAnsi" w:hAnsiTheme="minorHAnsi" w:cstheme="minorHAnsi"/>
          <w:b/>
          <w:bCs/>
          <w:szCs w:val="24"/>
        </w:rPr>
      </w:pPr>
      <w:r w:rsidRPr="00D4690B">
        <w:rPr>
          <w:rFonts w:asciiTheme="minorHAnsi" w:hAnsiTheme="minorHAnsi" w:cstheme="minorHAnsi"/>
          <w:b/>
          <w:bCs/>
          <w:szCs w:val="24"/>
        </w:rPr>
        <w:t xml:space="preserve">THE </w:t>
      </w:r>
      <w:r w:rsidR="0030585F" w:rsidRPr="00D4690B">
        <w:rPr>
          <w:rFonts w:asciiTheme="minorHAnsi" w:hAnsiTheme="minorHAnsi" w:cstheme="minorHAnsi"/>
          <w:b/>
          <w:bCs/>
          <w:szCs w:val="24"/>
        </w:rPr>
        <w:t>LEGISLATIVE ASSEMBLY FOR THE</w:t>
      </w:r>
    </w:p>
    <w:p w14:paraId="5F365D67" w14:textId="77777777" w:rsidR="0030585F" w:rsidRPr="00D4690B" w:rsidRDefault="0030585F" w:rsidP="00A363CB">
      <w:pPr>
        <w:autoSpaceDE w:val="0"/>
        <w:autoSpaceDN w:val="0"/>
        <w:adjustRightInd w:val="0"/>
        <w:spacing w:before="240" w:after="120"/>
        <w:jc w:val="center"/>
        <w:rPr>
          <w:rFonts w:asciiTheme="minorHAnsi" w:hAnsiTheme="minorHAnsi" w:cstheme="minorHAnsi"/>
          <w:b/>
          <w:bCs/>
          <w:szCs w:val="24"/>
        </w:rPr>
      </w:pPr>
      <w:r w:rsidRPr="00D4690B">
        <w:rPr>
          <w:rFonts w:asciiTheme="minorHAnsi" w:hAnsiTheme="minorHAnsi" w:cstheme="minorHAnsi"/>
          <w:b/>
          <w:bCs/>
          <w:szCs w:val="24"/>
        </w:rPr>
        <w:t>AUSTRALIAN CAPITAL TERRITORY</w:t>
      </w:r>
    </w:p>
    <w:p w14:paraId="43AA28BC" w14:textId="77777777" w:rsidR="0030585F" w:rsidRPr="00D4690B" w:rsidRDefault="0030585F" w:rsidP="002E1092">
      <w:pPr>
        <w:autoSpaceDE w:val="0"/>
        <w:autoSpaceDN w:val="0"/>
        <w:adjustRightInd w:val="0"/>
        <w:spacing w:before="240" w:after="120"/>
        <w:rPr>
          <w:rFonts w:asciiTheme="minorHAnsi" w:hAnsiTheme="minorHAnsi" w:cstheme="minorHAnsi"/>
          <w:b/>
          <w:bCs/>
          <w:szCs w:val="24"/>
        </w:rPr>
      </w:pPr>
    </w:p>
    <w:p w14:paraId="71E998D9" w14:textId="77777777" w:rsidR="0030585F" w:rsidRPr="00D4690B" w:rsidRDefault="0030585F" w:rsidP="00A363CB">
      <w:pPr>
        <w:autoSpaceDE w:val="0"/>
        <w:autoSpaceDN w:val="0"/>
        <w:adjustRightInd w:val="0"/>
        <w:spacing w:before="240" w:after="120"/>
        <w:jc w:val="center"/>
        <w:rPr>
          <w:rFonts w:asciiTheme="minorHAnsi" w:hAnsiTheme="minorHAnsi" w:cstheme="minorHAnsi"/>
          <w:b/>
          <w:bCs/>
          <w:szCs w:val="24"/>
        </w:rPr>
      </w:pPr>
    </w:p>
    <w:p w14:paraId="2999B3E5" w14:textId="4834A41F" w:rsidR="007326EC" w:rsidRPr="00D4690B" w:rsidRDefault="00D4690B" w:rsidP="00A363CB">
      <w:pPr>
        <w:spacing w:before="240" w:after="120"/>
        <w:jc w:val="center"/>
        <w:rPr>
          <w:rFonts w:asciiTheme="minorHAnsi" w:hAnsiTheme="minorHAnsi" w:cstheme="minorHAnsi"/>
          <w:b/>
          <w:bCs/>
          <w:caps/>
          <w:szCs w:val="24"/>
        </w:rPr>
      </w:pPr>
      <w:r w:rsidRPr="00D4690B">
        <w:rPr>
          <w:rFonts w:asciiTheme="minorHAnsi" w:hAnsiTheme="minorHAnsi" w:cstheme="minorHAnsi"/>
          <w:b/>
          <w:bCs/>
          <w:caps/>
          <w:szCs w:val="24"/>
        </w:rPr>
        <w:t>Operational Efficiencies (COVID-19) Legislation Amendment Bill 2021</w:t>
      </w:r>
    </w:p>
    <w:p w14:paraId="089723CC" w14:textId="77777777" w:rsidR="0030585F" w:rsidRPr="00D4690B" w:rsidRDefault="0030585F" w:rsidP="00A363CB">
      <w:pPr>
        <w:autoSpaceDE w:val="0"/>
        <w:autoSpaceDN w:val="0"/>
        <w:adjustRightInd w:val="0"/>
        <w:spacing w:before="240" w:after="120"/>
        <w:rPr>
          <w:rFonts w:asciiTheme="minorHAnsi" w:hAnsiTheme="minorHAnsi" w:cstheme="minorHAnsi"/>
          <w:b/>
          <w:bCs/>
          <w:szCs w:val="24"/>
        </w:rPr>
      </w:pPr>
    </w:p>
    <w:p w14:paraId="29450727" w14:textId="77777777" w:rsidR="00EE32FF" w:rsidRPr="00D4690B" w:rsidRDefault="00EE32FF" w:rsidP="00A363CB">
      <w:pPr>
        <w:autoSpaceDE w:val="0"/>
        <w:autoSpaceDN w:val="0"/>
        <w:adjustRightInd w:val="0"/>
        <w:spacing w:before="240" w:after="120"/>
        <w:rPr>
          <w:rFonts w:asciiTheme="minorHAnsi" w:hAnsiTheme="minorHAnsi" w:cstheme="minorHAnsi"/>
          <w:b/>
          <w:bCs/>
          <w:szCs w:val="24"/>
        </w:rPr>
      </w:pPr>
    </w:p>
    <w:p w14:paraId="583025EE" w14:textId="322D9C8C" w:rsidR="0030585F" w:rsidRPr="00D4690B" w:rsidRDefault="0030585F" w:rsidP="00050F68">
      <w:pPr>
        <w:autoSpaceDE w:val="0"/>
        <w:autoSpaceDN w:val="0"/>
        <w:adjustRightInd w:val="0"/>
        <w:spacing w:before="240" w:after="120"/>
        <w:jc w:val="center"/>
        <w:rPr>
          <w:rFonts w:asciiTheme="minorHAnsi" w:hAnsiTheme="minorHAnsi" w:cstheme="minorHAnsi"/>
          <w:b/>
          <w:bCs/>
          <w:szCs w:val="24"/>
        </w:rPr>
      </w:pPr>
      <w:r w:rsidRPr="00D4690B">
        <w:rPr>
          <w:rFonts w:asciiTheme="minorHAnsi" w:hAnsiTheme="minorHAnsi" w:cstheme="minorHAnsi"/>
          <w:b/>
          <w:bCs/>
          <w:szCs w:val="24"/>
        </w:rPr>
        <w:t>EXPLANATORY STATEMENT</w:t>
      </w:r>
    </w:p>
    <w:p w14:paraId="6EF40694" w14:textId="77777777" w:rsidR="001C2523" w:rsidRPr="00D4690B" w:rsidRDefault="001C2523" w:rsidP="00050F68">
      <w:pPr>
        <w:pStyle w:val="NoSpacing"/>
        <w:spacing w:after="120"/>
        <w:jc w:val="center"/>
        <w:rPr>
          <w:rFonts w:asciiTheme="minorHAnsi" w:hAnsiTheme="minorHAnsi" w:cstheme="minorHAnsi"/>
          <w:b/>
          <w:bCs/>
          <w:szCs w:val="24"/>
        </w:rPr>
      </w:pPr>
      <w:r w:rsidRPr="00D4690B">
        <w:rPr>
          <w:rFonts w:asciiTheme="minorHAnsi" w:hAnsiTheme="minorHAnsi" w:cstheme="minorHAnsi"/>
          <w:b/>
          <w:bCs/>
          <w:szCs w:val="24"/>
        </w:rPr>
        <w:t>and</w:t>
      </w:r>
    </w:p>
    <w:p w14:paraId="22AD6111" w14:textId="5C0A69A3" w:rsidR="001C2523" w:rsidRPr="00D4690B" w:rsidRDefault="00050F68" w:rsidP="00050F68">
      <w:pPr>
        <w:pStyle w:val="NoSpacing"/>
        <w:spacing w:after="120"/>
        <w:jc w:val="center"/>
        <w:rPr>
          <w:rFonts w:asciiTheme="minorHAnsi" w:hAnsiTheme="minorHAnsi" w:cstheme="minorHAnsi"/>
          <w:b/>
          <w:bCs/>
          <w:szCs w:val="24"/>
        </w:rPr>
      </w:pPr>
      <w:r w:rsidRPr="00D4690B">
        <w:rPr>
          <w:rFonts w:asciiTheme="minorHAnsi" w:hAnsiTheme="minorHAnsi" w:cstheme="minorHAnsi"/>
          <w:b/>
          <w:bCs/>
          <w:szCs w:val="24"/>
        </w:rPr>
        <w:t>HUMAN RIGHTS COMPATIBILITY STATEMENT</w:t>
      </w:r>
    </w:p>
    <w:p w14:paraId="1ADB6D12" w14:textId="7071820B" w:rsidR="001C2523" w:rsidRPr="00D4690B" w:rsidRDefault="001C2523" w:rsidP="001C2523">
      <w:pPr>
        <w:autoSpaceDE w:val="0"/>
        <w:autoSpaceDN w:val="0"/>
        <w:adjustRightInd w:val="0"/>
        <w:spacing w:before="240" w:after="120"/>
        <w:jc w:val="center"/>
        <w:rPr>
          <w:rFonts w:asciiTheme="minorHAnsi" w:hAnsiTheme="minorHAnsi" w:cstheme="minorHAnsi"/>
          <w:b/>
          <w:bCs/>
          <w:szCs w:val="24"/>
        </w:rPr>
      </w:pPr>
      <w:r w:rsidRPr="00D4690B">
        <w:rPr>
          <w:rFonts w:asciiTheme="minorHAnsi" w:hAnsiTheme="minorHAnsi" w:cstheme="minorHAnsi"/>
          <w:b/>
          <w:bCs/>
          <w:szCs w:val="24"/>
        </w:rPr>
        <w:t>(</w:t>
      </w:r>
      <w:r w:rsidRPr="00D4690B">
        <w:rPr>
          <w:rFonts w:asciiTheme="minorHAnsi" w:hAnsiTheme="minorHAnsi" w:cstheme="minorHAnsi"/>
          <w:b/>
          <w:bCs/>
          <w:i/>
          <w:iCs/>
          <w:szCs w:val="24"/>
        </w:rPr>
        <w:t>Human Rights Act 2004</w:t>
      </w:r>
      <w:r w:rsidRPr="00D4690B">
        <w:rPr>
          <w:rFonts w:asciiTheme="minorHAnsi" w:hAnsiTheme="minorHAnsi" w:cstheme="minorHAnsi"/>
          <w:b/>
          <w:bCs/>
          <w:szCs w:val="24"/>
        </w:rPr>
        <w:t>, s 37)</w:t>
      </w:r>
    </w:p>
    <w:p w14:paraId="4A2BEF3B" w14:textId="77777777" w:rsidR="0030585F" w:rsidRPr="00D4690B" w:rsidRDefault="0030585F" w:rsidP="00A363CB">
      <w:pPr>
        <w:autoSpaceDE w:val="0"/>
        <w:autoSpaceDN w:val="0"/>
        <w:adjustRightInd w:val="0"/>
        <w:spacing w:before="240" w:after="120"/>
        <w:rPr>
          <w:rFonts w:asciiTheme="minorHAnsi" w:hAnsiTheme="minorHAnsi" w:cstheme="minorHAnsi"/>
          <w:b/>
          <w:bCs/>
          <w:szCs w:val="24"/>
        </w:rPr>
      </w:pPr>
    </w:p>
    <w:p w14:paraId="1285871F" w14:textId="77777777" w:rsidR="007B7934" w:rsidRPr="00D4690B" w:rsidRDefault="007B7934" w:rsidP="00A363CB">
      <w:pPr>
        <w:autoSpaceDE w:val="0"/>
        <w:autoSpaceDN w:val="0"/>
        <w:adjustRightInd w:val="0"/>
        <w:spacing w:before="240" w:after="120"/>
        <w:rPr>
          <w:rFonts w:asciiTheme="minorHAnsi" w:hAnsiTheme="minorHAnsi" w:cstheme="minorHAnsi"/>
          <w:b/>
          <w:bCs/>
          <w:szCs w:val="24"/>
        </w:rPr>
      </w:pPr>
    </w:p>
    <w:p w14:paraId="279D7E30" w14:textId="77777777" w:rsidR="0030585F" w:rsidRPr="00D4690B" w:rsidRDefault="0030585F" w:rsidP="00A363CB">
      <w:pPr>
        <w:autoSpaceDE w:val="0"/>
        <w:autoSpaceDN w:val="0"/>
        <w:adjustRightInd w:val="0"/>
        <w:spacing w:before="240" w:after="120"/>
        <w:rPr>
          <w:rFonts w:asciiTheme="minorHAnsi" w:hAnsiTheme="minorHAnsi" w:cstheme="minorHAnsi"/>
          <w:b/>
          <w:bCs/>
          <w:szCs w:val="24"/>
        </w:rPr>
      </w:pPr>
    </w:p>
    <w:p w14:paraId="5FFECDAE" w14:textId="77777777" w:rsidR="00852B37" w:rsidRPr="00D4690B" w:rsidRDefault="00852B37" w:rsidP="00A363CB">
      <w:pPr>
        <w:autoSpaceDE w:val="0"/>
        <w:autoSpaceDN w:val="0"/>
        <w:adjustRightInd w:val="0"/>
        <w:spacing w:before="240" w:after="120"/>
        <w:rPr>
          <w:rFonts w:asciiTheme="minorHAnsi" w:hAnsiTheme="minorHAnsi" w:cstheme="minorHAnsi"/>
          <w:b/>
          <w:bCs/>
          <w:szCs w:val="24"/>
        </w:rPr>
      </w:pPr>
    </w:p>
    <w:p w14:paraId="4D2568AC" w14:textId="77777777" w:rsidR="00EE32FF" w:rsidRPr="00D4690B" w:rsidRDefault="00EE32FF" w:rsidP="00A363CB">
      <w:pPr>
        <w:autoSpaceDE w:val="0"/>
        <w:autoSpaceDN w:val="0"/>
        <w:adjustRightInd w:val="0"/>
        <w:spacing w:before="240" w:after="120"/>
        <w:rPr>
          <w:rFonts w:asciiTheme="minorHAnsi" w:hAnsiTheme="minorHAnsi" w:cstheme="minorHAnsi"/>
          <w:b/>
          <w:bCs/>
          <w:szCs w:val="24"/>
        </w:rPr>
      </w:pPr>
    </w:p>
    <w:p w14:paraId="2F2D6DDF" w14:textId="77777777" w:rsidR="0030585F" w:rsidRPr="00D4690B" w:rsidRDefault="0030585F" w:rsidP="00A363CB">
      <w:pPr>
        <w:autoSpaceDE w:val="0"/>
        <w:autoSpaceDN w:val="0"/>
        <w:adjustRightInd w:val="0"/>
        <w:spacing w:before="240" w:after="120"/>
        <w:rPr>
          <w:rFonts w:asciiTheme="minorHAnsi" w:hAnsiTheme="minorHAnsi" w:cstheme="minorHAnsi"/>
          <w:b/>
          <w:bCs/>
          <w:szCs w:val="24"/>
        </w:rPr>
      </w:pPr>
    </w:p>
    <w:p w14:paraId="7CDCC040" w14:textId="77777777" w:rsidR="0030585F" w:rsidRPr="00D4690B" w:rsidRDefault="0030585F" w:rsidP="00A363CB">
      <w:pPr>
        <w:autoSpaceDE w:val="0"/>
        <w:autoSpaceDN w:val="0"/>
        <w:adjustRightInd w:val="0"/>
        <w:spacing w:before="240" w:after="120"/>
        <w:rPr>
          <w:rFonts w:asciiTheme="minorHAnsi" w:hAnsiTheme="minorHAnsi" w:cstheme="minorHAnsi"/>
          <w:b/>
          <w:bCs/>
          <w:szCs w:val="24"/>
        </w:rPr>
      </w:pPr>
    </w:p>
    <w:p w14:paraId="3BC858F4" w14:textId="77777777" w:rsidR="0030585F" w:rsidRPr="00D4690B" w:rsidRDefault="0030585F" w:rsidP="00EE32FF">
      <w:pPr>
        <w:autoSpaceDE w:val="0"/>
        <w:autoSpaceDN w:val="0"/>
        <w:adjustRightInd w:val="0"/>
        <w:spacing w:after="0" w:line="240" w:lineRule="auto"/>
        <w:jc w:val="right"/>
        <w:rPr>
          <w:rFonts w:asciiTheme="minorHAnsi" w:hAnsiTheme="minorHAnsi" w:cstheme="minorHAnsi"/>
          <w:b/>
          <w:bCs/>
          <w:szCs w:val="24"/>
        </w:rPr>
      </w:pPr>
      <w:r w:rsidRPr="00D4690B">
        <w:rPr>
          <w:rFonts w:asciiTheme="minorHAnsi" w:hAnsiTheme="minorHAnsi" w:cstheme="minorHAnsi"/>
          <w:b/>
          <w:bCs/>
          <w:szCs w:val="24"/>
        </w:rPr>
        <w:t>Presented by</w:t>
      </w:r>
    </w:p>
    <w:p w14:paraId="10094C4E" w14:textId="0193AA1A" w:rsidR="0030585F" w:rsidRPr="00D4690B" w:rsidRDefault="00D4690B" w:rsidP="00EE32FF">
      <w:pPr>
        <w:autoSpaceDE w:val="0"/>
        <w:autoSpaceDN w:val="0"/>
        <w:adjustRightInd w:val="0"/>
        <w:spacing w:after="0" w:line="240" w:lineRule="auto"/>
        <w:jc w:val="right"/>
        <w:rPr>
          <w:rFonts w:asciiTheme="minorHAnsi" w:hAnsiTheme="minorHAnsi" w:cstheme="minorHAnsi"/>
          <w:b/>
          <w:bCs/>
          <w:szCs w:val="24"/>
        </w:rPr>
      </w:pPr>
      <w:r w:rsidRPr="00D4690B">
        <w:rPr>
          <w:rFonts w:asciiTheme="minorHAnsi" w:hAnsiTheme="minorHAnsi" w:cstheme="minorHAnsi"/>
          <w:b/>
          <w:bCs/>
          <w:szCs w:val="24"/>
        </w:rPr>
        <w:t>Shane Rattenbury</w:t>
      </w:r>
      <w:r w:rsidR="0030585F" w:rsidRPr="00D4690B">
        <w:rPr>
          <w:rFonts w:asciiTheme="minorHAnsi" w:hAnsiTheme="minorHAnsi" w:cstheme="minorHAnsi"/>
          <w:b/>
          <w:bCs/>
          <w:szCs w:val="24"/>
        </w:rPr>
        <w:t xml:space="preserve"> MLA</w:t>
      </w:r>
    </w:p>
    <w:sdt>
      <w:sdtPr>
        <w:rPr>
          <w:rFonts w:asciiTheme="minorHAnsi" w:hAnsiTheme="minorHAnsi" w:cstheme="minorHAnsi"/>
          <w:b/>
          <w:bCs/>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FC100A3" w14:textId="7F22B6EE" w:rsidR="0030585F" w:rsidRPr="00D4690B" w:rsidRDefault="00D4690B" w:rsidP="00EE32FF">
          <w:pPr>
            <w:spacing w:after="0" w:line="240" w:lineRule="auto"/>
            <w:jc w:val="right"/>
            <w:rPr>
              <w:rFonts w:asciiTheme="minorHAnsi" w:hAnsiTheme="minorHAnsi" w:cstheme="minorHAnsi"/>
              <w:b/>
              <w:bCs/>
              <w:szCs w:val="24"/>
            </w:rPr>
          </w:pPr>
          <w:r w:rsidRPr="00D4690B">
            <w:rPr>
              <w:rFonts w:asciiTheme="minorHAnsi" w:hAnsiTheme="minorHAnsi" w:cstheme="minorHAnsi"/>
              <w:b/>
              <w:bCs/>
              <w:szCs w:val="24"/>
            </w:rPr>
            <w:t>Attorney-General</w:t>
          </w:r>
        </w:p>
      </w:sdtContent>
    </w:sdt>
    <w:p w14:paraId="412A6A1B" w14:textId="77777777" w:rsidR="00EE32FF" w:rsidRDefault="009428EA" w:rsidP="002E1092">
      <w:pPr>
        <w:spacing w:after="120"/>
        <w:jc w:val="center"/>
        <w:rPr>
          <w:rFonts w:asciiTheme="minorHAnsi" w:hAnsiTheme="minorHAnsi" w:cstheme="minorHAnsi"/>
          <w:b/>
          <w:bCs/>
          <w:szCs w:val="24"/>
        </w:rPr>
      </w:pPr>
      <w:r w:rsidRPr="00D4690B">
        <w:rPr>
          <w:rFonts w:asciiTheme="minorHAnsi" w:hAnsiTheme="minorHAnsi" w:cstheme="minorHAnsi"/>
          <w:b/>
          <w:bCs/>
          <w:szCs w:val="24"/>
        </w:rPr>
        <w:br w:type="page"/>
      </w:r>
    </w:p>
    <w:p w14:paraId="7D29B843" w14:textId="77777777" w:rsidR="009760BD" w:rsidRDefault="009760BD" w:rsidP="009760BD">
      <w:pPr>
        <w:spacing w:after="120"/>
        <w:rPr>
          <w:rFonts w:asciiTheme="minorHAnsi" w:hAnsiTheme="minorHAnsi" w:cstheme="minorHAnsi"/>
          <w:b/>
          <w:bCs/>
          <w:szCs w:val="24"/>
        </w:rPr>
      </w:pPr>
    </w:p>
    <w:p w14:paraId="3A423ED0" w14:textId="3FF034E3" w:rsidR="009760BD" w:rsidRPr="00D4690B" w:rsidRDefault="009760BD" w:rsidP="009760BD">
      <w:pPr>
        <w:spacing w:after="120"/>
        <w:rPr>
          <w:rFonts w:asciiTheme="minorHAnsi" w:hAnsiTheme="minorHAnsi" w:cstheme="minorHAnsi"/>
          <w:b/>
          <w:bCs/>
          <w:szCs w:val="24"/>
        </w:rPr>
        <w:sectPr w:rsidR="009760BD" w:rsidRPr="00D4690B"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p>
    <w:p w14:paraId="1335914B" w14:textId="77777777" w:rsidR="009760BD" w:rsidRDefault="009760BD" w:rsidP="002E1092">
      <w:pPr>
        <w:spacing w:after="120"/>
        <w:jc w:val="center"/>
        <w:rPr>
          <w:rFonts w:asciiTheme="minorHAnsi" w:hAnsiTheme="minorHAnsi" w:cstheme="minorHAnsi"/>
          <w:b/>
          <w:bCs/>
          <w:caps/>
          <w:szCs w:val="24"/>
        </w:rPr>
      </w:pPr>
    </w:p>
    <w:p w14:paraId="1A7083FC" w14:textId="7E750C2A" w:rsidR="00BF0E36" w:rsidRPr="00D4690B" w:rsidRDefault="00EE62F8" w:rsidP="002E1092">
      <w:pPr>
        <w:spacing w:after="120"/>
        <w:jc w:val="center"/>
        <w:rPr>
          <w:rFonts w:asciiTheme="minorHAnsi" w:hAnsiTheme="minorHAnsi" w:cstheme="minorHAnsi"/>
          <w:b/>
          <w:bCs/>
          <w:caps/>
          <w:szCs w:val="24"/>
        </w:rPr>
      </w:pPr>
      <w:r>
        <w:rPr>
          <w:rFonts w:asciiTheme="minorHAnsi" w:hAnsiTheme="minorHAnsi" w:cstheme="minorHAnsi"/>
          <w:b/>
          <w:bCs/>
          <w:caps/>
          <w:szCs w:val="24"/>
        </w:rPr>
        <w:t>O</w:t>
      </w:r>
      <w:r w:rsidR="00D4690B" w:rsidRPr="00D4690B">
        <w:rPr>
          <w:rFonts w:asciiTheme="minorHAnsi" w:hAnsiTheme="minorHAnsi" w:cstheme="minorHAnsi"/>
          <w:b/>
          <w:bCs/>
          <w:caps/>
          <w:szCs w:val="24"/>
        </w:rPr>
        <w:t>perational Efficiencies (COVID-1</w:t>
      </w:r>
      <w:r w:rsidR="00BA4D15">
        <w:rPr>
          <w:rFonts w:asciiTheme="minorHAnsi" w:hAnsiTheme="minorHAnsi" w:cstheme="minorHAnsi"/>
          <w:b/>
          <w:bCs/>
          <w:caps/>
          <w:szCs w:val="24"/>
        </w:rPr>
        <w:t>9</w:t>
      </w:r>
      <w:r w:rsidR="00D4690B" w:rsidRPr="00D4690B">
        <w:rPr>
          <w:rFonts w:asciiTheme="minorHAnsi" w:hAnsiTheme="minorHAnsi" w:cstheme="minorHAnsi"/>
          <w:b/>
          <w:bCs/>
          <w:caps/>
          <w:szCs w:val="24"/>
        </w:rPr>
        <w:t>) Legislation Amendment Bill 2021</w:t>
      </w:r>
    </w:p>
    <w:p w14:paraId="69842CE4" w14:textId="77777777" w:rsidR="006431CF" w:rsidRPr="00D4690B" w:rsidRDefault="006431CF" w:rsidP="0088781C">
      <w:pPr>
        <w:pStyle w:val="Title"/>
        <w:rPr>
          <w:rFonts w:asciiTheme="minorHAnsi" w:hAnsiTheme="minorHAnsi" w:cstheme="minorHAnsi"/>
          <w:sz w:val="24"/>
          <w:szCs w:val="24"/>
        </w:rPr>
      </w:pPr>
      <w:bookmarkStart w:id="0" w:name="_Toc426711258"/>
      <w:bookmarkStart w:id="1" w:name="_Toc429052821"/>
      <w:bookmarkStart w:id="2" w:name="_Toc79498172"/>
      <w:r w:rsidRPr="00D4690B">
        <w:rPr>
          <w:rFonts w:asciiTheme="minorHAnsi" w:hAnsiTheme="minorHAnsi" w:cstheme="minorHAnsi"/>
          <w:sz w:val="24"/>
          <w:szCs w:val="24"/>
        </w:rPr>
        <w:t>Outline</w:t>
      </w:r>
      <w:bookmarkEnd w:id="0"/>
      <w:bookmarkEnd w:id="1"/>
      <w:bookmarkEnd w:id="2"/>
    </w:p>
    <w:p w14:paraId="06871CCF" w14:textId="5A605744" w:rsidR="002D6DEC" w:rsidRPr="002D6DEC" w:rsidRDefault="00326167">
      <w:pPr>
        <w:pStyle w:val="TOC1"/>
        <w:tabs>
          <w:tab w:val="right" w:leader="dot" w:pos="9016"/>
        </w:tabs>
        <w:rPr>
          <w:rFonts w:asciiTheme="minorHAnsi" w:eastAsiaTheme="minorEastAsia" w:hAnsiTheme="minorHAnsi" w:cstheme="minorHAnsi"/>
          <w:noProof/>
          <w:sz w:val="22"/>
          <w:lang w:eastAsia="en-AU"/>
        </w:rPr>
      </w:pPr>
      <w:r w:rsidRPr="002D6DEC">
        <w:rPr>
          <w:rFonts w:asciiTheme="minorHAnsi" w:hAnsiTheme="minorHAnsi" w:cstheme="minorHAnsi"/>
          <w:szCs w:val="24"/>
        </w:rPr>
        <w:fldChar w:fldCharType="begin"/>
      </w:r>
      <w:r w:rsidR="00AC5B87" w:rsidRPr="002D6DEC">
        <w:rPr>
          <w:rFonts w:asciiTheme="minorHAnsi" w:hAnsiTheme="minorHAnsi" w:cstheme="minorHAnsi"/>
          <w:szCs w:val="24"/>
        </w:rPr>
        <w:instrText xml:space="preserve"> TOC \o "1-3" \h \z \u </w:instrText>
      </w:r>
      <w:r w:rsidRPr="002D6DEC">
        <w:rPr>
          <w:rFonts w:asciiTheme="minorHAnsi" w:hAnsiTheme="minorHAnsi" w:cstheme="minorHAnsi"/>
          <w:szCs w:val="24"/>
        </w:rPr>
        <w:fldChar w:fldCharType="separate"/>
      </w:r>
      <w:hyperlink w:anchor="_Toc79498172" w:history="1">
        <w:r w:rsidR="002D6DEC" w:rsidRPr="002D6DEC">
          <w:rPr>
            <w:rStyle w:val="Hyperlink"/>
            <w:rFonts w:asciiTheme="minorHAnsi" w:hAnsiTheme="minorHAnsi" w:cstheme="minorHAnsi"/>
            <w:noProof/>
          </w:rPr>
          <w:t>Outline</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_Toc79498172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w:t>
        </w:r>
        <w:r w:rsidR="002D6DEC" w:rsidRPr="002D6DEC">
          <w:rPr>
            <w:rFonts w:asciiTheme="minorHAnsi" w:hAnsiTheme="minorHAnsi" w:cstheme="minorHAnsi"/>
            <w:noProof/>
            <w:webHidden/>
          </w:rPr>
          <w:fldChar w:fldCharType="end"/>
        </w:r>
      </w:hyperlink>
    </w:p>
    <w:p w14:paraId="0868F7A3" w14:textId="46B9ABAD" w:rsidR="002D6DEC" w:rsidRPr="002D6DEC" w:rsidRDefault="008655EF">
      <w:pPr>
        <w:pStyle w:val="TOC2"/>
        <w:tabs>
          <w:tab w:val="right" w:leader="dot" w:pos="9016"/>
        </w:tabs>
        <w:rPr>
          <w:rFonts w:asciiTheme="minorHAnsi" w:eastAsiaTheme="minorEastAsia" w:hAnsiTheme="minorHAnsi" w:cstheme="minorHAnsi"/>
          <w:noProof/>
          <w:sz w:val="22"/>
          <w:lang w:eastAsia="en-AU"/>
        </w:rPr>
      </w:pPr>
      <w:hyperlink w:anchor="_Toc79498173" w:history="1">
        <w:r w:rsidR="002D6DEC" w:rsidRPr="002D6DEC">
          <w:rPr>
            <w:rStyle w:val="Hyperlink"/>
            <w:rFonts w:asciiTheme="minorHAnsi" w:hAnsiTheme="minorHAnsi" w:cstheme="minorHAnsi"/>
            <w:noProof/>
          </w:rPr>
          <w:t>OVERVIEW OF THE BILL</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_Toc79498173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2</w:t>
        </w:r>
        <w:r w:rsidR="002D6DEC" w:rsidRPr="002D6DEC">
          <w:rPr>
            <w:rFonts w:asciiTheme="minorHAnsi" w:hAnsiTheme="minorHAnsi" w:cstheme="minorHAnsi"/>
            <w:noProof/>
            <w:webHidden/>
          </w:rPr>
          <w:fldChar w:fldCharType="end"/>
        </w:r>
      </w:hyperlink>
    </w:p>
    <w:p w14:paraId="3DF0D1CD" w14:textId="2D3586B9" w:rsidR="002D6DEC" w:rsidRPr="002D6DEC" w:rsidRDefault="008655EF">
      <w:pPr>
        <w:pStyle w:val="TOC2"/>
        <w:tabs>
          <w:tab w:val="right" w:leader="dot" w:pos="9016"/>
        </w:tabs>
        <w:rPr>
          <w:rFonts w:asciiTheme="minorHAnsi" w:eastAsiaTheme="minorEastAsia" w:hAnsiTheme="minorHAnsi" w:cstheme="minorHAnsi"/>
          <w:noProof/>
          <w:sz w:val="22"/>
          <w:lang w:eastAsia="en-AU"/>
        </w:rPr>
      </w:pPr>
      <w:hyperlink w:anchor="_Toc79498174" w:history="1">
        <w:r w:rsidR="002D6DEC" w:rsidRPr="002D6DEC">
          <w:rPr>
            <w:rStyle w:val="Hyperlink"/>
            <w:rFonts w:asciiTheme="minorHAnsi" w:hAnsiTheme="minorHAnsi" w:cstheme="minorHAnsi"/>
            <w:noProof/>
          </w:rPr>
          <w:t>CONSULTATION ON THE PROPOSED APPROACH</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_Toc79498174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3</w:t>
        </w:r>
        <w:r w:rsidR="002D6DEC" w:rsidRPr="002D6DEC">
          <w:rPr>
            <w:rFonts w:asciiTheme="minorHAnsi" w:hAnsiTheme="minorHAnsi" w:cstheme="minorHAnsi"/>
            <w:noProof/>
            <w:webHidden/>
          </w:rPr>
          <w:fldChar w:fldCharType="end"/>
        </w:r>
      </w:hyperlink>
    </w:p>
    <w:p w14:paraId="5AAD780B" w14:textId="11428AC1" w:rsidR="002D6DEC" w:rsidRPr="002D6DEC" w:rsidRDefault="008655EF">
      <w:pPr>
        <w:pStyle w:val="TOC2"/>
        <w:tabs>
          <w:tab w:val="right" w:leader="dot" w:pos="9016"/>
        </w:tabs>
        <w:rPr>
          <w:rFonts w:asciiTheme="minorHAnsi" w:eastAsiaTheme="minorEastAsia" w:hAnsiTheme="minorHAnsi" w:cstheme="minorHAnsi"/>
          <w:noProof/>
          <w:sz w:val="22"/>
          <w:lang w:eastAsia="en-AU"/>
        </w:rPr>
      </w:pPr>
      <w:hyperlink w:anchor="_Toc79498175" w:history="1">
        <w:r w:rsidR="002D6DEC" w:rsidRPr="002D6DEC">
          <w:rPr>
            <w:rStyle w:val="Hyperlink"/>
            <w:rFonts w:asciiTheme="minorHAnsi" w:hAnsiTheme="minorHAnsi" w:cstheme="minorHAnsi"/>
            <w:noProof/>
          </w:rPr>
          <w:t>CONSISTENCY WITH HUMAN RIGHTS</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_Toc79498175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3</w:t>
        </w:r>
        <w:r w:rsidR="002D6DEC" w:rsidRPr="002D6DEC">
          <w:rPr>
            <w:rFonts w:asciiTheme="minorHAnsi" w:hAnsiTheme="minorHAnsi" w:cstheme="minorHAnsi"/>
            <w:noProof/>
            <w:webHidden/>
          </w:rPr>
          <w:fldChar w:fldCharType="end"/>
        </w:r>
      </w:hyperlink>
    </w:p>
    <w:p w14:paraId="4BE31E47" w14:textId="2E8CD3AE" w:rsidR="002D6DEC" w:rsidRPr="002D6DEC" w:rsidRDefault="008655EF">
      <w:pPr>
        <w:pStyle w:val="TOC3"/>
        <w:tabs>
          <w:tab w:val="right" w:leader="dot" w:pos="9016"/>
        </w:tabs>
        <w:rPr>
          <w:rFonts w:asciiTheme="minorHAnsi" w:eastAsiaTheme="minorEastAsia" w:hAnsiTheme="minorHAnsi" w:cstheme="minorHAnsi"/>
          <w:noProof/>
          <w:sz w:val="22"/>
          <w:lang w:eastAsia="en-AU"/>
        </w:rPr>
      </w:pPr>
      <w:hyperlink w:anchor="_Toc79498176" w:history="1">
        <w:r w:rsidR="002D6DEC" w:rsidRPr="002D6DEC">
          <w:rPr>
            <w:rStyle w:val="Hyperlink"/>
            <w:rFonts w:asciiTheme="minorHAnsi" w:hAnsiTheme="minorHAnsi" w:cstheme="minorHAnsi"/>
            <w:noProof/>
          </w:rPr>
          <w:t>Rights Engaged</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_Toc79498176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4</w:t>
        </w:r>
        <w:r w:rsidR="002D6DEC" w:rsidRPr="002D6DEC">
          <w:rPr>
            <w:rFonts w:asciiTheme="minorHAnsi" w:hAnsiTheme="minorHAnsi" w:cstheme="minorHAnsi"/>
            <w:noProof/>
            <w:webHidden/>
          </w:rPr>
          <w:fldChar w:fldCharType="end"/>
        </w:r>
      </w:hyperlink>
    </w:p>
    <w:p w14:paraId="630D734A" w14:textId="30F373FD" w:rsidR="002D6DEC" w:rsidRPr="002D6DEC" w:rsidRDefault="008655EF">
      <w:pPr>
        <w:pStyle w:val="TOC3"/>
        <w:tabs>
          <w:tab w:val="right" w:leader="dot" w:pos="9016"/>
        </w:tabs>
        <w:rPr>
          <w:rFonts w:asciiTheme="minorHAnsi" w:eastAsiaTheme="minorEastAsia" w:hAnsiTheme="minorHAnsi" w:cstheme="minorHAnsi"/>
          <w:noProof/>
          <w:sz w:val="22"/>
          <w:lang w:eastAsia="en-AU"/>
        </w:rPr>
      </w:pPr>
      <w:hyperlink w:anchor="_Toc79498177" w:history="1">
        <w:r w:rsidR="002D6DEC" w:rsidRPr="002D6DEC">
          <w:rPr>
            <w:rStyle w:val="Hyperlink"/>
            <w:rFonts w:asciiTheme="minorHAnsi" w:hAnsiTheme="minorHAnsi" w:cstheme="minorHAnsi"/>
            <w:noProof/>
          </w:rPr>
          <w:t>Rights Promoted</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_Toc79498177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4</w:t>
        </w:r>
        <w:r w:rsidR="002D6DEC" w:rsidRPr="002D6DEC">
          <w:rPr>
            <w:rFonts w:asciiTheme="minorHAnsi" w:hAnsiTheme="minorHAnsi" w:cstheme="minorHAnsi"/>
            <w:noProof/>
            <w:webHidden/>
          </w:rPr>
          <w:fldChar w:fldCharType="end"/>
        </w:r>
      </w:hyperlink>
    </w:p>
    <w:p w14:paraId="160CD47F" w14:textId="3994DC31" w:rsidR="002D6DEC" w:rsidRPr="002D6DEC" w:rsidRDefault="008655EF">
      <w:pPr>
        <w:pStyle w:val="TOC3"/>
        <w:tabs>
          <w:tab w:val="right" w:leader="dot" w:pos="9016"/>
        </w:tabs>
        <w:rPr>
          <w:rFonts w:asciiTheme="minorHAnsi" w:eastAsiaTheme="minorEastAsia" w:hAnsiTheme="minorHAnsi" w:cstheme="minorHAnsi"/>
          <w:noProof/>
          <w:sz w:val="22"/>
          <w:lang w:eastAsia="en-AU"/>
        </w:rPr>
      </w:pPr>
      <w:hyperlink w:anchor="_Toc79498178" w:history="1">
        <w:r w:rsidR="002D6DEC" w:rsidRPr="002D6DEC">
          <w:rPr>
            <w:rStyle w:val="Hyperlink"/>
            <w:rFonts w:asciiTheme="minorHAnsi" w:hAnsiTheme="minorHAnsi" w:cstheme="minorHAnsi"/>
            <w:noProof/>
          </w:rPr>
          <w:t>Rights Limited</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_Toc79498178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6</w:t>
        </w:r>
        <w:r w:rsidR="002D6DEC" w:rsidRPr="002D6DEC">
          <w:rPr>
            <w:rFonts w:asciiTheme="minorHAnsi" w:hAnsiTheme="minorHAnsi" w:cstheme="minorHAnsi"/>
            <w:noProof/>
            <w:webHidden/>
          </w:rPr>
          <w:fldChar w:fldCharType="end"/>
        </w:r>
      </w:hyperlink>
    </w:p>
    <w:p w14:paraId="0540D439" w14:textId="1350209C" w:rsidR="002D6DEC" w:rsidRPr="002D6DEC" w:rsidRDefault="008655EF">
      <w:pPr>
        <w:pStyle w:val="TOC3"/>
        <w:tabs>
          <w:tab w:val="right" w:leader="dot" w:pos="9016"/>
        </w:tabs>
        <w:rPr>
          <w:rFonts w:asciiTheme="minorHAnsi" w:eastAsiaTheme="minorEastAsia" w:hAnsiTheme="minorHAnsi" w:cstheme="minorHAnsi"/>
          <w:noProof/>
          <w:sz w:val="22"/>
          <w:lang w:eastAsia="en-AU"/>
        </w:rPr>
      </w:pPr>
      <w:hyperlink w:anchor="_Toc79498179" w:history="1">
        <w:r w:rsidR="002D6DEC" w:rsidRPr="002D6DEC">
          <w:rPr>
            <w:rStyle w:val="Hyperlink"/>
            <w:rFonts w:asciiTheme="minorHAnsi" w:hAnsiTheme="minorHAnsi" w:cstheme="minorHAnsi"/>
            <w:noProof/>
          </w:rPr>
          <w:t>Amendments with neutral impact on human rights</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_Toc79498179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13</w:t>
        </w:r>
        <w:r w:rsidR="002D6DEC" w:rsidRPr="002D6DEC">
          <w:rPr>
            <w:rFonts w:asciiTheme="minorHAnsi" w:hAnsiTheme="minorHAnsi" w:cstheme="minorHAnsi"/>
            <w:noProof/>
            <w:webHidden/>
          </w:rPr>
          <w:fldChar w:fldCharType="end"/>
        </w:r>
      </w:hyperlink>
    </w:p>
    <w:p w14:paraId="231A3825" w14:textId="67219FD4"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0" w:history="1">
        <w:r w:rsidR="002D6DEC" w:rsidRPr="002D6DEC">
          <w:rPr>
            <w:rStyle w:val="Hyperlink"/>
            <w:rFonts w:asciiTheme="minorHAnsi" w:hAnsiTheme="minorHAnsi" w:cstheme="minorHAnsi"/>
            <w:noProof/>
            <w:lang w:eastAsia="en-AU"/>
          </w:rPr>
          <w:t>Detail</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_Toc79498180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15</w:t>
        </w:r>
        <w:r w:rsidR="002D6DEC" w:rsidRPr="002D6DEC">
          <w:rPr>
            <w:rFonts w:asciiTheme="minorHAnsi" w:hAnsiTheme="minorHAnsi" w:cstheme="minorHAnsi"/>
            <w:noProof/>
            <w:webHidden/>
          </w:rPr>
          <w:fldChar w:fldCharType="end"/>
        </w:r>
      </w:hyperlink>
    </w:p>
    <w:p w14:paraId="3FE8A813" w14:textId="0968A550"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1" w:history="1">
        <w:r w:rsidR="002D6DEC" w:rsidRPr="002D6DEC">
          <w:rPr>
            <w:rStyle w:val="Hyperlink"/>
            <w:rFonts w:asciiTheme="minorHAnsi" w:hAnsiTheme="minorHAnsi" w:cstheme="minorHAnsi"/>
            <w:noProof/>
            <w:lang w:eastAsia="en-AU"/>
          </w:rPr>
          <w:t>Part 1 – Preliminary</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_Toc79498181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15</w:t>
        </w:r>
        <w:r w:rsidR="002D6DEC" w:rsidRPr="002D6DEC">
          <w:rPr>
            <w:rFonts w:asciiTheme="minorHAnsi" w:hAnsiTheme="minorHAnsi" w:cstheme="minorHAnsi"/>
            <w:noProof/>
            <w:webHidden/>
          </w:rPr>
          <w:fldChar w:fldCharType="end"/>
        </w:r>
      </w:hyperlink>
    </w:p>
    <w:p w14:paraId="5B84C96D" w14:textId="4827456F"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2" w:history="1">
        <w:r w:rsidR="002D6DEC" w:rsidRPr="002D6DEC">
          <w:rPr>
            <w:rStyle w:val="Hyperlink"/>
            <w:rFonts w:asciiTheme="minorHAnsi" w:hAnsiTheme="minorHAnsi" w:cstheme="minorHAnsi"/>
            <w:noProof/>
            <w:lang w:eastAsia="en-AU"/>
          </w:rPr>
          <w:t>Part 2 – Associations Incorporation Act 1991</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_Toc79498182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15</w:t>
        </w:r>
        <w:r w:rsidR="002D6DEC" w:rsidRPr="002D6DEC">
          <w:rPr>
            <w:rFonts w:asciiTheme="minorHAnsi" w:hAnsiTheme="minorHAnsi" w:cstheme="minorHAnsi"/>
            <w:noProof/>
            <w:webHidden/>
          </w:rPr>
          <w:fldChar w:fldCharType="end"/>
        </w:r>
      </w:hyperlink>
    </w:p>
    <w:p w14:paraId="1030435A" w14:textId="574A5818"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3" w:history="1">
        <w:r w:rsidR="002D6DEC" w:rsidRPr="002D6DEC">
          <w:rPr>
            <w:rStyle w:val="Hyperlink"/>
            <w:rFonts w:asciiTheme="minorHAnsi" w:hAnsiTheme="minorHAnsi" w:cstheme="minorHAnsi"/>
            <w:noProof/>
            <w:lang w:eastAsia="en-AU"/>
          </w:rPr>
          <w:t>Part 3 – Bail Act 1992</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_Toc79498183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16</w:t>
        </w:r>
        <w:r w:rsidR="002D6DEC" w:rsidRPr="002D6DEC">
          <w:rPr>
            <w:rFonts w:asciiTheme="minorHAnsi" w:hAnsiTheme="minorHAnsi" w:cstheme="minorHAnsi"/>
            <w:noProof/>
            <w:webHidden/>
          </w:rPr>
          <w:fldChar w:fldCharType="end"/>
        </w:r>
      </w:hyperlink>
    </w:p>
    <w:p w14:paraId="269484A0" w14:textId="3803F721"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4" w:history="1">
        <w:r w:rsidR="002D6DEC" w:rsidRPr="002D6DEC">
          <w:rPr>
            <w:rStyle w:val="Hyperlink"/>
            <w:rFonts w:asciiTheme="minorHAnsi" w:hAnsiTheme="minorHAnsi" w:cstheme="minorHAnsi"/>
            <w:noProof/>
            <w:lang w:eastAsia="en-AU"/>
          </w:rPr>
          <w:t>Part 4 – Corrections Management Act 2007</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_Toc79498184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17</w:t>
        </w:r>
        <w:r w:rsidR="002D6DEC" w:rsidRPr="002D6DEC">
          <w:rPr>
            <w:rFonts w:asciiTheme="minorHAnsi" w:hAnsiTheme="minorHAnsi" w:cstheme="minorHAnsi"/>
            <w:noProof/>
            <w:webHidden/>
          </w:rPr>
          <w:fldChar w:fldCharType="end"/>
        </w:r>
      </w:hyperlink>
    </w:p>
    <w:p w14:paraId="2AB0B90E" w14:textId="29057BEF"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5" w:history="1">
        <w:r w:rsidR="002D6DEC" w:rsidRPr="002D6DEC">
          <w:rPr>
            <w:rStyle w:val="Hyperlink"/>
            <w:rFonts w:asciiTheme="minorHAnsi" w:hAnsiTheme="minorHAnsi" w:cstheme="minorHAnsi"/>
            <w:noProof/>
            <w:lang w:eastAsia="en-AU"/>
          </w:rPr>
          <w:t>Part 5 – Crimes Act 1900</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_Toc79498185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17</w:t>
        </w:r>
        <w:r w:rsidR="002D6DEC" w:rsidRPr="002D6DEC">
          <w:rPr>
            <w:rFonts w:asciiTheme="minorHAnsi" w:hAnsiTheme="minorHAnsi" w:cstheme="minorHAnsi"/>
            <w:noProof/>
            <w:webHidden/>
          </w:rPr>
          <w:fldChar w:fldCharType="end"/>
        </w:r>
      </w:hyperlink>
    </w:p>
    <w:p w14:paraId="58B81A23" w14:textId="080D970F"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6" w:history="1">
        <w:r w:rsidR="002D6DEC" w:rsidRPr="002D6DEC">
          <w:rPr>
            <w:rStyle w:val="Hyperlink"/>
            <w:rFonts w:asciiTheme="minorHAnsi" w:hAnsiTheme="minorHAnsi" w:cstheme="minorHAnsi"/>
            <w:noProof/>
            <w:lang w:eastAsia="en-AU"/>
          </w:rPr>
          <w:t>Part 6 – Crimes (Sentencing) Act 2005</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_Toc79498186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17</w:t>
        </w:r>
        <w:r w:rsidR="002D6DEC" w:rsidRPr="002D6DEC">
          <w:rPr>
            <w:rFonts w:asciiTheme="minorHAnsi" w:hAnsiTheme="minorHAnsi" w:cstheme="minorHAnsi"/>
            <w:noProof/>
            <w:webHidden/>
          </w:rPr>
          <w:fldChar w:fldCharType="end"/>
        </w:r>
      </w:hyperlink>
    </w:p>
    <w:p w14:paraId="29CF9891" w14:textId="550B96AA"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7" w:history="1">
        <w:r w:rsidR="002D6DEC" w:rsidRPr="002D6DEC">
          <w:rPr>
            <w:rStyle w:val="Hyperlink"/>
            <w:rFonts w:asciiTheme="minorHAnsi" w:hAnsiTheme="minorHAnsi" w:cstheme="minorHAnsi"/>
            <w:noProof/>
            <w:lang w:eastAsia="en-AU"/>
          </w:rPr>
          <w:t>Part 7 – Drugs of Dependence Act 1989</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_Toc79498187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18</w:t>
        </w:r>
        <w:r w:rsidR="002D6DEC" w:rsidRPr="002D6DEC">
          <w:rPr>
            <w:rFonts w:asciiTheme="minorHAnsi" w:hAnsiTheme="minorHAnsi" w:cstheme="minorHAnsi"/>
            <w:noProof/>
            <w:webHidden/>
          </w:rPr>
          <w:fldChar w:fldCharType="end"/>
        </w:r>
      </w:hyperlink>
    </w:p>
    <w:p w14:paraId="1C1CC314" w14:textId="7A03BB0A"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8" w:history="1">
        <w:r w:rsidR="002D6DEC" w:rsidRPr="002D6DEC">
          <w:rPr>
            <w:rStyle w:val="Hyperlink"/>
            <w:rFonts w:asciiTheme="minorHAnsi" w:hAnsiTheme="minorHAnsi" w:cstheme="minorHAnsi"/>
            <w:noProof/>
            <w:lang w:eastAsia="en-AU"/>
          </w:rPr>
          <w:t>Part 8 – Human Rights Commission Act 2005</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_Toc79498188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18</w:t>
        </w:r>
        <w:r w:rsidR="002D6DEC" w:rsidRPr="002D6DEC">
          <w:rPr>
            <w:rFonts w:asciiTheme="minorHAnsi" w:hAnsiTheme="minorHAnsi" w:cstheme="minorHAnsi"/>
            <w:noProof/>
            <w:webHidden/>
          </w:rPr>
          <w:fldChar w:fldCharType="end"/>
        </w:r>
      </w:hyperlink>
    </w:p>
    <w:p w14:paraId="167485EC" w14:textId="0B3D1927"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89" w:history="1">
        <w:r w:rsidR="002D6DEC" w:rsidRPr="002D6DEC">
          <w:rPr>
            <w:rStyle w:val="Hyperlink"/>
            <w:rFonts w:asciiTheme="minorHAnsi" w:hAnsiTheme="minorHAnsi" w:cstheme="minorHAnsi"/>
            <w:noProof/>
            <w:lang w:eastAsia="en-AU"/>
          </w:rPr>
          <w:t>Part 9 – Public Trustee and Guardian Act 1985</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_Toc79498189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18</w:t>
        </w:r>
        <w:r w:rsidR="002D6DEC" w:rsidRPr="002D6DEC">
          <w:rPr>
            <w:rFonts w:asciiTheme="minorHAnsi" w:hAnsiTheme="minorHAnsi" w:cstheme="minorHAnsi"/>
            <w:noProof/>
            <w:webHidden/>
          </w:rPr>
          <w:fldChar w:fldCharType="end"/>
        </w:r>
      </w:hyperlink>
    </w:p>
    <w:p w14:paraId="0F42764B" w14:textId="47965E83"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90" w:history="1">
        <w:r w:rsidR="002D6DEC" w:rsidRPr="002D6DEC">
          <w:rPr>
            <w:rStyle w:val="Hyperlink"/>
            <w:rFonts w:asciiTheme="minorHAnsi" w:hAnsiTheme="minorHAnsi" w:cstheme="minorHAnsi"/>
            <w:noProof/>
            <w:lang w:eastAsia="en-AU"/>
          </w:rPr>
          <w:t>Part 10 – Retirement Villages Act 2012</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_Toc79498190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19</w:t>
        </w:r>
        <w:r w:rsidR="002D6DEC" w:rsidRPr="002D6DEC">
          <w:rPr>
            <w:rFonts w:asciiTheme="minorHAnsi" w:hAnsiTheme="minorHAnsi" w:cstheme="minorHAnsi"/>
            <w:noProof/>
            <w:webHidden/>
          </w:rPr>
          <w:fldChar w:fldCharType="end"/>
        </w:r>
      </w:hyperlink>
    </w:p>
    <w:p w14:paraId="03C0E0A2" w14:textId="404B22AB" w:rsidR="002D6DEC" w:rsidRPr="002D6DEC" w:rsidRDefault="008655EF">
      <w:pPr>
        <w:pStyle w:val="TOC1"/>
        <w:tabs>
          <w:tab w:val="right" w:leader="dot" w:pos="9016"/>
        </w:tabs>
        <w:rPr>
          <w:rFonts w:asciiTheme="minorHAnsi" w:eastAsiaTheme="minorEastAsia" w:hAnsiTheme="minorHAnsi" w:cstheme="minorHAnsi"/>
          <w:noProof/>
          <w:sz w:val="22"/>
          <w:lang w:eastAsia="en-AU"/>
        </w:rPr>
      </w:pPr>
      <w:hyperlink w:anchor="_Toc79498191" w:history="1">
        <w:r w:rsidR="002D6DEC" w:rsidRPr="002D6DEC">
          <w:rPr>
            <w:rStyle w:val="Hyperlink"/>
            <w:rFonts w:asciiTheme="minorHAnsi" w:hAnsiTheme="minorHAnsi" w:cstheme="minorHAnsi"/>
            <w:noProof/>
            <w:lang w:eastAsia="en-AU"/>
          </w:rPr>
          <w:t>Part 11 – Taxation Administration Act 1999</w:t>
        </w:r>
        <w:r w:rsidR="002D6DEC" w:rsidRPr="002D6DEC">
          <w:rPr>
            <w:rFonts w:asciiTheme="minorHAnsi" w:hAnsiTheme="minorHAnsi" w:cstheme="minorHAnsi"/>
            <w:noProof/>
            <w:webHidden/>
          </w:rPr>
          <w:tab/>
        </w:r>
        <w:r w:rsidR="002D6DEC" w:rsidRPr="002D6DEC">
          <w:rPr>
            <w:rFonts w:asciiTheme="minorHAnsi" w:hAnsiTheme="minorHAnsi" w:cstheme="minorHAnsi"/>
            <w:noProof/>
            <w:webHidden/>
          </w:rPr>
          <w:fldChar w:fldCharType="begin"/>
        </w:r>
        <w:r w:rsidR="002D6DEC" w:rsidRPr="002D6DEC">
          <w:rPr>
            <w:rFonts w:asciiTheme="minorHAnsi" w:hAnsiTheme="minorHAnsi" w:cstheme="minorHAnsi"/>
            <w:noProof/>
            <w:webHidden/>
          </w:rPr>
          <w:instrText xml:space="preserve"> PAGEREF _Toc79498191 \h </w:instrText>
        </w:r>
        <w:r w:rsidR="002D6DEC" w:rsidRPr="002D6DEC">
          <w:rPr>
            <w:rFonts w:asciiTheme="minorHAnsi" w:hAnsiTheme="minorHAnsi" w:cstheme="minorHAnsi"/>
            <w:noProof/>
            <w:webHidden/>
          </w:rPr>
        </w:r>
        <w:r w:rsidR="002D6DEC" w:rsidRPr="002D6DEC">
          <w:rPr>
            <w:rFonts w:asciiTheme="minorHAnsi" w:hAnsiTheme="minorHAnsi" w:cstheme="minorHAnsi"/>
            <w:noProof/>
            <w:webHidden/>
          </w:rPr>
          <w:fldChar w:fldCharType="separate"/>
        </w:r>
        <w:r w:rsidR="002D6DEC" w:rsidRPr="002D6DEC">
          <w:rPr>
            <w:rFonts w:asciiTheme="minorHAnsi" w:hAnsiTheme="minorHAnsi" w:cstheme="minorHAnsi"/>
            <w:noProof/>
            <w:webHidden/>
          </w:rPr>
          <w:t>20</w:t>
        </w:r>
        <w:r w:rsidR="002D6DEC" w:rsidRPr="002D6DEC">
          <w:rPr>
            <w:rFonts w:asciiTheme="minorHAnsi" w:hAnsiTheme="minorHAnsi" w:cstheme="minorHAnsi"/>
            <w:noProof/>
            <w:webHidden/>
          </w:rPr>
          <w:fldChar w:fldCharType="end"/>
        </w:r>
      </w:hyperlink>
    </w:p>
    <w:p w14:paraId="314FFBD4" w14:textId="197661F9" w:rsidR="00AC5B87" w:rsidRPr="00D4690B" w:rsidRDefault="00326167" w:rsidP="00AC5B87">
      <w:pPr>
        <w:rPr>
          <w:rFonts w:asciiTheme="minorHAnsi" w:hAnsiTheme="minorHAnsi" w:cstheme="minorHAnsi"/>
          <w:szCs w:val="24"/>
        </w:rPr>
      </w:pPr>
      <w:r w:rsidRPr="002D6DEC">
        <w:rPr>
          <w:rFonts w:asciiTheme="minorHAnsi" w:hAnsiTheme="minorHAnsi" w:cstheme="minorHAnsi"/>
          <w:szCs w:val="24"/>
        </w:rPr>
        <w:fldChar w:fldCharType="end"/>
      </w:r>
    </w:p>
    <w:p w14:paraId="306EEBDF" w14:textId="77777777" w:rsidR="0051718C" w:rsidRPr="00D4690B" w:rsidRDefault="00AC5B87" w:rsidP="002E1092">
      <w:pPr>
        <w:pStyle w:val="Heading2"/>
        <w:spacing w:after="120"/>
        <w:rPr>
          <w:rFonts w:asciiTheme="minorHAnsi" w:hAnsiTheme="minorHAnsi" w:cstheme="minorHAnsi"/>
          <w:szCs w:val="24"/>
        </w:rPr>
      </w:pPr>
      <w:bookmarkStart w:id="3" w:name="_Toc426711259"/>
      <w:bookmarkStart w:id="4" w:name="_Toc429052822"/>
      <w:r w:rsidRPr="00D4690B">
        <w:rPr>
          <w:rFonts w:asciiTheme="minorHAnsi" w:hAnsiTheme="minorHAnsi" w:cstheme="minorHAnsi"/>
          <w:szCs w:val="24"/>
        </w:rPr>
        <w:br w:type="page"/>
      </w:r>
    </w:p>
    <w:p w14:paraId="5671B9AA" w14:textId="7387A8B6" w:rsidR="0051718C" w:rsidRPr="00D15AFC" w:rsidRDefault="00D4690B" w:rsidP="00D15AFC">
      <w:pPr>
        <w:jc w:val="center"/>
        <w:rPr>
          <w:rFonts w:asciiTheme="minorHAnsi" w:hAnsiTheme="minorHAnsi" w:cstheme="minorHAnsi"/>
          <w:b/>
          <w:bCs/>
          <w:iCs/>
        </w:rPr>
      </w:pPr>
      <w:r w:rsidRPr="00D15AFC">
        <w:rPr>
          <w:rFonts w:asciiTheme="minorHAnsi" w:hAnsiTheme="minorHAnsi" w:cstheme="minorHAnsi"/>
          <w:b/>
          <w:bCs/>
        </w:rPr>
        <w:lastRenderedPageBreak/>
        <w:t>Operational Efficiencies (COVID-19) Legislation Amendment Bill 2021</w:t>
      </w:r>
    </w:p>
    <w:p w14:paraId="15C4153C" w14:textId="39289858" w:rsidR="0051718C" w:rsidRPr="00D4690B" w:rsidRDefault="0051718C" w:rsidP="0051718C">
      <w:pPr>
        <w:rPr>
          <w:rFonts w:asciiTheme="minorHAnsi" w:hAnsiTheme="minorHAnsi" w:cstheme="minorHAnsi"/>
          <w:szCs w:val="24"/>
        </w:rPr>
      </w:pPr>
      <w:r w:rsidRPr="00D4690B">
        <w:rPr>
          <w:rFonts w:asciiTheme="minorHAnsi" w:hAnsiTheme="minorHAnsi" w:cstheme="minorHAnsi"/>
          <w:szCs w:val="24"/>
        </w:rPr>
        <w:t xml:space="preserve">The Bill </w:t>
      </w:r>
      <w:r w:rsidR="00D4690B" w:rsidRPr="00D4690B">
        <w:rPr>
          <w:rFonts w:asciiTheme="minorHAnsi" w:hAnsiTheme="minorHAnsi" w:cstheme="minorHAnsi"/>
          <w:szCs w:val="24"/>
        </w:rPr>
        <w:t>is</w:t>
      </w:r>
      <w:r w:rsidRPr="00D4690B">
        <w:rPr>
          <w:rFonts w:asciiTheme="minorHAnsi" w:hAnsiTheme="minorHAnsi" w:cstheme="minorHAnsi"/>
          <w:szCs w:val="24"/>
        </w:rPr>
        <w:t xml:space="preserve"> a Significant Bill. Significant Bills are </w:t>
      </w:r>
      <w:r w:rsidR="00725475">
        <w:rPr>
          <w:rFonts w:asciiTheme="minorHAnsi" w:hAnsiTheme="minorHAnsi" w:cstheme="minorHAnsi"/>
          <w:szCs w:val="24"/>
        </w:rPr>
        <w:t>B</w:t>
      </w:r>
      <w:r w:rsidRPr="00D4690B">
        <w:rPr>
          <w:rFonts w:asciiTheme="minorHAnsi" w:hAnsiTheme="minorHAnsi" w:cstheme="minorHAnsi"/>
          <w:szCs w:val="24"/>
        </w:rPr>
        <w:t xml:space="preserve">ills that have been assessed as likely to have significant engagement of human rights and require more detailed reasoning in relation to compatibility with the </w:t>
      </w:r>
      <w:r w:rsidRPr="00725475">
        <w:rPr>
          <w:rFonts w:asciiTheme="minorHAnsi" w:hAnsiTheme="minorHAnsi" w:cstheme="minorHAnsi"/>
          <w:i/>
          <w:iCs/>
          <w:szCs w:val="24"/>
        </w:rPr>
        <w:t>Human Rights Act 2004</w:t>
      </w:r>
      <w:r w:rsidRPr="00D4690B">
        <w:rPr>
          <w:rFonts w:asciiTheme="minorHAnsi" w:hAnsiTheme="minorHAnsi" w:cstheme="minorHAnsi"/>
          <w:szCs w:val="24"/>
        </w:rPr>
        <w:t>.</w:t>
      </w:r>
    </w:p>
    <w:p w14:paraId="647CCAEE" w14:textId="3605225D" w:rsidR="0030585F" w:rsidRPr="00D4690B" w:rsidRDefault="00050F68" w:rsidP="002E1092">
      <w:pPr>
        <w:pStyle w:val="Heading2"/>
        <w:spacing w:after="120"/>
        <w:rPr>
          <w:rFonts w:asciiTheme="minorHAnsi" w:hAnsiTheme="minorHAnsi" w:cstheme="minorHAnsi"/>
          <w:szCs w:val="24"/>
          <w:u w:val="none"/>
        </w:rPr>
      </w:pPr>
      <w:bookmarkStart w:id="5" w:name="_Toc79498173"/>
      <w:bookmarkEnd w:id="3"/>
      <w:bookmarkEnd w:id="4"/>
      <w:r w:rsidRPr="00D4690B">
        <w:rPr>
          <w:rFonts w:asciiTheme="minorHAnsi" w:hAnsiTheme="minorHAnsi" w:cstheme="minorHAnsi"/>
          <w:szCs w:val="24"/>
          <w:u w:val="none"/>
        </w:rPr>
        <w:t>OVERVIEW OF THE BILL</w:t>
      </w:r>
      <w:bookmarkEnd w:id="5"/>
    </w:p>
    <w:p w14:paraId="22820147" w14:textId="1BBA40D8" w:rsidR="00226A09" w:rsidRPr="00D4690B" w:rsidRDefault="00CE1BDF" w:rsidP="00A363CB">
      <w:pPr>
        <w:keepNext/>
        <w:autoSpaceDE w:val="0"/>
        <w:autoSpaceDN w:val="0"/>
        <w:adjustRightInd w:val="0"/>
        <w:spacing w:before="240" w:after="120"/>
        <w:rPr>
          <w:rFonts w:asciiTheme="minorHAnsi" w:hAnsiTheme="minorHAnsi" w:cstheme="minorHAnsi"/>
          <w:szCs w:val="24"/>
        </w:rPr>
      </w:pPr>
      <w:r w:rsidRPr="00D4690B">
        <w:rPr>
          <w:rFonts w:asciiTheme="minorHAnsi" w:hAnsiTheme="minorHAnsi" w:cstheme="minorHAnsi"/>
          <w:szCs w:val="24"/>
        </w:rPr>
        <w:t>The policy objective</w:t>
      </w:r>
      <w:r w:rsidR="00DF7319" w:rsidRPr="00D4690B">
        <w:rPr>
          <w:rFonts w:asciiTheme="minorHAnsi" w:hAnsiTheme="minorHAnsi" w:cstheme="minorHAnsi"/>
          <w:szCs w:val="24"/>
        </w:rPr>
        <w:t xml:space="preserve"> of th</w:t>
      </w:r>
      <w:r w:rsidR="008749C6">
        <w:rPr>
          <w:rFonts w:asciiTheme="minorHAnsi" w:hAnsiTheme="minorHAnsi" w:cstheme="minorHAnsi"/>
          <w:szCs w:val="24"/>
        </w:rPr>
        <w:t>e</w:t>
      </w:r>
      <w:r w:rsidR="00DF7319" w:rsidRPr="00D4690B">
        <w:rPr>
          <w:rFonts w:asciiTheme="minorHAnsi" w:hAnsiTheme="minorHAnsi" w:cstheme="minorHAnsi"/>
          <w:szCs w:val="24"/>
        </w:rPr>
        <w:t xml:space="preserve"> </w:t>
      </w:r>
      <w:r w:rsidR="00725475">
        <w:rPr>
          <w:rFonts w:asciiTheme="minorHAnsi" w:hAnsiTheme="minorHAnsi" w:cstheme="minorHAnsi"/>
          <w:szCs w:val="24"/>
        </w:rPr>
        <w:t>B</w:t>
      </w:r>
      <w:r w:rsidR="00DF7319" w:rsidRPr="00D4690B">
        <w:rPr>
          <w:rFonts w:asciiTheme="minorHAnsi" w:hAnsiTheme="minorHAnsi" w:cstheme="minorHAnsi"/>
          <w:szCs w:val="24"/>
        </w:rPr>
        <w:t xml:space="preserve">ill is to </w:t>
      </w:r>
      <w:r w:rsidR="00D4690B" w:rsidRPr="00D4690B">
        <w:rPr>
          <w:rFonts w:asciiTheme="minorHAnsi" w:hAnsiTheme="minorHAnsi" w:cstheme="minorHAnsi"/>
          <w:szCs w:val="24"/>
        </w:rPr>
        <w:t>permanently adopt certain legislative measures taken during the COVID-19 emergency</w:t>
      </w:r>
      <w:r w:rsidR="008D2206">
        <w:rPr>
          <w:rFonts w:asciiTheme="minorHAnsi" w:hAnsiTheme="minorHAnsi" w:cstheme="minorHAnsi"/>
          <w:szCs w:val="24"/>
        </w:rPr>
        <w:t xml:space="preserve"> and to temporarily extend the expiry of measures put in place to assist the business activities of </w:t>
      </w:r>
      <w:r w:rsidR="00D7590E">
        <w:rPr>
          <w:rFonts w:asciiTheme="minorHAnsi" w:hAnsiTheme="minorHAnsi" w:cstheme="minorHAnsi"/>
          <w:szCs w:val="24"/>
        </w:rPr>
        <w:t xml:space="preserve">incorporated </w:t>
      </w:r>
      <w:r w:rsidR="008D2206">
        <w:rPr>
          <w:rFonts w:asciiTheme="minorHAnsi" w:hAnsiTheme="minorHAnsi" w:cstheme="minorHAnsi"/>
          <w:szCs w:val="24"/>
        </w:rPr>
        <w:t>associations</w:t>
      </w:r>
      <w:r w:rsidR="00D4690B" w:rsidRPr="00D4690B">
        <w:rPr>
          <w:rFonts w:asciiTheme="minorHAnsi" w:hAnsiTheme="minorHAnsi" w:cstheme="minorHAnsi"/>
          <w:szCs w:val="24"/>
        </w:rPr>
        <w:t xml:space="preserve">. These measures were originally introduced through the </w:t>
      </w:r>
      <w:r w:rsidR="00D4690B" w:rsidRPr="00D4690B">
        <w:rPr>
          <w:rFonts w:asciiTheme="minorHAnsi" w:hAnsiTheme="minorHAnsi" w:cstheme="minorHAnsi"/>
          <w:i/>
          <w:iCs/>
          <w:szCs w:val="24"/>
        </w:rPr>
        <w:t>COVID-19 Emergency Response Act 2020</w:t>
      </w:r>
      <w:r w:rsidR="00D4690B" w:rsidRPr="00D4690B">
        <w:rPr>
          <w:rFonts w:asciiTheme="minorHAnsi" w:hAnsiTheme="minorHAnsi" w:cstheme="minorHAnsi"/>
          <w:szCs w:val="24"/>
        </w:rPr>
        <w:t xml:space="preserve"> and </w:t>
      </w:r>
      <w:r w:rsidR="00D4690B" w:rsidRPr="00D4690B">
        <w:rPr>
          <w:rFonts w:asciiTheme="minorHAnsi" w:hAnsiTheme="minorHAnsi" w:cstheme="minorHAnsi"/>
          <w:i/>
          <w:iCs/>
          <w:szCs w:val="24"/>
        </w:rPr>
        <w:t>COVID-19 Emergency Response Legislation Amendment Act 2020</w:t>
      </w:r>
      <w:r w:rsidR="00D4690B" w:rsidRPr="00D4690B">
        <w:rPr>
          <w:rFonts w:asciiTheme="minorHAnsi" w:hAnsiTheme="minorHAnsi" w:cstheme="minorHAnsi"/>
          <w:szCs w:val="24"/>
        </w:rPr>
        <w:t>.</w:t>
      </w:r>
    </w:p>
    <w:p w14:paraId="7077BB16" w14:textId="65C21847" w:rsidR="00A26427" w:rsidRPr="00D4690B" w:rsidRDefault="0030585F" w:rsidP="00A363CB">
      <w:pPr>
        <w:autoSpaceDE w:val="0"/>
        <w:autoSpaceDN w:val="0"/>
        <w:adjustRightInd w:val="0"/>
        <w:spacing w:before="240" w:after="120"/>
        <w:rPr>
          <w:rFonts w:asciiTheme="minorHAnsi" w:hAnsiTheme="minorHAnsi" w:cstheme="minorHAnsi"/>
          <w:szCs w:val="24"/>
        </w:rPr>
      </w:pPr>
      <w:r w:rsidRPr="00D4690B">
        <w:rPr>
          <w:rFonts w:asciiTheme="minorHAnsi" w:hAnsiTheme="minorHAnsi" w:cstheme="minorHAnsi"/>
          <w:szCs w:val="24"/>
        </w:rPr>
        <w:t xml:space="preserve">The </w:t>
      </w:r>
      <w:r w:rsidR="00D4690B" w:rsidRPr="00D4690B">
        <w:rPr>
          <w:rFonts w:asciiTheme="minorHAnsi" w:hAnsiTheme="minorHAnsi" w:cstheme="minorHAnsi"/>
          <w:iCs/>
          <w:szCs w:val="24"/>
        </w:rPr>
        <w:t xml:space="preserve">Bill </w:t>
      </w:r>
      <w:r w:rsidRPr="00D4690B">
        <w:rPr>
          <w:rFonts w:asciiTheme="minorHAnsi" w:hAnsiTheme="minorHAnsi" w:cstheme="minorHAnsi"/>
          <w:szCs w:val="24"/>
        </w:rPr>
        <w:t>will</w:t>
      </w:r>
      <w:r w:rsidR="00137A6F" w:rsidRPr="00D4690B">
        <w:rPr>
          <w:rFonts w:asciiTheme="minorHAnsi" w:hAnsiTheme="minorHAnsi" w:cstheme="minorHAnsi"/>
          <w:szCs w:val="24"/>
        </w:rPr>
        <w:t xml:space="preserve"> </w:t>
      </w:r>
      <w:r w:rsidR="00D4690B" w:rsidRPr="00D4690B">
        <w:rPr>
          <w:rFonts w:asciiTheme="minorHAnsi" w:hAnsiTheme="minorHAnsi" w:cstheme="minorHAnsi"/>
          <w:szCs w:val="24"/>
        </w:rPr>
        <w:t>amend the</w:t>
      </w:r>
      <w:r w:rsidR="00A26427" w:rsidRPr="00D4690B">
        <w:rPr>
          <w:rFonts w:asciiTheme="minorHAnsi" w:hAnsiTheme="minorHAnsi" w:cstheme="minorHAnsi"/>
          <w:szCs w:val="24"/>
        </w:rPr>
        <w:t xml:space="preserve">: </w:t>
      </w:r>
    </w:p>
    <w:p w14:paraId="7E13254A" w14:textId="609A5319" w:rsidR="008D2206" w:rsidRPr="008D2206" w:rsidRDefault="008D2206" w:rsidP="00D4690B">
      <w:pPr>
        <w:pStyle w:val="Recommendation3"/>
        <w:numPr>
          <w:ilvl w:val="0"/>
          <w:numId w:val="28"/>
        </w:numPr>
        <w:tabs>
          <w:tab w:val="clear" w:pos="1276"/>
        </w:tabs>
        <w:rPr>
          <w:rFonts w:cstheme="minorHAnsi"/>
        </w:rPr>
      </w:pPr>
      <w:r w:rsidRPr="008D2206">
        <w:rPr>
          <w:rFonts w:cstheme="minorHAnsi"/>
          <w:i/>
          <w:iCs/>
        </w:rPr>
        <w:t>Associations Incorporat</w:t>
      </w:r>
      <w:r w:rsidR="002A3D03">
        <w:rPr>
          <w:rFonts w:cstheme="minorHAnsi"/>
          <w:i/>
          <w:iCs/>
        </w:rPr>
        <w:t>ion</w:t>
      </w:r>
      <w:r w:rsidRPr="008D2206">
        <w:rPr>
          <w:rFonts w:cstheme="minorHAnsi"/>
          <w:i/>
          <w:iCs/>
        </w:rPr>
        <w:t xml:space="preserve"> Act 1991</w:t>
      </w:r>
      <w:r>
        <w:rPr>
          <w:rFonts w:cstheme="minorHAnsi"/>
        </w:rPr>
        <w:t>, to</w:t>
      </w:r>
      <w:r w:rsidR="00BE609A">
        <w:rPr>
          <w:rFonts w:cstheme="minorHAnsi"/>
        </w:rPr>
        <w:t xml:space="preserve"> </w:t>
      </w:r>
      <w:r w:rsidR="00686133">
        <w:rPr>
          <w:rFonts w:cstheme="minorHAnsi"/>
        </w:rPr>
        <w:t xml:space="preserve">extend on a temporary basis, the duration of COVID-19 measures that allow </w:t>
      </w:r>
      <w:r w:rsidR="00BE609A">
        <w:rPr>
          <w:rFonts w:cstheme="minorHAnsi"/>
        </w:rPr>
        <w:t>incorporated association</w:t>
      </w:r>
      <w:r w:rsidR="00890B3B">
        <w:rPr>
          <w:rFonts w:cstheme="minorHAnsi"/>
        </w:rPr>
        <w:t>s</w:t>
      </w:r>
      <w:r w:rsidR="00BE609A">
        <w:rPr>
          <w:rFonts w:cstheme="minorHAnsi"/>
        </w:rPr>
        <w:t xml:space="preserve"> to </w:t>
      </w:r>
      <w:r w:rsidR="00890B3B">
        <w:rPr>
          <w:rFonts w:cstheme="minorHAnsi"/>
        </w:rPr>
        <w:t>hold</w:t>
      </w:r>
      <w:r w:rsidR="003823FA">
        <w:rPr>
          <w:rFonts w:cstheme="minorHAnsi"/>
        </w:rPr>
        <w:t xml:space="preserve"> </w:t>
      </w:r>
      <w:r w:rsidR="00BE609A">
        <w:rPr>
          <w:rFonts w:cstheme="minorHAnsi"/>
        </w:rPr>
        <w:t>general meetings using alternate methods of communication</w:t>
      </w:r>
      <w:r w:rsidR="00D7590E">
        <w:rPr>
          <w:rFonts w:cstheme="minorHAnsi"/>
        </w:rPr>
        <w:t xml:space="preserve"> </w:t>
      </w:r>
      <w:r w:rsidR="00BE609A">
        <w:rPr>
          <w:rFonts w:cstheme="minorHAnsi"/>
        </w:rPr>
        <w:t>and allow votes by proxy</w:t>
      </w:r>
      <w:r w:rsidR="003823FA">
        <w:rPr>
          <w:rFonts w:cstheme="minorHAnsi"/>
        </w:rPr>
        <w:t>,</w:t>
      </w:r>
      <w:r w:rsidR="00BE609A">
        <w:rPr>
          <w:rFonts w:cstheme="minorHAnsi"/>
        </w:rPr>
        <w:t xml:space="preserve"> and the registrar-general to extend periods of time</w:t>
      </w:r>
      <w:r w:rsidR="00D7590E">
        <w:rPr>
          <w:rFonts w:cstheme="minorHAnsi"/>
        </w:rPr>
        <w:t xml:space="preserve"> for certain matters</w:t>
      </w:r>
      <w:r w:rsidR="00BE609A">
        <w:rPr>
          <w:rFonts w:cstheme="minorHAnsi"/>
        </w:rPr>
        <w:t xml:space="preserve"> due to a COVID-19 emergency;</w:t>
      </w:r>
    </w:p>
    <w:p w14:paraId="08874B98" w14:textId="1B72D487"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t>Bail Act 1992</w:t>
      </w:r>
      <w:r w:rsidRPr="00D4690B">
        <w:rPr>
          <w:rFonts w:cstheme="minorHAnsi"/>
        </w:rPr>
        <w:t>, to allow</w:t>
      </w:r>
      <w:r w:rsidR="00686133">
        <w:rPr>
          <w:rFonts w:cstheme="minorHAnsi"/>
        </w:rPr>
        <w:t xml:space="preserve"> on an ongoing basis,</w:t>
      </w:r>
      <w:r w:rsidRPr="00D4690B">
        <w:rPr>
          <w:rFonts w:cstheme="minorHAnsi"/>
        </w:rPr>
        <w:t xml:space="preserve"> for undertakings to appear in court to be given </w:t>
      </w:r>
      <w:r w:rsidR="00686133">
        <w:rPr>
          <w:rFonts w:cstheme="minorHAnsi"/>
        </w:rPr>
        <w:t>to</w:t>
      </w:r>
      <w:r w:rsidR="00686133" w:rsidRPr="00D4690B">
        <w:rPr>
          <w:rFonts w:cstheme="minorHAnsi"/>
        </w:rPr>
        <w:t xml:space="preserve"> </w:t>
      </w:r>
      <w:r w:rsidRPr="00D4690B">
        <w:rPr>
          <w:rFonts w:cstheme="minorHAnsi"/>
        </w:rPr>
        <w:t>the court</w:t>
      </w:r>
      <w:r w:rsidR="00686133">
        <w:rPr>
          <w:rFonts w:cstheme="minorHAnsi"/>
        </w:rPr>
        <w:t xml:space="preserve"> remotely</w:t>
      </w:r>
      <w:r w:rsidRPr="00D4690B">
        <w:rPr>
          <w:rFonts w:cstheme="minorHAnsi"/>
        </w:rPr>
        <w:t xml:space="preserve"> and recorded by the court;</w:t>
      </w:r>
    </w:p>
    <w:p w14:paraId="496BC456" w14:textId="5D56391A"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t>Corrections Management Act 200</w:t>
      </w:r>
      <w:r w:rsidR="006A5912">
        <w:rPr>
          <w:rFonts w:cstheme="minorHAnsi"/>
          <w:i/>
          <w:iCs/>
        </w:rPr>
        <w:t>7</w:t>
      </w:r>
      <w:r w:rsidRPr="00D4690B">
        <w:rPr>
          <w:rFonts w:cstheme="minorHAnsi"/>
        </w:rPr>
        <w:t xml:space="preserve">, to </w:t>
      </w:r>
      <w:r w:rsidR="00686133">
        <w:rPr>
          <w:rFonts w:cstheme="minorHAnsi"/>
        </w:rPr>
        <w:t xml:space="preserve">extend on an ongoing basis, the maximum period </w:t>
      </w:r>
      <w:r w:rsidRPr="00D4690B">
        <w:rPr>
          <w:rFonts w:cstheme="minorHAnsi"/>
        </w:rPr>
        <w:t>for which a local leave permit is granted for long-term medical treatment or palliative care, from seven days to a maximum of three months;</w:t>
      </w:r>
    </w:p>
    <w:p w14:paraId="4657E0F9" w14:textId="4FD982F8"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t>Crimes Act 1900</w:t>
      </w:r>
      <w:r w:rsidRPr="00D4690B">
        <w:rPr>
          <w:rFonts w:cstheme="minorHAnsi"/>
        </w:rPr>
        <w:t xml:space="preserve">, to </w:t>
      </w:r>
      <w:r w:rsidR="00686133">
        <w:rPr>
          <w:rFonts w:cstheme="minorHAnsi"/>
        </w:rPr>
        <w:t xml:space="preserve">allow on an ongoing basis, for </w:t>
      </w:r>
      <w:r w:rsidRPr="00D4690B">
        <w:rPr>
          <w:rFonts w:cstheme="minorHAnsi"/>
        </w:rPr>
        <w:t>the application and transmission of sworn warrants to be conducted electronically;</w:t>
      </w:r>
    </w:p>
    <w:p w14:paraId="345E801B" w14:textId="66824CD7"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t>Crimes (Sentencing) Act 2005</w:t>
      </w:r>
      <w:r w:rsidRPr="00D4690B">
        <w:rPr>
          <w:rFonts w:cstheme="minorHAnsi"/>
        </w:rPr>
        <w:t>, to allow</w:t>
      </w:r>
      <w:r w:rsidR="00890B3B">
        <w:rPr>
          <w:rFonts w:cstheme="minorHAnsi"/>
        </w:rPr>
        <w:t xml:space="preserve"> on an ongoing basis,</w:t>
      </w:r>
      <w:r w:rsidRPr="00D4690B">
        <w:rPr>
          <w:rFonts w:cstheme="minorHAnsi"/>
        </w:rPr>
        <w:t xml:space="preserve"> for undertakings to comply with good behaviour obligations to be given </w:t>
      </w:r>
      <w:r w:rsidR="00890B3B">
        <w:rPr>
          <w:rFonts w:cstheme="minorHAnsi"/>
        </w:rPr>
        <w:t>to the court remotely</w:t>
      </w:r>
      <w:r w:rsidR="00890B3B" w:rsidRPr="00D4690B">
        <w:rPr>
          <w:rFonts w:cstheme="minorHAnsi"/>
        </w:rPr>
        <w:t xml:space="preserve"> </w:t>
      </w:r>
      <w:r w:rsidRPr="00D4690B">
        <w:rPr>
          <w:rFonts w:cstheme="minorHAnsi"/>
        </w:rPr>
        <w:t>and recorded by the court;</w:t>
      </w:r>
    </w:p>
    <w:p w14:paraId="286568DF" w14:textId="2FCAD1C3"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t>Drugs of Dependence Act 1989</w:t>
      </w:r>
      <w:r w:rsidRPr="00D4690B">
        <w:rPr>
          <w:rFonts w:cstheme="minorHAnsi"/>
        </w:rPr>
        <w:t xml:space="preserve">, to allow </w:t>
      </w:r>
      <w:r w:rsidR="00890B3B">
        <w:rPr>
          <w:rFonts w:cstheme="minorHAnsi"/>
        </w:rPr>
        <w:t xml:space="preserve">on an ongoing basis, </w:t>
      </w:r>
      <w:r w:rsidRPr="00D4690B">
        <w:rPr>
          <w:rFonts w:cstheme="minorHAnsi"/>
        </w:rPr>
        <w:t>for the application and transmission of sworn warrants to be conducted electronically;</w:t>
      </w:r>
    </w:p>
    <w:p w14:paraId="5574FD6A" w14:textId="12DDF0C5"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t>Human Rights Commission Act 2005</w:t>
      </w:r>
      <w:r w:rsidRPr="00D4690B">
        <w:rPr>
          <w:rFonts w:cstheme="minorHAnsi"/>
        </w:rPr>
        <w:t xml:space="preserve">, to </w:t>
      </w:r>
      <w:r w:rsidR="00890B3B">
        <w:rPr>
          <w:rFonts w:cstheme="minorHAnsi"/>
        </w:rPr>
        <w:t xml:space="preserve">vest on an ongoing basis, </w:t>
      </w:r>
      <w:r w:rsidRPr="00D4690B">
        <w:rPr>
          <w:rFonts w:cstheme="minorHAnsi"/>
        </w:rPr>
        <w:t>the ACT Human Rights Commission with the power to hear and handle complaints in relation to the treatment of vulnerable people;</w:t>
      </w:r>
    </w:p>
    <w:p w14:paraId="042AB383" w14:textId="676A819E"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t>Public Trustee and Guardian Act 1985</w:t>
      </w:r>
      <w:r w:rsidRPr="00D4690B">
        <w:rPr>
          <w:rFonts w:cstheme="minorHAnsi"/>
        </w:rPr>
        <w:t>, to allow</w:t>
      </w:r>
      <w:r w:rsidR="00890B3B">
        <w:rPr>
          <w:rFonts w:cstheme="minorHAnsi"/>
        </w:rPr>
        <w:t xml:space="preserve"> on an ongoing basis,</w:t>
      </w:r>
      <w:r w:rsidRPr="00D4690B">
        <w:rPr>
          <w:rFonts w:cstheme="minorHAnsi"/>
        </w:rPr>
        <w:t xml:space="preserve"> the Public Trustee and Guardian to delegate any of their functions under the </w:t>
      </w:r>
      <w:r w:rsidR="006C4F3A">
        <w:rPr>
          <w:rFonts w:cstheme="minorHAnsi"/>
        </w:rPr>
        <w:t xml:space="preserve">Public Trustee and Guardian </w:t>
      </w:r>
      <w:r w:rsidRPr="00D4690B">
        <w:rPr>
          <w:rFonts w:cstheme="minorHAnsi"/>
        </w:rPr>
        <w:t xml:space="preserve">Act to a member of the </w:t>
      </w:r>
      <w:r w:rsidR="006C4F3A">
        <w:rPr>
          <w:rFonts w:cstheme="minorHAnsi"/>
        </w:rPr>
        <w:t>Public Trustee and Guardian</w:t>
      </w:r>
      <w:r w:rsidRPr="00D4690B">
        <w:rPr>
          <w:rFonts w:cstheme="minorHAnsi"/>
        </w:rPr>
        <w:t xml:space="preserve"> staff provided they have regard to certain considerations in making the delegation;</w:t>
      </w:r>
    </w:p>
    <w:p w14:paraId="7535608F" w14:textId="0B6E4EA8" w:rsidR="00D4690B" w:rsidRPr="00D4690B" w:rsidRDefault="00D4690B" w:rsidP="00D4690B">
      <w:pPr>
        <w:pStyle w:val="Recommendation3"/>
        <w:numPr>
          <w:ilvl w:val="0"/>
          <w:numId w:val="28"/>
        </w:numPr>
        <w:tabs>
          <w:tab w:val="clear" w:pos="1276"/>
        </w:tabs>
        <w:rPr>
          <w:rFonts w:cstheme="minorHAnsi"/>
        </w:rPr>
      </w:pPr>
      <w:r w:rsidRPr="00D4690B">
        <w:rPr>
          <w:rFonts w:cstheme="minorHAnsi"/>
          <w:i/>
          <w:iCs/>
        </w:rPr>
        <w:lastRenderedPageBreak/>
        <w:t>Retirement Villages Act 2012</w:t>
      </w:r>
      <w:r w:rsidRPr="00D4690B">
        <w:rPr>
          <w:rFonts w:cstheme="minorHAnsi"/>
        </w:rPr>
        <w:t xml:space="preserve">, to </w:t>
      </w:r>
      <w:r w:rsidR="00890B3B">
        <w:rPr>
          <w:rFonts w:cstheme="minorHAnsi"/>
        </w:rPr>
        <w:t xml:space="preserve">allow on an ongoing basis, </w:t>
      </w:r>
      <w:r w:rsidRPr="00D4690B">
        <w:rPr>
          <w:rFonts w:cstheme="minorHAnsi"/>
        </w:rPr>
        <w:t>participation in meetings of residents, including meetings convened by operators of the village, using alternative methods of communication other than in-person; and</w:t>
      </w:r>
    </w:p>
    <w:p w14:paraId="3C5120F8" w14:textId="21CC4B44" w:rsidR="00722E63" w:rsidRPr="00D4690B" w:rsidRDefault="00D4690B" w:rsidP="00D4690B">
      <w:pPr>
        <w:pStyle w:val="Recommendation3"/>
        <w:numPr>
          <w:ilvl w:val="0"/>
          <w:numId w:val="28"/>
        </w:numPr>
        <w:tabs>
          <w:tab w:val="clear" w:pos="1276"/>
        </w:tabs>
        <w:rPr>
          <w:rFonts w:cstheme="minorHAnsi"/>
        </w:rPr>
      </w:pPr>
      <w:r w:rsidRPr="00D4690B">
        <w:rPr>
          <w:rFonts w:cstheme="minorHAnsi"/>
          <w:i/>
          <w:iCs/>
        </w:rPr>
        <w:t>Taxation Administration Act 1999</w:t>
      </w:r>
      <w:r w:rsidRPr="00D4690B">
        <w:rPr>
          <w:rFonts w:cstheme="minorHAnsi"/>
        </w:rPr>
        <w:t xml:space="preserve">, to </w:t>
      </w:r>
      <w:r w:rsidR="00890B3B">
        <w:rPr>
          <w:rFonts w:cstheme="minorHAnsi"/>
        </w:rPr>
        <w:t xml:space="preserve">provide on an ongoing basis, </w:t>
      </w:r>
      <w:r w:rsidRPr="00D4690B">
        <w:rPr>
          <w:rFonts w:cstheme="minorHAnsi"/>
        </w:rPr>
        <w:t xml:space="preserve">a set of powers across tax types to provide relief for </w:t>
      </w:r>
      <w:r w:rsidR="00BC30CB">
        <w:rPr>
          <w:rFonts w:cstheme="minorHAnsi"/>
        </w:rPr>
        <w:t xml:space="preserve">individuals, </w:t>
      </w:r>
      <w:r w:rsidRPr="00D4690B">
        <w:rPr>
          <w:rFonts w:cstheme="minorHAnsi"/>
        </w:rPr>
        <w:t>households and businesses through rebates, exemptions and deferrals</w:t>
      </w:r>
      <w:r w:rsidR="00725475">
        <w:rPr>
          <w:rFonts w:cstheme="minorHAnsi"/>
        </w:rPr>
        <w:t>.</w:t>
      </w:r>
    </w:p>
    <w:p w14:paraId="2CDEB443" w14:textId="3006E5DF" w:rsidR="00B55BED" w:rsidRPr="00D4690B" w:rsidRDefault="00050F68" w:rsidP="00B55BED">
      <w:pPr>
        <w:pStyle w:val="Heading2"/>
        <w:spacing w:after="120"/>
        <w:rPr>
          <w:rFonts w:asciiTheme="minorHAnsi" w:hAnsiTheme="minorHAnsi" w:cstheme="minorHAnsi"/>
          <w:szCs w:val="24"/>
          <w:u w:val="none"/>
        </w:rPr>
      </w:pPr>
      <w:bookmarkStart w:id="6" w:name="_Toc79498174"/>
      <w:bookmarkStart w:id="7" w:name="_Toc426711260"/>
      <w:bookmarkStart w:id="8" w:name="_Toc429052823"/>
      <w:r w:rsidRPr="00D4690B">
        <w:rPr>
          <w:rFonts w:asciiTheme="minorHAnsi" w:hAnsiTheme="minorHAnsi" w:cstheme="minorHAnsi"/>
          <w:szCs w:val="24"/>
          <w:u w:val="none"/>
        </w:rPr>
        <w:t>CONSULTATION ON THE PROPOSED APPROACH</w:t>
      </w:r>
      <w:bookmarkEnd w:id="6"/>
    </w:p>
    <w:bookmarkEnd w:id="7"/>
    <w:bookmarkEnd w:id="8"/>
    <w:p w14:paraId="50304238" w14:textId="35702713" w:rsidR="006C4F3A" w:rsidRDefault="006C4F3A" w:rsidP="00050F68">
      <w:pPr>
        <w:rPr>
          <w:rFonts w:asciiTheme="minorHAnsi" w:eastAsia="Times New Roman" w:hAnsiTheme="minorHAnsi" w:cstheme="minorHAnsi"/>
        </w:rPr>
      </w:pPr>
      <w:r>
        <w:rPr>
          <w:rFonts w:asciiTheme="minorHAnsi" w:eastAsia="Times New Roman" w:hAnsiTheme="minorHAnsi" w:cstheme="minorHAnsi"/>
        </w:rPr>
        <w:t xml:space="preserve">The amendments in the Bill were identified for permanent adoption by ACT Government agencies noting the operational efficiencies effected from these measures. Stakeholders that were consulted </w:t>
      </w:r>
      <w:r w:rsidR="005C1079">
        <w:rPr>
          <w:rFonts w:asciiTheme="minorHAnsi" w:eastAsia="Times New Roman" w:hAnsiTheme="minorHAnsi" w:cstheme="minorHAnsi"/>
        </w:rPr>
        <w:t>and informed in the development of</w:t>
      </w:r>
      <w:r>
        <w:rPr>
          <w:rFonts w:asciiTheme="minorHAnsi" w:eastAsia="Times New Roman" w:hAnsiTheme="minorHAnsi" w:cstheme="minorHAnsi"/>
        </w:rPr>
        <w:t xml:space="preserve"> the Bill include:</w:t>
      </w:r>
    </w:p>
    <w:p w14:paraId="3A236A68" w14:textId="3D170BF9" w:rsidR="005C1079" w:rsidRPr="005C1079" w:rsidRDefault="005C1079" w:rsidP="005C1079">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ACT Corrective Services</w:t>
      </w:r>
    </w:p>
    <w:p w14:paraId="5B4B797D" w14:textId="0056D091" w:rsidR="005C1079" w:rsidRPr="005C1079" w:rsidRDefault="005C1079" w:rsidP="005C1079">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ACT Courts and Tribunal</w:t>
      </w:r>
      <w:r>
        <w:rPr>
          <w:rFonts w:asciiTheme="minorHAnsi" w:eastAsia="Times New Roman" w:hAnsiTheme="minorHAnsi" w:cstheme="minorHAnsi"/>
          <w:sz w:val="24"/>
          <w:szCs w:val="24"/>
        </w:rPr>
        <w:t xml:space="preserve"> (including the Magistrates Court and Supreme Court)</w:t>
      </w:r>
    </w:p>
    <w:p w14:paraId="776FB923" w14:textId="2FCE8DA6" w:rsidR="005C1079" w:rsidRPr="005C1079" w:rsidRDefault="005C1079" w:rsidP="005C1079">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ACT Human Rights Commission</w:t>
      </w:r>
    </w:p>
    <w:p w14:paraId="221CDD7E" w14:textId="2D840741" w:rsidR="005C1079" w:rsidRPr="005C1079" w:rsidRDefault="005C1079" w:rsidP="005C1079">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ACT Law Society</w:t>
      </w:r>
    </w:p>
    <w:p w14:paraId="1B20C1CE" w14:textId="1D8BFAA2" w:rsidR="005C1079" w:rsidRDefault="005C1079" w:rsidP="005C1079">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ACT Policing</w:t>
      </w:r>
    </w:p>
    <w:p w14:paraId="27EA9A7A" w14:textId="77777777" w:rsidR="000670EB" w:rsidRDefault="000670EB" w:rsidP="005C1079">
      <w:pPr>
        <w:pStyle w:val="ListParagraph"/>
        <w:numPr>
          <w:ilvl w:val="0"/>
          <w:numId w:val="30"/>
        </w:numPr>
        <w:rPr>
          <w:rFonts w:asciiTheme="minorHAnsi" w:eastAsia="Times New Roman" w:hAnsiTheme="minorHAnsi" w:cstheme="minorHAnsi"/>
          <w:sz w:val="24"/>
          <w:szCs w:val="24"/>
        </w:rPr>
      </w:pPr>
      <w:r>
        <w:rPr>
          <w:rFonts w:asciiTheme="minorHAnsi" w:eastAsia="Times New Roman" w:hAnsiTheme="minorHAnsi" w:cstheme="minorHAnsi"/>
          <w:sz w:val="24"/>
          <w:szCs w:val="24"/>
        </w:rPr>
        <w:t>All ACT Government Directorates</w:t>
      </w:r>
    </w:p>
    <w:p w14:paraId="1E1AD5EC" w14:textId="1D7B8D5B" w:rsidR="005C1079" w:rsidRPr="005C1079" w:rsidRDefault="005C1079" w:rsidP="005C1079">
      <w:pPr>
        <w:pStyle w:val="ListParagraph"/>
        <w:numPr>
          <w:ilvl w:val="0"/>
          <w:numId w:val="30"/>
        </w:numPr>
        <w:rPr>
          <w:rFonts w:asciiTheme="minorHAnsi" w:eastAsia="Times New Roman" w:hAnsiTheme="minorHAnsi" w:cstheme="minorHAnsi"/>
          <w:sz w:val="24"/>
          <w:szCs w:val="24"/>
        </w:rPr>
      </w:pPr>
      <w:r>
        <w:rPr>
          <w:rFonts w:asciiTheme="minorHAnsi" w:eastAsia="Times New Roman" w:hAnsiTheme="minorHAnsi" w:cstheme="minorHAnsi"/>
          <w:sz w:val="24"/>
          <w:szCs w:val="24"/>
        </w:rPr>
        <w:t>Director of Public Prosecutions</w:t>
      </w:r>
    </w:p>
    <w:p w14:paraId="3313FBA7" w14:textId="7EA11081" w:rsidR="005C1079" w:rsidRPr="005C1079" w:rsidRDefault="005C1079" w:rsidP="005C1079">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Disability and Community Services Commissioner</w:t>
      </w:r>
    </w:p>
    <w:p w14:paraId="78B9F7DB" w14:textId="0B2B71EB" w:rsidR="006C4F3A" w:rsidRPr="005C1079" w:rsidRDefault="006C4F3A" w:rsidP="006C4F3A">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Retirement Living</w:t>
      </w:r>
      <w:r w:rsidR="00BC30CB">
        <w:rPr>
          <w:rFonts w:asciiTheme="minorHAnsi" w:eastAsia="Times New Roman" w:hAnsiTheme="minorHAnsi" w:cstheme="minorHAnsi"/>
          <w:sz w:val="24"/>
          <w:szCs w:val="24"/>
        </w:rPr>
        <w:t xml:space="preserve">, </w:t>
      </w:r>
      <w:r w:rsidRPr="005C1079">
        <w:rPr>
          <w:rFonts w:asciiTheme="minorHAnsi" w:eastAsia="Times New Roman" w:hAnsiTheme="minorHAnsi" w:cstheme="minorHAnsi"/>
          <w:sz w:val="24"/>
          <w:szCs w:val="24"/>
        </w:rPr>
        <w:t>Goodwin</w:t>
      </w:r>
    </w:p>
    <w:p w14:paraId="664714A2" w14:textId="3F678E7D" w:rsidR="005C1079" w:rsidRPr="005C1079" w:rsidRDefault="005C1079" w:rsidP="00766802">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Legal Aid ACT</w:t>
      </w:r>
    </w:p>
    <w:p w14:paraId="5BD702C0" w14:textId="24C8D9B2" w:rsidR="006C4F3A" w:rsidRPr="005C1079" w:rsidRDefault="005C1079" w:rsidP="00766802">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Retirement Living Comm</w:t>
      </w:r>
      <w:r w:rsidR="006C4F3A" w:rsidRPr="005C1079">
        <w:rPr>
          <w:rFonts w:asciiTheme="minorHAnsi" w:eastAsia="Times New Roman" w:hAnsiTheme="minorHAnsi" w:cstheme="minorHAnsi"/>
          <w:sz w:val="24"/>
          <w:szCs w:val="24"/>
        </w:rPr>
        <w:t>ittee of the ACT Property Council</w:t>
      </w:r>
    </w:p>
    <w:p w14:paraId="06759D27" w14:textId="0E51CF5E" w:rsidR="005C1079" w:rsidRPr="005C1079" w:rsidRDefault="005C1079" w:rsidP="00766802">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Public Trustee and Guardian</w:t>
      </w:r>
    </w:p>
    <w:p w14:paraId="0E81D34F" w14:textId="48543F08" w:rsidR="006C4F3A" w:rsidRPr="005C1079" w:rsidRDefault="005C1079" w:rsidP="006C4F3A">
      <w:pPr>
        <w:pStyle w:val="ListParagraph"/>
        <w:numPr>
          <w:ilvl w:val="0"/>
          <w:numId w:val="30"/>
        </w:numPr>
        <w:rPr>
          <w:rFonts w:asciiTheme="minorHAnsi" w:eastAsia="Times New Roman" w:hAnsiTheme="minorHAnsi" w:cstheme="minorHAnsi"/>
          <w:sz w:val="24"/>
          <w:szCs w:val="24"/>
        </w:rPr>
      </w:pPr>
      <w:r w:rsidRPr="005C1079">
        <w:rPr>
          <w:rFonts w:asciiTheme="minorHAnsi" w:eastAsia="Times New Roman" w:hAnsiTheme="minorHAnsi" w:cstheme="minorHAnsi"/>
          <w:sz w:val="24"/>
          <w:szCs w:val="24"/>
        </w:rPr>
        <w:t>R</w:t>
      </w:r>
      <w:r w:rsidR="006C4F3A" w:rsidRPr="005C1079">
        <w:rPr>
          <w:rFonts w:asciiTheme="minorHAnsi" w:eastAsia="Times New Roman" w:hAnsiTheme="minorHAnsi" w:cstheme="minorHAnsi"/>
          <w:sz w:val="24"/>
          <w:szCs w:val="24"/>
        </w:rPr>
        <w:t>etirement Villagers Association, ACT</w:t>
      </w:r>
    </w:p>
    <w:p w14:paraId="22475B24" w14:textId="77A3E580" w:rsidR="009C4C50" w:rsidRPr="000911EB" w:rsidRDefault="000670EB" w:rsidP="00050F68">
      <w:pPr>
        <w:rPr>
          <w:rFonts w:asciiTheme="minorHAnsi" w:hAnsiTheme="minorHAnsi" w:cstheme="minorHAnsi"/>
          <w:color w:val="FF0000"/>
          <w:szCs w:val="24"/>
        </w:rPr>
      </w:pPr>
      <w:r>
        <w:rPr>
          <w:rFonts w:asciiTheme="minorHAnsi" w:eastAsia="Times New Roman" w:hAnsiTheme="minorHAnsi" w:cstheme="minorHAnsi"/>
        </w:rPr>
        <w:t>The Bill is the result of consultation with and input from the above stakeholders.</w:t>
      </w:r>
    </w:p>
    <w:p w14:paraId="0F6AAC2E" w14:textId="5F66FC18" w:rsidR="00702566" w:rsidRDefault="00050F68" w:rsidP="00214EAF">
      <w:pPr>
        <w:pStyle w:val="Heading2"/>
        <w:spacing w:after="120"/>
        <w:rPr>
          <w:rFonts w:asciiTheme="minorHAnsi" w:hAnsiTheme="minorHAnsi" w:cstheme="minorHAnsi"/>
          <w:szCs w:val="24"/>
          <w:u w:val="none"/>
        </w:rPr>
      </w:pPr>
      <w:bookmarkStart w:id="9" w:name="_Toc79498175"/>
      <w:r w:rsidRPr="00D4690B">
        <w:rPr>
          <w:rFonts w:asciiTheme="minorHAnsi" w:hAnsiTheme="minorHAnsi" w:cstheme="minorHAnsi"/>
          <w:szCs w:val="24"/>
          <w:u w:val="none"/>
        </w:rPr>
        <w:t>CONSISTENCY WITH HUMAN RIGHTS</w:t>
      </w:r>
      <w:bookmarkEnd w:id="9"/>
    </w:p>
    <w:p w14:paraId="54F8253B" w14:textId="77777777" w:rsidR="00A41CD3" w:rsidRPr="00D4690B" w:rsidRDefault="00A41CD3" w:rsidP="00A41CD3">
      <w:pPr>
        <w:autoSpaceDE w:val="0"/>
        <w:autoSpaceDN w:val="0"/>
        <w:adjustRightInd w:val="0"/>
        <w:spacing w:before="240" w:after="120"/>
        <w:rPr>
          <w:rFonts w:asciiTheme="minorHAnsi" w:hAnsiTheme="minorHAnsi" w:cstheme="minorHAnsi"/>
          <w:bCs/>
          <w:szCs w:val="24"/>
        </w:rPr>
      </w:pPr>
      <w:r w:rsidRPr="00D4690B">
        <w:rPr>
          <w:rFonts w:asciiTheme="minorHAnsi" w:hAnsiTheme="minorHAnsi" w:cstheme="minorHAnsi"/>
          <w:bCs/>
          <w:szCs w:val="24"/>
        </w:rPr>
        <w:t xml:space="preserve">International human rights law places obligations on governments to “respect, protect and fulfil” rights. The obligation to respect means governments must ensure its organs and agents do not commit violations themselves; the obligation to protect means governments must protect individuals and groups from having rights interfered with by third parties and </w:t>
      </w:r>
      <w:r w:rsidRPr="00D4690B">
        <w:rPr>
          <w:rFonts w:asciiTheme="minorHAnsi" w:hAnsiTheme="minorHAnsi" w:cstheme="minorHAnsi"/>
          <w:bCs/>
          <w:szCs w:val="24"/>
        </w:rPr>
        <w:lastRenderedPageBreak/>
        <w:t xml:space="preserve">punish perpetrators; and the obligation to fulfil means governments must take positive action to facilitate the full enjoyment of rights. </w:t>
      </w:r>
    </w:p>
    <w:p w14:paraId="4EB93BD3" w14:textId="4B529B9F" w:rsidR="00A41CD3" w:rsidRPr="00D4690B" w:rsidRDefault="00A41CD3" w:rsidP="00A41CD3">
      <w:pPr>
        <w:autoSpaceDE w:val="0"/>
        <w:autoSpaceDN w:val="0"/>
        <w:adjustRightInd w:val="0"/>
        <w:spacing w:before="240" w:after="120"/>
        <w:rPr>
          <w:rFonts w:asciiTheme="minorHAnsi" w:hAnsiTheme="minorHAnsi" w:cstheme="minorHAnsi"/>
          <w:bCs/>
          <w:szCs w:val="24"/>
        </w:rPr>
      </w:pPr>
      <w:r w:rsidRPr="00D4690B">
        <w:rPr>
          <w:rFonts w:asciiTheme="minorHAnsi" w:hAnsiTheme="minorHAnsi" w:cstheme="minorHAnsi"/>
          <w:bCs/>
          <w:szCs w:val="24"/>
        </w:rPr>
        <w:t>The European Court of Human Rights has considered the positive obligation of governments to uphold rights in depth, noting government</w:t>
      </w:r>
      <w:r w:rsidR="00C2759F">
        <w:rPr>
          <w:rFonts w:asciiTheme="minorHAnsi" w:hAnsiTheme="minorHAnsi" w:cstheme="minorHAnsi"/>
          <w:bCs/>
          <w:szCs w:val="24"/>
        </w:rPr>
        <w:t>s</w:t>
      </w:r>
      <w:r w:rsidRPr="00D4690B">
        <w:rPr>
          <w:rFonts w:asciiTheme="minorHAnsi" w:hAnsiTheme="minorHAnsi" w:cstheme="minorHAnsi"/>
          <w:bCs/>
          <w:szCs w:val="24"/>
        </w:rPr>
        <w:t xml:space="preserve"> must put in place legislative and administrative frameworks to deter conduct that infringes rights, and to undertake operational measures to protect an individual who is at risk of rights infringement.</w:t>
      </w:r>
      <w:r w:rsidRPr="00D4690B">
        <w:rPr>
          <w:rStyle w:val="FootnoteReference"/>
          <w:rFonts w:asciiTheme="minorHAnsi" w:hAnsiTheme="minorHAnsi" w:cstheme="minorHAnsi"/>
          <w:bCs/>
          <w:szCs w:val="24"/>
        </w:rPr>
        <w:footnoteReference w:id="1"/>
      </w:r>
    </w:p>
    <w:p w14:paraId="34BFABF1" w14:textId="14C6F7AF" w:rsidR="001E4E37" w:rsidRPr="00172631" w:rsidRDefault="001E4E37" w:rsidP="00172631">
      <w:pPr>
        <w:pStyle w:val="Heading3"/>
        <w:rPr>
          <w:rFonts w:asciiTheme="minorHAnsi" w:hAnsiTheme="minorHAnsi" w:cstheme="minorHAnsi"/>
        </w:rPr>
      </w:pPr>
      <w:bookmarkStart w:id="10" w:name="_Toc79498176"/>
      <w:r w:rsidRPr="00172631">
        <w:rPr>
          <w:rFonts w:asciiTheme="minorHAnsi" w:hAnsiTheme="minorHAnsi" w:cstheme="minorHAnsi"/>
        </w:rPr>
        <w:t xml:space="preserve">Rights </w:t>
      </w:r>
      <w:r w:rsidR="00DA56E0">
        <w:rPr>
          <w:rFonts w:asciiTheme="minorHAnsi" w:hAnsiTheme="minorHAnsi" w:cstheme="minorHAnsi"/>
        </w:rPr>
        <w:t>E</w:t>
      </w:r>
      <w:r w:rsidRPr="00172631">
        <w:rPr>
          <w:rFonts w:asciiTheme="minorHAnsi" w:hAnsiTheme="minorHAnsi" w:cstheme="minorHAnsi"/>
        </w:rPr>
        <w:t>ngaged</w:t>
      </w:r>
      <w:bookmarkEnd w:id="10"/>
    </w:p>
    <w:p w14:paraId="08293681" w14:textId="03CA2AC8" w:rsidR="00351F41" w:rsidRPr="00D4690B" w:rsidRDefault="00910BF7" w:rsidP="00A363CB">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 xml:space="preserve">The Bill engages and may promote the following rights under the </w:t>
      </w:r>
      <w:r w:rsidR="00C404C5">
        <w:rPr>
          <w:rFonts w:asciiTheme="minorHAnsi" w:hAnsiTheme="minorHAnsi" w:cstheme="minorHAnsi"/>
          <w:bCs/>
          <w:szCs w:val="24"/>
        </w:rPr>
        <w:t>Human Rights Act</w:t>
      </w:r>
      <w:r>
        <w:rPr>
          <w:rFonts w:asciiTheme="minorHAnsi" w:hAnsiTheme="minorHAnsi" w:cstheme="minorHAnsi"/>
          <w:bCs/>
          <w:szCs w:val="24"/>
        </w:rPr>
        <w:t xml:space="preserve"> and </w:t>
      </w:r>
      <w:r w:rsidR="00C404C5">
        <w:rPr>
          <w:rFonts w:asciiTheme="minorHAnsi" w:hAnsiTheme="minorHAnsi" w:cstheme="minorHAnsi"/>
          <w:bCs/>
          <w:szCs w:val="24"/>
        </w:rPr>
        <w:t>is</w:t>
      </w:r>
      <w:r>
        <w:rPr>
          <w:rFonts w:asciiTheme="minorHAnsi" w:hAnsiTheme="minorHAnsi" w:cstheme="minorHAnsi"/>
          <w:bCs/>
          <w:szCs w:val="24"/>
        </w:rPr>
        <w:t xml:space="preserve"> discussed under </w:t>
      </w:r>
      <w:r>
        <w:rPr>
          <w:rFonts w:asciiTheme="minorHAnsi" w:hAnsiTheme="minorHAnsi" w:cstheme="minorHAnsi"/>
          <w:bCs/>
          <w:szCs w:val="24"/>
          <w:u w:val="single"/>
        </w:rPr>
        <w:t>Rights Promoted</w:t>
      </w:r>
      <w:r>
        <w:rPr>
          <w:rFonts w:asciiTheme="minorHAnsi" w:hAnsiTheme="minorHAnsi" w:cstheme="minorHAnsi"/>
          <w:bCs/>
          <w:szCs w:val="24"/>
        </w:rPr>
        <w:t xml:space="preserve"> in detail</w:t>
      </w:r>
      <w:r w:rsidR="00351F41" w:rsidRPr="00D4690B">
        <w:rPr>
          <w:rFonts w:asciiTheme="minorHAnsi" w:hAnsiTheme="minorHAnsi" w:cstheme="minorHAnsi"/>
          <w:bCs/>
          <w:szCs w:val="24"/>
        </w:rPr>
        <w:t xml:space="preserve">: </w:t>
      </w:r>
    </w:p>
    <w:p w14:paraId="40377A6B" w14:textId="7A56B4BC" w:rsidR="00870BD7" w:rsidRDefault="00870BD7" w:rsidP="00DF7319">
      <w:pPr>
        <w:numPr>
          <w:ilvl w:val="0"/>
          <w:numId w:val="2"/>
        </w:num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Section 10 – Protection from torture and cruel, inhuman or degrading treatment etc</w:t>
      </w:r>
    </w:p>
    <w:p w14:paraId="1320FDB9" w14:textId="38E18EFE" w:rsidR="0088781C" w:rsidRPr="00D4690B" w:rsidRDefault="0088781C" w:rsidP="00DF7319">
      <w:pPr>
        <w:numPr>
          <w:ilvl w:val="0"/>
          <w:numId w:val="2"/>
        </w:numPr>
        <w:autoSpaceDE w:val="0"/>
        <w:autoSpaceDN w:val="0"/>
        <w:adjustRightInd w:val="0"/>
        <w:spacing w:before="240" w:after="120"/>
        <w:rPr>
          <w:rFonts w:asciiTheme="minorHAnsi" w:hAnsiTheme="minorHAnsi" w:cstheme="minorHAnsi"/>
          <w:bCs/>
          <w:szCs w:val="24"/>
        </w:rPr>
      </w:pPr>
      <w:r w:rsidRPr="00D4690B">
        <w:rPr>
          <w:rFonts w:asciiTheme="minorHAnsi" w:hAnsiTheme="minorHAnsi" w:cstheme="minorHAnsi"/>
          <w:bCs/>
          <w:szCs w:val="24"/>
        </w:rPr>
        <w:t>Section 16 – Freedom of expression</w:t>
      </w:r>
    </w:p>
    <w:p w14:paraId="1C31C4E1" w14:textId="77777777" w:rsidR="0088781C" w:rsidRPr="00910BF7" w:rsidRDefault="0088781C" w:rsidP="00DF7319">
      <w:pPr>
        <w:numPr>
          <w:ilvl w:val="0"/>
          <w:numId w:val="2"/>
        </w:numPr>
        <w:autoSpaceDE w:val="0"/>
        <w:autoSpaceDN w:val="0"/>
        <w:adjustRightInd w:val="0"/>
        <w:spacing w:before="240" w:after="120"/>
        <w:rPr>
          <w:rFonts w:asciiTheme="minorHAnsi" w:hAnsiTheme="minorHAnsi" w:cstheme="minorHAnsi"/>
          <w:bCs/>
          <w:szCs w:val="24"/>
        </w:rPr>
      </w:pPr>
      <w:r w:rsidRPr="00910BF7">
        <w:rPr>
          <w:rFonts w:asciiTheme="minorHAnsi" w:hAnsiTheme="minorHAnsi" w:cstheme="minorHAnsi"/>
          <w:bCs/>
          <w:szCs w:val="24"/>
        </w:rPr>
        <w:t>Section 18 – Right to liberty and security of person</w:t>
      </w:r>
    </w:p>
    <w:p w14:paraId="015873B6" w14:textId="5BAE1781" w:rsidR="00910BF7" w:rsidRDefault="00910BF7" w:rsidP="001E4E37">
      <w:pPr>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 xml:space="preserve">The Bill engages and may limit the following rights under the Human Rights Act and </w:t>
      </w:r>
      <w:r w:rsidR="00C404C5">
        <w:rPr>
          <w:rFonts w:asciiTheme="minorHAnsi" w:hAnsiTheme="minorHAnsi" w:cstheme="minorHAnsi"/>
          <w:szCs w:val="24"/>
        </w:rPr>
        <w:t xml:space="preserve">is </w:t>
      </w:r>
      <w:r>
        <w:rPr>
          <w:rFonts w:asciiTheme="minorHAnsi" w:hAnsiTheme="minorHAnsi" w:cstheme="minorHAnsi"/>
          <w:szCs w:val="24"/>
        </w:rPr>
        <w:t xml:space="preserve">discussed under </w:t>
      </w:r>
      <w:r>
        <w:rPr>
          <w:rFonts w:asciiTheme="minorHAnsi" w:hAnsiTheme="minorHAnsi" w:cstheme="minorHAnsi"/>
          <w:szCs w:val="24"/>
          <w:u w:val="single"/>
        </w:rPr>
        <w:t>Rights Limited</w:t>
      </w:r>
      <w:r>
        <w:rPr>
          <w:rFonts w:asciiTheme="minorHAnsi" w:hAnsiTheme="minorHAnsi" w:cstheme="minorHAnsi"/>
          <w:szCs w:val="24"/>
        </w:rPr>
        <w:t xml:space="preserve"> in detail:</w:t>
      </w:r>
    </w:p>
    <w:p w14:paraId="2317D3BC" w14:textId="77777777" w:rsidR="00175D0E" w:rsidRPr="00910BF7" w:rsidRDefault="00175D0E" w:rsidP="00175D0E">
      <w:pPr>
        <w:numPr>
          <w:ilvl w:val="0"/>
          <w:numId w:val="2"/>
        </w:numPr>
        <w:autoSpaceDE w:val="0"/>
        <w:autoSpaceDN w:val="0"/>
        <w:adjustRightInd w:val="0"/>
        <w:spacing w:before="240" w:after="120"/>
        <w:rPr>
          <w:rFonts w:asciiTheme="minorHAnsi" w:hAnsiTheme="minorHAnsi" w:cstheme="minorHAnsi"/>
          <w:bCs/>
          <w:szCs w:val="24"/>
        </w:rPr>
      </w:pPr>
      <w:r w:rsidRPr="00910BF7">
        <w:rPr>
          <w:rFonts w:asciiTheme="minorHAnsi" w:hAnsiTheme="minorHAnsi" w:cstheme="minorHAnsi"/>
          <w:bCs/>
          <w:szCs w:val="24"/>
        </w:rPr>
        <w:t>Section 8 – Recognition and equality before the law</w:t>
      </w:r>
    </w:p>
    <w:p w14:paraId="0384DDCD" w14:textId="31959EF5" w:rsidR="009C0110" w:rsidRDefault="009C0110" w:rsidP="009C0110">
      <w:pPr>
        <w:numPr>
          <w:ilvl w:val="0"/>
          <w:numId w:val="2"/>
        </w:numPr>
        <w:autoSpaceDE w:val="0"/>
        <w:autoSpaceDN w:val="0"/>
        <w:adjustRightInd w:val="0"/>
        <w:spacing w:before="240" w:after="120"/>
        <w:rPr>
          <w:rFonts w:asciiTheme="minorHAnsi" w:hAnsiTheme="minorHAnsi" w:cstheme="minorHAnsi"/>
          <w:bCs/>
          <w:szCs w:val="24"/>
        </w:rPr>
      </w:pPr>
      <w:r w:rsidRPr="00910BF7">
        <w:rPr>
          <w:rFonts w:asciiTheme="minorHAnsi" w:hAnsiTheme="minorHAnsi" w:cstheme="minorHAnsi"/>
          <w:bCs/>
          <w:szCs w:val="24"/>
        </w:rPr>
        <w:t xml:space="preserve">Section 12 – </w:t>
      </w:r>
      <w:r>
        <w:rPr>
          <w:rFonts w:asciiTheme="minorHAnsi" w:hAnsiTheme="minorHAnsi" w:cstheme="minorHAnsi"/>
          <w:bCs/>
          <w:szCs w:val="24"/>
        </w:rPr>
        <w:t>P</w:t>
      </w:r>
      <w:r w:rsidRPr="00910BF7">
        <w:rPr>
          <w:rFonts w:asciiTheme="minorHAnsi" w:hAnsiTheme="minorHAnsi" w:cstheme="minorHAnsi"/>
          <w:bCs/>
          <w:szCs w:val="24"/>
        </w:rPr>
        <w:t>rivacy and reputation</w:t>
      </w:r>
    </w:p>
    <w:p w14:paraId="53FFF2DF" w14:textId="1D9C9D0C" w:rsidR="000721B0" w:rsidRDefault="000721B0" w:rsidP="009C0110">
      <w:pPr>
        <w:numPr>
          <w:ilvl w:val="0"/>
          <w:numId w:val="2"/>
        </w:num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 xml:space="preserve">Section 13 – </w:t>
      </w:r>
      <w:r w:rsidR="00C2759F">
        <w:rPr>
          <w:rFonts w:asciiTheme="minorHAnsi" w:hAnsiTheme="minorHAnsi" w:cstheme="minorHAnsi"/>
          <w:bCs/>
          <w:szCs w:val="24"/>
        </w:rPr>
        <w:t>Fr</w:t>
      </w:r>
      <w:r>
        <w:rPr>
          <w:rFonts w:asciiTheme="minorHAnsi" w:hAnsiTheme="minorHAnsi" w:cstheme="minorHAnsi"/>
          <w:bCs/>
          <w:szCs w:val="24"/>
        </w:rPr>
        <w:t>eedom of movement</w:t>
      </w:r>
    </w:p>
    <w:p w14:paraId="5D7EF748" w14:textId="6AE1771F" w:rsidR="000721B0" w:rsidRPr="00910BF7" w:rsidRDefault="000721B0" w:rsidP="009C0110">
      <w:pPr>
        <w:numPr>
          <w:ilvl w:val="0"/>
          <w:numId w:val="2"/>
        </w:numPr>
        <w:autoSpaceDE w:val="0"/>
        <w:autoSpaceDN w:val="0"/>
        <w:adjustRightInd w:val="0"/>
        <w:spacing w:before="240" w:after="120"/>
        <w:rPr>
          <w:rFonts w:asciiTheme="minorHAnsi" w:hAnsiTheme="minorHAnsi" w:cstheme="minorHAnsi"/>
          <w:bCs/>
          <w:szCs w:val="24"/>
        </w:rPr>
      </w:pPr>
      <w:r w:rsidRPr="00910BF7">
        <w:rPr>
          <w:rFonts w:asciiTheme="minorHAnsi" w:hAnsiTheme="minorHAnsi" w:cstheme="minorHAnsi"/>
          <w:bCs/>
          <w:szCs w:val="24"/>
        </w:rPr>
        <w:t>Section 18 – Right to liberty and security of person</w:t>
      </w:r>
    </w:p>
    <w:p w14:paraId="654599F7" w14:textId="44CD2F36" w:rsidR="00910BF7" w:rsidRPr="000721B0" w:rsidRDefault="00175D0E" w:rsidP="00910BF7">
      <w:pPr>
        <w:numPr>
          <w:ilvl w:val="0"/>
          <w:numId w:val="2"/>
        </w:numPr>
        <w:autoSpaceDE w:val="0"/>
        <w:autoSpaceDN w:val="0"/>
        <w:adjustRightInd w:val="0"/>
        <w:spacing w:before="240" w:after="120"/>
        <w:rPr>
          <w:rFonts w:asciiTheme="minorHAnsi" w:hAnsiTheme="minorHAnsi" w:cstheme="minorHAnsi"/>
          <w:bCs/>
          <w:szCs w:val="24"/>
        </w:rPr>
      </w:pPr>
      <w:r>
        <w:rPr>
          <w:rFonts w:asciiTheme="minorHAnsi" w:eastAsia="Times New Roman" w:hAnsiTheme="minorHAnsi" w:cstheme="minorHAnsi"/>
          <w:color w:val="000000"/>
          <w:lang w:eastAsia="en-AU"/>
        </w:rPr>
        <w:t>Section 22 – Rights in criminal proceedings</w:t>
      </w:r>
    </w:p>
    <w:p w14:paraId="7565632A" w14:textId="77777777" w:rsidR="000721B0" w:rsidRPr="000721B0" w:rsidRDefault="000721B0" w:rsidP="00910BF7">
      <w:pPr>
        <w:numPr>
          <w:ilvl w:val="0"/>
          <w:numId w:val="2"/>
        </w:numPr>
        <w:autoSpaceDE w:val="0"/>
        <w:autoSpaceDN w:val="0"/>
        <w:adjustRightInd w:val="0"/>
        <w:spacing w:before="240" w:after="120"/>
        <w:rPr>
          <w:rFonts w:asciiTheme="minorHAnsi" w:hAnsiTheme="minorHAnsi" w:cstheme="minorHAnsi"/>
          <w:bCs/>
          <w:szCs w:val="24"/>
        </w:rPr>
      </w:pPr>
      <w:r>
        <w:rPr>
          <w:rFonts w:asciiTheme="minorHAnsi" w:hAnsiTheme="minorHAnsi" w:cstheme="minorHAnsi"/>
          <w:szCs w:val="24"/>
        </w:rPr>
        <w:t>Section 27B – Right to work and other work-related rights</w:t>
      </w:r>
    </w:p>
    <w:p w14:paraId="07DCB479" w14:textId="32646B34" w:rsidR="001E4E37" w:rsidRPr="00172631" w:rsidRDefault="001E4E37" w:rsidP="00172631">
      <w:pPr>
        <w:pStyle w:val="Heading3"/>
        <w:rPr>
          <w:rFonts w:asciiTheme="minorHAnsi" w:hAnsiTheme="minorHAnsi" w:cstheme="minorHAnsi"/>
        </w:rPr>
      </w:pPr>
      <w:bookmarkStart w:id="11" w:name="_Toc79498177"/>
      <w:r w:rsidRPr="00172631">
        <w:rPr>
          <w:rFonts w:asciiTheme="minorHAnsi" w:hAnsiTheme="minorHAnsi" w:cstheme="minorHAnsi"/>
        </w:rPr>
        <w:t>Rights Promoted</w:t>
      </w:r>
      <w:bookmarkEnd w:id="11"/>
      <w:r w:rsidRPr="00172631">
        <w:rPr>
          <w:rFonts w:asciiTheme="minorHAnsi" w:hAnsiTheme="minorHAnsi" w:cstheme="minorHAnsi"/>
        </w:rPr>
        <w:tab/>
      </w:r>
    </w:p>
    <w:p w14:paraId="15D2847C" w14:textId="16B09441" w:rsidR="004422FB" w:rsidRPr="00172631" w:rsidRDefault="004422FB" w:rsidP="00172631">
      <w:pPr>
        <w:pStyle w:val="Heading4"/>
        <w:rPr>
          <w:rFonts w:asciiTheme="minorHAnsi" w:hAnsiTheme="minorHAnsi" w:cstheme="minorHAnsi"/>
          <w:i/>
          <w:iCs/>
          <w:lang w:eastAsia="en-AU"/>
        </w:rPr>
      </w:pPr>
      <w:r w:rsidRPr="00172631">
        <w:rPr>
          <w:rFonts w:asciiTheme="minorHAnsi" w:hAnsiTheme="minorHAnsi" w:cstheme="minorHAnsi"/>
          <w:i/>
          <w:iCs/>
          <w:lang w:eastAsia="en-AU"/>
        </w:rPr>
        <w:t>Associations Incorporat</w:t>
      </w:r>
      <w:r w:rsidR="00172631" w:rsidRPr="00172631">
        <w:rPr>
          <w:rFonts w:asciiTheme="minorHAnsi" w:hAnsiTheme="minorHAnsi" w:cstheme="minorHAnsi"/>
          <w:i/>
          <w:iCs/>
          <w:lang w:eastAsia="en-AU"/>
        </w:rPr>
        <w:t>ion</w:t>
      </w:r>
      <w:r w:rsidRPr="00172631">
        <w:rPr>
          <w:rFonts w:asciiTheme="minorHAnsi" w:hAnsiTheme="minorHAnsi" w:cstheme="minorHAnsi"/>
          <w:i/>
          <w:iCs/>
          <w:lang w:eastAsia="en-AU"/>
        </w:rPr>
        <w:t xml:space="preserve"> Act 1991</w:t>
      </w:r>
    </w:p>
    <w:p w14:paraId="0183B18C" w14:textId="1FD1ABB6" w:rsidR="004422FB" w:rsidRPr="004422FB" w:rsidRDefault="004422FB" w:rsidP="00172631">
      <w:pPr>
        <w:spacing w:before="240" w:after="120"/>
        <w:rPr>
          <w:rFonts w:asciiTheme="minorHAnsi" w:hAnsiTheme="minorHAnsi" w:cstheme="minorHAnsi"/>
        </w:rPr>
      </w:pPr>
      <w:r w:rsidRPr="004422FB">
        <w:rPr>
          <w:rFonts w:asciiTheme="minorHAnsi" w:hAnsiTheme="minorHAnsi" w:cstheme="minorHAnsi"/>
        </w:rPr>
        <w:t>The extension of section 70AA</w:t>
      </w:r>
      <w:r w:rsidR="00792EF5">
        <w:rPr>
          <w:rFonts w:asciiTheme="minorHAnsi" w:hAnsiTheme="minorHAnsi" w:cstheme="minorHAnsi"/>
        </w:rPr>
        <w:t xml:space="preserve"> </w:t>
      </w:r>
      <w:r w:rsidR="00172631">
        <w:rPr>
          <w:rFonts w:asciiTheme="minorHAnsi" w:hAnsiTheme="minorHAnsi" w:cstheme="minorHAnsi"/>
        </w:rPr>
        <w:t xml:space="preserve">of the Associations Incorporation Act </w:t>
      </w:r>
      <w:r w:rsidR="00792EF5">
        <w:rPr>
          <w:rFonts w:asciiTheme="minorHAnsi" w:hAnsiTheme="minorHAnsi" w:cstheme="minorHAnsi"/>
        </w:rPr>
        <w:t>engages and may</w:t>
      </w:r>
      <w:r w:rsidRPr="004422FB">
        <w:rPr>
          <w:rFonts w:asciiTheme="minorHAnsi" w:hAnsiTheme="minorHAnsi" w:cstheme="minorHAnsi"/>
        </w:rPr>
        <w:t xml:space="preserve"> promote the right to freedom of expression </w:t>
      </w:r>
      <w:r w:rsidR="00C2759F">
        <w:rPr>
          <w:rFonts w:asciiTheme="minorHAnsi" w:hAnsiTheme="minorHAnsi" w:cstheme="minorHAnsi"/>
        </w:rPr>
        <w:t xml:space="preserve">(section 16 of the Human Rights Act) </w:t>
      </w:r>
      <w:r w:rsidRPr="004422FB">
        <w:rPr>
          <w:rFonts w:asciiTheme="minorHAnsi" w:hAnsiTheme="minorHAnsi" w:cstheme="minorHAnsi"/>
        </w:rPr>
        <w:t xml:space="preserve">by </w:t>
      </w:r>
      <w:r w:rsidR="00CD20AF">
        <w:rPr>
          <w:rFonts w:asciiTheme="minorHAnsi" w:hAnsiTheme="minorHAnsi" w:cstheme="minorHAnsi"/>
        </w:rPr>
        <w:t>facilitat</w:t>
      </w:r>
      <w:r w:rsidR="00792EF5">
        <w:rPr>
          <w:rFonts w:asciiTheme="minorHAnsi" w:hAnsiTheme="minorHAnsi" w:cstheme="minorHAnsi"/>
        </w:rPr>
        <w:t xml:space="preserve">ing </w:t>
      </w:r>
      <w:r w:rsidRPr="004422FB">
        <w:rPr>
          <w:rFonts w:asciiTheme="minorHAnsi" w:hAnsiTheme="minorHAnsi" w:cstheme="minorHAnsi"/>
        </w:rPr>
        <w:t>incorporated associations</w:t>
      </w:r>
      <w:r w:rsidR="00CD20AF">
        <w:rPr>
          <w:rFonts w:asciiTheme="minorHAnsi" w:hAnsiTheme="minorHAnsi" w:cstheme="minorHAnsi"/>
        </w:rPr>
        <w:t>’ abilities to con</w:t>
      </w:r>
      <w:r w:rsidRPr="004422FB">
        <w:rPr>
          <w:rFonts w:asciiTheme="minorHAnsi" w:hAnsiTheme="minorHAnsi" w:cstheme="minorHAnsi"/>
        </w:rPr>
        <w:t xml:space="preserve">vene </w:t>
      </w:r>
      <w:r w:rsidR="00792EF5">
        <w:rPr>
          <w:rFonts w:asciiTheme="minorHAnsi" w:hAnsiTheme="minorHAnsi" w:cstheme="minorHAnsi"/>
        </w:rPr>
        <w:t xml:space="preserve">general </w:t>
      </w:r>
      <w:r w:rsidRPr="004422FB">
        <w:rPr>
          <w:rFonts w:asciiTheme="minorHAnsi" w:hAnsiTheme="minorHAnsi" w:cstheme="minorHAnsi"/>
        </w:rPr>
        <w:t>meetings and allow</w:t>
      </w:r>
      <w:r w:rsidR="00CD20AF">
        <w:rPr>
          <w:rFonts w:asciiTheme="minorHAnsi" w:hAnsiTheme="minorHAnsi" w:cstheme="minorHAnsi"/>
        </w:rPr>
        <w:t>ing</w:t>
      </w:r>
      <w:r w:rsidRPr="004422FB">
        <w:rPr>
          <w:rFonts w:asciiTheme="minorHAnsi" w:hAnsiTheme="minorHAnsi" w:cstheme="minorHAnsi"/>
        </w:rPr>
        <w:t xml:space="preserve"> their members’ opinions to be expressed using alternat</w:t>
      </w:r>
      <w:r w:rsidR="00C2759F">
        <w:rPr>
          <w:rFonts w:asciiTheme="minorHAnsi" w:hAnsiTheme="minorHAnsi" w:cstheme="minorHAnsi"/>
        </w:rPr>
        <w:t>ive</w:t>
      </w:r>
      <w:r w:rsidRPr="004422FB">
        <w:rPr>
          <w:rFonts w:asciiTheme="minorHAnsi" w:hAnsiTheme="minorHAnsi" w:cstheme="minorHAnsi"/>
        </w:rPr>
        <w:t xml:space="preserve"> methods of communication other </w:t>
      </w:r>
      <w:r w:rsidRPr="004422FB">
        <w:rPr>
          <w:rFonts w:asciiTheme="minorHAnsi" w:hAnsiTheme="minorHAnsi" w:cstheme="minorHAnsi"/>
        </w:rPr>
        <w:lastRenderedPageBreak/>
        <w:t>than in</w:t>
      </w:r>
      <w:r w:rsidR="00C2759F">
        <w:rPr>
          <w:rFonts w:asciiTheme="minorHAnsi" w:hAnsiTheme="minorHAnsi" w:cstheme="minorHAnsi"/>
        </w:rPr>
        <w:t>-</w:t>
      </w:r>
      <w:r w:rsidRPr="004422FB">
        <w:rPr>
          <w:rFonts w:asciiTheme="minorHAnsi" w:hAnsiTheme="minorHAnsi" w:cstheme="minorHAnsi"/>
        </w:rPr>
        <w:t>person</w:t>
      </w:r>
      <w:r w:rsidR="00792EF5">
        <w:rPr>
          <w:rFonts w:asciiTheme="minorHAnsi" w:hAnsiTheme="minorHAnsi" w:cstheme="minorHAnsi"/>
        </w:rPr>
        <w:t xml:space="preserve"> during a COVID-19 emergency</w:t>
      </w:r>
      <w:r w:rsidRPr="004422FB">
        <w:rPr>
          <w:rFonts w:asciiTheme="minorHAnsi" w:hAnsiTheme="minorHAnsi" w:cstheme="minorHAnsi"/>
        </w:rPr>
        <w:t xml:space="preserve">. </w:t>
      </w:r>
      <w:r w:rsidR="00792EF5">
        <w:rPr>
          <w:rFonts w:asciiTheme="minorHAnsi" w:hAnsiTheme="minorHAnsi" w:cstheme="minorHAnsi"/>
        </w:rPr>
        <w:t>B</w:t>
      </w:r>
      <w:r w:rsidRPr="004422FB">
        <w:rPr>
          <w:rFonts w:asciiTheme="minorHAnsi" w:hAnsiTheme="minorHAnsi" w:cstheme="minorHAnsi"/>
        </w:rPr>
        <w:t>y permitting electronic methods of communication to be used, associations will be able to respond flexibly to operational challenges</w:t>
      </w:r>
      <w:r w:rsidR="00792EF5">
        <w:rPr>
          <w:rFonts w:asciiTheme="minorHAnsi" w:hAnsiTheme="minorHAnsi" w:cstheme="minorHAnsi"/>
        </w:rPr>
        <w:t xml:space="preserve"> </w:t>
      </w:r>
      <w:r w:rsidRPr="004422FB">
        <w:rPr>
          <w:rFonts w:asciiTheme="minorHAnsi" w:hAnsiTheme="minorHAnsi" w:cstheme="minorHAnsi"/>
        </w:rPr>
        <w:t>and ensure all members are able to participate and have their opinions heard</w:t>
      </w:r>
      <w:r w:rsidR="00CD20AF" w:rsidRPr="00CD20AF">
        <w:t xml:space="preserve"> </w:t>
      </w:r>
      <w:r w:rsidR="00CD20AF" w:rsidRPr="00CD20AF">
        <w:rPr>
          <w:rFonts w:asciiTheme="minorHAnsi" w:hAnsiTheme="minorHAnsi" w:cstheme="minorHAnsi"/>
        </w:rPr>
        <w:t xml:space="preserve">at a time when the COVID-19 pandemic continues and health measures </w:t>
      </w:r>
      <w:r w:rsidR="00CD20AF">
        <w:rPr>
          <w:rFonts w:asciiTheme="minorHAnsi" w:hAnsiTheme="minorHAnsi" w:cstheme="minorHAnsi"/>
        </w:rPr>
        <w:t xml:space="preserve">may </w:t>
      </w:r>
      <w:r w:rsidR="00CD20AF" w:rsidRPr="00CD20AF">
        <w:rPr>
          <w:rFonts w:asciiTheme="minorHAnsi" w:hAnsiTheme="minorHAnsi" w:cstheme="minorHAnsi"/>
        </w:rPr>
        <w:t>constrain the way in which meetings can be conducted</w:t>
      </w:r>
      <w:r w:rsidRPr="004422FB">
        <w:rPr>
          <w:rFonts w:asciiTheme="minorHAnsi" w:hAnsiTheme="minorHAnsi" w:cstheme="minorHAnsi"/>
        </w:rPr>
        <w:t xml:space="preserve">. </w:t>
      </w:r>
    </w:p>
    <w:p w14:paraId="2CB6D698" w14:textId="300A4A56" w:rsidR="00E43811" w:rsidRPr="00172631" w:rsidRDefault="00E43811" w:rsidP="00172631">
      <w:pPr>
        <w:pStyle w:val="Heading4"/>
        <w:rPr>
          <w:rFonts w:asciiTheme="minorHAnsi" w:hAnsiTheme="minorHAnsi" w:cstheme="minorHAnsi"/>
          <w:i/>
          <w:iCs/>
          <w:lang w:eastAsia="en-AU"/>
        </w:rPr>
      </w:pPr>
      <w:r w:rsidRPr="00172631">
        <w:rPr>
          <w:rFonts w:asciiTheme="minorHAnsi" w:hAnsiTheme="minorHAnsi" w:cstheme="minorHAnsi"/>
          <w:i/>
          <w:iCs/>
          <w:lang w:eastAsia="en-AU"/>
        </w:rPr>
        <w:t>Corrections Management Act 2007</w:t>
      </w:r>
    </w:p>
    <w:p w14:paraId="0B5FFF5D" w14:textId="150CBE8D" w:rsidR="00E43811" w:rsidRPr="00E43811" w:rsidRDefault="00E43811" w:rsidP="001E4E37">
      <w:pPr>
        <w:autoSpaceDE w:val="0"/>
        <w:autoSpaceDN w:val="0"/>
        <w:adjustRightInd w:val="0"/>
        <w:spacing w:before="240" w:after="120"/>
        <w:rPr>
          <w:rFonts w:asciiTheme="minorHAnsi" w:hAnsiTheme="minorHAnsi" w:cstheme="minorHAnsi"/>
          <w:szCs w:val="24"/>
          <w:lang w:eastAsia="en-AU"/>
        </w:rPr>
      </w:pPr>
      <w:r w:rsidRPr="00E43811">
        <w:rPr>
          <w:rFonts w:asciiTheme="minorHAnsi" w:eastAsia="Times New Roman" w:hAnsiTheme="minorHAnsi" w:cstheme="minorHAnsi"/>
        </w:rPr>
        <w:t xml:space="preserve">The amendments </w:t>
      </w:r>
      <w:r w:rsidR="00C404C5">
        <w:rPr>
          <w:rFonts w:asciiTheme="minorHAnsi" w:eastAsia="Times New Roman" w:hAnsiTheme="minorHAnsi" w:cstheme="minorHAnsi"/>
        </w:rPr>
        <w:t xml:space="preserve">to the Corrections Management Act </w:t>
      </w:r>
      <w:r w:rsidRPr="00E43811">
        <w:rPr>
          <w:rFonts w:asciiTheme="minorHAnsi" w:eastAsia="Times New Roman" w:hAnsiTheme="minorHAnsi" w:cstheme="minorHAnsi"/>
        </w:rPr>
        <w:t xml:space="preserve">engage and </w:t>
      </w:r>
      <w:r w:rsidR="00EC1B79">
        <w:rPr>
          <w:rFonts w:asciiTheme="minorHAnsi" w:eastAsia="Times New Roman" w:hAnsiTheme="minorHAnsi" w:cstheme="minorHAnsi"/>
        </w:rPr>
        <w:t xml:space="preserve">may </w:t>
      </w:r>
      <w:r w:rsidRPr="00E43811">
        <w:rPr>
          <w:rFonts w:asciiTheme="minorHAnsi" w:eastAsia="Times New Roman" w:hAnsiTheme="minorHAnsi" w:cstheme="minorHAnsi"/>
        </w:rPr>
        <w:t xml:space="preserve">promote the right to liberty and security of person </w:t>
      </w:r>
      <w:r>
        <w:rPr>
          <w:rFonts w:asciiTheme="minorHAnsi" w:eastAsia="Times New Roman" w:hAnsiTheme="minorHAnsi" w:cstheme="minorHAnsi"/>
        </w:rPr>
        <w:t xml:space="preserve">(section 18 of the Human Rights Act) </w:t>
      </w:r>
      <w:r w:rsidRPr="00E43811">
        <w:rPr>
          <w:rFonts w:asciiTheme="minorHAnsi" w:eastAsia="Times New Roman" w:hAnsiTheme="minorHAnsi" w:cstheme="minorHAnsi"/>
        </w:rPr>
        <w:t>by allowing the release of detainees from full-time detention to allow for long-term medical treatment or palliative care. The amendments recognise that there may be circumstances where it is appropriate to authorise release for extended periods. </w:t>
      </w:r>
    </w:p>
    <w:p w14:paraId="28A2CF90" w14:textId="77777777" w:rsidR="00870BD7" w:rsidRPr="00172631" w:rsidRDefault="00870BD7" w:rsidP="00172631">
      <w:pPr>
        <w:pStyle w:val="Heading4"/>
        <w:rPr>
          <w:rFonts w:asciiTheme="minorHAnsi" w:hAnsiTheme="minorHAnsi" w:cstheme="minorHAnsi"/>
          <w:i/>
          <w:iCs/>
          <w:lang w:eastAsia="en-AU"/>
        </w:rPr>
      </w:pPr>
      <w:r w:rsidRPr="00172631">
        <w:rPr>
          <w:rFonts w:asciiTheme="minorHAnsi" w:hAnsiTheme="minorHAnsi" w:cstheme="minorHAnsi"/>
          <w:i/>
          <w:iCs/>
          <w:lang w:eastAsia="en-AU"/>
        </w:rPr>
        <w:t>Human Rights Commission Act 2005</w:t>
      </w:r>
    </w:p>
    <w:p w14:paraId="21BE1913" w14:textId="211A3812" w:rsidR="00870BD7" w:rsidRPr="00870BD7" w:rsidRDefault="00870BD7" w:rsidP="00172631">
      <w:pPr>
        <w:shd w:val="clear" w:color="auto" w:fill="FFFFFF"/>
        <w:spacing w:before="240" w:after="120"/>
        <w:rPr>
          <w:rFonts w:asciiTheme="minorHAnsi" w:eastAsia="Times New Roman" w:hAnsiTheme="minorHAnsi" w:cstheme="minorHAnsi"/>
          <w:color w:val="000000"/>
          <w:lang w:eastAsia="en-AU"/>
        </w:rPr>
      </w:pPr>
      <w:r w:rsidRPr="00870BD7">
        <w:rPr>
          <w:rFonts w:asciiTheme="minorHAnsi" w:eastAsia="Times New Roman" w:hAnsiTheme="minorHAnsi" w:cstheme="minorHAnsi"/>
          <w:color w:val="000000"/>
          <w:lang w:eastAsia="en-AU"/>
        </w:rPr>
        <w:t>The</w:t>
      </w:r>
      <w:r w:rsidR="00172631">
        <w:rPr>
          <w:rFonts w:asciiTheme="minorHAnsi" w:eastAsia="Times New Roman" w:hAnsiTheme="minorHAnsi" w:cstheme="minorHAnsi"/>
          <w:color w:val="000000"/>
          <w:lang w:eastAsia="en-AU"/>
        </w:rPr>
        <w:t xml:space="preserve"> </w:t>
      </w:r>
      <w:r w:rsidRPr="00870BD7">
        <w:rPr>
          <w:rFonts w:asciiTheme="minorHAnsi" w:eastAsia="Times New Roman" w:hAnsiTheme="minorHAnsi" w:cstheme="minorHAnsi"/>
          <w:color w:val="000000"/>
          <w:lang w:eastAsia="en-AU"/>
        </w:rPr>
        <w:t xml:space="preserve">amendments </w:t>
      </w:r>
      <w:r w:rsidR="00172631">
        <w:rPr>
          <w:rFonts w:asciiTheme="minorHAnsi" w:eastAsia="Times New Roman" w:hAnsiTheme="minorHAnsi" w:cstheme="minorHAnsi"/>
          <w:color w:val="000000"/>
          <w:lang w:eastAsia="en-AU"/>
        </w:rPr>
        <w:t xml:space="preserve">to the Human Rights Commission Act </w:t>
      </w:r>
      <w:r w:rsidRPr="00870BD7">
        <w:rPr>
          <w:rFonts w:asciiTheme="minorHAnsi" w:eastAsia="Times New Roman" w:hAnsiTheme="minorHAnsi" w:cstheme="minorHAnsi"/>
          <w:color w:val="000000"/>
          <w:lang w:eastAsia="en-AU"/>
        </w:rPr>
        <w:t>will provide an avenue for vulnerable older people or people with a disability, and their advocates, to seek the assistance of the Human Rights Commission (HRC) in seeking to address situations of abuse, neglect and exploitation on a permanent basis.</w:t>
      </w:r>
    </w:p>
    <w:p w14:paraId="3C5F767D" w14:textId="1558FFD5" w:rsidR="00870BD7" w:rsidRPr="00870BD7" w:rsidRDefault="00870BD7" w:rsidP="00172631">
      <w:pPr>
        <w:shd w:val="clear" w:color="auto" w:fill="FFFFFF"/>
        <w:spacing w:before="240" w:after="120"/>
        <w:rPr>
          <w:rFonts w:asciiTheme="minorHAnsi" w:eastAsia="Times New Roman" w:hAnsiTheme="minorHAnsi" w:cstheme="minorHAnsi"/>
          <w:color w:val="000000"/>
          <w:lang w:eastAsia="en-AU"/>
        </w:rPr>
      </w:pPr>
      <w:r w:rsidRPr="00870BD7">
        <w:rPr>
          <w:rFonts w:asciiTheme="minorHAnsi" w:eastAsia="Times New Roman" w:hAnsiTheme="minorHAnsi" w:cstheme="minorHAnsi"/>
          <w:color w:val="000000"/>
          <w:lang w:eastAsia="en-AU"/>
        </w:rPr>
        <w:t>Continuing the functions of the HRC to deal with complaints about abuse, neglect or exploitation of vulnerable people constitutes an additional measure to protect vulnerable people including from torture or cruel, inhuman or degrading treatment. As such, the measure promotes the right to be free from torture, cruel, inhuman or degrading treatment</w:t>
      </w:r>
      <w:r>
        <w:rPr>
          <w:rFonts w:asciiTheme="minorHAnsi" w:eastAsia="Times New Roman" w:hAnsiTheme="minorHAnsi" w:cstheme="minorHAnsi"/>
          <w:color w:val="000000"/>
          <w:lang w:eastAsia="en-AU"/>
        </w:rPr>
        <w:t xml:space="preserve"> (section 10 of the Human Rights Act)</w:t>
      </w:r>
      <w:r w:rsidRPr="00870BD7">
        <w:rPr>
          <w:rFonts w:asciiTheme="minorHAnsi" w:eastAsia="Times New Roman" w:hAnsiTheme="minorHAnsi" w:cstheme="minorHAnsi"/>
          <w:color w:val="000000"/>
          <w:lang w:eastAsia="en-AU"/>
        </w:rPr>
        <w:t xml:space="preserve">. </w:t>
      </w:r>
    </w:p>
    <w:p w14:paraId="725E59AA" w14:textId="125B3CB0" w:rsidR="00870BD7" w:rsidRPr="00870BD7" w:rsidRDefault="00870BD7" w:rsidP="00172631">
      <w:pPr>
        <w:shd w:val="clear" w:color="auto" w:fill="FFFFFF"/>
        <w:spacing w:before="240" w:after="120"/>
        <w:rPr>
          <w:rFonts w:asciiTheme="minorHAnsi" w:hAnsiTheme="minorHAnsi" w:cstheme="minorHAnsi"/>
          <w:b/>
          <w:bCs/>
          <w:i/>
          <w:iCs/>
          <w:szCs w:val="24"/>
          <w:lang w:eastAsia="en-AU"/>
        </w:rPr>
      </w:pPr>
      <w:r w:rsidRPr="00870BD7">
        <w:rPr>
          <w:rFonts w:asciiTheme="minorHAnsi" w:eastAsia="Times New Roman" w:hAnsiTheme="minorHAnsi" w:cstheme="minorHAnsi"/>
          <w:color w:val="000000"/>
          <w:lang w:eastAsia="en-AU"/>
        </w:rPr>
        <w:t xml:space="preserve">In dealing with a complaint of alleged abuse, neglect or exploitation, existing complaint handling provisions apply and may involve conciliation between the parties. Resolving complaints by way of conciliation is more likely to preserve relationships between family members than an adversarial court process. </w:t>
      </w:r>
    </w:p>
    <w:p w14:paraId="6EEA6C1C" w14:textId="70AE862D" w:rsidR="00A41CD3" w:rsidRPr="00172631" w:rsidRDefault="00A41CD3" w:rsidP="00172631">
      <w:pPr>
        <w:pStyle w:val="Heading4"/>
        <w:rPr>
          <w:rFonts w:asciiTheme="minorHAnsi" w:hAnsiTheme="minorHAnsi" w:cstheme="minorHAnsi"/>
          <w:i/>
          <w:iCs/>
          <w:lang w:eastAsia="en-AU"/>
        </w:rPr>
      </w:pPr>
      <w:r w:rsidRPr="00172631">
        <w:rPr>
          <w:rFonts w:asciiTheme="minorHAnsi" w:hAnsiTheme="minorHAnsi" w:cstheme="minorHAnsi"/>
          <w:i/>
          <w:iCs/>
          <w:lang w:eastAsia="en-AU"/>
        </w:rPr>
        <w:t>Retirement Villages Act 2012</w:t>
      </w:r>
    </w:p>
    <w:p w14:paraId="50C0C6A9" w14:textId="117B43E3" w:rsidR="00A41CD3" w:rsidRDefault="00A41CD3" w:rsidP="00A41CD3">
      <w:pPr>
        <w:tabs>
          <w:tab w:val="left" w:pos="2160"/>
        </w:tabs>
        <w:autoSpaceDE w:val="0"/>
        <w:autoSpaceDN w:val="0"/>
        <w:adjustRightInd w:val="0"/>
        <w:spacing w:before="240" w:after="120"/>
        <w:rPr>
          <w:rFonts w:asciiTheme="minorHAnsi" w:hAnsiTheme="minorHAnsi" w:cstheme="minorHAnsi"/>
          <w:szCs w:val="24"/>
        </w:rPr>
      </w:pPr>
      <w:r w:rsidRPr="00A41CD3">
        <w:rPr>
          <w:rFonts w:asciiTheme="minorHAnsi" w:hAnsiTheme="minorHAnsi" w:cstheme="minorHAnsi"/>
          <w:szCs w:val="24"/>
        </w:rPr>
        <w:t xml:space="preserve">The amendments </w:t>
      </w:r>
      <w:r>
        <w:rPr>
          <w:rFonts w:asciiTheme="minorHAnsi" w:hAnsiTheme="minorHAnsi" w:cstheme="minorHAnsi"/>
          <w:szCs w:val="24"/>
        </w:rPr>
        <w:t xml:space="preserve">to the Retirement Villages Act </w:t>
      </w:r>
      <w:r w:rsidR="00EC1B79">
        <w:rPr>
          <w:rFonts w:asciiTheme="minorHAnsi" w:hAnsiTheme="minorHAnsi" w:cstheme="minorHAnsi"/>
          <w:szCs w:val="24"/>
        </w:rPr>
        <w:t xml:space="preserve">engage and may </w:t>
      </w:r>
      <w:r w:rsidRPr="00A41CD3">
        <w:rPr>
          <w:rFonts w:asciiTheme="minorHAnsi" w:hAnsiTheme="minorHAnsi" w:cstheme="minorHAnsi"/>
          <w:szCs w:val="24"/>
        </w:rPr>
        <w:t xml:space="preserve">promote the right to freedom of expression </w:t>
      </w:r>
      <w:r w:rsidR="009C0110">
        <w:rPr>
          <w:rFonts w:asciiTheme="minorHAnsi" w:hAnsiTheme="minorHAnsi" w:cstheme="minorHAnsi"/>
          <w:szCs w:val="24"/>
        </w:rPr>
        <w:t xml:space="preserve">(section 16 of the Human Rights Act) </w:t>
      </w:r>
      <w:r w:rsidRPr="00A41CD3">
        <w:rPr>
          <w:rFonts w:asciiTheme="minorHAnsi" w:hAnsiTheme="minorHAnsi" w:cstheme="minorHAnsi"/>
          <w:szCs w:val="24"/>
        </w:rPr>
        <w:t>by ensuring that residents and operators can express their opinion and discuss important operational matters impacting retirement villages regardless of their ability and without compromising their health and safety. By permitting alternative methods of communication to be used for meetings, retirements villages can respond flexibly to the needs of residents, while simultaneously facilitating all residents to have their opinions heard and considered.</w:t>
      </w:r>
    </w:p>
    <w:p w14:paraId="3E096E2D" w14:textId="71468606" w:rsidR="009C0110" w:rsidRPr="00172631" w:rsidRDefault="009C0110" w:rsidP="00172631">
      <w:pPr>
        <w:pStyle w:val="Heading4"/>
        <w:rPr>
          <w:rFonts w:asciiTheme="minorHAnsi" w:hAnsiTheme="minorHAnsi" w:cstheme="minorHAnsi"/>
          <w:i/>
          <w:iCs/>
          <w:lang w:eastAsia="en-AU"/>
        </w:rPr>
      </w:pPr>
      <w:r w:rsidRPr="00172631">
        <w:rPr>
          <w:rFonts w:asciiTheme="minorHAnsi" w:hAnsiTheme="minorHAnsi" w:cstheme="minorHAnsi"/>
          <w:i/>
          <w:iCs/>
          <w:lang w:eastAsia="en-AU"/>
        </w:rPr>
        <w:lastRenderedPageBreak/>
        <w:t>Taxation Administration Act 1999</w:t>
      </w:r>
    </w:p>
    <w:p w14:paraId="1EDDF2B7" w14:textId="77777777" w:rsidR="004E5108" w:rsidRPr="004E5108" w:rsidRDefault="004E5108" w:rsidP="00172631">
      <w:pPr>
        <w:pStyle w:val="CommentText"/>
        <w:spacing w:before="240" w:after="120"/>
        <w:rPr>
          <w:rFonts w:asciiTheme="minorHAnsi" w:hAnsiTheme="minorHAnsi" w:cstheme="minorHAnsi"/>
          <w:sz w:val="24"/>
          <w:szCs w:val="24"/>
        </w:rPr>
      </w:pPr>
      <w:r w:rsidRPr="004E5108">
        <w:rPr>
          <w:rFonts w:asciiTheme="minorHAnsi" w:hAnsiTheme="minorHAnsi" w:cstheme="minorHAnsi"/>
          <w:sz w:val="24"/>
          <w:szCs w:val="24"/>
        </w:rPr>
        <w:t>The amendment provides for Ministerial powers outside of the COVID-19 emergency period to support the implementation of tax-related measures that provide the ability to provide tax relief for individuals, households and businesses through rebates, exemptions and deferral arrangements when considered necessary.</w:t>
      </w:r>
    </w:p>
    <w:p w14:paraId="37C84F73" w14:textId="721BA4A7" w:rsidR="009C0110" w:rsidRDefault="009C0110" w:rsidP="00172631">
      <w:pPr>
        <w:tabs>
          <w:tab w:val="left" w:pos="2160"/>
        </w:tabs>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Any rights promoted will depend on the nature of any determined schemes</w:t>
      </w:r>
      <w:r w:rsidR="00DB4369">
        <w:rPr>
          <w:rFonts w:asciiTheme="minorHAnsi" w:hAnsiTheme="minorHAnsi" w:cstheme="minorHAnsi"/>
          <w:szCs w:val="24"/>
        </w:rPr>
        <w:t xml:space="preserve"> made in the form of a disallowable instrument under these amendments</w:t>
      </w:r>
      <w:r>
        <w:rPr>
          <w:rFonts w:asciiTheme="minorHAnsi" w:hAnsiTheme="minorHAnsi" w:cstheme="minorHAnsi"/>
          <w:szCs w:val="24"/>
        </w:rPr>
        <w:t>.</w:t>
      </w:r>
    </w:p>
    <w:p w14:paraId="5E01CC9F" w14:textId="13C29D00" w:rsidR="002F0FD2" w:rsidRPr="00172631" w:rsidRDefault="001E4E37" w:rsidP="00172631">
      <w:pPr>
        <w:pStyle w:val="Heading3"/>
        <w:rPr>
          <w:rFonts w:asciiTheme="minorHAnsi" w:hAnsiTheme="minorHAnsi" w:cstheme="minorHAnsi"/>
        </w:rPr>
      </w:pPr>
      <w:bookmarkStart w:id="12" w:name="_Toc79498178"/>
      <w:r w:rsidRPr="00172631">
        <w:rPr>
          <w:rFonts w:asciiTheme="minorHAnsi" w:hAnsiTheme="minorHAnsi" w:cstheme="minorHAnsi"/>
        </w:rPr>
        <w:t>Rights Limited</w:t>
      </w:r>
      <w:bookmarkEnd w:id="12"/>
    </w:p>
    <w:p w14:paraId="249D1629" w14:textId="2E97B215" w:rsidR="00C404C5" w:rsidRPr="00D4690B" w:rsidRDefault="00C404C5" w:rsidP="00C404C5">
      <w:pPr>
        <w:autoSpaceDE w:val="0"/>
        <w:autoSpaceDN w:val="0"/>
        <w:adjustRightInd w:val="0"/>
        <w:spacing w:before="240" w:after="120"/>
        <w:rPr>
          <w:rFonts w:asciiTheme="minorHAnsi" w:hAnsiTheme="minorHAnsi" w:cstheme="minorHAnsi"/>
          <w:bCs/>
          <w:szCs w:val="24"/>
        </w:rPr>
      </w:pPr>
      <w:r w:rsidRPr="00D4690B">
        <w:rPr>
          <w:rFonts w:asciiTheme="minorHAnsi" w:hAnsiTheme="minorHAnsi" w:cstheme="minorHAnsi"/>
          <w:szCs w:val="24"/>
        </w:rPr>
        <w:t>The preamble to the H</w:t>
      </w:r>
      <w:r>
        <w:rPr>
          <w:rFonts w:asciiTheme="minorHAnsi" w:hAnsiTheme="minorHAnsi" w:cstheme="minorHAnsi"/>
          <w:szCs w:val="24"/>
        </w:rPr>
        <w:t xml:space="preserve">uman </w:t>
      </w:r>
      <w:r w:rsidRPr="00D4690B">
        <w:rPr>
          <w:rFonts w:asciiTheme="minorHAnsi" w:hAnsiTheme="minorHAnsi" w:cstheme="minorHAnsi"/>
          <w:szCs w:val="24"/>
        </w:rPr>
        <w:t>R</w:t>
      </w:r>
      <w:r>
        <w:rPr>
          <w:rFonts w:asciiTheme="minorHAnsi" w:hAnsiTheme="minorHAnsi" w:cstheme="minorHAnsi"/>
          <w:szCs w:val="24"/>
        </w:rPr>
        <w:t>ights</w:t>
      </w:r>
      <w:r w:rsidRPr="00D4690B">
        <w:rPr>
          <w:rFonts w:asciiTheme="minorHAnsi" w:hAnsiTheme="minorHAnsi" w:cstheme="minorHAnsi"/>
          <w:szCs w:val="24"/>
        </w:rPr>
        <w:t xml:space="preserve"> Act notes that few rights are absolute and that they may be subject only to the reasonable limits in law that can be demonstrably justified in a free and democratic society. Section 28 (2) of the </w:t>
      </w:r>
      <w:r w:rsidR="00EC1B79">
        <w:rPr>
          <w:rFonts w:asciiTheme="minorHAnsi" w:hAnsiTheme="minorHAnsi" w:cstheme="minorHAnsi"/>
          <w:szCs w:val="24"/>
        </w:rPr>
        <w:t>Human Rights Act</w:t>
      </w:r>
      <w:r w:rsidRPr="00D4690B">
        <w:rPr>
          <w:rFonts w:asciiTheme="minorHAnsi" w:hAnsiTheme="minorHAnsi" w:cstheme="minorHAnsi"/>
          <w:szCs w:val="24"/>
        </w:rPr>
        <w:t xml:space="preserve"> contains the framework that is used to determine the acceptable limitations that may be placed on human rights. </w:t>
      </w:r>
    </w:p>
    <w:p w14:paraId="3967E655" w14:textId="14CAA7AB" w:rsidR="00C404C5" w:rsidRPr="00D4690B" w:rsidRDefault="00C404C5" w:rsidP="00C404C5">
      <w:pPr>
        <w:autoSpaceDE w:val="0"/>
        <w:autoSpaceDN w:val="0"/>
        <w:adjustRightInd w:val="0"/>
        <w:spacing w:before="240" w:after="120"/>
        <w:rPr>
          <w:rFonts w:asciiTheme="minorHAnsi" w:hAnsiTheme="minorHAnsi" w:cstheme="minorHAnsi"/>
          <w:szCs w:val="24"/>
        </w:rPr>
      </w:pPr>
      <w:r w:rsidRPr="00D4690B">
        <w:rPr>
          <w:rFonts w:asciiTheme="minorHAnsi" w:hAnsiTheme="minorHAnsi" w:cstheme="minorHAnsi"/>
          <w:szCs w:val="24"/>
        </w:rPr>
        <w:t xml:space="preserve">Section 28 of the </w:t>
      </w:r>
      <w:r w:rsidR="00EC1B79">
        <w:rPr>
          <w:rFonts w:asciiTheme="minorHAnsi" w:hAnsiTheme="minorHAnsi" w:cstheme="minorHAnsi"/>
          <w:szCs w:val="24"/>
        </w:rPr>
        <w:t>Human Rights Act</w:t>
      </w:r>
      <w:r w:rsidRPr="00D4690B">
        <w:rPr>
          <w:rFonts w:asciiTheme="minorHAnsi" w:hAnsiTheme="minorHAnsi" w:cstheme="minorHAnsi"/>
          <w:szCs w:val="24"/>
        </w:rPr>
        <w:t xml:space="preserve"> requires that any limitation on a human right must be authorised by a Territory law, be based on evidence, and be reasonable to achieve a legitimate aim. Whether a limitation is reasonable depends on whether it is proportionate. Proportionality can be understood and assessed as explained in </w:t>
      </w:r>
      <w:r w:rsidRPr="00D4690B">
        <w:rPr>
          <w:rFonts w:asciiTheme="minorHAnsi" w:hAnsiTheme="minorHAnsi" w:cstheme="minorHAnsi"/>
          <w:i/>
          <w:szCs w:val="24"/>
        </w:rPr>
        <w:t>R v Oakes</w:t>
      </w:r>
      <w:r w:rsidR="00172631">
        <w:rPr>
          <w:rFonts w:asciiTheme="minorHAnsi" w:hAnsiTheme="minorHAnsi" w:cstheme="minorHAnsi"/>
          <w:iCs/>
          <w:szCs w:val="24"/>
        </w:rPr>
        <w:t>.</w:t>
      </w:r>
      <w:r w:rsidRPr="00D4690B">
        <w:rPr>
          <w:rStyle w:val="FootnoteReference"/>
          <w:rFonts w:asciiTheme="minorHAnsi" w:hAnsiTheme="minorHAnsi" w:cstheme="minorHAnsi"/>
          <w:szCs w:val="24"/>
        </w:rPr>
        <w:footnoteReference w:id="2"/>
      </w:r>
      <w:r w:rsidRPr="00D4690B">
        <w:rPr>
          <w:rFonts w:asciiTheme="minorHAnsi" w:hAnsiTheme="minorHAnsi" w:cstheme="minorHAnsi"/>
          <w:szCs w:val="24"/>
        </w:rPr>
        <w:t xml:space="preserve"> A party must show that:</w:t>
      </w:r>
    </w:p>
    <w:p w14:paraId="61FC10A3" w14:textId="2549E53F" w:rsidR="00C404C5" w:rsidRPr="000A0AED" w:rsidRDefault="00C404C5" w:rsidP="00EC1B79">
      <w:pPr>
        <w:autoSpaceDE w:val="0"/>
        <w:autoSpaceDN w:val="0"/>
        <w:adjustRightInd w:val="0"/>
        <w:spacing w:before="240" w:after="120"/>
        <w:ind w:left="720"/>
        <w:rPr>
          <w:rFonts w:asciiTheme="minorHAnsi" w:hAnsiTheme="minorHAnsi" w:cstheme="minorHAnsi"/>
          <w:bCs/>
          <w:iCs/>
          <w:sz w:val="20"/>
          <w:szCs w:val="20"/>
          <w:lang w:bidi="en-US"/>
        </w:rPr>
      </w:pPr>
      <w:r w:rsidRPr="000A0AED">
        <w:rPr>
          <w:rFonts w:asciiTheme="minorHAnsi" w:hAnsiTheme="minorHAnsi" w:cstheme="minorHAnsi"/>
          <w:bCs/>
          <w:iCs/>
          <w:sz w:val="20"/>
          <w:szCs w:val="20"/>
          <w:lang w:bidi="en-US"/>
        </w:rPr>
        <w:t>[f]irst,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between the effects of the measures which are responsible for limiting the Charter right or freedom, and the objective which has been identified as of “sufficient importance”</w:t>
      </w:r>
      <w:r w:rsidR="004A54A0" w:rsidRPr="000A0AED">
        <w:rPr>
          <w:rFonts w:asciiTheme="minorHAnsi" w:hAnsiTheme="minorHAnsi" w:cstheme="minorHAnsi"/>
          <w:bCs/>
          <w:iCs/>
          <w:sz w:val="20"/>
          <w:szCs w:val="20"/>
          <w:lang w:bidi="en-US"/>
        </w:rPr>
        <w:t>.</w:t>
      </w:r>
      <w:r w:rsidRPr="000A0AED">
        <w:rPr>
          <w:rFonts w:asciiTheme="minorHAnsi" w:hAnsiTheme="minorHAnsi" w:cstheme="minorHAnsi"/>
          <w:iCs/>
          <w:sz w:val="20"/>
          <w:szCs w:val="20"/>
          <w:vertAlign w:val="superscript"/>
          <w:lang w:bidi="en-US"/>
        </w:rPr>
        <w:footnoteReference w:id="3"/>
      </w:r>
    </w:p>
    <w:p w14:paraId="0E28998C" w14:textId="1E22CECB" w:rsidR="00175D0E" w:rsidRPr="000A0AED" w:rsidRDefault="00175D0E" w:rsidP="000A0AED">
      <w:pPr>
        <w:pStyle w:val="Heading4"/>
        <w:rPr>
          <w:rFonts w:asciiTheme="minorHAnsi" w:hAnsiTheme="minorHAnsi" w:cstheme="minorHAnsi"/>
          <w:i/>
          <w:iCs/>
        </w:rPr>
      </w:pPr>
      <w:r w:rsidRPr="000A0AED">
        <w:rPr>
          <w:rFonts w:asciiTheme="minorHAnsi" w:hAnsiTheme="minorHAnsi" w:cstheme="minorHAnsi"/>
          <w:i/>
          <w:iCs/>
        </w:rPr>
        <w:t>Human Rights Commission Act 2005</w:t>
      </w:r>
    </w:p>
    <w:p w14:paraId="2B20411F" w14:textId="77777777" w:rsidR="00175D0E" w:rsidRPr="00C26EEA" w:rsidRDefault="00175D0E" w:rsidP="00EC1B79">
      <w:pPr>
        <w:spacing w:before="240" w:after="120"/>
        <w:rPr>
          <w:rFonts w:asciiTheme="minorHAnsi" w:hAnsiTheme="minorHAnsi" w:cstheme="minorHAnsi"/>
          <w:bCs/>
          <w:iCs/>
          <w:u w:val="single"/>
        </w:rPr>
      </w:pPr>
      <w:r w:rsidRPr="00C26EEA">
        <w:rPr>
          <w:rFonts w:asciiTheme="minorHAnsi" w:hAnsiTheme="minorHAnsi" w:cstheme="minorHAnsi"/>
          <w:bCs/>
          <w:iCs/>
          <w:u w:val="single"/>
        </w:rPr>
        <w:t>The nature of the right affected and the limitation (s 28 (2) (a) and (c))</w:t>
      </w:r>
    </w:p>
    <w:p w14:paraId="0F6EFCC9" w14:textId="77777777" w:rsidR="00175D0E" w:rsidRPr="00C26EEA" w:rsidRDefault="00175D0E" w:rsidP="00EC1B79">
      <w:pPr>
        <w:shd w:val="clear" w:color="auto" w:fill="FFFFFF"/>
        <w:spacing w:before="240" w:after="120"/>
        <w:rPr>
          <w:rFonts w:asciiTheme="minorHAnsi" w:eastAsia="Times New Roman" w:hAnsiTheme="minorHAnsi" w:cstheme="minorHAnsi"/>
          <w:i/>
          <w:iCs/>
          <w:color w:val="000000"/>
          <w:lang w:eastAsia="en-AU"/>
        </w:rPr>
      </w:pPr>
      <w:r w:rsidRPr="00C26EEA">
        <w:rPr>
          <w:rFonts w:asciiTheme="minorHAnsi" w:eastAsia="Times New Roman" w:hAnsiTheme="minorHAnsi" w:cstheme="minorHAnsi"/>
          <w:i/>
          <w:iCs/>
          <w:color w:val="000000"/>
          <w:lang w:eastAsia="en-AU"/>
        </w:rPr>
        <w:t>Privacy</w:t>
      </w:r>
    </w:p>
    <w:p w14:paraId="663DE8FD" w14:textId="00DFA0C5" w:rsidR="00175D0E" w:rsidRPr="00175D0E" w:rsidRDefault="00175D0E" w:rsidP="00EC1B79">
      <w:pPr>
        <w:shd w:val="clear" w:color="auto" w:fill="FFFFFF"/>
        <w:spacing w:before="240" w:after="120"/>
        <w:rPr>
          <w:rFonts w:asciiTheme="minorHAnsi" w:eastAsia="Times New Roman" w:hAnsiTheme="minorHAnsi" w:cstheme="minorHAnsi"/>
          <w:color w:val="000000"/>
          <w:lang w:eastAsia="en-AU"/>
        </w:rPr>
      </w:pPr>
      <w:r w:rsidRPr="00175D0E">
        <w:rPr>
          <w:rFonts w:asciiTheme="minorHAnsi" w:eastAsia="Times New Roman" w:hAnsiTheme="minorHAnsi" w:cstheme="minorHAnsi"/>
          <w:color w:val="000000"/>
          <w:lang w:eastAsia="en-AU"/>
        </w:rPr>
        <w:t xml:space="preserve">Section 12 of the </w:t>
      </w:r>
      <w:r w:rsidR="00C26EEA">
        <w:rPr>
          <w:rFonts w:asciiTheme="minorHAnsi" w:eastAsia="Times New Roman" w:hAnsiTheme="minorHAnsi" w:cstheme="minorHAnsi"/>
          <w:color w:val="000000"/>
          <w:lang w:eastAsia="en-AU"/>
        </w:rPr>
        <w:t>Human Rights Act</w:t>
      </w:r>
      <w:r w:rsidRPr="00175D0E">
        <w:rPr>
          <w:rFonts w:asciiTheme="minorHAnsi" w:eastAsia="Times New Roman" w:hAnsiTheme="minorHAnsi" w:cstheme="minorHAnsi"/>
          <w:color w:val="000000"/>
          <w:lang w:eastAsia="en-AU"/>
        </w:rPr>
        <w:t xml:space="preserve"> provides for the right not to have one’s privacy, family, home or correspondence interfered with unlawfully or arbitrarily. </w:t>
      </w:r>
    </w:p>
    <w:p w14:paraId="1BF90DB0" w14:textId="5219071B" w:rsidR="00175D0E" w:rsidRPr="00175D0E" w:rsidRDefault="00175D0E" w:rsidP="00EC1B79">
      <w:pPr>
        <w:shd w:val="clear" w:color="auto" w:fill="FFFFFF"/>
        <w:spacing w:before="240" w:after="120"/>
        <w:rPr>
          <w:rFonts w:asciiTheme="minorHAnsi" w:eastAsia="Times New Roman" w:hAnsiTheme="minorHAnsi" w:cstheme="minorHAnsi"/>
          <w:color w:val="000000"/>
          <w:lang w:eastAsia="en-AU"/>
        </w:rPr>
      </w:pPr>
      <w:r w:rsidRPr="00175D0E">
        <w:rPr>
          <w:rFonts w:asciiTheme="minorHAnsi" w:eastAsia="Times New Roman" w:hAnsiTheme="minorHAnsi" w:cstheme="minorHAnsi"/>
          <w:color w:val="000000"/>
          <w:lang w:eastAsia="en-AU"/>
        </w:rPr>
        <w:t xml:space="preserve">This amendment engages and </w:t>
      </w:r>
      <w:r w:rsidR="00870BD7">
        <w:rPr>
          <w:rFonts w:asciiTheme="minorHAnsi" w:eastAsia="Times New Roman" w:hAnsiTheme="minorHAnsi" w:cstheme="minorHAnsi"/>
          <w:color w:val="000000"/>
          <w:lang w:eastAsia="en-AU"/>
        </w:rPr>
        <w:t xml:space="preserve">may </w:t>
      </w:r>
      <w:r w:rsidRPr="00175D0E">
        <w:rPr>
          <w:rFonts w:asciiTheme="minorHAnsi" w:eastAsia="Times New Roman" w:hAnsiTheme="minorHAnsi" w:cstheme="minorHAnsi"/>
          <w:color w:val="000000"/>
          <w:lang w:eastAsia="en-AU"/>
        </w:rPr>
        <w:t>limit the right to privacy and family by providing the HRC jurisdiction to deal with a complaint about allegations of abuse, neglect or exploitation of a vulnerable person, which may have taken place entirely within private settings, including in the home, and between family members.</w:t>
      </w:r>
    </w:p>
    <w:p w14:paraId="4E250617" w14:textId="77777777" w:rsidR="00175D0E" w:rsidRPr="00175D0E" w:rsidRDefault="00175D0E" w:rsidP="00EC1B79">
      <w:pPr>
        <w:shd w:val="clear" w:color="auto" w:fill="FFFFFF"/>
        <w:spacing w:before="240" w:after="120"/>
        <w:rPr>
          <w:rFonts w:asciiTheme="minorHAnsi" w:eastAsia="Times New Roman" w:hAnsiTheme="minorHAnsi" w:cstheme="minorHAnsi"/>
          <w:color w:val="000000"/>
          <w:lang w:eastAsia="en-AU"/>
        </w:rPr>
      </w:pPr>
      <w:r w:rsidRPr="00175D0E">
        <w:rPr>
          <w:rFonts w:asciiTheme="minorHAnsi" w:eastAsia="Times New Roman" w:hAnsiTheme="minorHAnsi" w:cstheme="minorHAnsi"/>
          <w:color w:val="000000"/>
          <w:lang w:eastAsia="en-AU"/>
        </w:rPr>
        <w:lastRenderedPageBreak/>
        <w:t>The amendment also allows HRC commissioners to share information in their official capacity amongst themselves, where necessary to perform their functions. This includes personal and sensitive information that is received as part of their complaint-handling functions.</w:t>
      </w:r>
    </w:p>
    <w:p w14:paraId="0948797D" w14:textId="77777777" w:rsidR="00175D0E" w:rsidRPr="00C26EEA" w:rsidRDefault="00175D0E" w:rsidP="00EC1B79">
      <w:pPr>
        <w:shd w:val="clear" w:color="auto" w:fill="FFFFFF"/>
        <w:spacing w:before="240" w:after="120"/>
        <w:rPr>
          <w:rFonts w:asciiTheme="minorHAnsi" w:eastAsia="Times New Roman" w:hAnsiTheme="minorHAnsi" w:cstheme="minorHAnsi"/>
          <w:i/>
          <w:iCs/>
          <w:color w:val="000000"/>
          <w:lang w:eastAsia="en-AU"/>
        </w:rPr>
      </w:pPr>
      <w:r w:rsidRPr="00C26EEA">
        <w:rPr>
          <w:rFonts w:asciiTheme="minorHAnsi" w:eastAsia="Times New Roman" w:hAnsiTheme="minorHAnsi" w:cstheme="minorHAnsi"/>
          <w:i/>
          <w:iCs/>
          <w:color w:val="000000"/>
          <w:lang w:eastAsia="en-AU"/>
        </w:rPr>
        <w:t>Right not to incriminate oneself</w:t>
      </w:r>
    </w:p>
    <w:p w14:paraId="34E72D95" w14:textId="5BF4563B" w:rsidR="00175D0E" w:rsidRDefault="00175D0E" w:rsidP="00EC1B79">
      <w:pPr>
        <w:shd w:val="clear" w:color="auto" w:fill="FFFFFF"/>
        <w:spacing w:before="240" w:after="120"/>
        <w:rPr>
          <w:rFonts w:asciiTheme="minorHAnsi" w:eastAsia="Times New Roman" w:hAnsiTheme="minorHAnsi" w:cstheme="minorHAnsi"/>
          <w:color w:val="000000"/>
          <w:lang w:eastAsia="en-AU"/>
        </w:rPr>
      </w:pPr>
      <w:r w:rsidRPr="00175D0E">
        <w:rPr>
          <w:rFonts w:asciiTheme="minorHAnsi" w:eastAsia="Times New Roman" w:hAnsiTheme="minorHAnsi" w:cstheme="minorHAnsi"/>
          <w:color w:val="000000"/>
          <w:lang w:eastAsia="en-AU"/>
        </w:rPr>
        <w:t>Section 22 (2) (i) H</w:t>
      </w:r>
      <w:r w:rsidR="00C26EEA">
        <w:rPr>
          <w:rFonts w:asciiTheme="minorHAnsi" w:eastAsia="Times New Roman" w:hAnsiTheme="minorHAnsi" w:cstheme="minorHAnsi"/>
          <w:color w:val="000000"/>
          <w:lang w:eastAsia="en-AU"/>
        </w:rPr>
        <w:t xml:space="preserve">uman </w:t>
      </w:r>
      <w:r w:rsidRPr="00175D0E">
        <w:rPr>
          <w:rFonts w:asciiTheme="minorHAnsi" w:eastAsia="Times New Roman" w:hAnsiTheme="minorHAnsi" w:cstheme="minorHAnsi"/>
          <w:color w:val="000000"/>
          <w:lang w:eastAsia="en-AU"/>
        </w:rPr>
        <w:t>R</w:t>
      </w:r>
      <w:r w:rsidR="00C26EEA">
        <w:rPr>
          <w:rFonts w:asciiTheme="minorHAnsi" w:eastAsia="Times New Roman" w:hAnsiTheme="minorHAnsi" w:cstheme="minorHAnsi"/>
          <w:color w:val="000000"/>
          <w:lang w:eastAsia="en-AU"/>
        </w:rPr>
        <w:t xml:space="preserve">ights </w:t>
      </w:r>
      <w:r w:rsidRPr="00175D0E">
        <w:rPr>
          <w:rFonts w:asciiTheme="minorHAnsi" w:eastAsia="Times New Roman" w:hAnsiTheme="minorHAnsi" w:cstheme="minorHAnsi"/>
          <w:color w:val="000000"/>
          <w:lang w:eastAsia="en-AU"/>
        </w:rPr>
        <w:t>A</w:t>
      </w:r>
      <w:r w:rsidR="00C26EEA">
        <w:rPr>
          <w:rFonts w:asciiTheme="minorHAnsi" w:eastAsia="Times New Roman" w:hAnsiTheme="minorHAnsi" w:cstheme="minorHAnsi"/>
          <w:color w:val="000000"/>
          <w:lang w:eastAsia="en-AU"/>
        </w:rPr>
        <w:t>ct</w:t>
      </w:r>
      <w:r w:rsidRPr="00175D0E">
        <w:rPr>
          <w:rFonts w:asciiTheme="minorHAnsi" w:eastAsia="Times New Roman" w:hAnsiTheme="minorHAnsi" w:cstheme="minorHAnsi"/>
          <w:color w:val="000000"/>
          <w:lang w:eastAsia="en-AU"/>
        </w:rPr>
        <w:t xml:space="preserve"> recognises an individual’s right not to be compelled to provide information that may be self-incriminating. The amendments engage and </w:t>
      </w:r>
      <w:r w:rsidR="00870BD7">
        <w:rPr>
          <w:rFonts w:asciiTheme="minorHAnsi" w:eastAsia="Times New Roman" w:hAnsiTheme="minorHAnsi" w:cstheme="minorHAnsi"/>
          <w:color w:val="000000"/>
          <w:lang w:eastAsia="en-AU"/>
        </w:rPr>
        <w:t xml:space="preserve">may </w:t>
      </w:r>
      <w:r w:rsidRPr="00175D0E">
        <w:rPr>
          <w:rFonts w:asciiTheme="minorHAnsi" w:eastAsia="Times New Roman" w:hAnsiTheme="minorHAnsi" w:cstheme="minorHAnsi"/>
          <w:color w:val="000000"/>
          <w:lang w:eastAsia="en-AU"/>
        </w:rPr>
        <w:t>limit this right, because a person cannot rely on common law privileges against self-incrimination as a reason for not providing information as requested by the HRC.</w:t>
      </w:r>
    </w:p>
    <w:p w14:paraId="479CF019" w14:textId="56F4BDB6" w:rsidR="00870BD7" w:rsidRPr="00870BD7" w:rsidRDefault="00870BD7" w:rsidP="00870BD7">
      <w:pPr>
        <w:shd w:val="clear" w:color="auto" w:fill="FFFFFF"/>
        <w:spacing w:before="240" w:after="120"/>
        <w:rPr>
          <w:rFonts w:asciiTheme="minorHAnsi" w:eastAsia="Times New Roman" w:hAnsiTheme="minorHAnsi" w:cstheme="minorHAnsi"/>
          <w:color w:val="000000"/>
          <w:lang w:eastAsia="en-AU"/>
        </w:rPr>
      </w:pPr>
      <w:r w:rsidRPr="00870BD7">
        <w:rPr>
          <w:rFonts w:asciiTheme="minorHAnsi" w:eastAsia="Times New Roman" w:hAnsiTheme="minorHAnsi" w:cstheme="minorHAnsi"/>
          <w:color w:val="000000"/>
          <w:lang w:eastAsia="en-AU"/>
        </w:rPr>
        <w:t xml:space="preserve">Any such limitations are permissible based on the criteria set out in section 28 of the </w:t>
      </w:r>
      <w:r w:rsidR="000A0AED">
        <w:rPr>
          <w:rFonts w:asciiTheme="minorHAnsi" w:eastAsia="Times New Roman" w:hAnsiTheme="minorHAnsi" w:cstheme="minorHAnsi"/>
          <w:color w:val="000000"/>
          <w:lang w:eastAsia="en-AU"/>
        </w:rPr>
        <w:t>Human Rights Act</w:t>
      </w:r>
      <w:r w:rsidRPr="00870BD7">
        <w:rPr>
          <w:rFonts w:asciiTheme="minorHAnsi" w:eastAsia="Times New Roman" w:hAnsiTheme="minorHAnsi" w:cstheme="minorHAnsi"/>
          <w:color w:val="000000"/>
          <w:lang w:eastAsia="en-AU"/>
        </w:rPr>
        <w:t xml:space="preserve"> as applied further below. </w:t>
      </w:r>
    </w:p>
    <w:p w14:paraId="771AF881" w14:textId="650D7C50" w:rsidR="00175D0E" w:rsidRPr="00C26EEA" w:rsidRDefault="00175D0E" w:rsidP="00EC1B79">
      <w:pPr>
        <w:spacing w:before="240" w:after="120"/>
        <w:rPr>
          <w:rFonts w:asciiTheme="minorHAnsi" w:hAnsiTheme="minorHAnsi" w:cstheme="minorHAnsi"/>
          <w:bCs/>
          <w:iCs/>
          <w:u w:val="single"/>
        </w:rPr>
      </w:pPr>
      <w:r w:rsidRPr="00C26EEA">
        <w:rPr>
          <w:rFonts w:asciiTheme="minorHAnsi" w:hAnsiTheme="minorHAnsi" w:cstheme="minorHAnsi"/>
          <w:bCs/>
          <w:iCs/>
          <w:u w:val="single"/>
        </w:rPr>
        <w:t xml:space="preserve">Legitimate purpose (s 28 (2) (b)) and </w:t>
      </w:r>
      <w:r w:rsidR="000A0AED">
        <w:rPr>
          <w:rFonts w:asciiTheme="minorHAnsi" w:hAnsiTheme="minorHAnsi" w:cstheme="minorHAnsi"/>
          <w:bCs/>
          <w:iCs/>
          <w:u w:val="single"/>
        </w:rPr>
        <w:t>r</w:t>
      </w:r>
      <w:r w:rsidRPr="00C26EEA">
        <w:rPr>
          <w:rFonts w:asciiTheme="minorHAnsi" w:hAnsiTheme="minorHAnsi" w:cstheme="minorHAnsi"/>
          <w:bCs/>
          <w:iCs/>
          <w:u w:val="single"/>
        </w:rPr>
        <w:t>ational connection between the limitation and the purpose (s 28 (2) (d))</w:t>
      </w:r>
    </w:p>
    <w:p w14:paraId="60BC760E" w14:textId="4AB6CE16" w:rsidR="00175D0E" w:rsidRPr="00175D0E" w:rsidRDefault="00175D0E" w:rsidP="00EC1B79">
      <w:pPr>
        <w:shd w:val="clear" w:color="auto" w:fill="FFFFFF"/>
        <w:spacing w:before="240" w:after="120"/>
        <w:rPr>
          <w:rFonts w:asciiTheme="minorHAnsi" w:eastAsia="Times New Roman" w:hAnsiTheme="minorHAnsi" w:cstheme="minorHAnsi"/>
          <w:lang w:eastAsia="en-AU"/>
        </w:rPr>
      </w:pPr>
      <w:r w:rsidRPr="00175D0E">
        <w:rPr>
          <w:rFonts w:asciiTheme="minorHAnsi" w:hAnsiTheme="minorHAnsi" w:cstheme="minorHAnsi"/>
        </w:rPr>
        <w:t>T</w:t>
      </w:r>
      <w:r w:rsidRPr="00175D0E">
        <w:rPr>
          <w:rFonts w:asciiTheme="minorHAnsi" w:eastAsia="Times New Roman" w:hAnsiTheme="minorHAnsi" w:cstheme="minorHAnsi"/>
          <w:lang w:eastAsia="en-AU"/>
        </w:rPr>
        <w:t xml:space="preserve">he amendment seeks to achieve the overall purpose of addressing the risk of vulnerable people being subject to neglect and abuse, which is an ongoing risk, not limited to </w:t>
      </w:r>
      <w:r w:rsidR="00C26EEA">
        <w:rPr>
          <w:rFonts w:asciiTheme="minorHAnsi" w:eastAsia="Times New Roman" w:hAnsiTheme="minorHAnsi" w:cstheme="minorHAnsi"/>
          <w:lang w:eastAsia="en-AU"/>
        </w:rPr>
        <w:t xml:space="preserve">the </w:t>
      </w:r>
      <w:r w:rsidRPr="00175D0E">
        <w:rPr>
          <w:rFonts w:asciiTheme="minorHAnsi" w:eastAsia="Times New Roman" w:hAnsiTheme="minorHAnsi" w:cstheme="minorHAnsi"/>
          <w:lang w:eastAsia="en-AU"/>
        </w:rPr>
        <w:t>COVID</w:t>
      </w:r>
      <w:r w:rsidR="00C26EEA">
        <w:rPr>
          <w:rFonts w:asciiTheme="minorHAnsi" w:eastAsia="Times New Roman" w:hAnsiTheme="minorHAnsi" w:cstheme="minorHAnsi"/>
          <w:lang w:eastAsia="en-AU"/>
        </w:rPr>
        <w:t>-19</w:t>
      </w:r>
      <w:r w:rsidRPr="00175D0E">
        <w:rPr>
          <w:rFonts w:asciiTheme="minorHAnsi" w:eastAsia="Times New Roman" w:hAnsiTheme="minorHAnsi" w:cstheme="minorHAnsi"/>
          <w:lang w:eastAsia="en-AU"/>
        </w:rPr>
        <w:t xml:space="preserve"> emergency. </w:t>
      </w:r>
    </w:p>
    <w:p w14:paraId="4BFF3EF9" w14:textId="5285C932" w:rsidR="00175D0E" w:rsidRPr="00175D0E" w:rsidRDefault="00175D0E" w:rsidP="00EC1B79">
      <w:pPr>
        <w:shd w:val="clear" w:color="auto" w:fill="FFFFFF"/>
        <w:spacing w:before="240" w:after="120"/>
        <w:rPr>
          <w:rFonts w:asciiTheme="minorHAnsi" w:hAnsiTheme="minorHAnsi" w:cstheme="minorHAnsi"/>
        </w:rPr>
      </w:pPr>
      <w:r w:rsidRPr="00175D0E">
        <w:rPr>
          <w:rFonts w:asciiTheme="minorHAnsi" w:hAnsiTheme="minorHAnsi" w:cstheme="minorHAnsi"/>
        </w:rPr>
        <w:t>Th</w:t>
      </w:r>
      <w:r w:rsidR="00870BD7">
        <w:rPr>
          <w:rFonts w:asciiTheme="minorHAnsi" w:hAnsiTheme="minorHAnsi" w:cstheme="minorHAnsi"/>
        </w:rPr>
        <w:t>e</w:t>
      </w:r>
      <w:r w:rsidRPr="00175D0E">
        <w:rPr>
          <w:rFonts w:asciiTheme="minorHAnsi" w:hAnsiTheme="minorHAnsi" w:cstheme="minorHAnsi"/>
        </w:rPr>
        <w:t xml:space="preserve"> complaints handling jurisdiction facilitates the detection of abuse of vulnerable people, and can lead to a range of responses such as conciliation, referral to ACT Policing and Legal Aid ACT for potential criminal prosecutions, and private legal action. </w:t>
      </w:r>
    </w:p>
    <w:p w14:paraId="1A1FA728" w14:textId="77777777" w:rsidR="00175D0E" w:rsidRPr="00175D0E" w:rsidRDefault="00175D0E" w:rsidP="00EC1B79">
      <w:pPr>
        <w:shd w:val="clear" w:color="auto" w:fill="FFFFFF"/>
        <w:spacing w:before="240" w:after="120"/>
        <w:rPr>
          <w:rFonts w:asciiTheme="minorHAnsi" w:hAnsiTheme="minorHAnsi" w:cstheme="minorHAnsi"/>
        </w:rPr>
      </w:pPr>
      <w:r w:rsidRPr="00175D0E">
        <w:rPr>
          <w:rFonts w:asciiTheme="minorHAnsi" w:hAnsiTheme="minorHAnsi" w:cstheme="minorHAnsi"/>
        </w:rPr>
        <w:t>Expanding the functions of the HRC to deal with complaints about abuse, neglect and exploitation of vulnerable people has proved to be an effective and important avenue to address elder abuse and abuse of people with disability.</w:t>
      </w:r>
    </w:p>
    <w:p w14:paraId="35039DE3" w14:textId="6B6C880C" w:rsidR="00175D0E" w:rsidRPr="00175D0E" w:rsidRDefault="00175D0E" w:rsidP="00EC1B79">
      <w:pPr>
        <w:shd w:val="clear" w:color="auto" w:fill="FFFFFF"/>
        <w:spacing w:before="240" w:after="120"/>
        <w:rPr>
          <w:rFonts w:asciiTheme="minorHAnsi" w:hAnsiTheme="minorHAnsi" w:cstheme="minorHAnsi"/>
        </w:rPr>
      </w:pPr>
      <w:r w:rsidRPr="00175D0E">
        <w:rPr>
          <w:rFonts w:asciiTheme="minorHAnsi" w:hAnsiTheme="minorHAnsi" w:cstheme="minorHAnsi"/>
        </w:rPr>
        <w:t xml:space="preserve">The </w:t>
      </w:r>
      <w:r w:rsidR="00870BD7">
        <w:rPr>
          <w:rFonts w:asciiTheme="minorHAnsi" w:hAnsiTheme="minorHAnsi" w:cstheme="minorHAnsi"/>
        </w:rPr>
        <w:t>HRC</w:t>
      </w:r>
      <w:r w:rsidRPr="00175D0E">
        <w:rPr>
          <w:rFonts w:asciiTheme="minorHAnsi" w:hAnsiTheme="minorHAnsi" w:cstheme="minorHAnsi"/>
        </w:rPr>
        <w:t xml:space="preserve"> has used the new powers to consider, investigate and resolve issues faced by a number of vulnerable people, including in family situations where ongoing relationships were particularly important and criminal sanctions were not seen as a desirable response. </w:t>
      </w:r>
    </w:p>
    <w:p w14:paraId="03C52D78" w14:textId="7843D280" w:rsidR="00870BD7" w:rsidRPr="00870BD7" w:rsidRDefault="00870BD7" w:rsidP="00870BD7">
      <w:pPr>
        <w:shd w:val="clear" w:color="auto" w:fill="FFFFFF"/>
        <w:spacing w:before="240" w:after="120"/>
        <w:rPr>
          <w:rFonts w:asciiTheme="minorHAnsi" w:hAnsiTheme="minorHAnsi" w:cstheme="minorHAnsi"/>
        </w:rPr>
      </w:pPr>
      <w:r w:rsidRPr="00870BD7">
        <w:rPr>
          <w:rFonts w:asciiTheme="minorHAnsi" w:hAnsiTheme="minorHAnsi" w:cstheme="minorHAnsi"/>
        </w:rPr>
        <w:t>These measures have enhanced the protection of human rights of Canberrans during the COVID-19 pandemic, but the need for them is not confined to the existence of the public health emergency. As the Australian Law Reform Commission report on Elder Abuse</w:t>
      </w:r>
      <w:r w:rsidRPr="00870BD7">
        <w:rPr>
          <w:rFonts w:asciiTheme="minorHAnsi" w:hAnsiTheme="minorHAnsi" w:cstheme="minorHAnsi"/>
          <w:vertAlign w:val="superscript"/>
        </w:rPr>
        <w:footnoteReference w:id="4"/>
      </w:r>
      <w:r w:rsidRPr="00870BD7">
        <w:rPr>
          <w:rFonts w:asciiTheme="minorHAnsi" w:hAnsiTheme="minorHAnsi" w:cstheme="minorHAnsi"/>
        </w:rPr>
        <w:t xml:space="preserve"> demonstrated, there is an ongoing risk faced by older people in our community who are vulnerable to abuse and neglect. The National Plan to respond to the Abuse of Older Australians includes as a priority area strengthening safeguards for vulnerable adults.</w:t>
      </w:r>
      <w:r w:rsidR="00023463">
        <w:rPr>
          <w:rStyle w:val="FootnoteReference"/>
          <w:rFonts w:asciiTheme="minorHAnsi" w:hAnsiTheme="minorHAnsi"/>
        </w:rPr>
        <w:footnoteReference w:id="5"/>
      </w:r>
      <w:r w:rsidRPr="00870BD7">
        <w:rPr>
          <w:rFonts w:asciiTheme="minorHAnsi" w:hAnsiTheme="minorHAnsi" w:cstheme="minorHAnsi"/>
        </w:rPr>
        <w:t xml:space="preserve"> It </w:t>
      </w:r>
      <w:r w:rsidRPr="00870BD7">
        <w:rPr>
          <w:rFonts w:asciiTheme="minorHAnsi" w:hAnsiTheme="minorHAnsi" w:cstheme="minorHAnsi"/>
        </w:rPr>
        <w:lastRenderedPageBreak/>
        <w:t xml:space="preserve">requires States and Territories to take a range of steps to prevent and address elder abuse, including reviewing legislation to identify gaps in safeguarding provisions. </w:t>
      </w:r>
    </w:p>
    <w:p w14:paraId="5278AF19" w14:textId="64CC9BDA" w:rsidR="00175D0E" w:rsidRDefault="00175D0E" w:rsidP="00EC1B79">
      <w:pPr>
        <w:shd w:val="clear" w:color="auto" w:fill="FFFFFF"/>
        <w:spacing w:before="240" w:after="120"/>
        <w:rPr>
          <w:rFonts w:asciiTheme="minorHAnsi" w:hAnsiTheme="minorHAnsi" w:cstheme="minorHAnsi"/>
        </w:rPr>
      </w:pPr>
      <w:r w:rsidRPr="00175D0E">
        <w:rPr>
          <w:rFonts w:asciiTheme="minorHAnsi" w:hAnsiTheme="minorHAnsi" w:cstheme="minorHAnsi"/>
        </w:rPr>
        <w:t>The vulnerable persons complaints handling jurisdiction is an important mechanism for the safeguarding of older people and other vulnerable people. This amendment is required to ensure that these protections will continue to provide protection to vulnerable Canberrans.</w:t>
      </w:r>
    </w:p>
    <w:p w14:paraId="7AE220D4" w14:textId="77777777" w:rsidR="00175D0E" w:rsidRPr="00C26EEA" w:rsidRDefault="00175D0E" w:rsidP="00EC1B79">
      <w:pPr>
        <w:keepNext/>
        <w:spacing w:before="240" w:after="120"/>
        <w:rPr>
          <w:rFonts w:asciiTheme="minorHAnsi" w:hAnsiTheme="minorHAnsi" w:cstheme="minorHAnsi"/>
          <w:bCs/>
          <w:iCs/>
          <w:u w:val="single"/>
        </w:rPr>
      </w:pPr>
      <w:r w:rsidRPr="00C26EEA">
        <w:rPr>
          <w:rFonts w:asciiTheme="minorHAnsi" w:hAnsiTheme="minorHAnsi" w:cstheme="minorHAnsi"/>
          <w:bCs/>
          <w:iCs/>
          <w:u w:val="single"/>
        </w:rPr>
        <w:t xml:space="preserve">Proportionality (s 28 (2) (e)) </w:t>
      </w:r>
    </w:p>
    <w:p w14:paraId="5012618C" w14:textId="77777777" w:rsidR="00175D0E" w:rsidRPr="00175D0E" w:rsidRDefault="00175D0E" w:rsidP="00EC1B79">
      <w:pPr>
        <w:shd w:val="clear" w:color="auto" w:fill="FFFFFF"/>
        <w:spacing w:before="240" w:after="120"/>
        <w:rPr>
          <w:rFonts w:asciiTheme="minorHAnsi" w:eastAsia="Times New Roman" w:hAnsiTheme="minorHAnsi" w:cstheme="minorHAnsi"/>
          <w:color w:val="000000"/>
          <w:lang w:eastAsia="en-AU"/>
        </w:rPr>
      </w:pPr>
      <w:r w:rsidRPr="00175D0E">
        <w:rPr>
          <w:rFonts w:asciiTheme="minorHAnsi" w:eastAsia="Times New Roman" w:hAnsiTheme="minorHAnsi" w:cstheme="minorHAnsi"/>
          <w:color w:val="000000"/>
          <w:lang w:eastAsia="en-AU"/>
        </w:rPr>
        <w:t xml:space="preserve">Any interference with privacy and family resulting from the exercise of these powers is reasonable and justifiable, because the HRC only has access to information that is relevant to its consideration of a complaint, and its intervention into familial and private lives will only occur where it is necessary to protect the rights of vulnerable people from inhuman and degrading treatment. </w:t>
      </w:r>
    </w:p>
    <w:p w14:paraId="4A53D8F1" w14:textId="77777777" w:rsidR="00175D0E" w:rsidRPr="00175D0E" w:rsidRDefault="00175D0E" w:rsidP="00EC1B79">
      <w:pPr>
        <w:shd w:val="clear" w:color="auto" w:fill="FFFFFF"/>
        <w:spacing w:before="240" w:after="120"/>
        <w:rPr>
          <w:rFonts w:asciiTheme="minorHAnsi" w:eastAsia="Times New Roman" w:hAnsiTheme="minorHAnsi" w:cstheme="minorHAnsi"/>
          <w:color w:val="000000"/>
          <w:lang w:eastAsia="en-AU"/>
        </w:rPr>
      </w:pPr>
      <w:r w:rsidRPr="00175D0E">
        <w:rPr>
          <w:rFonts w:asciiTheme="minorHAnsi" w:eastAsia="Times New Roman" w:hAnsiTheme="minorHAnsi" w:cstheme="minorHAnsi"/>
          <w:color w:val="000000"/>
          <w:lang w:eastAsia="en-AU"/>
        </w:rPr>
        <w:t xml:space="preserve">The HRC must also obtain the consent of the alleged victim, where possible, before conducting an investigation into, or referring the complaint to other entities. Obtaining the vulnerable person’s consent, as far as possible, allows the HRC to respect the privacy of the person. </w:t>
      </w:r>
    </w:p>
    <w:p w14:paraId="2AE7A07C" w14:textId="69402817" w:rsidR="00175D0E" w:rsidRPr="00175D0E" w:rsidRDefault="00175D0E" w:rsidP="00EC1B79">
      <w:pPr>
        <w:shd w:val="clear" w:color="auto" w:fill="FFFFFF"/>
        <w:spacing w:before="240" w:after="120"/>
        <w:rPr>
          <w:rFonts w:asciiTheme="minorHAnsi" w:eastAsia="Times New Roman" w:hAnsiTheme="minorHAnsi" w:cstheme="minorHAnsi"/>
          <w:color w:val="000000"/>
          <w:lang w:eastAsia="en-AU"/>
        </w:rPr>
      </w:pPr>
      <w:r w:rsidRPr="00175D0E">
        <w:rPr>
          <w:rFonts w:asciiTheme="minorHAnsi" w:eastAsia="Times New Roman" w:hAnsiTheme="minorHAnsi" w:cstheme="minorHAnsi"/>
          <w:color w:val="000000"/>
          <w:lang w:eastAsia="en-AU"/>
        </w:rPr>
        <w:t>This new complaint handling role will utilise existing legislative powers of the HRC to deal with complaints, and these powers are subject to appropriate constraints and safeguards. In relation to the right not to be forced to incriminate oneself, any information obtained, directly or indirectly, will not be admissible against the provider in a civil or criminal proceeding, with the exception of proceedings for an offence against Part 4 of the H</w:t>
      </w:r>
      <w:r w:rsidR="00C26EEA">
        <w:rPr>
          <w:rFonts w:asciiTheme="minorHAnsi" w:eastAsia="Times New Roman" w:hAnsiTheme="minorHAnsi" w:cstheme="minorHAnsi"/>
          <w:color w:val="000000"/>
          <w:lang w:eastAsia="en-AU"/>
        </w:rPr>
        <w:t xml:space="preserve">uman </w:t>
      </w:r>
      <w:r w:rsidRPr="00175D0E">
        <w:rPr>
          <w:rFonts w:asciiTheme="minorHAnsi" w:eastAsia="Times New Roman" w:hAnsiTheme="minorHAnsi" w:cstheme="minorHAnsi"/>
          <w:color w:val="000000"/>
          <w:lang w:eastAsia="en-AU"/>
        </w:rPr>
        <w:t>R</w:t>
      </w:r>
      <w:r w:rsidR="00C26EEA">
        <w:rPr>
          <w:rFonts w:asciiTheme="minorHAnsi" w:eastAsia="Times New Roman" w:hAnsiTheme="minorHAnsi" w:cstheme="minorHAnsi"/>
          <w:color w:val="000000"/>
          <w:lang w:eastAsia="en-AU"/>
        </w:rPr>
        <w:t xml:space="preserve">ights </w:t>
      </w:r>
      <w:r w:rsidRPr="00175D0E">
        <w:rPr>
          <w:rFonts w:asciiTheme="minorHAnsi" w:eastAsia="Times New Roman" w:hAnsiTheme="minorHAnsi" w:cstheme="minorHAnsi"/>
          <w:color w:val="000000"/>
          <w:lang w:eastAsia="en-AU"/>
        </w:rPr>
        <w:t>C</w:t>
      </w:r>
      <w:r w:rsidR="00C26EEA">
        <w:rPr>
          <w:rFonts w:asciiTheme="minorHAnsi" w:eastAsia="Times New Roman" w:hAnsiTheme="minorHAnsi" w:cstheme="minorHAnsi"/>
          <w:color w:val="000000"/>
          <w:lang w:eastAsia="en-AU"/>
        </w:rPr>
        <w:t>ommission</w:t>
      </w:r>
      <w:r w:rsidRPr="00175D0E">
        <w:rPr>
          <w:rFonts w:asciiTheme="minorHAnsi" w:eastAsia="Times New Roman" w:hAnsiTheme="minorHAnsi" w:cstheme="minorHAnsi"/>
          <w:color w:val="000000"/>
          <w:lang w:eastAsia="en-AU"/>
        </w:rPr>
        <w:t xml:space="preserve"> Act, or an offence in relation to the falsity of the information.</w:t>
      </w:r>
    </w:p>
    <w:p w14:paraId="36F553E5" w14:textId="7BB98D07" w:rsidR="00C26EEA" w:rsidRPr="000A0AED" w:rsidRDefault="00C26EEA" w:rsidP="000A0AED">
      <w:pPr>
        <w:pStyle w:val="Heading4"/>
        <w:rPr>
          <w:rFonts w:asciiTheme="minorHAnsi" w:hAnsiTheme="minorHAnsi" w:cstheme="minorHAnsi"/>
          <w:i/>
          <w:iCs/>
        </w:rPr>
      </w:pPr>
      <w:r w:rsidRPr="000A0AED">
        <w:rPr>
          <w:rFonts w:asciiTheme="minorHAnsi" w:hAnsiTheme="minorHAnsi" w:cstheme="minorHAnsi"/>
          <w:i/>
          <w:iCs/>
        </w:rPr>
        <w:t>Public Trustee and Guardian Act 1985</w:t>
      </w:r>
    </w:p>
    <w:p w14:paraId="44A56656" w14:textId="77777777" w:rsidR="00C26EEA" w:rsidRPr="00C26EEA" w:rsidRDefault="00C26EEA" w:rsidP="00EC1B79">
      <w:pPr>
        <w:spacing w:before="240" w:after="120"/>
        <w:rPr>
          <w:rFonts w:asciiTheme="minorHAnsi" w:hAnsiTheme="minorHAnsi" w:cstheme="minorHAnsi"/>
          <w:bCs/>
          <w:iCs/>
          <w:szCs w:val="24"/>
          <w:u w:val="single"/>
        </w:rPr>
      </w:pPr>
      <w:r w:rsidRPr="00C26EEA">
        <w:rPr>
          <w:rFonts w:asciiTheme="minorHAnsi" w:hAnsiTheme="minorHAnsi" w:cstheme="minorHAnsi"/>
          <w:bCs/>
          <w:iCs/>
          <w:szCs w:val="24"/>
          <w:u w:val="single"/>
        </w:rPr>
        <w:t>The nature of the right affected and the limitation (s 28 (2) (a) and (c))</w:t>
      </w:r>
    </w:p>
    <w:p w14:paraId="1853BAC0" w14:textId="00AB6A99"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 xml:space="preserve">The amendment engages and potentially limits the right to privacy </w:t>
      </w:r>
      <w:r w:rsidR="000A0AED">
        <w:rPr>
          <w:rFonts w:asciiTheme="minorHAnsi" w:hAnsiTheme="minorHAnsi" w:cstheme="minorHAnsi"/>
          <w:szCs w:val="24"/>
        </w:rPr>
        <w:t xml:space="preserve">(section 12 of the Human Rights Act) </w:t>
      </w:r>
      <w:r w:rsidRPr="00C26EEA">
        <w:rPr>
          <w:rFonts w:asciiTheme="minorHAnsi" w:hAnsiTheme="minorHAnsi" w:cstheme="minorHAnsi"/>
          <w:szCs w:val="24"/>
        </w:rPr>
        <w:t>and may also limit related rights such as the right to work</w:t>
      </w:r>
      <w:r w:rsidR="000A0AED">
        <w:rPr>
          <w:rFonts w:asciiTheme="minorHAnsi" w:hAnsiTheme="minorHAnsi" w:cstheme="minorHAnsi"/>
          <w:szCs w:val="24"/>
        </w:rPr>
        <w:t xml:space="preserve"> (section 27B of the Human Rights Act)</w:t>
      </w:r>
      <w:r w:rsidRPr="00C26EEA">
        <w:rPr>
          <w:rFonts w:asciiTheme="minorHAnsi" w:hAnsiTheme="minorHAnsi" w:cstheme="minorHAnsi"/>
          <w:szCs w:val="24"/>
        </w:rPr>
        <w:t xml:space="preserve">, right to freedom of movement </w:t>
      </w:r>
      <w:r w:rsidR="000A0AED">
        <w:rPr>
          <w:rFonts w:asciiTheme="minorHAnsi" w:hAnsiTheme="minorHAnsi" w:cstheme="minorHAnsi"/>
          <w:szCs w:val="24"/>
        </w:rPr>
        <w:t xml:space="preserve">(section 13 of the Human Rights Act) </w:t>
      </w:r>
      <w:r w:rsidRPr="00C26EEA">
        <w:rPr>
          <w:rFonts w:asciiTheme="minorHAnsi" w:hAnsiTheme="minorHAnsi" w:cstheme="minorHAnsi"/>
          <w:szCs w:val="24"/>
        </w:rPr>
        <w:t>and right to liberty and security of person</w:t>
      </w:r>
      <w:r w:rsidR="000A0AED">
        <w:rPr>
          <w:rFonts w:asciiTheme="minorHAnsi" w:hAnsiTheme="minorHAnsi" w:cstheme="minorHAnsi"/>
          <w:szCs w:val="24"/>
        </w:rPr>
        <w:t xml:space="preserve"> (section 18 of the Human Rights Act)</w:t>
      </w:r>
      <w:r w:rsidRPr="00C26EEA">
        <w:rPr>
          <w:rFonts w:asciiTheme="minorHAnsi" w:hAnsiTheme="minorHAnsi" w:cstheme="minorHAnsi"/>
          <w:szCs w:val="24"/>
        </w:rPr>
        <w:t>.</w:t>
      </w:r>
    </w:p>
    <w:p w14:paraId="5F30127E" w14:textId="64707A21"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Section 9A</w:t>
      </w:r>
      <w:r w:rsidR="000721B0">
        <w:rPr>
          <w:rFonts w:asciiTheme="minorHAnsi" w:hAnsiTheme="minorHAnsi" w:cstheme="minorHAnsi"/>
          <w:szCs w:val="24"/>
        </w:rPr>
        <w:t xml:space="preserve"> </w:t>
      </w:r>
      <w:r w:rsidRPr="00C26EEA">
        <w:rPr>
          <w:rFonts w:asciiTheme="minorHAnsi" w:hAnsiTheme="minorHAnsi" w:cstheme="minorHAnsi"/>
          <w:szCs w:val="24"/>
        </w:rPr>
        <w:t xml:space="preserve">(2) of the Public Trustee and Guardian Act limits the delegation of decision making by the Public Trustee and Guardian in relation to acting as a guardian or manager when appointed by the ACT Civil and Administrative Tribunal (ACAT) or applying to the ACAT </w:t>
      </w:r>
      <w:r w:rsidR="000721B0">
        <w:rPr>
          <w:rFonts w:asciiTheme="minorHAnsi" w:hAnsiTheme="minorHAnsi" w:cstheme="minorHAnsi"/>
          <w:szCs w:val="24"/>
        </w:rPr>
        <w:t>f</w:t>
      </w:r>
      <w:r w:rsidRPr="00C26EEA">
        <w:rPr>
          <w:rFonts w:asciiTheme="minorHAnsi" w:hAnsiTheme="minorHAnsi" w:cstheme="minorHAnsi"/>
          <w:szCs w:val="24"/>
        </w:rPr>
        <w:t>or an appointment of a person as guardian or manager. Under this section such decisions are only able to be delegated to the Deputy Public Advocate.</w:t>
      </w:r>
    </w:p>
    <w:p w14:paraId="52425532" w14:textId="5AABC33C" w:rsidR="00C26EEA" w:rsidRPr="00C26EEA" w:rsidRDefault="004405B3" w:rsidP="00EC1B79">
      <w:pPr>
        <w:spacing w:before="240" w:after="120"/>
        <w:rPr>
          <w:rFonts w:asciiTheme="minorHAnsi" w:hAnsiTheme="minorHAnsi" w:cstheme="minorHAnsi"/>
          <w:szCs w:val="24"/>
        </w:rPr>
      </w:pPr>
      <w:r>
        <w:rPr>
          <w:rFonts w:asciiTheme="minorHAnsi" w:hAnsiTheme="minorHAnsi" w:cstheme="minorHAnsi"/>
          <w:szCs w:val="24"/>
        </w:rPr>
        <w:t>E</w:t>
      </w:r>
      <w:r w:rsidR="00C26EEA" w:rsidRPr="00C26EEA">
        <w:rPr>
          <w:rFonts w:asciiTheme="minorHAnsi" w:hAnsiTheme="minorHAnsi" w:cstheme="minorHAnsi"/>
          <w:szCs w:val="24"/>
        </w:rPr>
        <w:t>xisting section 9A</w:t>
      </w:r>
      <w:r w:rsidR="000721B0">
        <w:rPr>
          <w:rFonts w:asciiTheme="minorHAnsi" w:hAnsiTheme="minorHAnsi" w:cstheme="minorHAnsi"/>
          <w:szCs w:val="24"/>
        </w:rPr>
        <w:t xml:space="preserve"> </w:t>
      </w:r>
      <w:r w:rsidR="00C26EEA" w:rsidRPr="00C26EEA">
        <w:rPr>
          <w:rFonts w:asciiTheme="minorHAnsi" w:hAnsiTheme="minorHAnsi" w:cstheme="minorHAnsi"/>
          <w:szCs w:val="24"/>
        </w:rPr>
        <w:t>(3) of the Public Trustee and Guardian Act</w:t>
      </w:r>
      <w:r w:rsidR="00C26EEA" w:rsidRPr="00C26EEA">
        <w:rPr>
          <w:rFonts w:asciiTheme="minorHAnsi" w:hAnsiTheme="minorHAnsi" w:cstheme="minorHAnsi"/>
          <w:i/>
          <w:iCs/>
          <w:szCs w:val="24"/>
        </w:rPr>
        <w:t xml:space="preserve"> </w:t>
      </w:r>
      <w:r>
        <w:rPr>
          <w:rFonts w:asciiTheme="minorHAnsi" w:hAnsiTheme="minorHAnsi" w:cstheme="minorHAnsi"/>
          <w:szCs w:val="24"/>
        </w:rPr>
        <w:t xml:space="preserve">was introduced in the </w:t>
      </w:r>
      <w:r w:rsidRPr="001E7005">
        <w:rPr>
          <w:rFonts w:asciiTheme="minorHAnsi" w:hAnsiTheme="minorHAnsi" w:cstheme="minorHAnsi"/>
          <w:szCs w:val="24"/>
        </w:rPr>
        <w:t>COVID-19 Emergency Response Legislation Amendment Act</w:t>
      </w:r>
      <w:r>
        <w:rPr>
          <w:rFonts w:asciiTheme="minorHAnsi" w:hAnsiTheme="minorHAnsi" w:cstheme="minorHAnsi"/>
          <w:i/>
          <w:iCs/>
          <w:szCs w:val="24"/>
        </w:rPr>
        <w:t xml:space="preserve"> </w:t>
      </w:r>
      <w:r>
        <w:rPr>
          <w:rFonts w:asciiTheme="minorHAnsi" w:hAnsiTheme="minorHAnsi" w:cstheme="minorHAnsi"/>
          <w:szCs w:val="24"/>
        </w:rPr>
        <w:t xml:space="preserve">to </w:t>
      </w:r>
      <w:r w:rsidR="00C26EEA" w:rsidRPr="00C26EEA">
        <w:rPr>
          <w:rFonts w:asciiTheme="minorHAnsi" w:hAnsiTheme="minorHAnsi" w:cstheme="minorHAnsi"/>
          <w:szCs w:val="24"/>
        </w:rPr>
        <w:t>temporarily modif</w:t>
      </w:r>
      <w:r>
        <w:rPr>
          <w:rFonts w:asciiTheme="minorHAnsi" w:hAnsiTheme="minorHAnsi" w:cstheme="minorHAnsi"/>
          <w:szCs w:val="24"/>
        </w:rPr>
        <w:t>y</w:t>
      </w:r>
      <w:r w:rsidR="00C26EEA" w:rsidRPr="00C26EEA">
        <w:rPr>
          <w:rFonts w:asciiTheme="minorHAnsi" w:hAnsiTheme="minorHAnsi" w:cstheme="minorHAnsi"/>
          <w:szCs w:val="24"/>
        </w:rPr>
        <w:t xml:space="preserve"> the restrictions </w:t>
      </w:r>
      <w:r w:rsidR="00C26EEA" w:rsidRPr="00C26EEA">
        <w:rPr>
          <w:rFonts w:asciiTheme="minorHAnsi" w:hAnsiTheme="minorHAnsi" w:cstheme="minorHAnsi"/>
          <w:szCs w:val="24"/>
        </w:rPr>
        <w:lastRenderedPageBreak/>
        <w:t xml:space="preserve">under section 9A (2) to allow the Public Trustee and Guardian to more broadly delegate guardianship and management functions to a staff member during the COVID-19 emergency period. It allows delegation to any staff member, but excludes certain decisions, being decisions regarding medical treatment involving treatment, care or support under the </w:t>
      </w:r>
      <w:r w:rsidR="00C26EEA" w:rsidRPr="00C26EEA">
        <w:rPr>
          <w:rFonts w:asciiTheme="minorHAnsi" w:hAnsiTheme="minorHAnsi" w:cstheme="minorHAnsi"/>
          <w:i/>
          <w:iCs/>
          <w:szCs w:val="24"/>
        </w:rPr>
        <w:t>Mental Health Act 2015</w:t>
      </w:r>
      <w:r w:rsidR="00C26EEA" w:rsidRPr="00C26EEA">
        <w:rPr>
          <w:rFonts w:asciiTheme="minorHAnsi" w:hAnsiTheme="minorHAnsi" w:cstheme="minorHAnsi"/>
          <w:szCs w:val="24"/>
        </w:rPr>
        <w:t xml:space="preserve">, buying, selling, realising or mortgaging real property, or granting a lease of real property, and borrowing money with or without security. </w:t>
      </w:r>
    </w:p>
    <w:p w14:paraId="55CB4ECE" w14:textId="77777777"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 xml:space="preserve">The current amendments will refine this temporary measure and make it permanent. This will allow the Public Trustee and Guardian to delegate any of their functions under the Public Trustee and Guardian Act to a member of the Public Trustee and Guardian staff, subject to specified matters that must be considered in making the delegation. </w:t>
      </w:r>
    </w:p>
    <w:p w14:paraId="739B2766" w14:textId="77777777"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As a guardian or manager of a protected person, the Public Trustee and Guardian may be given broad powers by the ACAT to make decisions about the private life of a person who has impaired decision-making ability. Applying for a guardianship or management order may also have human rights impacts.</w:t>
      </w:r>
    </w:p>
    <w:p w14:paraId="224369D8" w14:textId="3B9CAC65" w:rsid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By removing the exceptions, a wider scope of decisions can be made by any staff member of the Public Trustee and Guardian. As guardianship and management decisions made on behalf of a person with impaired decision making can significantly impact on the privacy and home life of an individual and may also engage other related rights, the change to this safeguard potentially limits these rights.</w:t>
      </w:r>
    </w:p>
    <w:p w14:paraId="081C5247" w14:textId="567B4C85" w:rsidR="004405B3" w:rsidRPr="004405B3" w:rsidRDefault="004405B3" w:rsidP="004405B3">
      <w:pPr>
        <w:spacing w:before="240" w:after="120"/>
        <w:rPr>
          <w:rFonts w:asciiTheme="minorHAnsi" w:hAnsiTheme="minorHAnsi" w:cstheme="minorHAnsi"/>
          <w:szCs w:val="24"/>
        </w:rPr>
      </w:pPr>
      <w:r w:rsidRPr="004405B3">
        <w:rPr>
          <w:rFonts w:asciiTheme="minorHAnsi" w:hAnsiTheme="minorHAnsi" w:cstheme="minorHAnsi"/>
          <w:szCs w:val="24"/>
        </w:rPr>
        <w:t xml:space="preserve">Any such limitations are permissible based on the criteria set out in section 28 of the </w:t>
      </w:r>
      <w:r w:rsidR="001E7005">
        <w:rPr>
          <w:rFonts w:asciiTheme="minorHAnsi" w:hAnsiTheme="minorHAnsi" w:cstheme="minorHAnsi"/>
          <w:szCs w:val="24"/>
        </w:rPr>
        <w:t>Human Rights Act</w:t>
      </w:r>
      <w:r w:rsidRPr="004405B3">
        <w:rPr>
          <w:rFonts w:asciiTheme="minorHAnsi" w:hAnsiTheme="minorHAnsi" w:cstheme="minorHAnsi"/>
          <w:szCs w:val="24"/>
        </w:rPr>
        <w:t xml:space="preserve"> as applied further below. </w:t>
      </w:r>
    </w:p>
    <w:p w14:paraId="0F404BA1" w14:textId="77777777" w:rsidR="00C26EEA" w:rsidRPr="000721B0" w:rsidRDefault="00C26EEA" w:rsidP="00EC1B79">
      <w:pPr>
        <w:spacing w:before="240" w:after="120"/>
        <w:rPr>
          <w:rFonts w:asciiTheme="minorHAnsi" w:hAnsiTheme="minorHAnsi" w:cstheme="minorHAnsi"/>
          <w:bCs/>
          <w:iCs/>
          <w:szCs w:val="24"/>
          <w:u w:val="single"/>
        </w:rPr>
      </w:pPr>
      <w:r w:rsidRPr="000721B0">
        <w:rPr>
          <w:rFonts w:asciiTheme="minorHAnsi" w:hAnsiTheme="minorHAnsi" w:cstheme="minorHAnsi"/>
          <w:bCs/>
          <w:iCs/>
          <w:szCs w:val="24"/>
          <w:u w:val="single"/>
        </w:rPr>
        <w:t xml:space="preserve">Legitimate purpose (s 28 (2) (b)) </w:t>
      </w:r>
    </w:p>
    <w:p w14:paraId="30A20FE5" w14:textId="180F3321"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 xml:space="preserve">The amendment is intended to provide the Public Trustee and Guardian and his staff with greater flexibility and ability to be timely and responsive in making day-to-day decisions for vulnerable clients subject to guardianship or management orders, and in seeking ACAT orders. </w:t>
      </w:r>
      <w:r w:rsidR="004405B3">
        <w:rPr>
          <w:rFonts w:asciiTheme="minorHAnsi" w:hAnsiTheme="minorHAnsi" w:cstheme="minorHAnsi"/>
          <w:szCs w:val="24"/>
        </w:rPr>
        <w:t>This supports the underlying objective of the Public Trustee and Guardian being able to provide timely and appropriate support to clients as required.</w:t>
      </w:r>
    </w:p>
    <w:p w14:paraId="544884B4" w14:textId="77777777"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 xml:space="preserve">The independent Protection of Rights Services Review noted issues arising from decision making only being delegated to Deputies and no other staff: </w:t>
      </w:r>
    </w:p>
    <w:p w14:paraId="7D17D649" w14:textId="5CF8387B" w:rsidR="00C26EEA" w:rsidRPr="00C26EEA" w:rsidRDefault="00C26EEA" w:rsidP="00EC1B79">
      <w:pPr>
        <w:spacing w:before="240" w:after="120"/>
        <w:ind w:left="720"/>
        <w:rPr>
          <w:rFonts w:asciiTheme="minorHAnsi" w:hAnsiTheme="minorHAnsi" w:cstheme="minorHAnsi"/>
          <w:szCs w:val="24"/>
        </w:rPr>
      </w:pPr>
      <w:r w:rsidRPr="001E7005">
        <w:rPr>
          <w:rFonts w:asciiTheme="minorHAnsi" w:hAnsiTheme="minorHAnsi" w:cstheme="minorHAnsi"/>
          <w:sz w:val="20"/>
          <w:szCs w:val="20"/>
        </w:rPr>
        <w:t>This can cause delays at times when a decision is required urgently, and decision making is unduly impacted by the availability of just three people. Delegation to other staff would be consistent with other jurisdictions, expedite decision making and reduce vulnerabilities associated with key senior staff being unavailable.</w:t>
      </w:r>
      <w:r w:rsidRPr="001E7005">
        <w:rPr>
          <w:rStyle w:val="FootnoteReference"/>
          <w:rFonts w:asciiTheme="minorHAnsi" w:hAnsiTheme="minorHAnsi" w:cstheme="minorHAnsi"/>
          <w:sz w:val="20"/>
          <w:szCs w:val="20"/>
        </w:rPr>
        <w:footnoteReference w:id="6"/>
      </w:r>
    </w:p>
    <w:p w14:paraId="1684BA1D" w14:textId="055FEF11" w:rsidR="00C26EEA" w:rsidRPr="00C26EEA" w:rsidRDefault="00C26EEA" w:rsidP="00EC1B79">
      <w:pPr>
        <w:pStyle w:val="Default"/>
        <w:spacing w:before="240" w:after="120" w:line="276" w:lineRule="auto"/>
        <w:rPr>
          <w:rFonts w:asciiTheme="minorHAnsi" w:hAnsiTheme="minorHAnsi" w:cstheme="minorHAnsi"/>
          <w:color w:val="auto"/>
        </w:rPr>
      </w:pPr>
      <w:r w:rsidRPr="00C26EEA">
        <w:rPr>
          <w:rFonts w:asciiTheme="minorHAnsi" w:hAnsiTheme="minorHAnsi" w:cstheme="minorHAnsi"/>
          <w:color w:val="auto"/>
        </w:rPr>
        <w:lastRenderedPageBreak/>
        <w:t>The review recommended that the Public Trustee and Guardian Act be updated to enable the delegation of decision making to guardians and financial managers (recommendation 18).</w:t>
      </w:r>
    </w:p>
    <w:p w14:paraId="7CE4AD4B" w14:textId="1EEC6819"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 xml:space="preserve">It is necessary for staff members other than the Public Trustee and Guardian and Deputy to have the power to make a wide range of time-sensitive decisions without needing these decisions approved by the Public Trustee and Guardian or Deputy, particularly where the Public Trustee and Guardian and Deputy may be on leave or unavailable. These decisions may include approving medical appointments, entering into contracts for necessities, applying for government benefits or seeking other assistance. </w:t>
      </w:r>
    </w:p>
    <w:p w14:paraId="01563614" w14:textId="77777777" w:rsidR="00C26EEA" w:rsidRPr="000721B0" w:rsidRDefault="00C26EEA" w:rsidP="00EC1B79">
      <w:pPr>
        <w:spacing w:before="240" w:after="120"/>
        <w:rPr>
          <w:rFonts w:asciiTheme="minorHAnsi" w:hAnsiTheme="minorHAnsi" w:cstheme="minorHAnsi"/>
          <w:bCs/>
          <w:iCs/>
          <w:szCs w:val="24"/>
          <w:u w:val="single"/>
        </w:rPr>
      </w:pPr>
      <w:r w:rsidRPr="000721B0">
        <w:rPr>
          <w:rFonts w:asciiTheme="minorHAnsi" w:hAnsiTheme="minorHAnsi" w:cstheme="minorHAnsi"/>
          <w:bCs/>
          <w:iCs/>
          <w:szCs w:val="24"/>
          <w:u w:val="single"/>
        </w:rPr>
        <w:t>Rational connection between the limitation and the purpose (s 28 (2) (d))</w:t>
      </w:r>
    </w:p>
    <w:p w14:paraId="4D6B5839" w14:textId="5B6C4146" w:rsidR="004405B3" w:rsidRPr="004405B3" w:rsidRDefault="004405B3" w:rsidP="00EC1B79">
      <w:pPr>
        <w:spacing w:before="240" w:after="120"/>
        <w:rPr>
          <w:rFonts w:asciiTheme="minorHAnsi" w:hAnsiTheme="minorHAnsi" w:cstheme="minorHAnsi"/>
          <w:szCs w:val="24"/>
        </w:rPr>
      </w:pPr>
      <w:r w:rsidRPr="004405B3">
        <w:rPr>
          <w:rFonts w:asciiTheme="minorHAnsi" w:hAnsiTheme="minorHAnsi" w:cstheme="minorHAnsi"/>
          <w:szCs w:val="24"/>
        </w:rPr>
        <w:t>The removal of the exceptions that exist under the current section 9A</w:t>
      </w:r>
      <w:r>
        <w:rPr>
          <w:rFonts w:asciiTheme="minorHAnsi" w:hAnsiTheme="minorHAnsi" w:cstheme="minorHAnsi"/>
          <w:szCs w:val="24"/>
        </w:rPr>
        <w:t xml:space="preserve"> </w:t>
      </w:r>
      <w:r w:rsidRPr="004405B3">
        <w:rPr>
          <w:rFonts w:asciiTheme="minorHAnsi" w:hAnsiTheme="minorHAnsi" w:cstheme="minorHAnsi"/>
          <w:szCs w:val="24"/>
        </w:rPr>
        <w:t>(2) and the expansion of the Public Trustee and Guardian’s power to delegate any of their functions to staff members will be effective to achieve (that is, rationally connected to) the objective of providing timely and appropriate support to clients. This is because it will permit a broader range of staff members to make decisions which will ensure that decisions can be made in a timely way by officers with direct contact with clients and an understanding of the issues involved.</w:t>
      </w:r>
    </w:p>
    <w:p w14:paraId="4127D713" w14:textId="74F52B71"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 xml:space="preserve">This amendment replaces a decision-based restriction on delegation with a principle-based approach which requires the Public Trustee and Guardian to give appropriate consideration to human rights obligations and to assess the ability of </w:t>
      </w:r>
      <w:r w:rsidR="001E7005">
        <w:rPr>
          <w:rFonts w:asciiTheme="minorHAnsi" w:hAnsiTheme="minorHAnsi" w:cstheme="minorHAnsi"/>
          <w:szCs w:val="24"/>
        </w:rPr>
        <w:t xml:space="preserve">a </w:t>
      </w:r>
      <w:r w:rsidRPr="00C26EEA">
        <w:rPr>
          <w:rFonts w:asciiTheme="minorHAnsi" w:hAnsiTheme="minorHAnsi" w:cstheme="minorHAnsi"/>
          <w:szCs w:val="24"/>
        </w:rPr>
        <w:t xml:space="preserve">particular staff member to protect these rights. </w:t>
      </w:r>
    </w:p>
    <w:p w14:paraId="3072D875" w14:textId="2068EEA3"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In practice</w:t>
      </w:r>
      <w:r w:rsidR="004405B3">
        <w:rPr>
          <w:rFonts w:asciiTheme="minorHAnsi" w:hAnsiTheme="minorHAnsi" w:cstheme="minorHAnsi"/>
          <w:szCs w:val="24"/>
        </w:rPr>
        <w:t>,</w:t>
      </w:r>
      <w:r w:rsidRPr="00C26EEA">
        <w:rPr>
          <w:rFonts w:asciiTheme="minorHAnsi" w:hAnsiTheme="minorHAnsi" w:cstheme="minorHAnsi"/>
          <w:szCs w:val="24"/>
        </w:rPr>
        <w:t xml:space="preserve"> the Public Trustee and Guardian’s office make</w:t>
      </w:r>
      <w:r w:rsidR="001E7005">
        <w:rPr>
          <w:rFonts w:asciiTheme="minorHAnsi" w:hAnsiTheme="minorHAnsi" w:cstheme="minorHAnsi"/>
          <w:szCs w:val="24"/>
        </w:rPr>
        <w:t>s a</w:t>
      </w:r>
      <w:r w:rsidRPr="00C26EEA">
        <w:rPr>
          <w:rFonts w:asciiTheme="minorHAnsi" w:hAnsiTheme="minorHAnsi" w:cstheme="minorHAnsi"/>
          <w:szCs w:val="24"/>
        </w:rPr>
        <w:t xml:space="preserve"> wide range of decisions that can have impact on rights. </w:t>
      </w:r>
      <w:r w:rsidR="004405B3">
        <w:rPr>
          <w:rFonts w:asciiTheme="minorHAnsi" w:hAnsiTheme="minorHAnsi" w:cstheme="minorHAnsi"/>
          <w:szCs w:val="24"/>
        </w:rPr>
        <w:t>A</w:t>
      </w:r>
      <w:r w:rsidRPr="00C26EEA">
        <w:rPr>
          <w:rFonts w:asciiTheme="minorHAnsi" w:hAnsiTheme="minorHAnsi" w:cstheme="minorHAnsi"/>
          <w:szCs w:val="24"/>
        </w:rPr>
        <w:t xml:space="preserve">n approach that excludes particular decisions may not provide the best protection for client rights. The replacement of specific exceptions with a principle-based approach is considered to be more effective in allowing flexibility while protecting rights as it allows Public Trustee and Guardian staff to make timely decisions, while requiring the Public Trustee and Guardian to carefully consider relevant factors in delegating any function under the Public Trustee and Guardian Act. </w:t>
      </w:r>
    </w:p>
    <w:p w14:paraId="40E6D134" w14:textId="77777777" w:rsidR="00C26EEA" w:rsidRPr="000721B0" w:rsidRDefault="00C26EEA" w:rsidP="00EC1B79">
      <w:pPr>
        <w:keepNext/>
        <w:spacing w:before="240" w:after="120"/>
        <w:rPr>
          <w:rFonts w:asciiTheme="minorHAnsi" w:hAnsiTheme="minorHAnsi" w:cstheme="minorHAnsi"/>
          <w:bCs/>
          <w:iCs/>
          <w:szCs w:val="24"/>
          <w:u w:val="single"/>
        </w:rPr>
      </w:pPr>
      <w:r w:rsidRPr="000721B0">
        <w:rPr>
          <w:rFonts w:asciiTheme="minorHAnsi" w:hAnsiTheme="minorHAnsi" w:cstheme="minorHAnsi"/>
          <w:bCs/>
          <w:iCs/>
          <w:szCs w:val="24"/>
          <w:u w:val="single"/>
        </w:rPr>
        <w:t xml:space="preserve">Proportionality (s 28 (2) (e)) </w:t>
      </w:r>
    </w:p>
    <w:p w14:paraId="5DDA51F2" w14:textId="77777777" w:rsidR="004405B3" w:rsidRPr="004405B3" w:rsidRDefault="004405B3" w:rsidP="00EC1B79">
      <w:pPr>
        <w:keepNext/>
        <w:spacing w:before="240" w:after="120"/>
        <w:rPr>
          <w:rFonts w:asciiTheme="minorHAnsi" w:hAnsiTheme="minorHAnsi" w:cstheme="minorHAnsi"/>
          <w:szCs w:val="24"/>
        </w:rPr>
      </w:pPr>
      <w:r w:rsidRPr="004405B3">
        <w:rPr>
          <w:rFonts w:asciiTheme="minorHAnsi" w:hAnsiTheme="minorHAnsi" w:cstheme="minorHAnsi"/>
          <w:szCs w:val="24"/>
        </w:rPr>
        <w:t>This approach is the least restrictive means reasonably available of achieving the objective of the Public Trustee and Guardian being able to provide timely and appropriate support to clients as required.</w:t>
      </w:r>
    </w:p>
    <w:p w14:paraId="796E06A7" w14:textId="1489535D" w:rsidR="00C26EEA" w:rsidRPr="00C26EEA" w:rsidRDefault="00C26EEA" w:rsidP="00EC1B79">
      <w:pPr>
        <w:keepNext/>
        <w:spacing w:before="240" w:after="120"/>
        <w:rPr>
          <w:rFonts w:asciiTheme="minorHAnsi" w:hAnsiTheme="minorHAnsi" w:cstheme="minorHAnsi"/>
          <w:szCs w:val="24"/>
        </w:rPr>
      </w:pPr>
      <w:r w:rsidRPr="00C26EEA">
        <w:rPr>
          <w:rFonts w:asciiTheme="minorHAnsi" w:hAnsiTheme="minorHAnsi" w:cstheme="minorHAnsi"/>
          <w:szCs w:val="24"/>
        </w:rPr>
        <w:t xml:space="preserve">The amendment allows greater flexibility to facilitate timely day-to-day decision-making for the benefit of protected people. The replacement of the exceptions to the delegation functions with a principle-based approach provides appropriate human rights safeguard as </w:t>
      </w:r>
      <w:r w:rsidRPr="00C26EEA">
        <w:rPr>
          <w:rFonts w:asciiTheme="minorHAnsi" w:hAnsiTheme="minorHAnsi" w:cstheme="minorHAnsi"/>
          <w:szCs w:val="24"/>
        </w:rPr>
        <w:lastRenderedPageBreak/>
        <w:t>the amendments to section 9A require the P</w:t>
      </w:r>
      <w:r w:rsidR="000721B0">
        <w:rPr>
          <w:rFonts w:asciiTheme="minorHAnsi" w:hAnsiTheme="minorHAnsi" w:cstheme="minorHAnsi"/>
          <w:szCs w:val="24"/>
        </w:rPr>
        <w:t xml:space="preserve">ublic </w:t>
      </w:r>
      <w:r w:rsidRPr="00C26EEA">
        <w:rPr>
          <w:rFonts w:asciiTheme="minorHAnsi" w:hAnsiTheme="minorHAnsi" w:cstheme="minorHAnsi"/>
          <w:szCs w:val="24"/>
        </w:rPr>
        <w:t>T</w:t>
      </w:r>
      <w:r w:rsidR="000721B0">
        <w:rPr>
          <w:rFonts w:asciiTheme="minorHAnsi" w:hAnsiTheme="minorHAnsi" w:cstheme="minorHAnsi"/>
          <w:szCs w:val="24"/>
        </w:rPr>
        <w:t xml:space="preserve">rustee and </w:t>
      </w:r>
      <w:r w:rsidRPr="00C26EEA">
        <w:rPr>
          <w:rFonts w:asciiTheme="minorHAnsi" w:hAnsiTheme="minorHAnsi" w:cstheme="minorHAnsi"/>
          <w:szCs w:val="24"/>
        </w:rPr>
        <w:t>G</w:t>
      </w:r>
      <w:r w:rsidR="000721B0">
        <w:rPr>
          <w:rFonts w:asciiTheme="minorHAnsi" w:hAnsiTheme="minorHAnsi" w:cstheme="minorHAnsi"/>
          <w:szCs w:val="24"/>
        </w:rPr>
        <w:t>uardian</w:t>
      </w:r>
      <w:r w:rsidRPr="00C26EEA">
        <w:rPr>
          <w:rFonts w:asciiTheme="minorHAnsi" w:hAnsiTheme="minorHAnsi" w:cstheme="minorHAnsi"/>
          <w:szCs w:val="24"/>
        </w:rPr>
        <w:t xml:space="preserve"> to have regard to certain consideration</w:t>
      </w:r>
      <w:r w:rsidR="004405B3">
        <w:rPr>
          <w:rFonts w:asciiTheme="minorHAnsi" w:hAnsiTheme="minorHAnsi" w:cstheme="minorHAnsi"/>
          <w:szCs w:val="24"/>
        </w:rPr>
        <w:t>s</w:t>
      </w:r>
      <w:r w:rsidRPr="00C26EEA">
        <w:rPr>
          <w:rFonts w:asciiTheme="minorHAnsi" w:hAnsiTheme="minorHAnsi" w:cstheme="minorHAnsi"/>
          <w:szCs w:val="24"/>
        </w:rPr>
        <w:t xml:space="preserve"> when exercising the delegation function. This is achieved through section 9A</w:t>
      </w:r>
      <w:r w:rsidR="000721B0">
        <w:rPr>
          <w:rFonts w:asciiTheme="minorHAnsi" w:hAnsiTheme="minorHAnsi" w:cstheme="minorHAnsi"/>
          <w:szCs w:val="24"/>
        </w:rPr>
        <w:t xml:space="preserve"> </w:t>
      </w:r>
      <w:r w:rsidRPr="00C26EEA">
        <w:rPr>
          <w:rFonts w:asciiTheme="minorHAnsi" w:hAnsiTheme="minorHAnsi" w:cstheme="minorHAnsi"/>
          <w:szCs w:val="24"/>
        </w:rPr>
        <w:t>(2) which requires the Public Trustee and Guardian, in making a delegation, to be satisfied:</w:t>
      </w:r>
    </w:p>
    <w:p w14:paraId="0D023566" w14:textId="77777777" w:rsidR="00C26EEA" w:rsidRPr="00C26EEA" w:rsidRDefault="00C26EEA" w:rsidP="00EC1B79">
      <w:pPr>
        <w:pStyle w:val="ListParagraph"/>
        <w:keepNext/>
        <w:numPr>
          <w:ilvl w:val="0"/>
          <w:numId w:val="33"/>
        </w:numPr>
        <w:spacing w:before="240" w:after="120"/>
        <w:contextualSpacing/>
        <w:rPr>
          <w:rFonts w:asciiTheme="minorHAnsi" w:hAnsiTheme="minorHAnsi" w:cstheme="minorHAnsi"/>
          <w:sz w:val="24"/>
          <w:szCs w:val="24"/>
        </w:rPr>
      </w:pPr>
      <w:r w:rsidRPr="00C26EEA">
        <w:rPr>
          <w:rFonts w:asciiTheme="minorHAnsi" w:hAnsiTheme="minorHAnsi" w:cstheme="minorHAnsi"/>
          <w:sz w:val="24"/>
          <w:szCs w:val="24"/>
        </w:rPr>
        <w:t xml:space="preserve">that the delegated function is a kind that is appropriate to be exercised by the staff member; </w:t>
      </w:r>
    </w:p>
    <w:p w14:paraId="28C73FEE" w14:textId="77777777" w:rsidR="00C26EEA" w:rsidRPr="00C26EEA" w:rsidRDefault="00C26EEA" w:rsidP="00EC1B79">
      <w:pPr>
        <w:pStyle w:val="ListParagraph"/>
        <w:keepNext/>
        <w:numPr>
          <w:ilvl w:val="0"/>
          <w:numId w:val="33"/>
        </w:numPr>
        <w:spacing w:before="240" w:after="120"/>
        <w:contextualSpacing/>
        <w:rPr>
          <w:rFonts w:asciiTheme="minorHAnsi" w:hAnsiTheme="minorHAnsi" w:cstheme="minorHAnsi"/>
          <w:sz w:val="24"/>
          <w:szCs w:val="24"/>
        </w:rPr>
      </w:pPr>
      <w:r w:rsidRPr="00C26EEA">
        <w:rPr>
          <w:rFonts w:asciiTheme="minorHAnsi" w:hAnsiTheme="minorHAnsi" w:cstheme="minorHAnsi"/>
          <w:sz w:val="24"/>
          <w:szCs w:val="24"/>
        </w:rPr>
        <w:t xml:space="preserve">the staff member has the qualifications, knowledge, experience appropriate for the delegated function to be properly exercised; </w:t>
      </w:r>
    </w:p>
    <w:p w14:paraId="7EEC57F0" w14:textId="7B4AC0DC" w:rsidR="00C26EEA" w:rsidRPr="00C26EEA" w:rsidRDefault="00C26EEA" w:rsidP="00EC1B79">
      <w:pPr>
        <w:pStyle w:val="ListParagraph"/>
        <w:keepNext/>
        <w:numPr>
          <w:ilvl w:val="0"/>
          <w:numId w:val="33"/>
        </w:numPr>
        <w:spacing w:before="240" w:after="120"/>
        <w:contextualSpacing/>
        <w:rPr>
          <w:rFonts w:asciiTheme="minorHAnsi" w:hAnsiTheme="minorHAnsi" w:cstheme="minorHAnsi"/>
          <w:sz w:val="24"/>
          <w:szCs w:val="24"/>
        </w:rPr>
      </w:pPr>
      <w:r w:rsidRPr="00C26EEA">
        <w:rPr>
          <w:rFonts w:asciiTheme="minorHAnsi" w:hAnsiTheme="minorHAnsi" w:cstheme="minorHAnsi"/>
          <w:sz w:val="24"/>
          <w:szCs w:val="24"/>
        </w:rPr>
        <w:t>the staff member will comply with the obligations outlined under section 4 of the</w:t>
      </w:r>
      <w:r w:rsidRPr="00C26EEA">
        <w:rPr>
          <w:rFonts w:asciiTheme="minorHAnsi" w:hAnsiTheme="minorHAnsi" w:cstheme="minorHAnsi"/>
          <w:i/>
          <w:iCs/>
          <w:sz w:val="24"/>
          <w:szCs w:val="24"/>
        </w:rPr>
        <w:t xml:space="preserve"> Guardianship and Management of Property Act 1991</w:t>
      </w:r>
      <w:r w:rsidRPr="00C26EEA">
        <w:rPr>
          <w:rFonts w:asciiTheme="minorHAnsi" w:hAnsiTheme="minorHAnsi" w:cstheme="minorHAnsi"/>
          <w:sz w:val="24"/>
          <w:szCs w:val="24"/>
        </w:rPr>
        <w:t xml:space="preserve"> when exercising the functions of the P</w:t>
      </w:r>
      <w:r w:rsidR="000721B0">
        <w:rPr>
          <w:rFonts w:asciiTheme="minorHAnsi" w:hAnsiTheme="minorHAnsi" w:cstheme="minorHAnsi"/>
          <w:sz w:val="24"/>
          <w:szCs w:val="24"/>
        </w:rPr>
        <w:t xml:space="preserve">ublic </w:t>
      </w:r>
      <w:r w:rsidRPr="00C26EEA">
        <w:rPr>
          <w:rFonts w:asciiTheme="minorHAnsi" w:hAnsiTheme="minorHAnsi" w:cstheme="minorHAnsi"/>
          <w:sz w:val="24"/>
          <w:szCs w:val="24"/>
        </w:rPr>
        <w:t>T</w:t>
      </w:r>
      <w:r w:rsidR="000721B0">
        <w:rPr>
          <w:rFonts w:asciiTheme="minorHAnsi" w:hAnsiTheme="minorHAnsi" w:cstheme="minorHAnsi"/>
          <w:sz w:val="24"/>
          <w:szCs w:val="24"/>
        </w:rPr>
        <w:t xml:space="preserve">rustee and </w:t>
      </w:r>
      <w:r w:rsidRPr="00C26EEA">
        <w:rPr>
          <w:rFonts w:asciiTheme="minorHAnsi" w:hAnsiTheme="minorHAnsi" w:cstheme="minorHAnsi"/>
          <w:sz w:val="24"/>
          <w:szCs w:val="24"/>
        </w:rPr>
        <w:t>G</w:t>
      </w:r>
      <w:r w:rsidR="000721B0">
        <w:rPr>
          <w:rFonts w:asciiTheme="minorHAnsi" w:hAnsiTheme="minorHAnsi" w:cstheme="minorHAnsi"/>
          <w:sz w:val="24"/>
          <w:szCs w:val="24"/>
        </w:rPr>
        <w:t>uardian</w:t>
      </w:r>
      <w:r w:rsidRPr="00C26EEA">
        <w:rPr>
          <w:rFonts w:asciiTheme="minorHAnsi" w:hAnsiTheme="minorHAnsi" w:cstheme="minorHAnsi"/>
          <w:sz w:val="24"/>
          <w:szCs w:val="24"/>
        </w:rPr>
        <w:t xml:space="preserve"> under that Act; and </w:t>
      </w:r>
    </w:p>
    <w:p w14:paraId="4BF68128" w14:textId="766BEF71" w:rsidR="00C26EEA" w:rsidRPr="00C26EEA" w:rsidRDefault="00C26EEA" w:rsidP="00EC1B79">
      <w:pPr>
        <w:pStyle w:val="ListParagraph"/>
        <w:keepNext/>
        <w:numPr>
          <w:ilvl w:val="0"/>
          <w:numId w:val="33"/>
        </w:numPr>
        <w:spacing w:before="240" w:after="120"/>
        <w:contextualSpacing/>
        <w:rPr>
          <w:rFonts w:asciiTheme="minorHAnsi" w:hAnsiTheme="minorHAnsi" w:cstheme="minorHAnsi"/>
          <w:sz w:val="24"/>
          <w:szCs w:val="24"/>
        </w:rPr>
      </w:pPr>
      <w:r w:rsidRPr="00C26EEA">
        <w:rPr>
          <w:rFonts w:asciiTheme="minorHAnsi" w:hAnsiTheme="minorHAnsi" w:cstheme="minorHAnsi"/>
          <w:sz w:val="24"/>
          <w:szCs w:val="24"/>
        </w:rPr>
        <w:t>the staff member will comply with the obligations of the P</w:t>
      </w:r>
      <w:r w:rsidR="000721B0">
        <w:rPr>
          <w:rFonts w:asciiTheme="minorHAnsi" w:hAnsiTheme="minorHAnsi" w:cstheme="minorHAnsi"/>
          <w:sz w:val="24"/>
          <w:szCs w:val="24"/>
        </w:rPr>
        <w:t xml:space="preserve">ublic </w:t>
      </w:r>
      <w:r w:rsidRPr="00C26EEA">
        <w:rPr>
          <w:rFonts w:asciiTheme="minorHAnsi" w:hAnsiTheme="minorHAnsi" w:cstheme="minorHAnsi"/>
          <w:sz w:val="24"/>
          <w:szCs w:val="24"/>
        </w:rPr>
        <w:t>T</w:t>
      </w:r>
      <w:r w:rsidR="000721B0">
        <w:rPr>
          <w:rFonts w:asciiTheme="minorHAnsi" w:hAnsiTheme="minorHAnsi" w:cstheme="minorHAnsi"/>
          <w:sz w:val="24"/>
          <w:szCs w:val="24"/>
        </w:rPr>
        <w:t xml:space="preserve">rustee and </w:t>
      </w:r>
      <w:r w:rsidRPr="00C26EEA">
        <w:rPr>
          <w:rFonts w:asciiTheme="minorHAnsi" w:hAnsiTheme="minorHAnsi" w:cstheme="minorHAnsi"/>
          <w:sz w:val="24"/>
          <w:szCs w:val="24"/>
        </w:rPr>
        <w:t>G</w:t>
      </w:r>
      <w:r w:rsidR="000721B0">
        <w:rPr>
          <w:rFonts w:asciiTheme="minorHAnsi" w:hAnsiTheme="minorHAnsi" w:cstheme="minorHAnsi"/>
          <w:sz w:val="24"/>
          <w:szCs w:val="24"/>
        </w:rPr>
        <w:t>uardian</w:t>
      </w:r>
      <w:r w:rsidRPr="00C26EEA">
        <w:rPr>
          <w:rFonts w:asciiTheme="minorHAnsi" w:hAnsiTheme="minorHAnsi" w:cstheme="minorHAnsi"/>
          <w:sz w:val="24"/>
          <w:szCs w:val="24"/>
        </w:rPr>
        <w:t xml:space="preserve"> under </w:t>
      </w:r>
      <w:r w:rsidRPr="001E7005">
        <w:rPr>
          <w:rFonts w:asciiTheme="minorHAnsi" w:hAnsiTheme="minorHAnsi" w:cstheme="minorHAnsi"/>
          <w:sz w:val="24"/>
          <w:szCs w:val="24"/>
        </w:rPr>
        <w:t>the</w:t>
      </w:r>
      <w:r w:rsidRPr="00C26EEA">
        <w:rPr>
          <w:rFonts w:asciiTheme="minorHAnsi" w:hAnsiTheme="minorHAnsi" w:cstheme="minorHAnsi"/>
          <w:i/>
          <w:iCs/>
          <w:sz w:val="24"/>
          <w:szCs w:val="24"/>
        </w:rPr>
        <w:t xml:space="preserve"> </w:t>
      </w:r>
      <w:r w:rsidRPr="000721B0">
        <w:rPr>
          <w:rFonts w:asciiTheme="minorHAnsi" w:hAnsiTheme="minorHAnsi" w:cstheme="minorHAnsi"/>
          <w:sz w:val="24"/>
          <w:szCs w:val="24"/>
        </w:rPr>
        <w:t>Human Rights Act</w:t>
      </w:r>
      <w:r w:rsidRPr="00C26EEA">
        <w:rPr>
          <w:rFonts w:asciiTheme="minorHAnsi" w:hAnsiTheme="minorHAnsi" w:cstheme="minorHAnsi"/>
          <w:i/>
          <w:iCs/>
          <w:sz w:val="24"/>
          <w:szCs w:val="24"/>
        </w:rPr>
        <w:t xml:space="preserve">. </w:t>
      </w:r>
      <w:r w:rsidRPr="00C26EEA">
        <w:rPr>
          <w:rFonts w:asciiTheme="minorHAnsi" w:hAnsiTheme="minorHAnsi" w:cstheme="minorHAnsi"/>
          <w:sz w:val="24"/>
          <w:szCs w:val="24"/>
        </w:rPr>
        <w:t xml:space="preserve"> </w:t>
      </w:r>
    </w:p>
    <w:p w14:paraId="1DDD0E69" w14:textId="7236B500" w:rsidR="00C26EEA" w:rsidRPr="00C26EEA" w:rsidRDefault="00C26EEA" w:rsidP="00EC1B79">
      <w:pPr>
        <w:spacing w:before="240" w:after="120"/>
        <w:rPr>
          <w:rFonts w:asciiTheme="minorHAnsi" w:hAnsiTheme="minorHAnsi" w:cstheme="minorHAnsi"/>
          <w:szCs w:val="24"/>
        </w:rPr>
      </w:pPr>
      <w:r w:rsidRPr="00C26EEA">
        <w:rPr>
          <w:rFonts w:asciiTheme="minorHAnsi" w:hAnsiTheme="minorHAnsi" w:cstheme="minorHAnsi"/>
          <w:szCs w:val="24"/>
        </w:rPr>
        <w:t xml:space="preserve">Existing provisions under the section 234 and 239 of the </w:t>
      </w:r>
      <w:r w:rsidRPr="00C26EEA">
        <w:rPr>
          <w:rFonts w:asciiTheme="minorHAnsi" w:hAnsiTheme="minorHAnsi" w:cstheme="minorHAnsi"/>
          <w:i/>
          <w:iCs/>
          <w:szCs w:val="24"/>
        </w:rPr>
        <w:t xml:space="preserve">Legislation Act 2001 </w:t>
      </w:r>
      <w:r w:rsidRPr="00C26EEA">
        <w:rPr>
          <w:rFonts w:asciiTheme="minorHAnsi" w:hAnsiTheme="minorHAnsi" w:cstheme="minorHAnsi"/>
          <w:szCs w:val="24"/>
        </w:rPr>
        <w:t xml:space="preserve">may also be </w:t>
      </w:r>
      <w:r w:rsidR="001E7005">
        <w:rPr>
          <w:rFonts w:asciiTheme="minorHAnsi" w:hAnsiTheme="minorHAnsi" w:cstheme="minorHAnsi"/>
          <w:szCs w:val="24"/>
        </w:rPr>
        <w:t>used</w:t>
      </w:r>
      <w:r w:rsidRPr="00C26EEA">
        <w:rPr>
          <w:rFonts w:asciiTheme="minorHAnsi" w:hAnsiTheme="minorHAnsi" w:cstheme="minorHAnsi"/>
          <w:szCs w:val="24"/>
        </w:rPr>
        <w:t xml:space="preserve"> by the Public Trustee and Guardian in formally delegating his function under the Public Trustee and Guardian Act through an instrument of delegation. In accordance with section 234, the Public Trustee and Guardian may include in an instrument of delegation conditions to limit and constrain the exercise of his delegated functions to ensure that the criteria </w:t>
      </w:r>
      <w:r w:rsidR="001E7005">
        <w:rPr>
          <w:rFonts w:asciiTheme="minorHAnsi" w:hAnsiTheme="minorHAnsi" w:cstheme="minorHAnsi"/>
          <w:szCs w:val="24"/>
        </w:rPr>
        <w:t>is</w:t>
      </w:r>
      <w:r w:rsidRPr="00C26EEA">
        <w:rPr>
          <w:rFonts w:asciiTheme="minorHAnsi" w:hAnsiTheme="minorHAnsi" w:cstheme="minorHAnsi"/>
          <w:szCs w:val="24"/>
        </w:rPr>
        <w:t xml:space="preserve"> satisfied.  </w:t>
      </w:r>
    </w:p>
    <w:p w14:paraId="1864473F" w14:textId="207484CB" w:rsidR="00C26EEA" w:rsidRPr="00C26EEA" w:rsidRDefault="00C26EEA" w:rsidP="00EC1B79">
      <w:pPr>
        <w:autoSpaceDE w:val="0"/>
        <w:autoSpaceDN w:val="0"/>
        <w:adjustRightInd w:val="0"/>
        <w:spacing w:before="240" w:after="120"/>
        <w:rPr>
          <w:rFonts w:asciiTheme="minorHAnsi" w:hAnsiTheme="minorHAnsi" w:cstheme="minorHAnsi"/>
          <w:bCs/>
          <w:szCs w:val="24"/>
        </w:rPr>
      </w:pPr>
      <w:r w:rsidRPr="00C26EEA">
        <w:rPr>
          <w:rFonts w:asciiTheme="minorHAnsi" w:hAnsiTheme="minorHAnsi" w:cstheme="minorHAnsi"/>
          <w:szCs w:val="24"/>
        </w:rPr>
        <w:t xml:space="preserve">These provisions may be </w:t>
      </w:r>
      <w:r w:rsidR="001E7005">
        <w:rPr>
          <w:rFonts w:asciiTheme="minorHAnsi" w:hAnsiTheme="minorHAnsi" w:cstheme="minorHAnsi"/>
          <w:szCs w:val="24"/>
        </w:rPr>
        <w:t>used</w:t>
      </w:r>
      <w:r w:rsidRPr="00C26EEA">
        <w:rPr>
          <w:rFonts w:asciiTheme="minorHAnsi" w:hAnsiTheme="minorHAnsi" w:cstheme="minorHAnsi"/>
          <w:szCs w:val="24"/>
        </w:rPr>
        <w:t xml:space="preserve"> as an additional safeguard to ensure a protected person’s right to privacy is not arbitrarily interfered with when delegating a function of the P</w:t>
      </w:r>
      <w:r w:rsidR="000721B0">
        <w:rPr>
          <w:rFonts w:asciiTheme="minorHAnsi" w:hAnsiTheme="minorHAnsi" w:cstheme="minorHAnsi"/>
          <w:szCs w:val="24"/>
        </w:rPr>
        <w:t xml:space="preserve">ublic </w:t>
      </w:r>
      <w:r w:rsidRPr="00C26EEA">
        <w:rPr>
          <w:rFonts w:asciiTheme="minorHAnsi" w:hAnsiTheme="minorHAnsi" w:cstheme="minorHAnsi"/>
          <w:szCs w:val="24"/>
        </w:rPr>
        <w:t>T</w:t>
      </w:r>
      <w:r w:rsidR="000721B0">
        <w:rPr>
          <w:rFonts w:asciiTheme="minorHAnsi" w:hAnsiTheme="minorHAnsi" w:cstheme="minorHAnsi"/>
          <w:szCs w:val="24"/>
        </w:rPr>
        <w:t xml:space="preserve">rustee and </w:t>
      </w:r>
      <w:r w:rsidRPr="00C26EEA">
        <w:rPr>
          <w:rFonts w:asciiTheme="minorHAnsi" w:hAnsiTheme="minorHAnsi" w:cstheme="minorHAnsi"/>
          <w:szCs w:val="24"/>
        </w:rPr>
        <w:t>G</w:t>
      </w:r>
      <w:r w:rsidR="000721B0">
        <w:rPr>
          <w:rFonts w:asciiTheme="minorHAnsi" w:hAnsiTheme="minorHAnsi" w:cstheme="minorHAnsi"/>
          <w:szCs w:val="24"/>
        </w:rPr>
        <w:t>uardian</w:t>
      </w:r>
      <w:r w:rsidRPr="00C26EEA">
        <w:rPr>
          <w:rFonts w:asciiTheme="minorHAnsi" w:hAnsiTheme="minorHAnsi" w:cstheme="minorHAnsi"/>
          <w:szCs w:val="24"/>
        </w:rPr>
        <w:t xml:space="preserve"> and ensuring the rights of vulnerable persons are better protected.</w:t>
      </w:r>
    </w:p>
    <w:p w14:paraId="465959CC" w14:textId="7CA03D1F" w:rsidR="00296D56" w:rsidRPr="001E7005" w:rsidRDefault="00296D56" w:rsidP="001E7005">
      <w:pPr>
        <w:pStyle w:val="Heading4"/>
        <w:rPr>
          <w:rFonts w:asciiTheme="minorHAnsi" w:hAnsiTheme="minorHAnsi" w:cstheme="minorHAnsi"/>
          <w:i/>
          <w:iCs/>
        </w:rPr>
      </w:pPr>
      <w:r w:rsidRPr="001E7005">
        <w:rPr>
          <w:rFonts w:asciiTheme="minorHAnsi" w:hAnsiTheme="minorHAnsi" w:cstheme="minorHAnsi"/>
          <w:i/>
          <w:iCs/>
        </w:rPr>
        <w:t>T</w:t>
      </w:r>
      <w:r w:rsidR="009C0110" w:rsidRPr="001E7005">
        <w:rPr>
          <w:rFonts w:asciiTheme="minorHAnsi" w:hAnsiTheme="minorHAnsi" w:cstheme="minorHAnsi"/>
          <w:i/>
          <w:iCs/>
        </w:rPr>
        <w:t xml:space="preserve">axation </w:t>
      </w:r>
      <w:r w:rsidRPr="001E7005">
        <w:rPr>
          <w:rFonts w:asciiTheme="minorHAnsi" w:hAnsiTheme="minorHAnsi" w:cstheme="minorHAnsi"/>
          <w:i/>
          <w:iCs/>
        </w:rPr>
        <w:t>A</w:t>
      </w:r>
      <w:r w:rsidR="009C0110" w:rsidRPr="001E7005">
        <w:rPr>
          <w:rFonts w:asciiTheme="minorHAnsi" w:hAnsiTheme="minorHAnsi" w:cstheme="minorHAnsi"/>
          <w:i/>
          <w:iCs/>
        </w:rPr>
        <w:t xml:space="preserve">dministration </w:t>
      </w:r>
      <w:r w:rsidRPr="001E7005">
        <w:rPr>
          <w:rFonts w:asciiTheme="minorHAnsi" w:hAnsiTheme="minorHAnsi" w:cstheme="minorHAnsi"/>
          <w:i/>
          <w:iCs/>
        </w:rPr>
        <w:t>A</w:t>
      </w:r>
      <w:r w:rsidR="009C0110" w:rsidRPr="001E7005">
        <w:rPr>
          <w:rFonts w:asciiTheme="minorHAnsi" w:hAnsiTheme="minorHAnsi" w:cstheme="minorHAnsi"/>
          <w:i/>
          <w:iCs/>
        </w:rPr>
        <w:t>ct 1999</w:t>
      </w:r>
    </w:p>
    <w:p w14:paraId="45B1E888" w14:textId="16A21C77" w:rsidR="00296D56" w:rsidRPr="009C0110" w:rsidRDefault="004A54A0" w:rsidP="006F2CBE">
      <w:pPr>
        <w:autoSpaceDE w:val="0"/>
        <w:autoSpaceDN w:val="0"/>
        <w:spacing w:before="240" w:after="120"/>
        <w:rPr>
          <w:rFonts w:asciiTheme="minorHAnsi" w:hAnsiTheme="minorHAnsi" w:cstheme="minorHAnsi"/>
          <w:i/>
          <w:iCs/>
          <w:szCs w:val="24"/>
        </w:rPr>
      </w:pPr>
      <w:r>
        <w:rPr>
          <w:rFonts w:asciiTheme="minorHAnsi" w:hAnsiTheme="minorHAnsi" w:cstheme="minorHAnsi"/>
          <w:i/>
          <w:iCs/>
          <w:szCs w:val="24"/>
        </w:rPr>
        <w:t>R</w:t>
      </w:r>
      <w:r w:rsidR="00296D56" w:rsidRPr="009C0110">
        <w:rPr>
          <w:rFonts w:asciiTheme="minorHAnsi" w:hAnsiTheme="minorHAnsi" w:cstheme="minorHAnsi"/>
          <w:i/>
          <w:iCs/>
          <w:szCs w:val="24"/>
        </w:rPr>
        <w:t>ight to equality and non-discrimination</w:t>
      </w:r>
    </w:p>
    <w:p w14:paraId="5532724F" w14:textId="329B418C" w:rsidR="00296D56" w:rsidRDefault="00296D56" w:rsidP="006F2CBE">
      <w:pPr>
        <w:spacing w:before="240" w:after="120"/>
        <w:rPr>
          <w:rFonts w:asciiTheme="minorHAnsi" w:hAnsiTheme="minorHAnsi" w:cstheme="minorHAnsi"/>
          <w:szCs w:val="24"/>
        </w:rPr>
      </w:pPr>
      <w:r w:rsidRPr="009C0110">
        <w:rPr>
          <w:rFonts w:asciiTheme="minorHAnsi" w:hAnsiTheme="minorHAnsi" w:cstheme="minorHAnsi"/>
          <w:szCs w:val="24"/>
        </w:rPr>
        <w:t xml:space="preserve">The amendment to the </w:t>
      </w:r>
      <w:r w:rsidRPr="006F2CBE">
        <w:rPr>
          <w:rFonts w:asciiTheme="minorHAnsi" w:hAnsiTheme="minorHAnsi" w:cstheme="minorHAnsi"/>
          <w:szCs w:val="24"/>
        </w:rPr>
        <w:t>Taxation Administration Act</w:t>
      </w:r>
      <w:r w:rsidRPr="009C0110">
        <w:rPr>
          <w:rFonts w:asciiTheme="minorHAnsi" w:hAnsiTheme="minorHAnsi" w:cstheme="minorHAnsi"/>
          <w:szCs w:val="24"/>
        </w:rPr>
        <w:t xml:space="preserve"> </w:t>
      </w:r>
      <w:r w:rsidR="001A5FB9">
        <w:rPr>
          <w:rFonts w:asciiTheme="minorHAnsi" w:hAnsiTheme="minorHAnsi" w:cstheme="minorHAnsi"/>
          <w:szCs w:val="24"/>
        </w:rPr>
        <w:t>may</w:t>
      </w:r>
      <w:r w:rsidRPr="009C0110">
        <w:rPr>
          <w:rFonts w:asciiTheme="minorHAnsi" w:hAnsiTheme="minorHAnsi" w:cstheme="minorHAnsi"/>
          <w:szCs w:val="24"/>
        </w:rPr>
        <w:t xml:space="preserve"> limit the</w:t>
      </w:r>
      <w:r w:rsidRPr="009C0110">
        <w:rPr>
          <w:rFonts w:asciiTheme="minorHAnsi" w:hAnsiTheme="minorHAnsi" w:cstheme="minorHAnsi"/>
          <w:i/>
          <w:iCs/>
          <w:szCs w:val="24"/>
        </w:rPr>
        <w:t xml:space="preserve"> </w:t>
      </w:r>
      <w:r w:rsidRPr="009C0110">
        <w:rPr>
          <w:rFonts w:asciiTheme="minorHAnsi" w:hAnsiTheme="minorHAnsi" w:cstheme="minorHAnsi"/>
          <w:szCs w:val="24"/>
        </w:rPr>
        <w:t>right to equality and non-discrimination</w:t>
      </w:r>
      <w:r w:rsidR="006F2CBE">
        <w:rPr>
          <w:rFonts w:asciiTheme="minorHAnsi" w:hAnsiTheme="minorHAnsi" w:cstheme="minorHAnsi"/>
          <w:szCs w:val="24"/>
        </w:rPr>
        <w:t xml:space="preserve"> (section 8 of the Human Rights Act)</w:t>
      </w:r>
      <w:r w:rsidRPr="009C0110">
        <w:rPr>
          <w:rFonts w:asciiTheme="minorHAnsi" w:hAnsiTheme="minorHAnsi" w:cstheme="minorHAnsi"/>
          <w:szCs w:val="24"/>
        </w:rPr>
        <w:t xml:space="preserve">. The amendment provides the Minister specific powers </w:t>
      </w:r>
      <w:r w:rsidR="004E5108">
        <w:rPr>
          <w:rFonts w:asciiTheme="minorHAnsi" w:hAnsiTheme="minorHAnsi" w:cstheme="minorHAnsi"/>
          <w:szCs w:val="24"/>
        </w:rPr>
        <w:t xml:space="preserve">outside the COVID-19 emergency period </w:t>
      </w:r>
      <w:r w:rsidRPr="009C0110">
        <w:rPr>
          <w:rFonts w:asciiTheme="minorHAnsi" w:hAnsiTheme="minorHAnsi" w:cstheme="minorHAnsi"/>
          <w:szCs w:val="24"/>
        </w:rPr>
        <w:t>to make determinations of schemes</w:t>
      </w:r>
      <w:r w:rsidR="004E5108">
        <w:rPr>
          <w:rFonts w:asciiTheme="minorHAnsi" w:hAnsiTheme="minorHAnsi" w:cstheme="minorHAnsi"/>
          <w:szCs w:val="24"/>
        </w:rPr>
        <w:t xml:space="preserve"> to support the implementation of tax-related measures that provide the ability to provide tax relief for individuals, households and businesses through </w:t>
      </w:r>
      <w:r w:rsidRPr="009C0110">
        <w:rPr>
          <w:rFonts w:asciiTheme="minorHAnsi" w:hAnsiTheme="minorHAnsi" w:cstheme="minorHAnsi"/>
          <w:szCs w:val="24"/>
        </w:rPr>
        <w:t>rebates, deferrals and exemptions to eligible taxpayers under various revenue legislation.</w:t>
      </w:r>
    </w:p>
    <w:p w14:paraId="0B5836CA" w14:textId="0DEFAC51" w:rsidR="00296D56" w:rsidRPr="009C0110" w:rsidRDefault="00296D56" w:rsidP="006F2CBE">
      <w:pPr>
        <w:spacing w:before="240" w:after="120"/>
        <w:rPr>
          <w:rFonts w:asciiTheme="minorHAnsi" w:hAnsiTheme="minorHAnsi" w:cstheme="minorHAnsi"/>
          <w:szCs w:val="24"/>
        </w:rPr>
      </w:pPr>
      <w:r w:rsidRPr="009C0110">
        <w:rPr>
          <w:rFonts w:asciiTheme="minorHAnsi" w:hAnsiTheme="minorHAnsi" w:cstheme="minorHAnsi"/>
          <w:szCs w:val="24"/>
        </w:rPr>
        <w:t xml:space="preserve">Determination of a scheme and its eligibility criteria will be in the form of a disallowable instrument. This ensures that the </w:t>
      </w:r>
      <w:bookmarkStart w:id="14" w:name="_Hlk38970383"/>
      <w:r w:rsidRPr="009C0110">
        <w:rPr>
          <w:rFonts w:asciiTheme="minorHAnsi" w:hAnsiTheme="minorHAnsi" w:cstheme="minorHAnsi"/>
          <w:szCs w:val="24"/>
        </w:rPr>
        <w:t>Legislative Assembly Standing Committee on Legislative Scrutiny</w:t>
      </w:r>
      <w:bookmarkEnd w:id="14"/>
      <w:r w:rsidRPr="009C0110">
        <w:rPr>
          <w:rFonts w:asciiTheme="minorHAnsi" w:hAnsiTheme="minorHAnsi" w:cstheme="minorHAnsi"/>
          <w:szCs w:val="24"/>
        </w:rPr>
        <w:t xml:space="preserve"> maintains an oversight of an instrument’s content</w:t>
      </w:r>
      <w:r w:rsidR="00CD7385">
        <w:rPr>
          <w:rFonts w:asciiTheme="minorHAnsi" w:hAnsiTheme="minorHAnsi" w:cstheme="minorHAnsi"/>
          <w:szCs w:val="24"/>
        </w:rPr>
        <w:t xml:space="preserve"> and ensures transparency of any scheme and its eligibility criteria</w:t>
      </w:r>
      <w:r w:rsidRPr="009C0110">
        <w:rPr>
          <w:rFonts w:asciiTheme="minorHAnsi" w:hAnsiTheme="minorHAnsi" w:cstheme="minorHAnsi"/>
          <w:szCs w:val="24"/>
        </w:rPr>
        <w:t xml:space="preserve">. The Minister will also be required to provide a human rights compatibility statement. This acts as an important human rights safeguard to ensure that any scheme made under an instrument in accordance with these provisions is </w:t>
      </w:r>
      <w:r w:rsidRPr="009C0110">
        <w:rPr>
          <w:rFonts w:asciiTheme="minorHAnsi" w:hAnsiTheme="minorHAnsi" w:cstheme="minorHAnsi"/>
          <w:szCs w:val="24"/>
        </w:rPr>
        <w:lastRenderedPageBreak/>
        <w:t xml:space="preserve">compatible with the </w:t>
      </w:r>
      <w:r w:rsidRPr="006F2CBE">
        <w:rPr>
          <w:rFonts w:asciiTheme="minorHAnsi" w:hAnsiTheme="minorHAnsi" w:cstheme="minorHAnsi"/>
          <w:szCs w:val="24"/>
        </w:rPr>
        <w:t>Human Rights Act</w:t>
      </w:r>
      <w:r w:rsidRPr="009C0110">
        <w:rPr>
          <w:rFonts w:asciiTheme="minorHAnsi" w:hAnsiTheme="minorHAnsi" w:cstheme="minorHAnsi"/>
          <w:i/>
          <w:iCs/>
          <w:szCs w:val="24"/>
        </w:rPr>
        <w:t xml:space="preserve"> </w:t>
      </w:r>
      <w:r w:rsidRPr="009C0110">
        <w:rPr>
          <w:rFonts w:asciiTheme="minorHAnsi" w:hAnsiTheme="minorHAnsi" w:cstheme="minorHAnsi"/>
          <w:szCs w:val="24"/>
        </w:rPr>
        <w:t>and that any limitation of the right to equality and non-discrimination is reasonably justified and considered on a case-by-case basis depending on the circumstances of the instrument.</w:t>
      </w:r>
    </w:p>
    <w:p w14:paraId="523AA10C" w14:textId="77777777" w:rsidR="00296D56" w:rsidRPr="009C0110" w:rsidRDefault="00296D56" w:rsidP="006F2CBE">
      <w:pPr>
        <w:spacing w:before="240" w:after="120"/>
        <w:rPr>
          <w:rFonts w:asciiTheme="minorHAnsi" w:hAnsiTheme="minorHAnsi" w:cstheme="minorHAnsi"/>
          <w:szCs w:val="24"/>
        </w:rPr>
      </w:pPr>
      <w:r w:rsidRPr="009C0110">
        <w:rPr>
          <w:rFonts w:asciiTheme="minorHAnsi" w:hAnsiTheme="minorHAnsi" w:cstheme="minorHAnsi"/>
          <w:szCs w:val="24"/>
        </w:rPr>
        <w:t xml:space="preserve">The existing revenue legislation does not provide for a consistent set of powers for the implementation of rebates, deferrals and exemptions (outside of COVID-19 specific provisions). </w:t>
      </w:r>
      <w:r w:rsidRPr="009C0110">
        <w:rPr>
          <w:rFonts w:asciiTheme="minorHAnsi" w:hAnsiTheme="minorHAnsi" w:cstheme="minorHAnsi"/>
          <w:szCs w:val="24"/>
          <w:lang w:val="en-US"/>
        </w:rPr>
        <w:t xml:space="preserve">Such actions have had to be implemented by way of legislative amendment, using powers under a specific tax Act (if available) or under the </w:t>
      </w:r>
      <w:r w:rsidRPr="009C0110">
        <w:rPr>
          <w:rFonts w:asciiTheme="minorHAnsi" w:hAnsiTheme="minorHAnsi" w:cstheme="minorHAnsi"/>
          <w:i/>
          <w:iCs/>
          <w:szCs w:val="24"/>
          <w:lang w:val="en-US"/>
        </w:rPr>
        <w:t>Financial Management Act 1996</w:t>
      </w:r>
      <w:r w:rsidRPr="009C0110">
        <w:rPr>
          <w:rFonts w:asciiTheme="minorHAnsi" w:hAnsiTheme="minorHAnsi" w:cstheme="minorHAnsi"/>
          <w:szCs w:val="24"/>
          <w:lang w:val="en-US"/>
        </w:rPr>
        <w:t xml:space="preserve">. </w:t>
      </w:r>
    </w:p>
    <w:p w14:paraId="2E413602" w14:textId="341FD593" w:rsidR="00296D56" w:rsidRPr="009C0110" w:rsidRDefault="00296D56" w:rsidP="006F2CBE">
      <w:pPr>
        <w:spacing w:before="240" w:after="120"/>
        <w:rPr>
          <w:rFonts w:asciiTheme="minorHAnsi" w:hAnsiTheme="minorHAnsi" w:cstheme="minorHAnsi"/>
          <w:szCs w:val="24"/>
          <w:lang w:val="en-US"/>
        </w:rPr>
      </w:pPr>
      <w:r w:rsidRPr="009C0110">
        <w:rPr>
          <w:rFonts w:asciiTheme="minorHAnsi" w:hAnsiTheme="minorHAnsi" w:cstheme="minorHAnsi"/>
          <w:szCs w:val="24"/>
          <w:lang w:val="en-US"/>
        </w:rPr>
        <w:t>The amendment</w:t>
      </w:r>
      <w:r w:rsidR="00931C26">
        <w:rPr>
          <w:rFonts w:asciiTheme="minorHAnsi" w:hAnsiTheme="minorHAnsi" w:cstheme="minorHAnsi"/>
          <w:szCs w:val="24"/>
          <w:lang w:val="en-US"/>
        </w:rPr>
        <w:t>s</w:t>
      </w:r>
      <w:r w:rsidRPr="009C0110">
        <w:rPr>
          <w:rFonts w:asciiTheme="minorHAnsi" w:hAnsiTheme="minorHAnsi" w:cstheme="minorHAnsi"/>
          <w:szCs w:val="24"/>
          <w:lang w:val="en-US"/>
        </w:rPr>
        <w:t xml:space="preserve"> to the </w:t>
      </w:r>
      <w:r w:rsidRPr="006F2CBE">
        <w:rPr>
          <w:rFonts w:asciiTheme="minorHAnsi" w:hAnsiTheme="minorHAnsi" w:cstheme="minorHAnsi"/>
          <w:szCs w:val="24"/>
          <w:lang w:val="en-US"/>
        </w:rPr>
        <w:t>Taxation Administration Act</w:t>
      </w:r>
      <w:r w:rsidRPr="009C0110">
        <w:rPr>
          <w:rFonts w:asciiTheme="minorHAnsi" w:hAnsiTheme="minorHAnsi" w:cstheme="minorHAnsi"/>
          <w:szCs w:val="24"/>
          <w:lang w:val="en-US"/>
        </w:rPr>
        <w:t xml:space="preserve"> </w:t>
      </w:r>
      <w:r w:rsidR="00CD7385">
        <w:rPr>
          <w:rFonts w:asciiTheme="minorHAnsi" w:hAnsiTheme="minorHAnsi" w:cstheme="minorHAnsi"/>
          <w:szCs w:val="24"/>
          <w:lang w:val="en-US"/>
        </w:rPr>
        <w:t xml:space="preserve">aim to uphold the integrity of the taxation system. The amendments achieve this by </w:t>
      </w:r>
      <w:r w:rsidRPr="009C0110">
        <w:rPr>
          <w:rFonts w:asciiTheme="minorHAnsi" w:hAnsiTheme="minorHAnsi" w:cstheme="minorHAnsi"/>
          <w:szCs w:val="24"/>
        </w:rPr>
        <w:t>provid</w:t>
      </w:r>
      <w:r w:rsidR="00CD7385">
        <w:rPr>
          <w:rFonts w:asciiTheme="minorHAnsi" w:hAnsiTheme="minorHAnsi" w:cstheme="minorHAnsi"/>
          <w:szCs w:val="24"/>
        </w:rPr>
        <w:t>ing</w:t>
      </w:r>
      <w:r w:rsidRPr="009C0110">
        <w:rPr>
          <w:rFonts w:asciiTheme="minorHAnsi" w:hAnsiTheme="minorHAnsi" w:cstheme="minorHAnsi"/>
          <w:szCs w:val="24"/>
        </w:rPr>
        <w:t xml:space="preserve"> </w:t>
      </w:r>
      <w:r w:rsidRPr="009C0110">
        <w:rPr>
          <w:rFonts w:asciiTheme="minorHAnsi" w:hAnsiTheme="minorHAnsi" w:cstheme="minorHAnsi"/>
          <w:szCs w:val="24"/>
          <w:lang w:val="en-US"/>
        </w:rPr>
        <w:t xml:space="preserve">a set of consistent powers across tax types to provide relief for households and businesses through rebates, exemptions and deferrals. The general power for the Minister to determine a scheme </w:t>
      </w:r>
      <w:r w:rsidR="00CD7385">
        <w:rPr>
          <w:rFonts w:asciiTheme="minorHAnsi" w:hAnsiTheme="minorHAnsi" w:cstheme="minorHAnsi"/>
          <w:szCs w:val="24"/>
          <w:lang w:val="en-US"/>
        </w:rPr>
        <w:t>also achieve</w:t>
      </w:r>
      <w:r w:rsidR="006F2CBE">
        <w:rPr>
          <w:rFonts w:asciiTheme="minorHAnsi" w:hAnsiTheme="minorHAnsi" w:cstheme="minorHAnsi"/>
          <w:szCs w:val="24"/>
          <w:lang w:val="en-US"/>
        </w:rPr>
        <w:t>s</w:t>
      </w:r>
      <w:r w:rsidR="00CD7385">
        <w:rPr>
          <w:rFonts w:asciiTheme="minorHAnsi" w:hAnsiTheme="minorHAnsi" w:cstheme="minorHAnsi"/>
          <w:szCs w:val="24"/>
          <w:lang w:val="en-US"/>
        </w:rPr>
        <w:t xml:space="preserve"> this objective by </w:t>
      </w:r>
      <w:r w:rsidRPr="009C0110">
        <w:rPr>
          <w:rFonts w:asciiTheme="minorHAnsi" w:hAnsiTheme="minorHAnsi" w:cstheme="minorHAnsi"/>
          <w:szCs w:val="24"/>
          <w:lang w:val="en-US"/>
        </w:rPr>
        <w:t>allow</w:t>
      </w:r>
      <w:r w:rsidR="00CD7385">
        <w:rPr>
          <w:rFonts w:asciiTheme="minorHAnsi" w:hAnsiTheme="minorHAnsi" w:cstheme="minorHAnsi"/>
          <w:szCs w:val="24"/>
          <w:lang w:val="en-US"/>
        </w:rPr>
        <w:t>ing</w:t>
      </w:r>
      <w:r w:rsidRPr="009C0110">
        <w:rPr>
          <w:rFonts w:asciiTheme="minorHAnsi" w:hAnsiTheme="minorHAnsi" w:cstheme="minorHAnsi"/>
          <w:szCs w:val="24"/>
          <w:lang w:val="en-US"/>
        </w:rPr>
        <w:t xml:space="preserve"> for flexibility to facilitate any future revenue measures in a timely and efficient manner.</w:t>
      </w:r>
    </w:p>
    <w:p w14:paraId="16C1ACBE" w14:textId="39CA8EF6" w:rsidR="00296D56" w:rsidRDefault="00296D56" w:rsidP="006F2CBE">
      <w:pPr>
        <w:spacing w:before="240" w:after="120"/>
        <w:rPr>
          <w:rFonts w:asciiTheme="minorHAnsi" w:hAnsiTheme="minorHAnsi" w:cstheme="minorHAnsi"/>
          <w:szCs w:val="24"/>
        </w:rPr>
      </w:pPr>
      <w:r w:rsidRPr="009C0110">
        <w:rPr>
          <w:rFonts w:asciiTheme="minorHAnsi" w:hAnsiTheme="minorHAnsi" w:cstheme="minorHAnsi"/>
          <w:szCs w:val="24"/>
          <w:lang w:val="en-US"/>
        </w:rPr>
        <w:t xml:space="preserve">Therefore, the potential limitation of the right to equality and non-discrimination is </w:t>
      </w:r>
      <w:r w:rsidRPr="009C0110">
        <w:rPr>
          <w:rFonts w:asciiTheme="minorHAnsi" w:hAnsiTheme="minorHAnsi" w:cstheme="minorHAnsi"/>
          <w:szCs w:val="24"/>
        </w:rPr>
        <w:t>considered reasonable, necessary and proportionate in achieving the legitimate purpose of facilitating the administration of any future tax relief measures.</w:t>
      </w:r>
    </w:p>
    <w:p w14:paraId="0B9486E2" w14:textId="115A94ED" w:rsidR="009C0110" w:rsidRPr="009C0110" w:rsidRDefault="006F2CBE" w:rsidP="006F2CBE">
      <w:pPr>
        <w:spacing w:before="240" w:after="120"/>
        <w:rPr>
          <w:rFonts w:asciiTheme="minorHAnsi" w:hAnsiTheme="minorHAnsi" w:cstheme="minorHAnsi"/>
          <w:i/>
          <w:iCs/>
          <w:szCs w:val="24"/>
        </w:rPr>
      </w:pPr>
      <w:r>
        <w:rPr>
          <w:rFonts w:asciiTheme="minorHAnsi" w:hAnsiTheme="minorHAnsi" w:cstheme="minorHAnsi"/>
          <w:i/>
          <w:iCs/>
          <w:szCs w:val="24"/>
        </w:rPr>
        <w:t>R</w:t>
      </w:r>
      <w:r w:rsidR="009C0110" w:rsidRPr="009C0110">
        <w:rPr>
          <w:rFonts w:asciiTheme="minorHAnsi" w:hAnsiTheme="minorHAnsi" w:cstheme="minorHAnsi"/>
          <w:i/>
          <w:iCs/>
          <w:szCs w:val="24"/>
        </w:rPr>
        <w:t>ight to privacy</w:t>
      </w:r>
    </w:p>
    <w:p w14:paraId="5C07548E" w14:textId="4F569596" w:rsidR="009C0110" w:rsidRPr="009C0110" w:rsidRDefault="009C0110" w:rsidP="006F2CBE">
      <w:pPr>
        <w:autoSpaceDE w:val="0"/>
        <w:autoSpaceDN w:val="0"/>
        <w:spacing w:before="240" w:after="120"/>
        <w:rPr>
          <w:rFonts w:asciiTheme="minorHAnsi" w:hAnsiTheme="minorHAnsi" w:cstheme="minorHAnsi"/>
          <w:szCs w:val="24"/>
        </w:rPr>
      </w:pPr>
      <w:r w:rsidRPr="009C0110">
        <w:rPr>
          <w:rFonts w:asciiTheme="minorHAnsi" w:hAnsiTheme="minorHAnsi" w:cstheme="minorHAnsi"/>
          <w:szCs w:val="24"/>
        </w:rPr>
        <w:t xml:space="preserve">The right to privacy </w:t>
      </w:r>
      <w:r w:rsidR="006F2CBE">
        <w:rPr>
          <w:rFonts w:asciiTheme="minorHAnsi" w:hAnsiTheme="minorHAnsi" w:cstheme="minorHAnsi"/>
          <w:szCs w:val="24"/>
        </w:rPr>
        <w:t xml:space="preserve">(section 12 of the Human Rights Act) </w:t>
      </w:r>
      <w:r w:rsidRPr="009C0110">
        <w:rPr>
          <w:rFonts w:asciiTheme="minorHAnsi" w:hAnsiTheme="minorHAnsi" w:cstheme="minorHAnsi"/>
          <w:szCs w:val="24"/>
        </w:rPr>
        <w:t xml:space="preserve">provides that everyone has the right not to have his or her privacy, family, or home or correspondence interfered with unlawfully or arbitrarily. The right is engaged by collection, use or disclosure of personal information under subsections 137D(3)(b) and 137F(3)(c), which will allow the Commissioner for Revenue to request information required (which may include personal information) to decide an application. </w:t>
      </w:r>
    </w:p>
    <w:p w14:paraId="63BAD017" w14:textId="01608683" w:rsidR="001F2426" w:rsidRDefault="009C0110" w:rsidP="006F2CBE">
      <w:pPr>
        <w:spacing w:before="240" w:after="120"/>
        <w:rPr>
          <w:szCs w:val="24"/>
        </w:rPr>
      </w:pPr>
      <w:r w:rsidRPr="009C0110">
        <w:rPr>
          <w:rFonts w:asciiTheme="minorHAnsi" w:hAnsiTheme="minorHAnsi" w:cstheme="minorHAnsi"/>
          <w:szCs w:val="24"/>
        </w:rPr>
        <w:t>The amendments allow the Commissioner for ACT Revenue to request additional information that is required to determine a person’s or entity’s eligibility to the relevant scheme</w:t>
      </w:r>
      <w:r w:rsidR="004C4373">
        <w:rPr>
          <w:rFonts w:asciiTheme="minorHAnsi" w:hAnsiTheme="minorHAnsi" w:cstheme="minorHAnsi"/>
          <w:szCs w:val="24"/>
        </w:rPr>
        <w:t xml:space="preserve"> outside the COVID-19 emergency period. These amendments </w:t>
      </w:r>
      <w:r w:rsidR="00B02D2A">
        <w:rPr>
          <w:rFonts w:asciiTheme="minorHAnsi" w:hAnsiTheme="minorHAnsi" w:cstheme="minorHAnsi"/>
          <w:szCs w:val="24"/>
        </w:rPr>
        <w:t>assist</w:t>
      </w:r>
      <w:r w:rsidR="004C4373">
        <w:rPr>
          <w:rFonts w:asciiTheme="minorHAnsi" w:hAnsiTheme="minorHAnsi" w:cstheme="minorHAnsi"/>
          <w:szCs w:val="24"/>
        </w:rPr>
        <w:t xml:space="preserve"> with achieving the overall </w:t>
      </w:r>
      <w:r w:rsidR="00B02D2A">
        <w:rPr>
          <w:rFonts w:asciiTheme="minorHAnsi" w:hAnsiTheme="minorHAnsi" w:cstheme="minorHAnsi"/>
          <w:szCs w:val="24"/>
        </w:rPr>
        <w:t xml:space="preserve">legitimate </w:t>
      </w:r>
      <w:r w:rsidR="004C4373">
        <w:rPr>
          <w:rFonts w:asciiTheme="minorHAnsi" w:hAnsiTheme="minorHAnsi" w:cstheme="minorHAnsi"/>
          <w:szCs w:val="24"/>
        </w:rPr>
        <w:t>objective</w:t>
      </w:r>
      <w:r w:rsidR="00B02D2A">
        <w:rPr>
          <w:rFonts w:asciiTheme="minorHAnsi" w:hAnsiTheme="minorHAnsi" w:cstheme="minorHAnsi"/>
          <w:szCs w:val="24"/>
        </w:rPr>
        <w:t xml:space="preserve"> of the amendments</w:t>
      </w:r>
      <w:r w:rsidR="004C4373">
        <w:rPr>
          <w:rFonts w:asciiTheme="minorHAnsi" w:hAnsiTheme="minorHAnsi" w:cstheme="minorHAnsi"/>
          <w:szCs w:val="24"/>
        </w:rPr>
        <w:t xml:space="preserve"> to </w:t>
      </w:r>
      <w:r w:rsidR="004C4373">
        <w:rPr>
          <w:rFonts w:asciiTheme="minorHAnsi" w:hAnsiTheme="minorHAnsi" w:cstheme="minorHAnsi"/>
          <w:szCs w:val="24"/>
          <w:lang w:val="en-US"/>
        </w:rPr>
        <w:t xml:space="preserve">uphold the integrity of the taxation system by permitting </w:t>
      </w:r>
      <w:r w:rsidR="00B02D2A">
        <w:rPr>
          <w:rFonts w:asciiTheme="minorHAnsi" w:hAnsiTheme="minorHAnsi" w:cstheme="minorHAnsi"/>
          <w:szCs w:val="24"/>
          <w:lang w:val="en-US"/>
        </w:rPr>
        <w:t>certain</w:t>
      </w:r>
      <w:r w:rsidR="004C4373">
        <w:rPr>
          <w:rFonts w:asciiTheme="minorHAnsi" w:hAnsiTheme="minorHAnsi" w:cstheme="minorHAnsi"/>
          <w:szCs w:val="24"/>
          <w:lang w:val="en-US"/>
        </w:rPr>
        <w:t xml:space="preserve"> information to be requested, which allows</w:t>
      </w:r>
      <w:r w:rsidR="00B02D2A">
        <w:rPr>
          <w:rFonts w:asciiTheme="minorHAnsi" w:hAnsiTheme="minorHAnsi" w:cstheme="minorHAnsi"/>
          <w:szCs w:val="24"/>
          <w:lang w:val="en-US"/>
        </w:rPr>
        <w:t xml:space="preserve"> for</w:t>
      </w:r>
      <w:r w:rsidR="004C4373">
        <w:rPr>
          <w:rFonts w:asciiTheme="minorHAnsi" w:hAnsiTheme="minorHAnsi" w:cstheme="minorHAnsi"/>
          <w:szCs w:val="24"/>
          <w:lang w:val="en-US"/>
        </w:rPr>
        <w:t xml:space="preserve"> the</w:t>
      </w:r>
      <w:r w:rsidR="004C4373" w:rsidRPr="009C0110">
        <w:rPr>
          <w:rFonts w:asciiTheme="minorHAnsi" w:hAnsiTheme="minorHAnsi" w:cstheme="minorHAnsi"/>
          <w:szCs w:val="24"/>
          <w:lang w:val="en-US"/>
        </w:rPr>
        <w:t xml:space="preserve"> set of consistent powers across tax types to provide relief for households and businesses through rebates, exemptions and deferrals</w:t>
      </w:r>
      <w:r w:rsidRPr="009C0110">
        <w:rPr>
          <w:rFonts w:asciiTheme="minorHAnsi" w:hAnsiTheme="minorHAnsi" w:cstheme="minorHAnsi"/>
          <w:szCs w:val="24"/>
        </w:rPr>
        <w:t xml:space="preserve">. </w:t>
      </w:r>
      <w:r w:rsidR="00CD7385">
        <w:rPr>
          <w:rFonts w:asciiTheme="minorHAnsi" w:hAnsiTheme="minorHAnsi" w:cstheme="minorHAnsi"/>
          <w:szCs w:val="24"/>
        </w:rPr>
        <w:t>T</w:t>
      </w:r>
      <w:r w:rsidRPr="009C0110">
        <w:rPr>
          <w:rFonts w:asciiTheme="minorHAnsi" w:hAnsiTheme="minorHAnsi" w:cstheme="minorHAnsi"/>
          <w:szCs w:val="24"/>
        </w:rPr>
        <w:t>he collection, use or disclosure of personal information is clearly provided by law</w:t>
      </w:r>
      <w:r w:rsidR="00CD7385">
        <w:rPr>
          <w:rFonts w:asciiTheme="minorHAnsi" w:hAnsiTheme="minorHAnsi" w:cstheme="minorHAnsi"/>
          <w:szCs w:val="24"/>
        </w:rPr>
        <w:t xml:space="preserve">. It </w:t>
      </w:r>
      <w:r w:rsidRPr="009C0110">
        <w:rPr>
          <w:rFonts w:asciiTheme="minorHAnsi" w:hAnsiTheme="minorHAnsi" w:cstheme="minorHAnsi"/>
          <w:szCs w:val="24"/>
        </w:rPr>
        <w:t xml:space="preserve">is </w:t>
      </w:r>
      <w:r w:rsidR="00CD7385">
        <w:rPr>
          <w:rFonts w:asciiTheme="minorHAnsi" w:hAnsiTheme="minorHAnsi" w:cstheme="minorHAnsi"/>
          <w:szCs w:val="24"/>
        </w:rPr>
        <w:t xml:space="preserve">also </w:t>
      </w:r>
      <w:r w:rsidRPr="009C0110">
        <w:rPr>
          <w:rFonts w:asciiTheme="minorHAnsi" w:hAnsiTheme="minorHAnsi" w:cstheme="minorHAnsi"/>
          <w:szCs w:val="24"/>
        </w:rPr>
        <w:t>not arbitrary</w:t>
      </w:r>
      <w:r w:rsidR="001F2426">
        <w:rPr>
          <w:rFonts w:asciiTheme="minorHAnsi" w:hAnsiTheme="minorHAnsi" w:cstheme="minorHAnsi"/>
          <w:szCs w:val="24"/>
        </w:rPr>
        <w:t xml:space="preserve"> and is proportionate as the proposal request for additional information is limited</w:t>
      </w:r>
      <w:r w:rsidRPr="009C0110">
        <w:rPr>
          <w:rFonts w:asciiTheme="minorHAnsi" w:hAnsiTheme="minorHAnsi" w:cstheme="minorHAnsi"/>
          <w:szCs w:val="24"/>
        </w:rPr>
        <w:t xml:space="preserve"> </w:t>
      </w:r>
      <w:r w:rsidR="001F2426">
        <w:rPr>
          <w:rFonts w:asciiTheme="minorHAnsi" w:hAnsiTheme="minorHAnsi" w:cstheme="minorHAnsi"/>
          <w:szCs w:val="24"/>
        </w:rPr>
        <w:t>to</w:t>
      </w:r>
      <w:r w:rsidRPr="009C0110">
        <w:rPr>
          <w:rFonts w:asciiTheme="minorHAnsi" w:hAnsiTheme="minorHAnsi" w:cstheme="minorHAnsi"/>
          <w:szCs w:val="24"/>
        </w:rPr>
        <w:t xml:space="preserve"> only information that is reasonably necessary to identify the taxpayer and their eligibility for a rebate, deferral or exemption</w:t>
      </w:r>
      <w:r w:rsidRPr="001F2426">
        <w:rPr>
          <w:rFonts w:asciiTheme="minorHAnsi" w:hAnsiTheme="minorHAnsi" w:cstheme="minorHAnsi"/>
          <w:szCs w:val="24"/>
        </w:rPr>
        <w:t>.</w:t>
      </w:r>
      <w:r w:rsidR="001F2426" w:rsidRPr="001F2426">
        <w:rPr>
          <w:rFonts w:asciiTheme="minorHAnsi" w:hAnsiTheme="minorHAnsi" w:cstheme="minorHAnsi"/>
          <w:szCs w:val="24"/>
        </w:rPr>
        <w:t xml:space="preserve"> This is because as the disallowable instrument detailing what information the commissioner may collect will be subject to a human rights compatibility statement, which will ensure that any limitation of the right to privacy through the collection of additional information is </w:t>
      </w:r>
      <w:r w:rsidR="001F2426" w:rsidRPr="001F2426">
        <w:rPr>
          <w:rFonts w:asciiTheme="minorHAnsi" w:hAnsiTheme="minorHAnsi" w:cstheme="minorHAnsi"/>
          <w:szCs w:val="24"/>
        </w:rPr>
        <w:lastRenderedPageBreak/>
        <w:t>reasonably justified and considered on a case-by-case basis depending on the circumstances of the instrument.</w:t>
      </w:r>
    </w:p>
    <w:p w14:paraId="2ADB46C4" w14:textId="2B8D0D50" w:rsidR="009C0110" w:rsidRPr="009C0110" w:rsidRDefault="009C0110" w:rsidP="006F2CBE">
      <w:pPr>
        <w:autoSpaceDE w:val="0"/>
        <w:autoSpaceDN w:val="0"/>
        <w:spacing w:before="240" w:after="120"/>
        <w:rPr>
          <w:rFonts w:asciiTheme="minorHAnsi" w:hAnsiTheme="minorHAnsi" w:cstheme="minorHAnsi"/>
          <w:szCs w:val="24"/>
        </w:rPr>
      </w:pPr>
      <w:r w:rsidRPr="009C0110">
        <w:rPr>
          <w:rFonts w:asciiTheme="minorHAnsi" w:hAnsiTheme="minorHAnsi" w:cstheme="minorHAnsi"/>
          <w:szCs w:val="24"/>
        </w:rPr>
        <w:t xml:space="preserve">In determining and administering a scheme, the Commissioner for ACT Revenue must comply with the obligations under the strict secrecy provisions of the </w:t>
      </w:r>
      <w:r w:rsidRPr="006F2CBE">
        <w:rPr>
          <w:rFonts w:asciiTheme="minorHAnsi" w:hAnsiTheme="minorHAnsi" w:cstheme="minorHAnsi"/>
          <w:szCs w:val="24"/>
        </w:rPr>
        <w:t>Taxation Administration Act,</w:t>
      </w:r>
      <w:r w:rsidRPr="009C0110">
        <w:rPr>
          <w:rFonts w:asciiTheme="minorHAnsi" w:hAnsiTheme="minorHAnsi" w:cstheme="minorHAnsi"/>
          <w:szCs w:val="24"/>
        </w:rPr>
        <w:t xml:space="preserve"> the </w:t>
      </w:r>
      <w:r w:rsidRPr="009C0110">
        <w:rPr>
          <w:rFonts w:asciiTheme="minorHAnsi" w:hAnsiTheme="minorHAnsi" w:cstheme="minorHAnsi"/>
          <w:i/>
          <w:iCs/>
          <w:szCs w:val="24"/>
        </w:rPr>
        <w:t>Information Privacy Act 2014</w:t>
      </w:r>
      <w:r w:rsidRPr="009C0110">
        <w:rPr>
          <w:rFonts w:asciiTheme="minorHAnsi" w:hAnsiTheme="minorHAnsi" w:cstheme="minorHAnsi"/>
          <w:szCs w:val="24"/>
        </w:rPr>
        <w:t xml:space="preserve"> and the </w:t>
      </w:r>
      <w:r w:rsidR="006F2CBE">
        <w:rPr>
          <w:rFonts w:asciiTheme="minorHAnsi" w:hAnsiTheme="minorHAnsi" w:cstheme="minorHAnsi"/>
          <w:szCs w:val="24"/>
        </w:rPr>
        <w:t>Human Rights Act</w:t>
      </w:r>
      <w:r w:rsidRPr="009C0110">
        <w:rPr>
          <w:rFonts w:asciiTheme="minorHAnsi" w:hAnsiTheme="minorHAnsi" w:cstheme="minorHAnsi"/>
          <w:szCs w:val="24"/>
        </w:rPr>
        <w:t>.</w:t>
      </w:r>
      <w:r w:rsidR="001F2426">
        <w:rPr>
          <w:rFonts w:asciiTheme="minorHAnsi" w:hAnsiTheme="minorHAnsi" w:cstheme="minorHAnsi"/>
          <w:szCs w:val="24"/>
        </w:rPr>
        <w:t xml:space="preserve"> This ensures that this provision is proportionate.</w:t>
      </w:r>
    </w:p>
    <w:p w14:paraId="080BBF2D" w14:textId="2321F601" w:rsidR="00296D56" w:rsidRPr="006F2CBE" w:rsidRDefault="00E43811" w:rsidP="006F2CBE">
      <w:pPr>
        <w:pStyle w:val="Heading3"/>
        <w:rPr>
          <w:rFonts w:asciiTheme="minorHAnsi" w:hAnsiTheme="minorHAnsi" w:cstheme="minorHAnsi"/>
        </w:rPr>
      </w:pPr>
      <w:bookmarkStart w:id="15" w:name="_Toc79498179"/>
      <w:r w:rsidRPr="006F2CBE">
        <w:rPr>
          <w:rFonts w:asciiTheme="minorHAnsi" w:hAnsiTheme="minorHAnsi" w:cstheme="minorHAnsi"/>
        </w:rPr>
        <w:t>Amendments with neutral impact on human rights</w:t>
      </w:r>
      <w:bookmarkEnd w:id="15"/>
    </w:p>
    <w:p w14:paraId="68E736B7" w14:textId="6FE464AB" w:rsidR="00E43811" w:rsidRPr="006F2CBE" w:rsidRDefault="00E43811" w:rsidP="006F2CBE">
      <w:pPr>
        <w:pStyle w:val="Heading4"/>
        <w:rPr>
          <w:rFonts w:asciiTheme="minorHAnsi" w:hAnsiTheme="minorHAnsi" w:cstheme="minorHAnsi"/>
          <w:i/>
          <w:iCs/>
        </w:rPr>
      </w:pPr>
      <w:r w:rsidRPr="006F2CBE">
        <w:rPr>
          <w:rFonts w:asciiTheme="minorHAnsi" w:hAnsiTheme="minorHAnsi" w:cstheme="minorHAnsi"/>
          <w:i/>
          <w:iCs/>
        </w:rPr>
        <w:t>Bail Act 1992</w:t>
      </w:r>
    </w:p>
    <w:p w14:paraId="27F6D887" w14:textId="214E0EC4" w:rsidR="00E43811" w:rsidRDefault="00E43811" w:rsidP="00A363CB">
      <w:pPr>
        <w:autoSpaceDE w:val="0"/>
        <w:autoSpaceDN w:val="0"/>
        <w:adjustRightInd w:val="0"/>
        <w:spacing w:before="240" w:after="120"/>
        <w:rPr>
          <w:rFonts w:asciiTheme="minorHAnsi" w:eastAsia="Times New Roman" w:hAnsiTheme="minorHAnsi" w:cstheme="minorHAnsi"/>
        </w:rPr>
      </w:pPr>
      <w:r w:rsidRPr="00E43811">
        <w:rPr>
          <w:rFonts w:asciiTheme="minorHAnsi" w:eastAsia="Times New Roman" w:hAnsiTheme="minorHAnsi" w:cstheme="minorHAnsi"/>
        </w:rPr>
        <w:t>The amendment to allow for bail undertakings to be provided ‘before the court’</w:t>
      </w:r>
      <w:r w:rsidR="004A54A0">
        <w:rPr>
          <w:rFonts w:asciiTheme="minorHAnsi" w:eastAsia="Times New Roman" w:hAnsiTheme="minorHAnsi" w:cstheme="minorHAnsi"/>
        </w:rPr>
        <w:t>,</w:t>
      </w:r>
      <w:r w:rsidRPr="00E43811">
        <w:rPr>
          <w:rFonts w:asciiTheme="minorHAnsi" w:eastAsia="Times New Roman" w:hAnsiTheme="minorHAnsi" w:cstheme="minorHAnsi"/>
        </w:rPr>
        <w:t xml:space="preserve"> for example through audio-visual links</w:t>
      </w:r>
      <w:r w:rsidR="004A54A0">
        <w:rPr>
          <w:rFonts w:asciiTheme="minorHAnsi" w:eastAsia="Times New Roman" w:hAnsiTheme="minorHAnsi" w:cstheme="minorHAnsi"/>
        </w:rPr>
        <w:t>,</w:t>
      </w:r>
      <w:r w:rsidRPr="00E43811">
        <w:rPr>
          <w:rFonts w:asciiTheme="minorHAnsi" w:eastAsia="Times New Roman" w:hAnsiTheme="minorHAnsi" w:cstheme="minorHAnsi"/>
        </w:rPr>
        <w:t xml:space="preserve"> and be recorded by the court rather than signed and filed at the court, has a neu</w:t>
      </w:r>
      <w:r>
        <w:rPr>
          <w:rFonts w:asciiTheme="minorHAnsi" w:eastAsia="Times New Roman" w:hAnsiTheme="minorHAnsi" w:cstheme="minorHAnsi"/>
        </w:rPr>
        <w:t>t</w:t>
      </w:r>
      <w:r w:rsidRPr="00E43811">
        <w:rPr>
          <w:rFonts w:asciiTheme="minorHAnsi" w:eastAsia="Times New Roman" w:hAnsiTheme="minorHAnsi" w:cstheme="minorHAnsi"/>
        </w:rPr>
        <w:t>ral impact on human rights.</w:t>
      </w:r>
    </w:p>
    <w:p w14:paraId="7852CD79" w14:textId="4E0C4F3A" w:rsidR="00E43811" w:rsidRPr="006F2CBE" w:rsidRDefault="00E43811" w:rsidP="006F2CBE">
      <w:pPr>
        <w:pStyle w:val="Heading4"/>
        <w:rPr>
          <w:rFonts w:asciiTheme="minorHAnsi" w:hAnsiTheme="minorHAnsi" w:cstheme="minorHAnsi"/>
          <w:i/>
          <w:iCs/>
        </w:rPr>
      </w:pPr>
      <w:r w:rsidRPr="006F2CBE">
        <w:rPr>
          <w:rFonts w:asciiTheme="minorHAnsi" w:hAnsiTheme="minorHAnsi" w:cstheme="minorHAnsi"/>
          <w:i/>
          <w:iCs/>
        </w:rPr>
        <w:t>Crimes (Sentencing) Act 2005</w:t>
      </w:r>
    </w:p>
    <w:p w14:paraId="49483CC9" w14:textId="29174047" w:rsidR="00E43811" w:rsidRDefault="00E43811" w:rsidP="00A363CB">
      <w:pPr>
        <w:autoSpaceDE w:val="0"/>
        <w:autoSpaceDN w:val="0"/>
        <w:adjustRightInd w:val="0"/>
        <w:spacing w:before="240" w:after="120"/>
        <w:rPr>
          <w:rFonts w:asciiTheme="minorHAnsi" w:eastAsia="Times New Roman" w:hAnsiTheme="minorHAnsi" w:cstheme="minorHAnsi"/>
        </w:rPr>
      </w:pPr>
      <w:r w:rsidRPr="00E43811">
        <w:rPr>
          <w:rFonts w:asciiTheme="minorHAnsi" w:eastAsia="Times New Roman" w:hAnsiTheme="minorHAnsi" w:cstheme="minorHAnsi"/>
        </w:rPr>
        <w:t>The amendment to allow for good behaviour undertakings to be provided ‘before the court’</w:t>
      </w:r>
      <w:r w:rsidR="004A54A0">
        <w:rPr>
          <w:rFonts w:asciiTheme="minorHAnsi" w:eastAsia="Times New Roman" w:hAnsiTheme="minorHAnsi" w:cstheme="minorHAnsi"/>
        </w:rPr>
        <w:t>,</w:t>
      </w:r>
      <w:r w:rsidRPr="00E43811">
        <w:rPr>
          <w:rFonts w:asciiTheme="minorHAnsi" w:eastAsia="Times New Roman" w:hAnsiTheme="minorHAnsi" w:cstheme="minorHAnsi"/>
        </w:rPr>
        <w:t xml:space="preserve"> for example through audio-visual links</w:t>
      </w:r>
      <w:r w:rsidR="004A54A0">
        <w:rPr>
          <w:rFonts w:asciiTheme="minorHAnsi" w:eastAsia="Times New Roman" w:hAnsiTheme="minorHAnsi" w:cstheme="minorHAnsi"/>
        </w:rPr>
        <w:t>,</w:t>
      </w:r>
      <w:r w:rsidRPr="00E43811">
        <w:rPr>
          <w:rFonts w:asciiTheme="minorHAnsi" w:eastAsia="Times New Roman" w:hAnsiTheme="minorHAnsi" w:cstheme="minorHAnsi"/>
        </w:rPr>
        <w:t xml:space="preserve"> and be recorded by the court rather than signed and filed at the court, has a neu</w:t>
      </w:r>
      <w:r>
        <w:rPr>
          <w:rFonts w:asciiTheme="minorHAnsi" w:eastAsia="Times New Roman" w:hAnsiTheme="minorHAnsi" w:cstheme="minorHAnsi"/>
        </w:rPr>
        <w:t>t</w:t>
      </w:r>
      <w:r w:rsidRPr="00E43811">
        <w:rPr>
          <w:rFonts w:asciiTheme="minorHAnsi" w:eastAsia="Times New Roman" w:hAnsiTheme="minorHAnsi" w:cstheme="minorHAnsi"/>
        </w:rPr>
        <w:t>ral impact on human rights.</w:t>
      </w:r>
    </w:p>
    <w:p w14:paraId="522B1CC8" w14:textId="12240FE1" w:rsidR="00E43811" w:rsidRPr="006F2CBE" w:rsidRDefault="00E43811" w:rsidP="006F2CBE">
      <w:pPr>
        <w:pStyle w:val="Heading4"/>
        <w:rPr>
          <w:rFonts w:asciiTheme="minorHAnsi" w:hAnsiTheme="minorHAnsi" w:cstheme="minorHAnsi"/>
          <w:i/>
          <w:iCs/>
        </w:rPr>
      </w:pPr>
      <w:r w:rsidRPr="006F2CBE">
        <w:rPr>
          <w:rFonts w:asciiTheme="minorHAnsi" w:hAnsiTheme="minorHAnsi" w:cstheme="minorHAnsi"/>
          <w:i/>
          <w:iCs/>
        </w:rPr>
        <w:t>Crimes Act 1900 and Drugs of Dependence Act 1989</w:t>
      </w:r>
    </w:p>
    <w:p w14:paraId="0C81DAD9" w14:textId="441041B0" w:rsidR="00E43811" w:rsidRDefault="00E43811" w:rsidP="00A363CB">
      <w:pPr>
        <w:autoSpaceDE w:val="0"/>
        <w:autoSpaceDN w:val="0"/>
        <w:adjustRightInd w:val="0"/>
        <w:spacing w:before="240" w:after="120"/>
        <w:rPr>
          <w:rFonts w:asciiTheme="minorHAnsi" w:eastAsia="Times New Roman" w:hAnsiTheme="minorHAnsi" w:cstheme="minorHAnsi"/>
        </w:rPr>
      </w:pPr>
      <w:r>
        <w:rPr>
          <w:rFonts w:asciiTheme="minorHAnsi" w:eastAsia="Times New Roman" w:hAnsiTheme="minorHAnsi" w:cstheme="minorHAnsi"/>
        </w:rPr>
        <w:t>The amendments to allow for electronic application and transmission of sworn warrants do not engage human rights.</w:t>
      </w:r>
    </w:p>
    <w:p w14:paraId="3EB4CF6F" w14:textId="77777777" w:rsidR="00E43811" w:rsidRDefault="00E43811">
      <w:pPr>
        <w:spacing w:after="0" w:line="240" w:lineRule="auto"/>
        <w:rPr>
          <w:rFonts w:asciiTheme="minorHAnsi" w:eastAsia="Times New Roman" w:hAnsiTheme="minorHAnsi" w:cstheme="minorHAnsi"/>
        </w:rPr>
      </w:pPr>
      <w:r>
        <w:rPr>
          <w:rFonts w:asciiTheme="minorHAnsi" w:eastAsia="Times New Roman" w:hAnsiTheme="minorHAnsi" w:cstheme="minorHAnsi"/>
        </w:rPr>
        <w:br w:type="page"/>
      </w:r>
    </w:p>
    <w:p w14:paraId="5BA082E0" w14:textId="36603811" w:rsidR="00B55BED" w:rsidRPr="004A54A0" w:rsidRDefault="004A54A0" w:rsidP="00B55BED">
      <w:pPr>
        <w:jc w:val="center"/>
        <w:rPr>
          <w:rFonts w:asciiTheme="minorHAnsi" w:hAnsiTheme="minorHAnsi" w:cstheme="minorHAnsi"/>
          <w:b/>
          <w:bCs/>
          <w:i/>
          <w:iCs/>
          <w:szCs w:val="24"/>
        </w:rPr>
      </w:pPr>
      <w:r>
        <w:rPr>
          <w:rFonts w:asciiTheme="minorHAnsi" w:hAnsiTheme="minorHAnsi" w:cstheme="minorHAnsi"/>
          <w:b/>
          <w:bCs/>
          <w:szCs w:val="24"/>
        </w:rPr>
        <w:lastRenderedPageBreak/>
        <w:t>Operational Efficiencies (COVID-19) Legislation Amendment Bill 2021</w:t>
      </w:r>
    </w:p>
    <w:p w14:paraId="37C9AECE" w14:textId="77777777" w:rsidR="00B55BED" w:rsidRPr="00D4690B" w:rsidRDefault="00B55BED" w:rsidP="00B55BED">
      <w:pPr>
        <w:pStyle w:val="Heading4"/>
        <w:ind w:left="-108"/>
        <w:jc w:val="center"/>
        <w:rPr>
          <w:rFonts w:asciiTheme="minorHAnsi" w:hAnsiTheme="minorHAnsi" w:cstheme="minorHAnsi"/>
        </w:rPr>
      </w:pPr>
      <w:r w:rsidRPr="00D4690B">
        <w:rPr>
          <w:rFonts w:asciiTheme="minorHAnsi" w:hAnsiTheme="minorHAnsi" w:cstheme="minorHAnsi"/>
          <w:i/>
          <w:iCs/>
        </w:rPr>
        <w:t>Human Rights Act 2004</w:t>
      </w:r>
      <w:r w:rsidRPr="00D4690B">
        <w:rPr>
          <w:rFonts w:asciiTheme="minorHAnsi" w:hAnsiTheme="minorHAnsi" w:cstheme="minorHAnsi"/>
        </w:rPr>
        <w:t xml:space="preserve"> </w:t>
      </w:r>
      <w:r w:rsidRPr="00D4690B">
        <w:rPr>
          <w:rFonts w:asciiTheme="minorHAnsi" w:hAnsiTheme="minorHAnsi" w:cstheme="minorHAnsi"/>
          <w:i/>
          <w:iCs/>
        </w:rPr>
        <w:t>- Compatibility Statement</w:t>
      </w:r>
    </w:p>
    <w:p w14:paraId="4F43F019" w14:textId="77777777" w:rsidR="00B55BED" w:rsidRPr="00D4690B" w:rsidRDefault="00B55BED" w:rsidP="00B55BED">
      <w:pPr>
        <w:rPr>
          <w:rFonts w:asciiTheme="minorHAnsi" w:hAnsiTheme="minorHAnsi" w:cstheme="minorHAnsi"/>
          <w:szCs w:val="24"/>
        </w:rPr>
      </w:pPr>
    </w:p>
    <w:p w14:paraId="7C5ED20F" w14:textId="77777777" w:rsidR="00B55BED" w:rsidRPr="00D4690B" w:rsidRDefault="00B55BED" w:rsidP="00B55BED">
      <w:pPr>
        <w:rPr>
          <w:rFonts w:asciiTheme="minorHAnsi" w:hAnsiTheme="minorHAnsi" w:cstheme="minorHAnsi"/>
          <w:szCs w:val="24"/>
        </w:rPr>
      </w:pPr>
    </w:p>
    <w:p w14:paraId="5CAD87A1" w14:textId="11D89AC4" w:rsidR="00B55BED" w:rsidRPr="00D4690B" w:rsidRDefault="00B55BED" w:rsidP="00B55BED">
      <w:pPr>
        <w:jc w:val="both"/>
        <w:rPr>
          <w:rFonts w:asciiTheme="minorHAnsi" w:hAnsiTheme="minorHAnsi" w:cstheme="minorHAnsi"/>
          <w:szCs w:val="24"/>
        </w:rPr>
      </w:pPr>
      <w:r w:rsidRPr="00D4690B">
        <w:rPr>
          <w:rFonts w:asciiTheme="minorHAnsi" w:hAnsiTheme="minorHAnsi" w:cstheme="minorHAnsi"/>
          <w:szCs w:val="24"/>
        </w:rPr>
        <w:t xml:space="preserve">In accordance with section 37 of the </w:t>
      </w:r>
      <w:r w:rsidRPr="00D4690B">
        <w:rPr>
          <w:rFonts w:asciiTheme="minorHAnsi" w:hAnsiTheme="minorHAnsi" w:cstheme="minorHAnsi"/>
          <w:i/>
          <w:iCs/>
          <w:szCs w:val="24"/>
        </w:rPr>
        <w:t>Human Rights Act 2004</w:t>
      </w:r>
      <w:r w:rsidRPr="00D4690B">
        <w:rPr>
          <w:rFonts w:asciiTheme="minorHAnsi" w:hAnsiTheme="minorHAnsi" w:cstheme="minorHAnsi"/>
          <w:szCs w:val="24"/>
        </w:rPr>
        <w:t xml:space="preserve"> I have examined the</w:t>
      </w:r>
      <w:r w:rsidRPr="00D4690B">
        <w:rPr>
          <w:rFonts w:asciiTheme="minorHAnsi" w:hAnsiTheme="minorHAnsi" w:cstheme="minorHAnsi"/>
          <w:b/>
          <w:bCs/>
          <w:caps/>
          <w:szCs w:val="24"/>
        </w:rPr>
        <w:t xml:space="preserve"> </w:t>
      </w:r>
      <w:r w:rsidR="004A54A0" w:rsidRPr="004A54A0">
        <w:rPr>
          <w:rFonts w:asciiTheme="minorHAnsi" w:hAnsiTheme="minorHAnsi" w:cstheme="minorHAnsi"/>
          <w:szCs w:val="24"/>
        </w:rPr>
        <w:t>Operational Efficiencies (COVID-19) Legislation Amendment Bill 2021</w:t>
      </w:r>
      <w:r w:rsidRPr="00D4690B">
        <w:rPr>
          <w:rFonts w:asciiTheme="minorHAnsi" w:hAnsiTheme="minorHAnsi" w:cstheme="minorHAnsi"/>
          <w:szCs w:val="24"/>
        </w:rPr>
        <w:t xml:space="preserve">. In my opinion, having regard to the outline of the policy considerations and justification of any limitations on rights outlined in this explanatory statement, the Bill as presented to the Legislative </w:t>
      </w:r>
      <w:r w:rsidRPr="004A54A0">
        <w:rPr>
          <w:rFonts w:asciiTheme="minorHAnsi" w:hAnsiTheme="minorHAnsi" w:cstheme="minorHAnsi"/>
          <w:szCs w:val="24"/>
        </w:rPr>
        <w:t>Assembly is</w:t>
      </w:r>
      <w:r w:rsidR="004A54A0" w:rsidRPr="004A54A0">
        <w:rPr>
          <w:rFonts w:asciiTheme="minorHAnsi" w:hAnsiTheme="minorHAnsi" w:cstheme="minorHAnsi"/>
          <w:bCs/>
          <w:szCs w:val="24"/>
        </w:rPr>
        <w:t xml:space="preserve"> </w:t>
      </w:r>
      <w:r w:rsidRPr="00D4690B">
        <w:rPr>
          <w:rFonts w:asciiTheme="minorHAnsi" w:hAnsiTheme="minorHAnsi" w:cstheme="minorHAnsi"/>
          <w:szCs w:val="24"/>
        </w:rPr>
        <w:t xml:space="preserve">consistent with the </w:t>
      </w:r>
      <w:r w:rsidRPr="00D4690B">
        <w:rPr>
          <w:rFonts w:asciiTheme="minorHAnsi" w:hAnsiTheme="minorHAnsi" w:cstheme="minorHAnsi"/>
          <w:i/>
          <w:iCs/>
          <w:szCs w:val="24"/>
        </w:rPr>
        <w:t>Human Rights Act 2004.</w:t>
      </w:r>
    </w:p>
    <w:p w14:paraId="083900D6" w14:textId="77777777" w:rsidR="00B55BED" w:rsidRPr="00D4690B" w:rsidRDefault="00B55BED" w:rsidP="00B55BED">
      <w:pPr>
        <w:rPr>
          <w:rFonts w:asciiTheme="minorHAnsi" w:hAnsiTheme="minorHAnsi" w:cstheme="minorHAnsi"/>
          <w:szCs w:val="24"/>
        </w:rPr>
      </w:pPr>
    </w:p>
    <w:p w14:paraId="0DE1C0F3" w14:textId="77777777" w:rsidR="00B55BED" w:rsidRPr="00D4690B" w:rsidRDefault="00B55BED" w:rsidP="00B55BED">
      <w:pPr>
        <w:rPr>
          <w:rFonts w:asciiTheme="minorHAnsi" w:hAnsiTheme="minorHAnsi" w:cstheme="minorHAnsi"/>
          <w:szCs w:val="24"/>
        </w:rPr>
      </w:pPr>
    </w:p>
    <w:p w14:paraId="28B3EE64" w14:textId="77777777" w:rsidR="00B55BED" w:rsidRPr="00D4690B" w:rsidRDefault="00B55BED" w:rsidP="00B55BED">
      <w:pPr>
        <w:rPr>
          <w:rFonts w:asciiTheme="minorHAnsi" w:hAnsiTheme="minorHAnsi" w:cstheme="minorHAnsi"/>
          <w:szCs w:val="24"/>
        </w:rPr>
      </w:pPr>
      <w:r w:rsidRPr="00D4690B">
        <w:rPr>
          <w:rFonts w:asciiTheme="minorHAnsi" w:hAnsiTheme="minorHAnsi" w:cstheme="minorHAnsi"/>
          <w:szCs w:val="24"/>
        </w:rPr>
        <w:t>………………………………………………….</w:t>
      </w:r>
    </w:p>
    <w:p w14:paraId="19CD2A14" w14:textId="57775A19" w:rsidR="00B55BED" w:rsidRPr="00D4690B" w:rsidRDefault="004A54A0" w:rsidP="00B55BED">
      <w:pPr>
        <w:rPr>
          <w:rFonts w:asciiTheme="minorHAnsi" w:hAnsiTheme="minorHAnsi" w:cstheme="minorHAnsi"/>
          <w:szCs w:val="24"/>
        </w:rPr>
      </w:pPr>
      <w:r>
        <w:rPr>
          <w:rFonts w:asciiTheme="minorHAnsi" w:hAnsiTheme="minorHAnsi" w:cstheme="minorHAnsi"/>
          <w:szCs w:val="24"/>
        </w:rPr>
        <w:t>Shane Rattenbury</w:t>
      </w:r>
      <w:r w:rsidR="00050F68" w:rsidRPr="00D4690B">
        <w:rPr>
          <w:rFonts w:asciiTheme="minorHAnsi" w:hAnsiTheme="minorHAnsi" w:cstheme="minorHAnsi"/>
          <w:szCs w:val="24"/>
        </w:rPr>
        <w:t xml:space="preserve"> </w:t>
      </w:r>
      <w:r w:rsidR="00B55BED" w:rsidRPr="00D4690B">
        <w:rPr>
          <w:rFonts w:asciiTheme="minorHAnsi" w:hAnsiTheme="minorHAnsi" w:cstheme="minorHAnsi"/>
          <w:szCs w:val="24"/>
        </w:rPr>
        <w:t>MLA</w:t>
      </w:r>
      <w:r w:rsidR="00B55BED" w:rsidRPr="00D4690B">
        <w:rPr>
          <w:rFonts w:asciiTheme="minorHAnsi" w:hAnsiTheme="minorHAnsi" w:cstheme="minorHAnsi"/>
          <w:szCs w:val="24"/>
        </w:rPr>
        <w:br/>
        <w:t>Attorney-General</w:t>
      </w:r>
    </w:p>
    <w:p w14:paraId="6ED3FA22" w14:textId="77777777" w:rsidR="00B55BED" w:rsidRPr="00D4690B" w:rsidRDefault="00B55BED" w:rsidP="00B55BED">
      <w:pPr>
        <w:spacing w:before="200"/>
        <w:rPr>
          <w:rFonts w:asciiTheme="minorHAnsi" w:hAnsiTheme="minorHAnsi" w:cstheme="minorHAnsi"/>
          <w:szCs w:val="24"/>
        </w:rPr>
      </w:pPr>
    </w:p>
    <w:p w14:paraId="4FFA97DB" w14:textId="77777777" w:rsidR="00B55BED" w:rsidRPr="00D4690B" w:rsidRDefault="00B55BED" w:rsidP="00D21B72">
      <w:pPr>
        <w:rPr>
          <w:rFonts w:asciiTheme="minorHAnsi" w:hAnsiTheme="minorHAnsi" w:cstheme="minorHAnsi"/>
          <w:szCs w:val="24"/>
        </w:rPr>
      </w:pPr>
    </w:p>
    <w:p w14:paraId="75C30062" w14:textId="77777777" w:rsidR="00D21B72" w:rsidRPr="00D4690B" w:rsidRDefault="00D21B72" w:rsidP="00D21B72">
      <w:pPr>
        <w:keepNext/>
        <w:autoSpaceDE w:val="0"/>
        <w:autoSpaceDN w:val="0"/>
        <w:adjustRightInd w:val="0"/>
        <w:spacing w:before="240" w:after="120"/>
        <w:jc w:val="center"/>
        <w:rPr>
          <w:rFonts w:asciiTheme="minorHAnsi" w:hAnsiTheme="minorHAnsi" w:cstheme="minorHAnsi"/>
          <w:bCs/>
          <w:szCs w:val="24"/>
        </w:rPr>
      </w:pPr>
    </w:p>
    <w:p w14:paraId="17FDD1FD" w14:textId="77777777" w:rsidR="00B55BED" w:rsidRPr="00D4690B" w:rsidRDefault="00B55BED">
      <w:pPr>
        <w:spacing w:after="0" w:line="240" w:lineRule="auto"/>
        <w:rPr>
          <w:rFonts w:asciiTheme="minorHAnsi" w:hAnsiTheme="minorHAnsi" w:cstheme="minorHAnsi"/>
          <w:b/>
          <w:bCs/>
          <w:szCs w:val="24"/>
          <w:lang w:eastAsia="en-AU"/>
        </w:rPr>
      </w:pPr>
      <w:r w:rsidRPr="00D4690B">
        <w:rPr>
          <w:rFonts w:asciiTheme="minorHAnsi" w:hAnsiTheme="minorHAnsi" w:cstheme="minorHAnsi"/>
          <w:b/>
          <w:bCs/>
          <w:szCs w:val="24"/>
          <w:lang w:eastAsia="en-AU"/>
        </w:rPr>
        <w:br w:type="page"/>
      </w:r>
    </w:p>
    <w:p w14:paraId="54F2A35E" w14:textId="3DB60175" w:rsidR="00702566" w:rsidRPr="00D4690B" w:rsidRDefault="004A54A0" w:rsidP="00D21B72">
      <w:pPr>
        <w:keepNext/>
        <w:autoSpaceDE w:val="0"/>
        <w:autoSpaceDN w:val="0"/>
        <w:adjustRightInd w:val="0"/>
        <w:spacing w:before="240" w:after="120"/>
        <w:jc w:val="center"/>
        <w:rPr>
          <w:rFonts w:asciiTheme="minorHAnsi" w:hAnsiTheme="minorHAnsi" w:cstheme="minorHAnsi"/>
          <w:b/>
          <w:bCs/>
          <w:szCs w:val="24"/>
          <w:lang w:eastAsia="en-AU"/>
        </w:rPr>
      </w:pPr>
      <w:r>
        <w:rPr>
          <w:rFonts w:asciiTheme="minorHAnsi" w:hAnsiTheme="minorHAnsi" w:cstheme="minorHAnsi"/>
          <w:b/>
          <w:bCs/>
          <w:szCs w:val="24"/>
        </w:rPr>
        <w:lastRenderedPageBreak/>
        <w:t>Operational Efficiencies (COVID-19) Legislation Amendment Bill 2021</w:t>
      </w:r>
    </w:p>
    <w:p w14:paraId="7B72276F" w14:textId="77777777" w:rsidR="00702566" w:rsidRPr="00D4690B" w:rsidRDefault="00702566" w:rsidP="00A363CB">
      <w:pPr>
        <w:pStyle w:val="Title"/>
        <w:spacing w:before="240" w:after="120"/>
        <w:rPr>
          <w:rFonts w:asciiTheme="minorHAnsi" w:hAnsiTheme="minorHAnsi" w:cstheme="minorHAnsi"/>
          <w:sz w:val="24"/>
          <w:szCs w:val="24"/>
          <w:lang w:eastAsia="en-AU"/>
        </w:rPr>
      </w:pPr>
      <w:bookmarkStart w:id="16" w:name="_Toc426711261"/>
      <w:bookmarkStart w:id="17" w:name="_Toc429052824"/>
      <w:bookmarkStart w:id="18" w:name="_Toc79498180"/>
      <w:r w:rsidRPr="00D4690B">
        <w:rPr>
          <w:rFonts w:asciiTheme="minorHAnsi" w:hAnsiTheme="minorHAnsi" w:cstheme="minorHAnsi"/>
          <w:sz w:val="24"/>
          <w:szCs w:val="24"/>
          <w:lang w:eastAsia="en-AU"/>
        </w:rPr>
        <w:t>Detail</w:t>
      </w:r>
      <w:bookmarkEnd w:id="16"/>
      <w:bookmarkEnd w:id="17"/>
      <w:bookmarkEnd w:id="18"/>
    </w:p>
    <w:p w14:paraId="655FC8CE" w14:textId="458D9897" w:rsidR="00AC5B87" w:rsidRPr="00D4690B" w:rsidRDefault="00AC5B87" w:rsidP="00AC5B87">
      <w:pPr>
        <w:pStyle w:val="Heading1"/>
        <w:rPr>
          <w:rFonts w:asciiTheme="minorHAnsi" w:hAnsiTheme="minorHAnsi" w:cstheme="minorHAnsi"/>
          <w:sz w:val="24"/>
          <w:szCs w:val="24"/>
          <w:lang w:eastAsia="en-AU"/>
        </w:rPr>
      </w:pPr>
      <w:bookmarkStart w:id="19" w:name="_Preamble"/>
      <w:bookmarkStart w:id="20" w:name="_Toc79498181"/>
      <w:bookmarkEnd w:id="19"/>
      <w:r w:rsidRPr="00D4690B">
        <w:rPr>
          <w:rFonts w:asciiTheme="minorHAnsi" w:hAnsiTheme="minorHAnsi" w:cstheme="minorHAnsi"/>
          <w:sz w:val="24"/>
          <w:szCs w:val="24"/>
          <w:lang w:eastAsia="en-AU"/>
        </w:rPr>
        <w:t xml:space="preserve">Part </w:t>
      </w:r>
      <w:r w:rsidR="00326167"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00326167" w:rsidRPr="00D4690B">
        <w:rPr>
          <w:rFonts w:asciiTheme="minorHAnsi" w:hAnsiTheme="minorHAnsi" w:cstheme="minorHAnsi"/>
          <w:sz w:val="24"/>
          <w:szCs w:val="24"/>
          <w:lang w:eastAsia="en-AU"/>
        </w:rPr>
        <w:fldChar w:fldCharType="separate"/>
      </w:r>
      <w:r w:rsidR="00E93D04">
        <w:rPr>
          <w:rFonts w:asciiTheme="minorHAnsi" w:hAnsiTheme="minorHAnsi" w:cstheme="minorHAnsi"/>
          <w:noProof/>
          <w:sz w:val="24"/>
          <w:szCs w:val="24"/>
          <w:lang w:eastAsia="en-AU"/>
        </w:rPr>
        <w:t>1</w:t>
      </w:r>
      <w:r w:rsidR="00326167"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Preliminary</w:t>
      </w:r>
      <w:bookmarkEnd w:id="20"/>
    </w:p>
    <w:p w14:paraId="26A76DDD" w14:textId="4BC96B21" w:rsidR="00702566" w:rsidRPr="00D4690B" w:rsidRDefault="00C71A66" w:rsidP="00C07F8C">
      <w:pPr>
        <w:pStyle w:val="Heading4"/>
        <w:rPr>
          <w:rFonts w:asciiTheme="minorHAnsi" w:hAnsiTheme="minorHAnsi" w:cstheme="minorHAnsi"/>
          <w:bCs/>
          <w:lang w:eastAsia="en-AU"/>
        </w:rPr>
      </w:pPr>
      <w:r w:rsidRPr="00D4690B">
        <w:rPr>
          <w:rFonts w:asciiTheme="minorHAnsi" w:hAnsiTheme="minorHAnsi" w:cstheme="minorHAnsi"/>
        </w:rPr>
        <w:t xml:space="preserve">Clause </w:t>
      </w:r>
      <w:r w:rsidR="00326167"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00326167" w:rsidRPr="00D4690B">
        <w:rPr>
          <w:rFonts w:asciiTheme="minorHAnsi" w:hAnsiTheme="minorHAnsi" w:cstheme="minorHAnsi"/>
        </w:rPr>
        <w:fldChar w:fldCharType="separate"/>
      </w:r>
      <w:r w:rsidR="00E93D04">
        <w:rPr>
          <w:rFonts w:asciiTheme="minorHAnsi" w:hAnsiTheme="minorHAnsi" w:cstheme="minorHAnsi"/>
          <w:noProof/>
        </w:rPr>
        <w:t>1</w:t>
      </w:r>
      <w:r w:rsidR="00326167" w:rsidRPr="00D4690B">
        <w:rPr>
          <w:rFonts w:asciiTheme="minorHAnsi" w:hAnsiTheme="minorHAnsi" w:cstheme="minorHAnsi"/>
        </w:rPr>
        <w:fldChar w:fldCharType="end"/>
      </w:r>
      <w:r w:rsidR="00702566" w:rsidRPr="00D4690B">
        <w:rPr>
          <w:rFonts w:asciiTheme="minorHAnsi" w:hAnsiTheme="minorHAnsi" w:cstheme="minorHAnsi"/>
          <w:bCs/>
          <w:lang w:eastAsia="en-AU"/>
        </w:rPr>
        <w:t xml:space="preserve"> — Name of Act</w:t>
      </w:r>
    </w:p>
    <w:p w14:paraId="002E87C3" w14:textId="0A62BE73" w:rsidR="00702566" w:rsidRPr="00D4690B" w:rsidRDefault="00702566" w:rsidP="00A363CB">
      <w:pPr>
        <w:keepNext/>
        <w:autoSpaceDE w:val="0"/>
        <w:autoSpaceDN w:val="0"/>
        <w:adjustRightInd w:val="0"/>
        <w:spacing w:before="240" w:after="120"/>
        <w:rPr>
          <w:rFonts w:asciiTheme="minorHAnsi" w:hAnsiTheme="minorHAnsi" w:cstheme="minorHAnsi"/>
          <w:szCs w:val="24"/>
          <w:lang w:eastAsia="en-AU"/>
        </w:rPr>
      </w:pPr>
      <w:r w:rsidRPr="00D4690B">
        <w:rPr>
          <w:rFonts w:asciiTheme="minorHAnsi" w:hAnsiTheme="minorHAnsi" w:cstheme="minorHAnsi"/>
          <w:szCs w:val="24"/>
          <w:lang w:eastAsia="en-AU"/>
        </w:rPr>
        <w:t xml:space="preserve">This is a technical clause that names the short title of the Act. The name of the Act </w:t>
      </w:r>
      <w:r w:rsidR="00807087" w:rsidRPr="00D4690B">
        <w:rPr>
          <w:rFonts w:asciiTheme="minorHAnsi" w:hAnsiTheme="minorHAnsi" w:cstheme="minorHAnsi"/>
          <w:szCs w:val="24"/>
          <w:lang w:eastAsia="en-AU"/>
        </w:rPr>
        <w:t>will</w:t>
      </w:r>
      <w:r w:rsidRPr="00D4690B">
        <w:rPr>
          <w:rFonts w:asciiTheme="minorHAnsi" w:hAnsiTheme="minorHAnsi" w:cstheme="minorHAnsi"/>
          <w:szCs w:val="24"/>
          <w:lang w:eastAsia="en-AU"/>
        </w:rPr>
        <w:t xml:space="preserve"> be</w:t>
      </w:r>
      <w:r w:rsidR="001B7E69" w:rsidRPr="00D4690B">
        <w:rPr>
          <w:rFonts w:asciiTheme="minorHAnsi" w:hAnsiTheme="minorHAnsi" w:cstheme="minorHAnsi"/>
          <w:szCs w:val="24"/>
          <w:lang w:eastAsia="en-AU"/>
        </w:rPr>
        <w:t xml:space="preserve"> </w:t>
      </w:r>
      <w:r w:rsidRPr="00D4690B">
        <w:rPr>
          <w:rFonts w:asciiTheme="minorHAnsi" w:hAnsiTheme="minorHAnsi" w:cstheme="minorHAnsi"/>
          <w:szCs w:val="24"/>
          <w:lang w:eastAsia="en-AU"/>
        </w:rPr>
        <w:t xml:space="preserve">the </w:t>
      </w:r>
      <w:r w:rsidR="004A54A0" w:rsidRPr="00E93D04">
        <w:rPr>
          <w:rFonts w:asciiTheme="minorHAnsi" w:hAnsiTheme="minorHAnsi" w:cstheme="minorHAnsi"/>
          <w:i/>
          <w:iCs/>
          <w:szCs w:val="24"/>
        </w:rPr>
        <w:t>Operational Efficiencies (COVID-19) Legislation Amendment Act 2021</w:t>
      </w:r>
      <w:r w:rsidRPr="00D4690B">
        <w:rPr>
          <w:rFonts w:asciiTheme="minorHAnsi" w:hAnsiTheme="minorHAnsi" w:cstheme="minorHAnsi"/>
          <w:szCs w:val="24"/>
          <w:lang w:eastAsia="en-AU"/>
        </w:rPr>
        <w:t>.</w:t>
      </w:r>
    </w:p>
    <w:p w14:paraId="141AFA77" w14:textId="19CB5BD8" w:rsidR="00702566" w:rsidRPr="00D4690B" w:rsidRDefault="00C71A66" w:rsidP="00C07F8C">
      <w:pPr>
        <w:pStyle w:val="Heading4"/>
        <w:rPr>
          <w:rFonts w:asciiTheme="minorHAnsi" w:hAnsiTheme="minorHAnsi" w:cstheme="minorHAnsi"/>
          <w:bCs/>
          <w:lang w:eastAsia="en-AU"/>
        </w:rPr>
      </w:pPr>
      <w:r w:rsidRPr="00332AF0">
        <w:rPr>
          <w:rFonts w:asciiTheme="minorHAnsi" w:hAnsiTheme="minorHAnsi" w:cstheme="minorHAnsi"/>
        </w:rPr>
        <w:t xml:space="preserve">Clause </w:t>
      </w:r>
      <w:r w:rsidR="00326167" w:rsidRPr="00332AF0">
        <w:rPr>
          <w:rFonts w:asciiTheme="minorHAnsi" w:hAnsiTheme="minorHAnsi" w:cstheme="minorHAnsi"/>
          <w:highlight w:val="yellow"/>
        </w:rPr>
        <w:fldChar w:fldCharType="begin"/>
      </w:r>
      <w:r w:rsidRPr="00332AF0">
        <w:rPr>
          <w:rFonts w:asciiTheme="minorHAnsi" w:hAnsiTheme="minorHAnsi" w:cstheme="minorHAnsi"/>
        </w:rPr>
        <w:instrText xml:space="preserve"> SEQ Clause \* ARABIC </w:instrText>
      </w:r>
      <w:r w:rsidR="00326167" w:rsidRPr="00332AF0">
        <w:rPr>
          <w:rFonts w:asciiTheme="minorHAnsi" w:hAnsiTheme="minorHAnsi" w:cstheme="minorHAnsi"/>
          <w:highlight w:val="yellow"/>
        </w:rPr>
        <w:fldChar w:fldCharType="separate"/>
      </w:r>
      <w:r w:rsidR="00E93D04" w:rsidRPr="00332AF0">
        <w:rPr>
          <w:rFonts w:asciiTheme="minorHAnsi" w:hAnsiTheme="minorHAnsi" w:cstheme="minorHAnsi"/>
          <w:noProof/>
        </w:rPr>
        <w:t>2</w:t>
      </w:r>
      <w:r w:rsidR="00326167" w:rsidRPr="00332AF0">
        <w:rPr>
          <w:rFonts w:asciiTheme="minorHAnsi" w:hAnsiTheme="minorHAnsi" w:cstheme="minorHAnsi"/>
          <w:highlight w:val="yellow"/>
        </w:rPr>
        <w:fldChar w:fldCharType="end"/>
      </w:r>
      <w:r w:rsidRPr="00332AF0">
        <w:rPr>
          <w:rFonts w:asciiTheme="minorHAnsi" w:hAnsiTheme="minorHAnsi" w:cstheme="minorHAnsi"/>
          <w:bCs/>
          <w:lang w:eastAsia="en-AU"/>
        </w:rPr>
        <w:t xml:space="preserve"> </w:t>
      </w:r>
      <w:r w:rsidR="00702566" w:rsidRPr="00332AF0">
        <w:rPr>
          <w:rFonts w:asciiTheme="minorHAnsi" w:hAnsiTheme="minorHAnsi" w:cstheme="minorHAnsi"/>
          <w:bCs/>
          <w:lang w:eastAsia="en-AU"/>
        </w:rPr>
        <w:t>— Commencement</w:t>
      </w:r>
    </w:p>
    <w:p w14:paraId="192417DE" w14:textId="17209C29" w:rsidR="00332AF0" w:rsidRPr="003F1AC4" w:rsidRDefault="001F7F5F" w:rsidP="003F1AC4">
      <w:pPr>
        <w:keepNext/>
        <w:autoSpaceDE w:val="0"/>
        <w:autoSpaceDN w:val="0"/>
        <w:adjustRightInd w:val="0"/>
        <w:spacing w:before="240" w:after="120"/>
        <w:rPr>
          <w:rFonts w:asciiTheme="minorHAnsi" w:hAnsiTheme="minorHAnsi" w:cstheme="minorHAnsi"/>
          <w:szCs w:val="24"/>
        </w:rPr>
      </w:pPr>
      <w:r w:rsidRPr="00332AF0">
        <w:rPr>
          <w:rFonts w:asciiTheme="minorHAnsi" w:hAnsiTheme="minorHAnsi" w:cstheme="minorHAnsi"/>
          <w:szCs w:val="24"/>
          <w:lang w:eastAsia="en-AU"/>
        </w:rPr>
        <w:t xml:space="preserve">This </w:t>
      </w:r>
      <w:r w:rsidRPr="00FB6F2D">
        <w:rPr>
          <w:rFonts w:asciiTheme="minorHAnsi" w:hAnsiTheme="minorHAnsi" w:cstheme="minorHAnsi"/>
          <w:szCs w:val="24"/>
          <w:lang w:eastAsia="en-AU"/>
        </w:rPr>
        <w:t>clause provid</w:t>
      </w:r>
      <w:r w:rsidR="00393C03" w:rsidRPr="00FB6F2D">
        <w:rPr>
          <w:rFonts w:asciiTheme="minorHAnsi" w:hAnsiTheme="minorHAnsi" w:cstheme="minorHAnsi"/>
          <w:szCs w:val="24"/>
          <w:lang w:eastAsia="en-AU"/>
        </w:rPr>
        <w:t>es that the Act</w:t>
      </w:r>
      <w:r w:rsidR="00DF7319" w:rsidRPr="001D56E3">
        <w:rPr>
          <w:rFonts w:asciiTheme="minorHAnsi" w:hAnsiTheme="minorHAnsi" w:cstheme="minorHAnsi"/>
          <w:szCs w:val="24"/>
          <w:lang w:eastAsia="en-AU"/>
        </w:rPr>
        <w:t xml:space="preserve"> </w:t>
      </w:r>
      <w:r w:rsidR="00393C03" w:rsidRPr="00FB6F2D">
        <w:rPr>
          <w:rFonts w:asciiTheme="minorHAnsi" w:hAnsiTheme="minorHAnsi" w:cstheme="minorHAnsi"/>
          <w:szCs w:val="24"/>
          <w:lang w:eastAsia="en-AU"/>
        </w:rPr>
        <w:t>will commence</w:t>
      </w:r>
      <w:r w:rsidR="002C546E">
        <w:rPr>
          <w:rFonts w:asciiTheme="minorHAnsi" w:hAnsiTheme="minorHAnsi" w:cstheme="minorHAnsi"/>
          <w:szCs w:val="24"/>
          <w:lang w:eastAsia="en-AU"/>
        </w:rPr>
        <w:t xml:space="preserve"> </w:t>
      </w:r>
      <w:r w:rsidR="00DF7319" w:rsidRPr="003F1AC4">
        <w:rPr>
          <w:rFonts w:asciiTheme="minorHAnsi" w:hAnsiTheme="minorHAnsi" w:cstheme="minorHAnsi"/>
          <w:szCs w:val="24"/>
        </w:rPr>
        <w:t xml:space="preserve">on </w:t>
      </w:r>
      <w:r w:rsidR="004A54A0" w:rsidRPr="003F1AC4">
        <w:rPr>
          <w:rFonts w:asciiTheme="minorHAnsi" w:hAnsiTheme="minorHAnsi" w:cstheme="minorHAnsi"/>
          <w:szCs w:val="24"/>
        </w:rPr>
        <w:t>the day after it is notified on the ACT Legislation Register</w:t>
      </w:r>
      <w:r w:rsidR="00332AF0" w:rsidRPr="003F1AC4">
        <w:rPr>
          <w:rFonts w:asciiTheme="minorHAnsi" w:hAnsiTheme="minorHAnsi" w:cstheme="minorHAnsi"/>
          <w:szCs w:val="24"/>
        </w:rPr>
        <w:t xml:space="preserve"> – other than </w:t>
      </w:r>
      <w:r w:rsidR="00835457">
        <w:rPr>
          <w:rFonts w:asciiTheme="minorHAnsi" w:hAnsiTheme="minorHAnsi" w:cstheme="minorHAnsi"/>
          <w:szCs w:val="24"/>
        </w:rPr>
        <w:t>section</w:t>
      </w:r>
      <w:r w:rsidR="00AB5F1F" w:rsidRPr="003F1AC4">
        <w:rPr>
          <w:rFonts w:asciiTheme="minorHAnsi" w:hAnsiTheme="minorHAnsi" w:cstheme="minorHAnsi"/>
          <w:szCs w:val="24"/>
        </w:rPr>
        <w:t xml:space="preserve"> </w:t>
      </w:r>
      <w:r w:rsidR="00835457">
        <w:rPr>
          <w:rFonts w:asciiTheme="minorHAnsi" w:hAnsiTheme="minorHAnsi" w:cstheme="minorHAnsi"/>
          <w:szCs w:val="24"/>
        </w:rPr>
        <w:t>3</w:t>
      </w:r>
      <w:r w:rsidR="00FB6F2D" w:rsidRPr="003F1AC4">
        <w:rPr>
          <w:rFonts w:asciiTheme="minorHAnsi" w:hAnsiTheme="minorHAnsi" w:cstheme="minorHAnsi"/>
          <w:szCs w:val="24"/>
        </w:rPr>
        <w:t xml:space="preserve"> and </w:t>
      </w:r>
      <w:r w:rsidR="00835457">
        <w:rPr>
          <w:rFonts w:asciiTheme="minorHAnsi" w:hAnsiTheme="minorHAnsi" w:cstheme="minorHAnsi"/>
          <w:szCs w:val="24"/>
        </w:rPr>
        <w:t>part 2</w:t>
      </w:r>
      <w:r w:rsidR="002C546E">
        <w:rPr>
          <w:rFonts w:asciiTheme="minorHAnsi" w:hAnsiTheme="minorHAnsi" w:cstheme="minorHAnsi"/>
          <w:szCs w:val="24"/>
        </w:rPr>
        <w:t>.</w:t>
      </w:r>
      <w:r w:rsidR="00332AF0" w:rsidRPr="003C27F6">
        <w:rPr>
          <w:rFonts w:asciiTheme="minorHAnsi" w:hAnsiTheme="minorHAnsi" w:cstheme="minorHAnsi"/>
          <w:szCs w:val="24"/>
        </w:rPr>
        <w:t xml:space="preserve"> </w:t>
      </w:r>
    </w:p>
    <w:p w14:paraId="26924BC6" w14:textId="55EED4AE" w:rsidR="00835457" w:rsidRPr="003F1AC4" w:rsidRDefault="00FA1300" w:rsidP="00835457">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Section 3, which lists the legislation amended by the Bill, and Part 2</w:t>
      </w:r>
      <w:r w:rsidR="00835457">
        <w:rPr>
          <w:rFonts w:asciiTheme="minorHAnsi" w:hAnsiTheme="minorHAnsi" w:cstheme="minorHAnsi"/>
          <w:szCs w:val="24"/>
        </w:rPr>
        <w:t xml:space="preserve"> </w:t>
      </w:r>
      <w:r>
        <w:rPr>
          <w:rFonts w:asciiTheme="minorHAnsi" w:hAnsiTheme="minorHAnsi" w:cstheme="minorHAnsi"/>
          <w:szCs w:val="24"/>
        </w:rPr>
        <w:t xml:space="preserve">which </w:t>
      </w:r>
      <w:r w:rsidR="00835457">
        <w:rPr>
          <w:rFonts w:asciiTheme="minorHAnsi" w:hAnsiTheme="minorHAnsi" w:cstheme="minorHAnsi"/>
          <w:szCs w:val="24"/>
        </w:rPr>
        <w:t>relates to</w:t>
      </w:r>
      <w:r w:rsidR="00835457" w:rsidRPr="005B2E2E">
        <w:rPr>
          <w:rFonts w:asciiTheme="minorHAnsi" w:hAnsiTheme="minorHAnsi" w:cstheme="minorHAnsi"/>
          <w:szCs w:val="24"/>
        </w:rPr>
        <w:t xml:space="preserve"> the </w:t>
      </w:r>
      <w:r w:rsidR="00835457" w:rsidRPr="005B2E2E">
        <w:rPr>
          <w:rFonts w:asciiTheme="minorHAnsi" w:hAnsiTheme="minorHAnsi" w:cstheme="minorHAnsi"/>
          <w:i/>
          <w:iCs/>
          <w:szCs w:val="24"/>
        </w:rPr>
        <w:t>Associations Incorporated Act 1991</w:t>
      </w:r>
      <w:r w:rsidR="00835457">
        <w:rPr>
          <w:rFonts w:asciiTheme="minorHAnsi" w:hAnsiTheme="minorHAnsi" w:cstheme="minorHAnsi"/>
          <w:szCs w:val="24"/>
        </w:rPr>
        <w:t xml:space="preserve">, will commence, or are taken to have commenced, </w:t>
      </w:r>
      <w:r w:rsidR="00835457" w:rsidRPr="003C27F6">
        <w:rPr>
          <w:rFonts w:asciiTheme="minorHAnsi" w:hAnsiTheme="minorHAnsi" w:cstheme="minorHAnsi"/>
          <w:szCs w:val="24"/>
        </w:rPr>
        <w:t xml:space="preserve">the earlier of the day after notification or 8 October 2021. </w:t>
      </w:r>
    </w:p>
    <w:p w14:paraId="49D35796" w14:textId="608DF744" w:rsidR="00FA1300" w:rsidRDefault="00FA1300" w:rsidP="00FA1300">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 xml:space="preserve">Section 3 must commence at the time the earliest provision of the Bill commences. Under this commencement clause, that will be on the commencement of Part 2 of the Bill or on its notification if the Bill is passed prior to 8 October 2021. </w:t>
      </w:r>
    </w:p>
    <w:p w14:paraId="02A20BD1" w14:textId="6E53E687" w:rsidR="00332AF0" w:rsidRDefault="005B2E2E" w:rsidP="00332AF0">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 xml:space="preserve">This commencement provision means that sections </w:t>
      </w:r>
      <w:r w:rsidRPr="005B2E2E">
        <w:rPr>
          <w:rFonts w:asciiTheme="minorHAnsi" w:hAnsiTheme="minorHAnsi" w:cstheme="minorHAnsi"/>
          <w:szCs w:val="24"/>
        </w:rPr>
        <w:t>70AA</w:t>
      </w:r>
      <w:r>
        <w:rPr>
          <w:rFonts w:asciiTheme="minorHAnsi" w:hAnsiTheme="minorHAnsi" w:cstheme="minorHAnsi"/>
          <w:szCs w:val="24"/>
        </w:rPr>
        <w:t xml:space="preserve"> and</w:t>
      </w:r>
      <w:r w:rsidR="00332AF0" w:rsidRPr="00332AF0">
        <w:rPr>
          <w:rFonts w:asciiTheme="minorHAnsi" w:hAnsiTheme="minorHAnsi" w:cstheme="minorHAnsi"/>
          <w:szCs w:val="24"/>
        </w:rPr>
        <w:t xml:space="preserve"> </w:t>
      </w:r>
      <w:r>
        <w:rPr>
          <w:rFonts w:asciiTheme="minorHAnsi" w:hAnsiTheme="minorHAnsi" w:cstheme="minorHAnsi"/>
          <w:szCs w:val="24"/>
        </w:rPr>
        <w:t>120</w:t>
      </w:r>
      <w:r w:rsidR="00BD3327">
        <w:rPr>
          <w:rFonts w:asciiTheme="minorHAnsi" w:hAnsiTheme="minorHAnsi" w:cstheme="minorHAnsi"/>
          <w:szCs w:val="24"/>
        </w:rPr>
        <w:t xml:space="preserve"> of</w:t>
      </w:r>
      <w:r>
        <w:rPr>
          <w:rFonts w:asciiTheme="minorHAnsi" w:hAnsiTheme="minorHAnsi" w:cstheme="minorHAnsi"/>
          <w:szCs w:val="24"/>
        </w:rPr>
        <w:t xml:space="preserve"> </w:t>
      </w:r>
      <w:r w:rsidRPr="009B4EE5">
        <w:rPr>
          <w:rFonts w:asciiTheme="minorHAnsi" w:hAnsiTheme="minorHAnsi" w:cstheme="minorHAnsi"/>
          <w:szCs w:val="24"/>
        </w:rPr>
        <w:t>Associations Incorporated Act</w:t>
      </w:r>
      <w:r>
        <w:rPr>
          <w:rFonts w:asciiTheme="minorHAnsi" w:hAnsiTheme="minorHAnsi" w:cstheme="minorHAnsi"/>
          <w:i/>
          <w:iCs/>
          <w:szCs w:val="24"/>
        </w:rPr>
        <w:t xml:space="preserve"> </w:t>
      </w:r>
      <w:r>
        <w:rPr>
          <w:rFonts w:asciiTheme="minorHAnsi" w:hAnsiTheme="minorHAnsi" w:cstheme="minorHAnsi"/>
          <w:szCs w:val="24"/>
        </w:rPr>
        <w:t>will be extended</w:t>
      </w:r>
      <w:r w:rsidR="00BD3327">
        <w:rPr>
          <w:rFonts w:asciiTheme="minorHAnsi" w:hAnsiTheme="minorHAnsi" w:cstheme="minorHAnsi"/>
          <w:szCs w:val="24"/>
        </w:rPr>
        <w:t xml:space="preserve"> by the Bill</w:t>
      </w:r>
      <w:r>
        <w:rPr>
          <w:rFonts w:asciiTheme="minorHAnsi" w:hAnsiTheme="minorHAnsi" w:cstheme="minorHAnsi"/>
          <w:szCs w:val="24"/>
        </w:rPr>
        <w:t xml:space="preserve"> from 8 October 2021 when they </w:t>
      </w:r>
      <w:r w:rsidR="0087216D">
        <w:rPr>
          <w:rFonts w:asciiTheme="minorHAnsi" w:hAnsiTheme="minorHAnsi" w:cstheme="minorHAnsi"/>
          <w:szCs w:val="24"/>
        </w:rPr>
        <w:t>were</w:t>
      </w:r>
      <w:r>
        <w:rPr>
          <w:rFonts w:asciiTheme="minorHAnsi" w:hAnsiTheme="minorHAnsi" w:cstheme="minorHAnsi"/>
          <w:szCs w:val="24"/>
        </w:rPr>
        <w:t xml:space="preserve"> due to cease. The extension will apply </w:t>
      </w:r>
      <w:r w:rsidR="00332AF0" w:rsidRPr="00332AF0">
        <w:rPr>
          <w:rFonts w:asciiTheme="minorHAnsi" w:hAnsiTheme="minorHAnsi" w:cstheme="minorHAnsi"/>
          <w:szCs w:val="24"/>
        </w:rPr>
        <w:t>retrospectively if</w:t>
      </w:r>
      <w:r w:rsidR="00332AF0">
        <w:rPr>
          <w:rFonts w:asciiTheme="minorHAnsi" w:hAnsiTheme="minorHAnsi" w:cstheme="minorHAnsi"/>
          <w:szCs w:val="24"/>
        </w:rPr>
        <w:t xml:space="preserve"> </w:t>
      </w:r>
      <w:r w:rsidR="00332AF0" w:rsidRPr="00332AF0">
        <w:rPr>
          <w:rFonts w:asciiTheme="minorHAnsi" w:hAnsiTheme="minorHAnsi" w:cstheme="minorHAnsi"/>
          <w:szCs w:val="24"/>
        </w:rPr>
        <w:t xml:space="preserve">the </w:t>
      </w:r>
      <w:r>
        <w:rPr>
          <w:rFonts w:asciiTheme="minorHAnsi" w:hAnsiTheme="minorHAnsi" w:cstheme="minorHAnsi"/>
          <w:szCs w:val="24"/>
        </w:rPr>
        <w:t>Act</w:t>
      </w:r>
      <w:r w:rsidR="00332AF0" w:rsidRPr="00332AF0">
        <w:rPr>
          <w:rFonts w:asciiTheme="minorHAnsi" w:hAnsiTheme="minorHAnsi" w:cstheme="minorHAnsi"/>
          <w:szCs w:val="24"/>
        </w:rPr>
        <w:t xml:space="preserve"> </w:t>
      </w:r>
      <w:r>
        <w:rPr>
          <w:rFonts w:asciiTheme="minorHAnsi" w:hAnsiTheme="minorHAnsi" w:cstheme="minorHAnsi"/>
          <w:szCs w:val="24"/>
        </w:rPr>
        <w:t>commences</w:t>
      </w:r>
      <w:r w:rsidR="00332AF0" w:rsidRPr="00332AF0">
        <w:rPr>
          <w:rFonts w:asciiTheme="minorHAnsi" w:hAnsiTheme="minorHAnsi" w:cstheme="minorHAnsi"/>
          <w:szCs w:val="24"/>
        </w:rPr>
        <w:t xml:space="preserve"> after </w:t>
      </w:r>
      <w:r>
        <w:rPr>
          <w:rFonts w:asciiTheme="minorHAnsi" w:hAnsiTheme="minorHAnsi" w:cstheme="minorHAnsi"/>
          <w:szCs w:val="24"/>
        </w:rPr>
        <w:t>8 October 2021</w:t>
      </w:r>
      <w:r w:rsidR="00332AF0" w:rsidRPr="00332AF0">
        <w:rPr>
          <w:rFonts w:asciiTheme="minorHAnsi" w:hAnsiTheme="minorHAnsi" w:cstheme="minorHAnsi"/>
          <w:szCs w:val="24"/>
        </w:rPr>
        <w:t>.</w:t>
      </w:r>
      <w:r w:rsidR="00332AF0">
        <w:rPr>
          <w:rFonts w:asciiTheme="minorHAnsi" w:hAnsiTheme="minorHAnsi" w:cstheme="minorHAnsi"/>
          <w:szCs w:val="24"/>
        </w:rPr>
        <w:t xml:space="preserve"> </w:t>
      </w:r>
      <w:r w:rsidR="00BD3327">
        <w:rPr>
          <w:rFonts w:asciiTheme="minorHAnsi" w:hAnsiTheme="minorHAnsi" w:cstheme="minorHAnsi"/>
          <w:szCs w:val="24"/>
        </w:rPr>
        <w:t xml:space="preserve">The </w:t>
      </w:r>
      <w:r w:rsidR="00332AF0" w:rsidRPr="00332AF0">
        <w:rPr>
          <w:rFonts w:asciiTheme="minorHAnsi" w:hAnsiTheme="minorHAnsi" w:cstheme="minorHAnsi"/>
          <w:szCs w:val="24"/>
        </w:rPr>
        <w:t xml:space="preserve">retrospective effect is necessary to </w:t>
      </w:r>
      <w:r w:rsidR="00BD3327">
        <w:rPr>
          <w:rFonts w:asciiTheme="minorHAnsi" w:hAnsiTheme="minorHAnsi" w:cstheme="minorHAnsi"/>
          <w:szCs w:val="24"/>
        </w:rPr>
        <w:t>ensure that there is no gap in coverage of</w:t>
      </w:r>
      <w:r w:rsidR="00BD3327" w:rsidRPr="00BD3327">
        <w:rPr>
          <w:rFonts w:asciiTheme="minorHAnsi" w:hAnsiTheme="minorHAnsi" w:cstheme="minorHAnsi"/>
          <w:szCs w:val="24"/>
        </w:rPr>
        <w:t xml:space="preserve"> sections 70AA and 120</w:t>
      </w:r>
      <w:r w:rsidR="00BD3327">
        <w:rPr>
          <w:rFonts w:asciiTheme="minorHAnsi" w:hAnsiTheme="minorHAnsi" w:cstheme="minorHAnsi"/>
          <w:szCs w:val="24"/>
        </w:rPr>
        <w:t>.</w:t>
      </w:r>
      <w:r w:rsidR="00BD3327" w:rsidRPr="00BD3327">
        <w:rPr>
          <w:rFonts w:asciiTheme="minorHAnsi" w:hAnsiTheme="minorHAnsi" w:cstheme="minorHAnsi"/>
          <w:szCs w:val="24"/>
        </w:rPr>
        <w:t xml:space="preserve"> </w:t>
      </w:r>
      <w:r w:rsidR="00BD3327">
        <w:rPr>
          <w:rFonts w:asciiTheme="minorHAnsi" w:hAnsiTheme="minorHAnsi" w:cstheme="minorHAnsi"/>
          <w:szCs w:val="24"/>
        </w:rPr>
        <w:t xml:space="preserve">It will operate to remove the </w:t>
      </w:r>
      <w:r w:rsidR="00332AF0" w:rsidRPr="00332AF0">
        <w:rPr>
          <w:rFonts w:asciiTheme="minorHAnsi" w:hAnsiTheme="minorHAnsi" w:cstheme="minorHAnsi"/>
          <w:szCs w:val="24"/>
        </w:rPr>
        <w:t xml:space="preserve">expiry date of </w:t>
      </w:r>
      <w:r w:rsidR="00332AF0">
        <w:rPr>
          <w:rFonts w:asciiTheme="minorHAnsi" w:hAnsiTheme="minorHAnsi" w:cstheme="minorHAnsi"/>
          <w:szCs w:val="24"/>
        </w:rPr>
        <w:t>8 October 2021</w:t>
      </w:r>
      <w:r w:rsidR="00332AF0" w:rsidRPr="00332AF0">
        <w:rPr>
          <w:rFonts w:asciiTheme="minorHAnsi" w:hAnsiTheme="minorHAnsi" w:cstheme="minorHAnsi"/>
          <w:szCs w:val="24"/>
        </w:rPr>
        <w:t xml:space="preserve"> </w:t>
      </w:r>
      <w:r w:rsidR="00BD3327">
        <w:rPr>
          <w:rFonts w:asciiTheme="minorHAnsi" w:hAnsiTheme="minorHAnsi" w:cstheme="minorHAnsi"/>
          <w:szCs w:val="24"/>
        </w:rPr>
        <w:t xml:space="preserve">from </w:t>
      </w:r>
      <w:r w:rsidR="00BD3327" w:rsidRPr="00BD3327">
        <w:rPr>
          <w:rFonts w:asciiTheme="minorHAnsi" w:hAnsiTheme="minorHAnsi" w:cstheme="minorHAnsi"/>
          <w:szCs w:val="24"/>
        </w:rPr>
        <w:t>sections 70AA and 120</w:t>
      </w:r>
      <w:r w:rsidR="00332AF0" w:rsidRPr="00332AF0">
        <w:rPr>
          <w:rFonts w:asciiTheme="minorHAnsi" w:hAnsiTheme="minorHAnsi" w:cstheme="minorHAnsi"/>
          <w:szCs w:val="24"/>
        </w:rPr>
        <w:t xml:space="preserve"> </w:t>
      </w:r>
      <w:r w:rsidR="00BD3327">
        <w:rPr>
          <w:rFonts w:asciiTheme="minorHAnsi" w:hAnsiTheme="minorHAnsi" w:cstheme="minorHAnsi"/>
          <w:szCs w:val="24"/>
        </w:rPr>
        <w:t>before it</w:t>
      </w:r>
      <w:r w:rsidR="00332AF0" w:rsidRPr="00332AF0">
        <w:rPr>
          <w:rFonts w:asciiTheme="minorHAnsi" w:hAnsiTheme="minorHAnsi" w:cstheme="minorHAnsi"/>
          <w:szCs w:val="24"/>
        </w:rPr>
        <w:t xml:space="preserve"> takes effect, to allow </w:t>
      </w:r>
      <w:r w:rsidR="00332AF0">
        <w:rPr>
          <w:rFonts w:asciiTheme="minorHAnsi" w:hAnsiTheme="minorHAnsi" w:cstheme="minorHAnsi"/>
          <w:szCs w:val="24"/>
        </w:rPr>
        <w:t xml:space="preserve">associations to continue to meet via alternate methods to in-person and allow the registrar-general to </w:t>
      </w:r>
      <w:r w:rsidR="003C27F6">
        <w:rPr>
          <w:rFonts w:asciiTheme="minorHAnsi" w:hAnsiTheme="minorHAnsi" w:cstheme="minorHAnsi"/>
          <w:szCs w:val="24"/>
        </w:rPr>
        <w:t xml:space="preserve">generally </w:t>
      </w:r>
      <w:r w:rsidR="00332AF0">
        <w:rPr>
          <w:rFonts w:asciiTheme="minorHAnsi" w:hAnsiTheme="minorHAnsi" w:cstheme="minorHAnsi"/>
          <w:szCs w:val="24"/>
        </w:rPr>
        <w:t>extend time frames prescribed by the Act for the duration of the COVID-19 emergency period</w:t>
      </w:r>
      <w:r w:rsidR="00332AF0" w:rsidRPr="00332AF0">
        <w:rPr>
          <w:rFonts w:asciiTheme="minorHAnsi" w:hAnsiTheme="minorHAnsi" w:cstheme="minorHAnsi"/>
          <w:szCs w:val="24"/>
        </w:rPr>
        <w:t>.</w:t>
      </w:r>
      <w:r w:rsidR="00332AF0">
        <w:rPr>
          <w:rFonts w:asciiTheme="minorHAnsi" w:hAnsiTheme="minorHAnsi" w:cstheme="minorHAnsi"/>
          <w:szCs w:val="24"/>
        </w:rPr>
        <w:t xml:space="preserve"> </w:t>
      </w:r>
    </w:p>
    <w:p w14:paraId="6A076AAA" w14:textId="4D901C70" w:rsidR="00A11978" w:rsidRPr="00332AF0" w:rsidRDefault="00332AF0" w:rsidP="00332AF0">
      <w:pPr>
        <w:keepNext/>
        <w:autoSpaceDE w:val="0"/>
        <w:autoSpaceDN w:val="0"/>
        <w:adjustRightInd w:val="0"/>
        <w:spacing w:before="240" w:after="120"/>
        <w:rPr>
          <w:rFonts w:asciiTheme="minorHAnsi" w:hAnsiTheme="minorHAnsi" w:cstheme="minorHAnsi"/>
          <w:szCs w:val="24"/>
        </w:rPr>
      </w:pPr>
      <w:r w:rsidRPr="00332AF0">
        <w:rPr>
          <w:rFonts w:asciiTheme="minorHAnsi" w:hAnsiTheme="minorHAnsi" w:cstheme="minorHAnsi"/>
          <w:szCs w:val="24"/>
        </w:rPr>
        <w:t>The</w:t>
      </w:r>
      <w:r>
        <w:rPr>
          <w:rFonts w:asciiTheme="minorHAnsi" w:hAnsiTheme="minorHAnsi" w:cstheme="minorHAnsi"/>
          <w:szCs w:val="24"/>
        </w:rPr>
        <w:t xml:space="preserve"> </w:t>
      </w:r>
      <w:r w:rsidRPr="00332AF0">
        <w:rPr>
          <w:rFonts w:asciiTheme="minorHAnsi" w:hAnsiTheme="minorHAnsi" w:cstheme="minorHAnsi"/>
          <w:szCs w:val="24"/>
        </w:rPr>
        <w:t>retrospective</w:t>
      </w:r>
      <w:r>
        <w:rPr>
          <w:rFonts w:asciiTheme="minorHAnsi" w:hAnsiTheme="minorHAnsi" w:cstheme="minorHAnsi"/>
          <w:szCs w:val="24"/>
        </w:rPr>
        <w:t xml:space="preserve"> </w:t>
      </w:r>
      <w:r w:rsidRPr="00332AF0">
        <w:rPr>
          <w:rFonts w:asciiTheme="minorHAnsi" w:hAnsiTheme="minorHAnsi" w:cstheme="minorHAnsi"/>
          <w:szCs w:val="24"/>
        </w:rPr>
        <w:t xml:space="preserve">application will not operate to the disadvantage of a person by adversely affecting the person’s rights, or imposing liabilities on the person. Rather, the amendment </w:t>
      </w:r>
      <w:r>
        <w:rPr>
          <w:rFonts w:asciiTheme="minorHAnsi" w:hAnsiTheme="minorHAnsi" w:cstheme="minorHAnsi"/>
          <w:szCs w:val="24"/>
        </w:rPr>
        <w:t xml:space="preserve">will enable members of an association to actively participate in decision-making relating to </w:t>
      </w:r>
      <w:r w:rsidR="00AB5F1F">
        <w:rPr>
          <w:rFonts w:asciiTheme="minorHAnsi" w:hAnsiTheme="minorHAnsi" w:cstheme="minorHAnsi"/>
          <w:szCs w:val="24"/>
        </w:rPr>
        <w:t xml:space="preserve">the </w:t>
      </w:r>
      <w:r>
        <w:rPr>
          <w:rFonts w:asciiTheme="minorHAnsi" w:hAnsiTheme="minorHAnsi" w:cstheme="minorHAnsi"/>
          <w:szCs w:val="24"/>
        </w:rPr>
        <w:t>operation of the organisation and will provide flexibility in relation to prescribed timeframes where the registrar-general thinks appropriate during this time.</w:t>
      </w:r>
    </w:p>
    <w:p w14:paraId="3E1BACD4" w14:textId="12A3A92E" w:rsidR="00C87B10" w:rsidRPr="00D4690B" w:rsidRDefault="00C87B10" w:rsidP="00C87B10">
      <w:pPr>
        <w:pStyle w:val="Heading4"/>
        <w:rPr>
          <w:rFonts w:asciiTheme="minorHAnsi" w:hAnsiTheme="minorHAnsi" w:cstheme="minorHAnsi"/>
          <w:bCs/>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3</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 Legislation Amended</w:t>
      </w:r>
    </w:p>
    <w:p w14:paraId="21FF5334" w14:textId="77777777" w:rsidR="004A54A0" w:rsidRDefault="00C87B10" w:rsidP="002E3A1A">
      <w:pPr>
        <w:spacing w:before="240" w:after="0"/>
        <w:rPr>
          <w:rFonts w:asciiTheme="minorHAnsi" w:hAnsiTheme="minorHAnsi" w:cstheme="minorHAnsi"/>
          <w:iCs/>
          <w:szCs w:val="24"/>
          <w:lang w:eastAsia="en-AU"/>
        </w:rPr>
      </w:pPr>
      <w:r w:rsidRPr="00D4690B">
        <w:rPr>
          <w:rFonts w:asciiTheme="minorHAnsi" w:hAnsiTheme="minorHAnsi" w:cstheme="minorHAnsi"/>
          <w:szCs w:val="24"/>
          <w:lang w:eastAsia="en-AU"/>
        </w:rPr>
        <w:t xml:space="preserve">This clause </w:t>
      </w:r>
      <w:r w:rsidR="00442BD2" w:rsidRPr="00D4690B">
        <w:rPr>
          <w:rFonts w:asciiTheme="minorHAnsi" w:hAnsiTheme="minorHAnsi" w:cstheme="minorHAnsi"/>
          <w:szCs w:val="24"/>
          <w:lang w:eastAsia="en-AU"/>
        </w:rPr>
        <w:t>lists the legislation amended by this Bill. This Bill will amend the</w:t>
      </w:r>
      <w:r w:rsidR="004A54A0">
        <w:rPr>
          <w:rFonts w:asciiTheme="minorHAnsi" w:hAnsiTheme="minorHAnsi" w:cstheme="minorHAnsi"/>
          <w:iCs/>
          <w:szCs w:val="24"/>
          <w:lang w:eastAsia="en-AU"/>
        </w:rPr>
        <w:t>:</w:t>
      </w:r>
    </w:p>
    <w:p w14:paraId="4D7A9385" w14:textId="57DFD14F" w:rsidR="00CD20AF" w:rsidRPr="003C27F6" w:rsidRDefault="00CD20AF"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3C27F6">
        <w:rPr>
          <w:rFonts w:asciiTheme="minorHAnsi" w:hAnsiTheme="minorHAnsi" w:cstheme="minorHAnsi"/>
          <w:i/>
          <w:iCs/>
          <w:color w:val="000000"/>
          <w:sz w:val="24"/>
          <w:szCs w:val="32"/>
        </w:rPr>
        <w:t>Associations Incorporation Act 1991</w:t>
      </w:r>
    </w:p>
    <w:p w14:paraId="634EA038" w14:textId="059C050E"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lastRenderedPageBreak/>
        <w:t xml:space="preserve">Bail Act 1992 </w:t>
      </w:r>
    </w:p>
    <w:p w14:paraId="5A6562E7" w14:textId="0185A8FD"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 xml:space="preserve">Corrections Management Act 2007 </w:t>
      </w:r>
    </w:p>
    <w:p w14:paraId="7E901A98" w14:textId="3777D09F"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 xml:space="preserve">Crimes Act 1900 </w:t>
      </w:r>
    </w:p>
    <w:p w14:paraId="795941E3" w14:textId="18A4E731"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 xml:space="preserve">Crimes (Sentencing) Act 2005 </w:t>
      </w:r>
    </w:p>
    <w:p w14:paraId="7041874A" w14:textId="5E503915"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 xml:space="preserve">Drugs of Dependence Act 1989 </w:t>
      </w:r>
    </w:p>
    <w:p w14:paraId="1CF01C65" w14:textId="1E476C5B"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 xml:space="preserve">Human Rights Commission Act 2005 </w:t>
      </w:r>
    </w:p>
    <w:p w14:paraId="427E0191" w14:textId="70BC69A5"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 xml:space="preserve">Public Trustee and Guardian Act 1985 </w:t>
      </w:r>
    </w:p>
    <w:p w14:paraId="770EFE53" w14:textId="06AB169F" w:rsidR="004A54A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 xml:space="preserve">Retirement Villages Act 2012 </w:t>
      </w:r>
    </w:p>
    <w:p w14:paraId="46C20E91" w14:textId="371A2DCA" w:rsidR="00C87B10" w:rsidRPr="00E93D04" w:rsidRDefault="004A54A0" w:rsidP="002E3A1A">
      <w:pPr>
        <w:pStyle w:val="ListParagraph"/>
        <w:numPr>
          <w:ilvl w:val="0"/>
          <w:numId w:val="34"/>
        </w:numPr>
        <w:autoSpaceDE w:val="0"/>
        <w:autoSpaceDN w:val="0"/>
        <w:adjustRightInd w:val="0"/>
        <w:spacing w:before="240" w:after="0"/>
        <w:rPr>
          <w:rFonts w:asciiTheme="minorHAnsi" w:hAnsiTheme="minorHAnsi" w:cstheme="minorHAnsi"/>
          <w:i/>
          <w:iCs/>
          <w:color w:val="000000"/>
          <w:sz w:val="24"/>
          <w:szCs w:val="32"/>
        </w:rPr>
      </w:pPr>
      <w:r w:rsidRPr="00E93D04">
        <w:rPr>
          <w:rFonts w:asciiTheme="minorHAnsi" w:hAnsiTheme="minorHAnsi" w:cstheme="minorHAnsi"/>
          <w:i/>
          <w:iCs/>
          <w:color w:val="000000"/>
          <w:sz w:val="24"/>
          <w:szCs w:val="32"/>
        </w:rPr>
        <w:t>Taxation Administration Act 1999</w:t>
      </w:r>
    </w:p>
    <w:p w14:paraId="5FC9D687" w14:textId="63C0D161" w:rsidR="00CD20AF" w:rsidRPr="00D4690B" w:rsidRDefault="00CD20AF" w:rsidP="00CD20AF">
      <w:pPr>
        <w:pStyle w:val="Heading1"/>
        <w:rPr>
          <w:rFonts w:asciiTheme="minorHAnsi" w:hAnsiTheme="minorHAnsi" w:cstheme="minorHAnsi"/>
          <w:sz w:val="24"/>
          <w:szCs w:val="24"/>
          <w:lang w:eastAsia="en-AU"/>
        </w:rPr>
      </w:pPr>
      <w:bookmarkStart w:id="21" w:name="_Part_2_–"/>
      <w:bookmarkStart w:id="22" w:name="_Toc79498182"/>
      <w:bookmarkStart w:id="23" w:name="_Toc426711263"/>
      <w:bookmarkStart w:id="24" w:name="_Toc429052826"/>
      <w:bookmarkEnd w:id="21"/>
      <w:r w:rsidRPr="00D4690B">
        <w:rPr>
          <w:rFonts w:asciiTheme="minorHAnsi" w:hAnsiTheme="minorHAnsi" w:cstheme="minorHAnsi"/>
          <w:sz w:val="24"/>
          <w:szCs w:val="24"/>
          <w:lang w:eastAsia="en-AU"/>
        </w:rPr>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E93D04">
        <w:rPr>
          <w:rFonts w:asciiTheme="minorHAnsi" w:hAnsiTheme="minorHAnsi" w:cstheme="minorHAnsi"/>
          <w:noProof/>
          <w:sz w:val="24"/>
          <w:szCs w:val="24"/>
          <w:lang w:eastAsia="en-AU"/>
        </w:rPr>
        <w:t>2</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Associations Incorporat</w:t>
      </w:r>
      <w:r w:rsidR="00E93D04">
        <w:rPr>
          <w:rFonts w:asciiTheme="minorHAnsi" w:hAnsiTheme="minorHAnsi" w:cstheme="minorHAnsi"/>
          <w:sz w:val="24"/>
          <w:szCs w:val="24"/>
          <w:lang w:eastAsia="en-AU"/>
        </w:rPr>
        <w:t>ion</w:t>
      </w:r>
      <w:r>
        <w:rPr>
          <w:rFonts w:asciiTheme="minorHAnsi" w:hAnsiTheme="minorHAnsi" w:cstheme="minorHAnsi"/>
          <w:sz w:val="24"/>
          <w:szCs w:val="24"/>
          <w:lang w:eastAsia="en-AU"/>
        </w:rPr>
        <w:t xml:space="preserve"> Act 1991</w:t>
      </w:r>
      <w:bookmarkEnd w:id="22"/>
    </w:p>
    <w:p w14:paraId="5D37F2CD" w14:textId="01664F5E" w:rsidR="00CD20AF" w:rsidRPr="00D4690B" w:rsidRDefault="00CD20AF" w:rsidP="00CD20AF">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4</w:t>
      </w:r>
      <w:r w:rsidRPr="00D4690B">
        <w:rPr>
          <w:rFonts w:asciiTheme="minorHAnsi" w:hAnsiTheme="minorHAnsi" w:cstheme="minorHAnsi"/>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General meetings–procedure during COVID-19 emergency – Section 70AA (7)</w:t>
      </w:r>
    </w:p>
    <w:p w14:paraId="466A82AE" w14:textId="258B6B24" w:rsidR="00CD20AF" w:rsidRDefault="00CD20AF" w:rsidP="002E3A1A">
      <w:pPr>
        <w:spacing w:before="240" w:after="120"/>
        <w:rPr>
          <w:rFonts w:asciiTheme="minorHAnsi" w:hAnsiTheme="minorHAnsi" w:cstheme="minorHAnsi"/>
        </w:rPr>
      </w:pPr>
      <w:r w:rsidRPr="004B0CE7">
        <w:rPr>
          <w:rFonts w:asciiTheme="minorHAnsi" w:hAnsiTheme="minorHAnsi" w:cstheme="minorHAnsi"/>
        </w:rPr>
        <w:t>This claus</w:t>
      </w:r>
      <w:r>
        <w:rPr>
          <w:rFonts w:asciiTheme="minorHAnsi" w:hAnsiTheme="minorHAnsi" w:cstheme="minorHAnsi"/>
        </w:rPr>
        <w:t>e</w:t>
      </w:r>
      <w:r w:rsidR="008F1821" w:rsidRPr="008F1821">
        <w:t xml:space="preserve"> </w:t>
      </w:r>
      <w:r w:rsidR="008F1821" w:rsidRPr="008F1821">
        <w:rPr>
          <w:rFonts w:asciiTheme="minorHAnsi" w:hAnsiTheme="minorHAnsi" w:cstheme="minorHAnsi"/>
        </w:rPr>
        <w:t>substitutes a new section 70AA (7)</w:t>
      </w:r>
      <w:r w:rsidR="008F1821">
        <w:rPr>
          <w:rFonts w:asciiTheme="minorHAnsi" w:hAnsiTheme="minorHAnsi" w:cstheme="minorHAnsi"/>
        </w:rPr>
        <w:t xml:space="preserve"> </w:t>
      </w:r>
      <w:r w:rsidR="008F1821" w:rsidRPr="008F1821">
        <w:rPr>
          <w:rFonts w:asciiTheme="minorHAnsi" w:hAnsiTheme="minorHAnsi" w:cstheme="minorHAnsi"/>
        </w:rPr>
        <w:t>of the Associations Incorporation Act</w:t>
      </w:r>
      <w:r w:rsidR="008F1821">
        <w:rPr>
          <w:rFonts w:asciiTheme="minorHAnsi" w:hAnsiTheme="minorHAnsi" w:cstheme="minorHAnsi"/>
        </w:rPr>
        <w:t xml:space="preserve"> </w:t>
      </w:r>
      <w:r w:rsidR="008F1821" w:rsidRPr="008F1821">
        <w:rPr>
          <w:rFonts w:asciiTheme="minorHAnsi" w:hAnsiTheme="minorHAnsi" w:cstheme="minorHAnsi"/>
        </w:rPr>
        <w:t xml:space="preserve">to amend the expiry of section 70AA to </w:t>
      </w:r>
      <w:r w:rsidR="00FB3C65" w:rsidRPr="00FB3C65">
        <w:rPr>
          <w:rFonts w:asciiTheme="minorHAnsi" w:hAnsiTheme="minorHAnsi" w:cstheme="minorHAnsi"/>
        </w:rPr>
        <w:t>the end of a 12-month period during which no COVID-19 emergency has been in force</w:t>
      </w:r>
      <w:r w:rsidR="008F1821" w:rsidRPr="008F1821">
        <w:rPr>
          <w:rFonts w:asciiTheme="minorHAnsi" w:hAnsiTheme="minorHAnsi" w:cstheme="minorHAnsi"/>
        </w:rPr>
        <w:t>.</w:t>
      </w:r>
    </w:p>
    <w:p w14:paraId="333EAD2A" w14:textId="77777777" w:rsidR="008F1821" w:rsidRDefault="008F1821" w:rsidP="002E3A1A">
      <w:pPr>
        <w:spacing w:before="240" w:after="120"/>
        <w:rPr>
          <w:rFonts w:asciiTheme="minorHAnsi" w:hAnsiTheme="minorHAnsi" w:cstheme="minorHAnsi"/>
        </w:rPr>
      </w:pPr>
      <w:r w:rsidRPr="008F1821">
        <w:rPr>
          <w:rFonts w:asciiTheme="minorHAnsi" w:hAnsiTheme="minorHAnsi" w:cstheme="minorHAnsi"/>
        </w:rPr>
        <w:t>Before the introduction of section 70AA</w:t>
      </w:r>
      <w:r>
        <w:rPr>
          <w:rFonts w:asciiTheme="minorHAnsi" w:hAnsiTheme="minorHAnsi" w:cstheme="minorHAnsi"/>
        </w:rPr>
        <w:t xml:space="preserve">, </w:t>
      </w:r>
      <w:r w:rsidRPr="008F1821">
        <w:rPr>
          <w:rFonts w:asciiTheme="minorHAnsi" w:hAnsiTheme="minorHAnsi" w:cstheme="minorHAnsi"/>
        </w:rPr>
        <w:t>the rules about the way in which general meetings and special general meetings of an</w:t>
      </w:r>
      <w:r>
        <w:rPr>
          <w:rFonts w:asciiTheme="minorHAnsi" w:hAnsiTheme="minorHAnsi" w:cstheme="minorHAnsi"/>
        </w:rPr>
        <w:t xml:space="preserve"> </w:t>
      </w:r>
      <w:r w:rsidRPr="008F1821">
        <w:rPr>
          <w:rFonts w:asciiTheme="minorHAnsi" w:hAnsiTheme="minorHAnsi" w:cstheme="minorHAnsi"/>
        </w:rPr>
        <w:t>association are to be convened and whether or not members of the association are entitled to vote by proxy were those set out in the relevant association’s rules</w:t>
      </w:r>
      <w:r>
        <w:rPr>
          <w:rFonts w:asciiTheme="minorHAnsi" w:hAnsiTheme="minorHAnsi" w:cstheme="minorHAnsi"/>
        </w:rPr>
        <w:t xml:space="preserve"> </w:t>
      </w:r>
      <w:r w:rsidRPr="008F1821">
        <w:rPr>
          <w:rFonts w:asciiTheme="minorHAnsi" w:hAnsiTheme="minorHAnsi" w:cstheme="minorHAnsi"/>
        </w:rPr>
        <w:t xml:space="preserve">(see schedule 1, item 7 of the Associations Incorporation Act). </w:t>
      </w:r>
    </w:p>
    <w:p w14:paraId="6C5D4EA3" w14:textId="7EDF8228" w:rsidR="008F1821" w:rsidRPr="004B0CE7" w:rsidRDefault="008F1821" w:rsidP="002E3A1A">
      <w:pPr>
        <w:spacing w:before="240" w:after="120"/>
        <w:rPr>
          <w:rFonts w:asciiTheme="minorHAnsi" w:hAnsiTheme="minorHAnsi" w:cstheme="minorHAnsi"/>
        </w:rPr>
      </w:pPr>
      <w:r>
        <w:rPr>
          <w:rFonts w:asciiTheme="minorHAnsi" w:hAnsiTheme="minorHAnsi" w:cstheme="minorHAnsi"/>
        </w:rPr>
        <w:t>S</w:t>
      </w:r>
      <w:r w:rsidRPr="008F1821">
        <w:rPr>
          <w:rFonts w:asciiTheme="minorHAnsi" w:hAnsiTheme="minorHAnsi" w:cstheme="minorHAnsi"/>
        </w:rPr>
        <w:t>ection 70AA provides that during a COVID-19 emergency</w:t>
      </w:r>
      <w:r w:rsidR="00FB3C65">
        <w:rPr>
          <w:rFonts w:asciiTheme="minorHAnsi" w:hAnsiTheme="minorHAnsi" w:cstheme="minorHAnsi"/>
        </w:rPr>
        <w:t>,</w:t>
      </w:r>
      <w:r w:rsidRPr="008F1821">
        <w:rPr>
          <w:rFonts w:asciiTheme="minorHAnsi" w:hAnsiTheme="minorHAnsi" w:cstheme="minorHAnsi"/>
        </w:rPr>
        <w:t xml:space="preserve"> the committee of an association may authorise the holding of meetings using methods of communication and proxy arrangements that make allowance for health protection measures such as social distancing and limits on sizes of gatherings.</w:t>
      </w:r>
      <w:r>
        <w:rPr>
          <w:rFonts w:asciiTheme="minorHAnsi" w:hAnsiTheme="minorHAnsi" w:cstheme="minorHAnsi"/>
        </w:rPr>
        <w:t xml:space="preserve"> </w:t>
      </w:r>
      <w:r w:rsidRPr="008F1821">
        <w:rPr>
          <w:rFonts w:asciiTheme="minorHAnsi" w:hAnsiTheme="minorHAnsi" w:cstheme="minorHAnsi"/>
        </w:rPr>
        <w:t xml:space="preserve">Extending the operation of section 70AA </w:t>
      </w:r>
      <w:r w:rsidR="00FB3C65">
        <w:rPr>
          <w:rFonts w:asciiTheme="minorHAnsi" w:hAnsiTheme="minorHAnsi" w:cstheme="minorHAnsi"/>
        </w:rPr>
        <w:t>for the duration of the</w:t>
      </w:r>
      <w:r w:rsidRPr="008F1821">
        <w:rPr>
          <w:rFonts w:asciiTheme="minorHAnsi" w:hAnsiTheme="minorHAnsi" w:cstheme="minorHAnsi"/>
        </w:rPr>
        <w:t xml:space="preserve"> COVID-19 emergency</w:t>
      </w:r>
      <w:r w:rsidR="00FB3C65">
        <w:rPr>
          <w:rFonts w:asciiTheme="minorHAnsi" w:hAnsiTheme="minorHAnsi" w:cstheme="minorHAnsi"/>
        </w:rPr>
        <w:t xml:space="preserve"> ensures that these arrangements support associations to continue to operate effectively without impacting their members’ health and wellbeing</w:t>
      </w:r>
      <w:r>
        <w:rPr>
          <w:rFonts w:asciiTheme="minorHAnsi" w:hAnsiTheme="minorHAnsi" w:cstheme="minorHAnsi"/>
        </w:rPr>
        <w:t>.</w:t>
      </w:r>
      <w:r w:rsidR="00BD3327">
        <w:rPr>
          <w:rFonts w:asciiTheme="minorHAnsi" w:hAnsiTheme="minorHAnsi" w:cstheme="minorHAnsi"/>
        </w:rPr>
        <w:t xml:space="preserve"> </w:t>
      </w:r>
    </w:p>
    <w:p w14:paraId="3E4F0D54" w14:textId="0349A694" w:rsidR="00CD20AF" w:rsidRPr="00CD20AF" w:rsidRDefault="00CD20AF" w:rsidP="00CD20AF">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5</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Extensions of time for applications etc – Section 120 (6)</w:t>
      </w:r>
    </w:p>
    <w:p w14:paraId="29F466FB" w14:textId="3601D4D7" w:rsidR="008F1821" w:rsidRDefault="00CD20AF" w:rsidP="002E3A1A">
      <w:pPr>
        <w:spacing w:before="240" w:after="120"/>
        <w:rPr>
          <w:rFonts w:asciiTheme="minorHAnsi" w:hAnsiTheme="minorHAnsi" w:cstheme="minorHAnsi"/>
        </w:rPr>
      </w:pPr>
      <w:r w:rsidRPr="004B0CE7">
        <w:rPr>
          <w:rFonts w:asciiTheme="minorHAnsi" w:hAnsiTheme="minorHAnsi" w:cstheme="minorHAnsi"/>
        </w:rPr>
        <w:t xml:space="preserve">This </w:t>
      </w:r>
      <w:r w:rsidR="008F1821">
        <w:rPr>
          <w:rFonts w:asciiTheme="minorHAnsi" w:hAnsiTheme="minorHAnsi" w:cstheme="minorHAnsi"/>
        </w:rPr>
        <w:t>c</w:t>
      </w:r>
      <w:r w:rsidR="008F1821" w:rsidRPr="008F1821">
        <w:rPr>
          <w:rFonts w:asciiTheme="minorHAnsi" w:hAnsiTheme="minorHAnsi" w:cstheme="minorHAnsi"/>
        </w:rPr>
        <w:t>lause substitutes new subsection 120 (6) to provide for</w:t>
      </w:r>
      <w:r w:rsidR="008F1821">
        <w:rPr>
          <w:rFonts w:asciiTheme="minorHAnsi" w:hAnsiTheme="minorHAnsi" w:cstheme="minorHAnsi"/>
        </w:rPr>
        <w:t xml:space="preserve"> </w:t>
      </w:r>
      <w:r w:rsidR="008F1821" w:rsidRPr="008F1821">
        <w:rPr>
          <w:rFonts w:asciiTheme="minorHAnsi" w:hAnsiTheme="minorHAnsi" w:cstheme="minorHAnsi"/>
        </w:rPr>
        <w:t>the expiry of subsections 120 (3)</w:t>
      </w:r>
      <w:r w:rsidR="008F1821">
        <w:rPr>
          <w:rFonts w:asciiTheme="minorHAnsi" w:hAnsiTheme="minorHAnsi" w:cstheme="minorHAnsi"/>
        </w:rPr>
        <w:t xml:space="preserve"> </w:t>
      </w:r>
      <w:r w:rsidR="008F1821" w:rsidRPr="008F1821">
        <w:rPr>
          <w:rFonts w:asciiTheme="minorHAnsi" w:hAnsiTheme="minorHAnsi" w:cstheme="minorHAnsi"/>
        </w:rPr>
        <w:t xml:space="preserve">to (6) of the Associations Incorporation Act </w:t>
      </w:r>
      <w:r w:rsidR="0087216D" w:rsidRPr="0087216D">
        <w:rPr>
          <w:rFonts w:asciiTheme="minorHAnsi" w:hAnsiTheme="minorHAnsi" w:cstheme="minorHAnsi"/>
        </w:rPr>
        <w:t>at the end of a 12-month period during which no COVID-19 emergency has been in force</w:t>
      </w:r>
      <w:r w:rsidR="0087216D">
        <w:rPr>
          <w:rFonts w:asciiTheme="minorHAnsi" w:hAnsiTheme="minorHAnsi" w:cstheme="minorHAnsi"/>
        </w:rPr>
        <w:t>. The provision was originally due to expire on 7 April 2022.</w:t>
      </w:r>
    </w:p>
    <w:p w14:paraId="2A486065" w14:textId="7F4F0442" w:rsidR="00CD20AF" w:rsidRPr="004B0CE7" w:rsidRDefault="008F1821" w:rsidP="002E3A1A">
      <w:pPr>
        <w:spacing w:before="240" w:after="120"/>
        <w:rPr>
          <w:rFonts w:asciiTheme="minorHAnsi" w:hAnsiTheme="minorHAnsi" w:cstheme="minorHAnsi"/>
        </w:rPr>
      </w:pPr>
      <w:r w:rsidRPr="008F1821">
        <w:rPr>
          <w:rFonts w:asciiTheme="minorHAnsi" w:hAnsiTheme="minorHAnsi" w:cstheme="minorHAnsi"/>
        </w:rPr>
        <w:lastRenderedPageBreak/>
        <w:t>Extending the operation of subsections 120 (3)</w:t>
      </w:r>
      <w:r>
        <w:rPr>
          <w:rFonts w:asciiTheme="minorHAnsi" w:hAnsiTheme="minorHAnsi" w:cstheme="minorHAnsi"/>
        </w:rPr>
        <w:t xml:space="preserve"> </w:t>
      </w:r>
      <w:r w:rsidRPr="008F1821">
        <w:rPr>
          <w:rFonts w:asciiTheme="minorHAnsi" w:hAnsiTheme="minorHAnsi" w:cstheme="minorHAnsi"/>
        </w:rPr>
        <w:t xml:space="preserve">to (6) </w:t>
      </w:r>
      <w:r w:rsidR="0087216D">
        <w:rPr>
          <w:rFonts w:asciiTheme="minorHAnsi" w:hAnsiTheme="minorHAnsi" w:cstheme="minorHAnsi"/>
        </w:rPr>
        <w:t xml:space="preserve">until </w:t>
      </w:r>
      <w:r w:rsidR="0087216D" w:rsidRPr="0087216D">
        <w:rPr>
          <w:rFonts w:asciiTheme="minorHAnsi" w:hAnsiTheme="minorHAnsi" w:cstheme="minorHAnsi"/>
        </w:rPr>
        <w:t>the end of a 12-month period during which no COVID-19 emergency has been in force</w:t>
      </w:r>
      <w:r w:rsidRPr="008F1821">
        <w:rPr>
          <w:rFonts w:asciiTheme="minorHAnsi" w:hAnsiTheme="minorHAnsi" w:cstheme="minorHAnsi"/>
        </w:rPr>
        <w:t xml:space="preserve"> ensures</w:t>
      </w:r>
      <w:r>
        <w:rPr>
          <w:rFonts w:asciiTheme="minorHAnsi" w:hAnsiTheme="minorHAnsi" w:cstheme="minorHAnsi"/>
        </w:rPr>
        <w:t xml:space="preserve"> </w:t>
      </w:r>
      <w:r w:rsidRPr="008F1821">
        <w:rPr>
          <w:rFonts w:asciiTheme="minorHAnsi" w:hAnsiTheme="minorHAnsi" w:cstheme="minorHAnsi"/>
        </w:rPr>
        <w:t>that the registrar-general continues to be able to, where appropriate due to a COVID-19 emergency, allow extensions of prescribed periods of time for associations, their officers and members to comply with certain requirements of the Act</w:t>
      </w:r>
      <w:r w:rsidR="00CD20AF" w:rsidRPr="004B0CE7">
        <w:rPr>
          <w:rFonts w:asciiTheme="minorHAnsi" w:hAnsiTheme="minorHAnsi" w:cstheme="minorHAnsi"/>
        </w:rPr>
        <w:t>.</w:t>
      </w:r>
    </w:p>
    <w:p w14:paraId="0F705FFB" w14:textId="27BDBF86" w:rsidR="00CF129B" w:rsidRPr="00D4690B" w:rsidRDefault="00E93D04" w:rsidP="00A363CB">
      <w:pPr>
        <w:pStyle w:val="Heading1"/>
        <w:rPr>
          <w:rFonts w:asciiTheme="minorHAnsi" w:hAnsiTheme="minorHAnsi" w:cstheme="minorHAnsi"/>
          <w:sz w:val="24"/>
          <w:szCs w:val="24"/>
          <w:lang w:eastAsia="en-AU"/>
        </w:rPr>
      </w:pPr>
      <w:bookmarkStart w:id="25" w:name="_Toc79498183"/>
      <w:r w:rsidRPr="00D4690B">
        <w:rPr>
          <w:rFonts w:asciiTheme="minorHAnsi" w:hAnsiTheme="minorHAnsi" w:cstheme="minorHAnsi"/>
          <w:sz w:val="24"/>
          <w:szCs w:val="24"/>
          <w:lang w:eastAsia="en-AU"/>
        </w:rPr>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Pr>
          <w:rFonts w:asciiTheme="minorHAnsi" w:hAnsiTheme="minorHAnsi" w:cstheme="minorHAnsi"/>
          <w:noProof/>
          <w:sz w:val="24"/>
          <w:szCs w:val="24"/>
          <w:lang w:eastAsia="en-AU"/>
        </w:rPr>
        <w:t>3</w:t>
      </w:r>
      <w:r w:rsidRPr="00D4690B">
        <w:rPr>
          <w:rFonts w:asciiTheme="minorHAnsi" w:hAnsiTheme="minorHAnsi" w:cstheme="minorHAnsi"/>
          <w:sz w:val="24"/>
          <w:szCs w:val="24"/>
          <w:lang w:eastAsia="en-AU"/>
        </w:rPr>
        <w:fldChar w:fldCharType="end"/>
      </w:r>
      <w:r w:rsidR="00CF129B" w:rsidRPr="00D4690B">
        <w:rPr>
          <w:rFonts w:asciiTheme="minorHAnsi" w:hAnsiTheme="minorHAnsi" w:cstheme="minorHAnsi"/>
          <w:sz w:val="24"/>
          <w:szCs w:val="24"/>
          <w:lang w:eastAsia="en-AU"/>
        </w:rPr>
        <w:t xml:space="preserve"> – </w:t>
      </w:r>
      <w:bookmarkEnd w:id="23"/>
      <w:bookmarkEnd w:id="24"/>
      <w:r w:rsidR="004A54A0">
        <w:rPr>
          <w:rFonts w:asciiTheme="minorHAnsi" w:hAnsiTheme="minorHAnsi" w:cstheme="minorHAnsi"/>
          <w:sz w:val="24"/>
          <w:szCs w:val="24"/>
          <w:lang w:eastAsia="en-AU"/>
        </w:rPr>
        <w:t>Bail Act 1992</w:t>
      </w:r>
      <w:bookmarkEnd w:id="25"/>
    </w:p>
    <w:p w14:paraId="69157E4D" w14:textId="384E9DED" w:rsidR="00AC5B87" w:rsidRPr="00D4690B" w:rsidRDefault="00AC5B87" w:rsidP="00DF7319">
      <w:pPr>
        <w:pStyle w:val="Heading4"/>
        <w:keepNext w:val="0"/>
        <w:rPr>
          <w:rFonts w:asciiTheme="minorHAnsi" w:hAnsiTheme="minorHAnsi" w:cstheme="minorHAnsi"/>
          <w:lang w:eastAsia="en-AU"/>
        </w:rPr>
      </w:pPr>
      <w:bookmarkStart w:id="26" w:name="_Clause_6_–"/>
      <w:bookmarkEnd w:id="26"/>
      <w:r w:rsidRPr="00D4690B">
        <w:rPr>
          <w:rFonts w:asciiTheme="minorHAnsi" w:hAnsiTheme="minorHAnsi" w:cstheme="minorHAnsi"/>
        </w:rPr>
        <w:t xml:space="preserve">Clause </w:t>
      </w:r>
      <w:r w:rsidR="00326167"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00326167" w:rsidRPr="00D4690B">
        <w:rPr>
          <w:rFonts w:asciiTheme="minorHAnsi" w:hAnsiTheme="minorHAnsi" w:cstheme="minorHAnsi"/>
        </w:rPr>
        <w:fldChar w:fldCharType="separate"/>
      </w:r>
      <w:r w:rsidR="00E93D04">
        <w:rPr>
          <w:rFonts w:asciiTheme="minorHAnsi" w:hAnsiTheme="minorHAnsi" w:cstheme="minorHAnsi"/>
          <w:noProof/>
        </w:rPr>
        <w:t>6</w:t>
      </w:r>
      <w:r w:rsidR="00326167" w:rsidRPr="00D4690B">
        <w:rPr>
          <w:rFonts w:asciiTheme="minorHAnsi" w:hAnsiTheme="minorHAnsi" w:cstheme="minorHAnsi"/>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4B0CE7">
        <w:rPr>
          <w:rFonts w:asciiTheme="minorHAnsi" w:hAnsiTheme="minorHAnsi" w:cstheme="minorHAnsi"/>
          <w:lang w:eastAsia="en-AU"/>
        </w:rPr>
        <w:t>Undertakings to appear</w:t>
      </w:r>
      <w:r w:rsidR="00E93D04">
        <w:rPr>
          <w:rFonts w:asciiTheme="minorHAnsi" w:hAnsiTheme="minorHAnsi" w:cstheme="minorHAnsi"/>
          <w:lang w:eastAsia="en-AU"/>
        </w:rPr>
        <w:t xml:space="preserve"> </w:t>
      </w:r>
      <w:r w:rsidR="00E93D04" w:rsidRPr="00D4690B">
        <w:rPr>
          <w:rFonts w:asciiTheme="minorHAnsi" w:hAnsiTheme="minorHAnsi" w:cstheme="minorHAnsi"/>
          <w:lang w:eastAsia="en-AU"/>
        </w:rPr>
        <w:t>–</w:t>
      </w:r>
      <w:r w:rsidR="004B0CE7">
        <w:rPr>
          <w:rFonts w:asciiTheme="minorHAnsi" w:hAnsiTheme="minorHAnsi" w:cstheme="minorHAnsi"/>
          <w:lang w:eastAsia="en-AU"/>
        </w:rPr>
        <w:t xml:space="preserve"> Section 28 (1)</w:t>
      </w:r>
    </w:p>
    <w:p w14:paraId="789B2EFB" w14:textId="16EDF769" w:rsidR="00DF7319" w:rsidRPr="004B0CE7" w:rsidRDefault="004B0CE7" w:rsidP="002E3A1A">
      <w:pPr>
        <w:spacing w:before="240" w:after="120"/>
        <w:rPr>
          <w:rFonts w:asciiTheme="minorHAnsi" w:hAnsiTheme="minorHAnsi" w:cstheme="minorHAnsi"/>
        </w:rPr>
      </w:pPr>
      <w:bookmarkStart w:id="27" w:name="_Clause_7_–"/>
      <w:bookmarkEnd w:id="27"/>
      <w:r w:rsidRPr="004B0CE7">
        <w:rPr>
          <w:rFonts w:asciiTheme="minorHAnsi" w:hAnsiTheme="minorHAnsi" w:cstheme="minorHAnsi"/>
        </w:rPr>
        <w:t>This clause removes the reference to a written undertaking to reflect that an undertaking will not always be in writing.</w:t>
      </w:r>
    </w:p>
    <w:p w14:paraId="7466394F" w14:textId="069343E3" w:rsidR="00DF7319" w:rsidRPr="00D4690B" w:rsidRDefault="00DF7319" w:rsidP="00DF7319">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7</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4B0CE7">
        <w:rPr>
          <w:rFonts w:asciiTheme="minorHAnsi" w:hAnsiTheme="minorHAnsi" w:cstheme="minorHAnsi"/>
          <w:lang w:eastAsia="en-AU"/>
        </w:rPr>
        <w:t>Section 28 (2A)</w:t>
      </w:r>
    </w:p>
    <w:p w14:paraId="10B17BB8" w14:textId="130A8180" w:rsidR="00DF7319" w:rsidRPr="004B0CE7" w:rsidRDefault="004B0CE7" w:rsidP="002E3A1A">
      <w:pPr>
        <w:spacing w:before="240" w:after="120"/>
        <w:rPr>
          <w:rFonts w:asciiTheme="minorHAnsi" w:hAnsiTheme="minorHAnsi" w:cstheme="minorHAnsi"/>
        </w:rPr>
      </w:pPr>
      <w:r w:rsidRPr="004B0CE7">
        <w:rPr>
          <w:rFonts w:asciiTheme="minorHAnsi" w:hAnsiTheme="minorHAnsi" w:cstheme="minorHAnsi"/>
        </w:rPr>
        <w:t xml:space="preserve">This clause removes the reference to a COVID-19 emergency from </w:t>
      </w:r>
      <w:r w:rsidR="00E73DA5">
        <w:rPr>
          <w:rFonts w:asciiTheme="minorHAnsi" w:hAnsiTheme="minorHAnsi" w:cstheme="minorHAnsi"/>
        </w:rPr>
        <w:t>sub</w:t>
      </w:r>
      <w:r w:rsidRPr="004B0CE7">
        <w:rPr>
          <w:rFonts w:asciiTheme="minorHAnsi" w:hAnsiTheme="minorHAnsi" w:cstheme="minorHAnsi"/>
        </w:rPr>
        <w:t>section 28 (2A) to allow the provision to operate on a permanent basis.</w:t>
      </w:r>
    </w:p>
    <w:p w14:paraId="03E40A9A" w14:textId="25228BEA" w:rsidR="00DF7319" w:rsidRPr="00D4690B" w:rsidRDefault="00DF7319" w:rsidP="00DF7319">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8</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4B0CE7">
        <w:rPr>
          <w:rFonts w:asciiTheme="minorHAnsi" w:hAnsiTheme="minorHAnsi" w:cstheme="minorHAnsi"/>
          <w:lang w:eastAsia="en-AU"/>
        </w:rPr>
        <w:t>Section 28 (6) and (7)</w:t>
      </w:r>
    </w:p>
    <w:p w14:paraId="19ABF934" w14:textId="326E6EEE" w:rsidR="002E3A1A" w:rsidRDefault="004B0CE7" w:rsidP="00252CC5">
      <w:pPr>
        <w:spacing w:before="240" w:after="120"/>
        <w:rPr>
          <w:rFonts w:asciiTheme="minorHAnsi" w:hAnsiTheme="minorHAnsi" w:cstheme="minorHAnsi"/>
        </w:rPr>
      </w:pPr>
      <w:r w:rsidRPr="004B0CE7">
        <w:rPr>
          <w:rFonts w:asciiTheme="minorHAnsi" w:hAnsiTheme="minorHAnsi" w:cstheme="minorHAnsi"/>
        </w:rPr>
        <w:t xml:space="preserve">This clause removes </w:t>
      </w:r>
      <w:r w:rsidR="00E73DA5">
        <w:rPr>
          <w:rFonts w:asciiTheme="minorHAnsi" w:hAnsiTheme="minorHAnsi" w:cstheme="minorHAnsi"/>
        </w:rPr>
        <w:t>sub</w:t>
      </w:r>
      <w:r w:rsidRPr="004B0CE7">
        <w:rPr>
          <w:rFonts w:asciiTheme="minorHAnsi" w:hAnsiTheme="minorHAnsi" w:cstheme="minorHAnsi"/>
        </w:rPr>
        <w:t xml:space="preserve">sections 28 (6) and (7) to allow for the ongoing operation of </w:t>
      </w:r>
      <w:r w:rsidR="00E73DA5">
        <w:rPr>
          <w:rFonts w:asciiTheme="minorHAnsi" w:hAnsiTheme="minorHAnsi" w:cstheme="minorHAnsi"/>
        </w:rPr>
        <w:t>sub</w:t>
      </w:r>
      <w:r w:rsidRPr="004B0CE7">
        <w:rPr>
          <w:rFonts w:asciiTheme="minorHAnsi" w:hAnsiTheme="minorHAnsi" w:cstheme="minorHAnsi"/>
        </w:rPr>
        <w:t>section 28 (2A).</w:t>
      </w:r>
    </w:p>
    <w:p w14:paraId="4C818B7B" w14:textId="3B3DD5E8" w:rsidR="004B0CE7" w:rsidRPr="00D4690B" w:rsidRDefault="004B0CE7" w:rsidP="004B0CE7">
      <w:pPr>
        <w:pStyle w:val="Heading1"/>
        <w:rPr>
          <w:rFonts w:asciiTheme="minorHAnsi" w:hAnsiTheme="minorHAnsi" w:cstheme="minorHAnsi"/>
          <w:sz w:val="24"/>
          <w:szCs w:val="24"/>
          <w:lang w:eastAsia="en-AU"/>
        </w:rPr>
      </w:pPr>
      <w:bookmarkStart w:id="28" w:name="_Hlk79487077"/>
      <w:bookmarkStart w:id="29" w:name="_Toc79498184"/>
      <w:r w:rsidRPr="00D4690B">
        <w:rPr>
          <w:rFonts w:asciiTheme="minorHAnsi" w:hAnsiTheme="minorHAnsi" w:cstheme="minorHAnsi"/>
          <w:sz w:val="24"/>
          <w:szCs w:val="24"/>
          <w:lang w:eastAsia="en-AU"/>
        </w:rPr>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E93D04">
        <w:rPr>
          <w:rFonts w:asciiTheme="minorHAnsi" w:hAnsiTheme="minorHAnsi" w:cstheme="minorHAnsi"/>
          <w:noProof/>
          <w:sz w:val="24"/>
          <w:szCs w:val="24"/>
          <w:lang w:eastAsia="en-AU"/>
        </w:rPr>
        <w:t>4</w:t>
      </w:r>
      <w:r w:rsidRPr="00D4690B">
        <w:rPr>
          <w:rFonts w:asciiTheme="minorHAnsi" w:hAnsiTheme="minorHAnsi" w:cstheme="minorHAnsi"/>
          <w:sz w:val="24"/>
          <w:szCs w:val="24"/>
          <w:lang w:eastAsia="en-AU"/>
        </w:rPr>
        <w:fldChar w:fldCharType="end"/>
      </w:r>
      <w:bookmarkEnd w:id="28"/>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Corrections Management Act 2007</w:t>
      </w:r>
      <w:bookmarkEnd w:id="29"/>
    </w:p>
    <w:p w14:paraId="28392D35" w14:textId="57423CB3" w:rsidR="00DF7319" w:rsidRPr="00D4690B" w:rsidRDefault="00DF7319" w:rsidP="00DF7319">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9</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4B0CE7">
        <w:rPr>
          <w:rFonts w:asciiTheme="minorHAnsi" w:hAnsiTheme="minorHAnsi" w:cstheme="minorHAnsi"/>
          <w:lang w:eastAsia="en-AU"/>
        </w:rPr>
        <w:t xml:space="preserve">Local leave permits </w:t>
      </w:r>
      <w:r w:rsidR="00E93D04" w:rsidRPr="00D4690B">
        <w:rPr>
          <w:rFonts w:asciiTheme="minorHAnsi" w:hAnsiTheme="minorHAnsi" w:cstheme="minorHAnsi"/>
          <w:lang w:eastAsia="en-AU"/>
        </w:rPr>
        <w:t>–</w:t>
      </w:r>
      <w:r w:rsidR="00E93D04">
        <w:rPr>
          <w:rFonts w:asciiTheme="minorHAnsi" w:hAnsiTheme="minorHAnsi" w:cstheme="minorHAnsi"/>
          <w:lang w:eastAsia="en-AU"/>
        </w:rPr>
        <w:t xml:space="preserve"> S</w:t>
      </w:r>
      <w:r w:rsidR="004B0CE7">
        <w:rPr>
          <w:rFonts w:asciiTheme="minorHAnsi" w:hAnsiTheme="minorHAnsi" w:cstheme="minorHAnsi"/>
          <w:lang w:eastAsia="en-AU"/>
        </w:rPr>
        <w:t>ection 205 (2A)</w:t>
      </w:r>
    </w:p>
    <w:p w14:paraId="34880FCA" w14:textId="10F12AAD" w:rsidR="00DF7319" w:rsidRDefault="004B0CE7" w:rsidP="002E3A1A">
      <w:pPr>
        <w:spacing w:before="240" w:after="120"/>
        <w:rPr>
          <w:rFonts w:asciiTheme="minorHAnsi" w:hAnsiTheme="minorHAnsi" w:cstheme="minorHAnsi"/>
        </w:rPr>
      </w:pPr>
      <w:r w:rsidRPr="004B0CE7">
        <w:rPr>
          <w:rFonts w:asciiTheme="minorHAnsi" w:hAnsiTheme="minorHAnsi" w:cstheme="minorHAnsi"/>
        </w:rPr>
        <w:t xml:space="preserve">This clause re-configures the temporary section 205 (2A) by substituting </w:t>
      </w:r>
      <w:r w:rsidR="00E73DA5">
        <w:rPr>
          <w:rFonts w:asciiTheme="minorHAnsi" w:hAnsiTheme="minorHAnsi" w:cstheme="minorHAnsi"/>
        </w:rPr>
        <w:t>sub</w:t>
      </w:r>
      <w:r w:rsidRPr="004B0CE7">
        <w:rPr>
          <w:rFonts w:asciiTheme="minorHAnsi" w:hAnsiTheme="minorHAnsi" w:cstheme="minorHAnsi"/>
        </w:rPr>
        <w:t xml:space="preserve">sections 205 (2A) and (2B). New </w:t>
      </w:r>
      <w:r w:rsidR="00E73DA5">
        <w:rPr>
          <w:rFonts w:asciiTheme="minorHAnsi" w:hAnsiTheme="minorHAnsi" w:cstheme="minorHAnsi"/>
        </w:rPr>
        <w:t>sub</w:t>
      </w:r>
      <w:r w:rsidRPr="004B0CE7">
        <w:rPr>
          <w:rFonts w:asciiTheme="minorHAnsi" w:hAnsiTheme="minorHAnsi" w:cstheme="minorHAnsi"/>
        </w:rPr>
        <w:t xml:space="preserve">section 205 (2A) allows the </w:t>
      </w:r>
      <w:r w:rsidR="00A95DCC">
        <w:rPr>
          <w:rFonts w:asciiTheme="minorHAnsi" w:hAnsiTheme="minorHAnsi" w:cstheme="minorHAnsi"/>
        </w:rPr>
        <w:t>D</w:t>
      </w:r>
      <w:r w:rsidRPr="004B0CE7">
        <w:rPr>
          <w:rFonts w:asciiTheme="minorHAnsi" w:hAnsiTheme="minorHAnsi" w:cstheme="minorHAnsi"/>
        </w:rPr>
        <w:t>irector-</w:t>
      </w:r>
      <w:r w:rsidR="00A95DCC">
        <w:rPr>
          <w:rFonts w:asciiTheme="minorHAnsi" w:hAnsiTheme="minorHAnsi" w:cstheme="minorHAnsi"/>
        </w:rPr>
        <w:t>G</w:t>
      </w:r>
      <w:r w:rsidRPr="004B0CE7">
        <w:rPr>
          <w:rFonts w:asciiTheme="minorHAnsi" w:hAnsiTheme="minorHAnsi" w:cstheme="minorHAnsi"/>
        </w:rPr>
        <w:t>eneral to grant a permit of up to 3 months duration for the purposes of long-term medical treatment or palliative care. The leave may only be granted on the advice of a doctor appointed under section 21 of the C</w:t>
      </w:r>
      <w:r>
        <w:rPr>
          <w:rFonts w:asciiTheme="minorHAnsi" w:hAnsiTheme="minorHAnsi" w:cstheme="minorHAnsi"/>
        </w:rPr>
        <w:t xml:space="preserve">orrections </w:t>
      </w:r>
      <w:r w:rsidRPr="004B0CE7">
        <w:rPr>
          <w:rFonts w:asciiTheme="minorHAnsi" w:hAnsiTheme="minorHAnsi" w:cstheme="minorHAnsi"/>
        </w:rPr>
        <w:t>M</w:t>
      </w:r>
      <w:r>
        <w:rPr>
          <w:rFonts w:asciiTheme="minorHAnsi" w:hAnsiTheme="minorHAnsi" w:cstheme="minorHAnsi"/>
        </w:rPr>
        <w:t xml:space="preserve">anagement </w:t>
      </w:r>
      <w:r w:rsidRPr="004B0CE7">
        <w:rPr>
          <w:rFonts w:asciiTheme="minorHAnsi" w:hAnsiTheme="minorHAnsi" w:cstheme="minorHAnsi"/>
        </w:rPr>
        <w:t>A</w:t>
      </w:r>
      <w:r>
        <w:rPr>
          <w:rFonts w:asciiTheme="minorHAnsi" w:hAnsiTheme="minorHAnsi" w:cstheme="minorHAnsi"/>
        </w:rPr>
        <w:t>ct</w:t>
      </w:r>
      <w:r w:rsidRPr="004B0CE7">
        <w:rPr>
          <w:rFonts w:asciiTheme="minorHAnsi" w:hAnsiTheme="minorHAnsi" w:cstheme="minorHAnsi"/>
        </w:rPr>
        <w:t xml:space="preserve">. New </w:t>
      </w:r>
      <w:r w:rsidR="00E73DA5">
        <w:rPr>
          <w:rFonts w:asciiTheme="minorHAnsi" w:hAnsiTheme="minorHAnsi" w:cstheme="minorHAnsi"/>
        </w:rPr>
        <w:t>sub</w:t>
      </w:r>
      <w:r w:rsidRPr="004B0CE7">
        <w:rPr>
          <w:rFonts w:asciiTheme="minorHAnsi" w:hAnsiTheme="minorHAnsi" w:cstheme="minorHAnsi"/>
        </w:rPr>
        <w:t>section 205</w:t>
      </w:r>
      <w:r>
        <w:rPr>
          <w:rFonts w:asciiTheme="minorHAnsi" w:hAnsiTheme="minorHAnsi" w:cstheme="minorHAnsi"/>
        </w:rPr>
        <w:t xml:space="preserve"> </w:t>
      </w:r>
      <w:r w:rsidRPr="004B0CE7">
        <w:rPr>
          <w:rFonts w:asciiTheme="minorHAnsi" w:hAnsiTheme="minorHAnsi" w:cstheme="minorHAnsi"/>
        </w:rPr>
        <w:t xml:space="preserve">(2B) preserves the provision allowing the </w:t>
      </w:r>
      <w:r w:rsidR="00A95DCC">
        <w:rPr>
          <w:rFonts w:asciiTheme="minorHAnsi" w:hAnsiTheme="minorHAnsi" w:cstheme="minorHAnsi"/>
        </w:rPr>
        <w:t>D</w:t>
      </w:r>
      <w:r w:rsidRPr="004B0CE7">
        <w:rPr>
          <w:rFonts w:asciiTheme="minorHAnsi" w:hAnsiTheme="minorHAnsi" w:cstheme="minorHAnsi"/>
        </w:rPr>
        <w:t>irector-</w:t>
      </w:r>
      <w:r w:rsidR="00A95DCC">
        <w:rPr>
          <w:rFonts w:asciiTheme="minorHAnsi" w:hAnsiTheme="minorHAnsi" w:cstheme="minorHAnsi"/>
        </w:rPr>
        <w:t>G</w:t>
      </w:r>
      <w:r w:rsidRPr="004B0CE7">
        <w:rPr>
          <w:rFonts w:asciiTheme="minorHAnsi" w:hAnsiTheme="minorHAnsi" w:cstheme="minorHAnsi"/>
        </w:rPr>
        <w:t>eneral to grant a permit for other purposes for up to 28 days, although this is made temporary by clause 8.</w:t>
      </w:r>
    </w:p>
    <w:p w14:paraId="62D28170" w14:textId="7BCBC923" w:rsidR="00DF7319" w:rsidRPr="00D4690B" w:rsidRDefault="00DF7319" w:rsidP="00DF7319">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10</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4B0CE7">
        <w:rPr>
          <w:rFonts w:asciiTheme="minorHAnsi" w:hAnsiTheme="minorHAnsi" w:cstheme="minorHAnsi"/>
          <w:lang w:eastAsia="en-AU"/>
        </w:rPr>
        <w:t>Section 205 (5) (b) and (c)</w:t>
      </w:r>
    </w:p>
    <w:p w14:paraId="40BC8359" w14:textId="7257C346" w:rsidR="008B40CE" w:rsidRPr="004B0CE7" w:rsidRDefault="004B0CE7" w:rsidP="002E3A1A">
      <w:pPr>
        <w:spacing w:before="240" w:after="120"/>
        <w:rPr>
          <w:rFonts w:asciiTheme="minorHAnsi" w:hAnsiTheme="minorHAnsi" w:cstheme="minorHAnsi"/>
          <w:b/>
          <w:lang w:eastAsia="en-AU"/>
        </w:rPr>
      </w:pPr>
      <w:r w:rsidRPr="004B0CE7">
        <w:rPr>
          <w:rFonts w:asciiTheme="minorHAnsi" w:hAnsiTheme="minorHAnsi" w:cstheme="minorHAnsi"/>
        </w:rPr>
        <w:t xml:space="preserve">This clause amends </w:t>
      </w:r>
      <w:r w:rsidR="00E73DA5">
        <w:rPr>
          <w:rFonts w:asciiTheme="minorHAnsi" w:hAnsiTheme="minorHAnsi" w:cstheme="minorHAnsi"/>
        </w:rPr>
        <w:t>sub</w:t>
      </w:r>
      <w:r w:rsidRPr="004B0CE7">
        <w:rPr>
          <w:rFonts w:asciiTheme="minorHAnsi" w:hAnsiTheme="minorHAnsi" w:cstheme="minorHAnsi"/>
        </w:rPr>
        <w:t>section 205 (5) to allow new subsection</w:t>
      </w:r>
      <w:r w:rsidR="00E73DA5">
        <w:rPr>
          <w:rFonts w:asciiTheme="minorHAnsi" w:hAnsiTheme="minorHAnsi" w:cstheme="minorHAnsi"/>
        </w:rPr>
        <w:t xml:space="preserve"> 205</w:t>
      </w:r>
      <w:r w:rsidRPr="004B0CE7">
        <w:rPr>
          <w:rFonts w:asciiTheme="minorHAnsi" w:hAnsiTheme="minorHAnsi" w:cstheme="minorHAnsi"/>
        </w:rPr>
        <w:t xml:space="preserve"> (2B) to expire on the day the </w:t>
      </w:r>
      <w:r w:rsidRPr="00E93D04">
        <w:rPr>
          <w:rFonts w:asciiTheme="minorHAnsi" w:hAnsiTheme="minorHAnsi" w:cstheme="minorHAnsi"/>
        </w:rPr>
        <w:t xml:space="preserve">COVID-19 Emergency Response Act </w:t>
      </w:r>
      <w:r w:rsidRPr="004B0CE7">
        <w:rPr>
          <w:rFonts w:asciiTheme="minorHAnsi" w:hAnsiTheme="minorHAnsi" w:cstheme="minorHAnsi"/>
        </w:rPr>
        <w:t xml:space="preserve">expires, while preserving the new permanent provision under subsection </w:t>
      </w:r>
      <w:r w:rsidR="00E73DA5">
        <w:rPr>
          <w:rFonts w:asciiTheme="minorHAnsi" w:hAnsiTheme="minorHAnsi" w:cstheme="minorHAnsi"/>
        </w:rPr>
        <w:t xml:space="preserve">205 </w:t>
      </w:r>
      <w:r w:rsidRPr="004B0CE7">
        <w:rPr>
          <w:rFonts w:asciiTheme="minorHAnsi" w:hAnsiTheme="minorHAnsi" w:cstheme="minorHAnsi"/>
        </w:rPr>
        <w:t>(2A). S</w:t>
      </w:r>
      <w:r w:rsidR="00E73DA5">
        <w:rPr>
          <w:rFonts w:asciiTheme="minorHAnsi" w:hAnsiTheme="minorHAnsi" w:cstheme="minorHAnsi"/>
        </w:rPr>
        <w:t>ubs</w:t>
      </w:r>
      <w:r w:rsidRPr="004B0CE7">
        <w:rPr>
          <w:rFonts w:asciiTheme="minorHAnsi" w:hAnsiTheme="minorHAnsi" w:cstheme="minorHAnsi"/>
        </w:rPr>
        <w:t>ection 205</w:t>
      </w:r>
      <w:r>
        <w:rPr>
          <w:rFonts w:asciiTheme="minorHAnsi" w:hAnsiTheme="minorHAnsi" w:cstheme="minorHAnsi"/>
        </w:rPr>
        <w:t xml:space="preserve"> </w:t>
      </w:r>
      <w:r w:rsidRPr="004B0CE7">
        <w:rPr>
          <w:rFonts w:asciiTheme="minorHAnsi" w:hAnsiTheme="minorHAnsi" w:cstheme="minorHAnsi"/>
        </w:rPr>
        <w:t>(5)</w:t>
      </w:r>
      <w:r>
        <w:rPr>
          <w:rFonts w:asciiTheme="minorHAnsi" w:hAnsiTheme="minorHAnsi" w:cstheme="minorHAnsi"/>
        </w:rPr>
        <w:t xml:space="preserve"> </w:t>
      </w:r>
      <w:r w:rsidRPr="004B0CE7">
        <w:rPr>
          <w:rFonts w:asciiTheme="minorHAnsi" w:hAnsiTheme="minorHAnsi" w:cstheme="minorHAnsi"/>
        </w:rPr>
        <w:t xml:space="preserve">(c) is retained to preserve the provision in subsection (4) allowing the </w:t>
      </w:r>
      <w:r w:rsidR="00A95DCC">
        <w:rPr>
          <w:rFonts w:asciiTheme="minorHAnsi" w:hAnsiTheme="minorHAnsi" w:cstheme="minorHAnsi"/>
        </w:rPr>
        <w:t>D</w:t>
      </w:r>
      <w:r w:rsidRPr="004B0CE7">
        <w:rPr>
          <w:rFonts w:asciiTheme="minorHAnsi" w:hAnsiTheme="minorHAnsi" w:cstheme="minorHAnsi"/>
        </w:rPr>
        <w:t>irector-</w:t>
      </w:r>
      <w:r w:rsidR="00A95DCC">
        <w:rPr>
          <w:rFonts w:asciiTheme="minorHAnsi" w:hAnsiTheme="minorHAnsi" w:cstheme="minorHAnsi"/>
        </w:rPr>
        <w:t>G</w:t>
      </w:r>
      <w:r w:rsidRPr="004B0CE7">
        <w:rPr>
          <w:rFonts w:asciiTheme="minorHAnsi" w:hAnsiTheme="minorHAnsi" w:cstheme="minorHAnsi"/>
        </w:rPr>
        <w:t>eneral to cancel a permit if the detainee breaches a condition of the permit or the leave is no longer needed for the purpose for which the permit was granted.</w:t>
      </w:r>
    </w:p>
    <w:p w14:paraId="3CC19785" w14:textId="431B6307" w:rsidR="004B0CE7" w:rsidRPr="00D4690B" w:rsidRDefault="004B0CE7" w:rsidP="004B0CE7">
      <w:pPr>
        <w:pStyle w:val="Heading1"/>
        <w:rPr>
          <w:rFonts w:asciiTheme="minorHAnsi" w:hAnsiTheme="minorHAnsi" w:cstheme="minorHAnsi"/>
          <w:sz w:val="24"/>
          <w:szCs w:val="24"/>
          <w:lang w:eastAsia="en-AU"/>
        </w:rPr>
      </w:pPr>
      <w:bookmarkStart w:id="30" w:name="_Toc79498185"/>
      <w:r w:rsidRPr="00D4690B">
        <w:rPr>
          <w:rFonts w:asciiTheme="minorHAnsi" w:hAnsiTheme="minorHAnsi" w:cstheme="minorHAnsi"/>
          <w:sz w:val="24"/>
          <w:szCs w:val="24"/>
          <w:lang w:eastAsia="en-AU"/>
        </w:rPr>
        <w:lastRenderedPageBreak/>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E93D04">
        <w:rPr>
          <w:rFonts w:asciiTheme="minorHAnsi" w:hAnsiTheme="minorHAnsi" w:cstheme="minorHAnsi"/>
          <w:noProof/>
          <w:sz w:val="24"/>
          <w:szCs w:val="24"/>
          <w:lang w:eastAsia="en-AU"/>
        </w:rPr>
        <w:t>5</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Crimes Act 1900</w:t>
      </w:r>
      <w:bookmarkEnd w:id="30"/>
    </w:p>
    <w:p w14:paraId="75F62B93" w14:textId="54E79305" w:rsidR="00AF0D54" w:rsidRPr="00D4690B" w:rsidRDefault="00AF0D54" w:rsidP="00AF0D54">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11</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E47746">
        <w:rPr>
          <w:rFonts w:asciiTheme="minorHAnsi" w:hAnsiTheme="minorHAnsi" w:cstheme="minorHAnsi"/>
          <w:lang w:eastAsia="en-AU"/>
        </w:rPr>
        <w:t>Section 194A heading</w:t>
      </w:r>
    </w:p>
    <w:p w14:paraId="7FF2A4BA" w14:textId="7AF85AF8" w:rsidR="00AF0D54" w:rsidRPr="00E47746" w:rsidRDefault="00E47746" w:rsidP="002E3A1A">
      <w:pPr>
        <w:spacing w:before="240" w:after="120"/>
        <w:rPr>
          <w:rFonts w:asciiTheme="minorHAnsi" w:hAnsiTheme="minorHAnsi" w:cstheme="minorHAnsi"/>
          <w:b/>
          <w:lang w:eastAsia="en-AU"/>
        </w:rPr>
      </w:pPr>
      <w:r w:rsidRPr="00E47746">
        <w:rPr>
          <w:rFonts w:asciiTheme="minorHAnsi" w:hAnsiTheme="minorHAnsi" w:cstheme="minorHAnsi"/>
        </w:rPr>
        <w:t>This clause replaces the existing heading with ‘Electronic versions of affidavits and warrants’ to better describe the section.</w:t>
      </w:r>
    </w:p>
    <w:p w14:paraId="1A4D8E4F" w14:textId="31A5AAB8" w:rsidR="00AF0D54" w:rsidRPr="00D4690B" w:rsidRDefault="00AF0D54" w:rsidP="00AF0D54">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12</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E47746">
        <w:rPr>
          <w:rFonts w:asciiTheme="minorHAnsi" w:hAnsiTheme="minorHAnsi" w:cstheme="minorHAnsi"/>
          <w:lang w:eastAsia="en-AU"/>
        </w:rPr>
        <w:t>Section 194A (1), (6) and (7)</w:t>
      </w:r>
    </w:p>
    <w:p w14:paraId="2C593681" w14:textId="3B198ED4" w:rsidR="00AF0D54" w:rsidRPr="00E47746" w:rsidRDefault="00E47746" w:rsidP="002E3A1A">
      <w:pPr>
        <w:spacing w:before="240" w:after="120"/>
        <w:rPr>
          <w:rFonts w:asciiTheme="minorHAnsi" w:hAnsiTheme="minorHAnsi" w:cstheme="minorHAnsi"/>
          <w:b/>
          <w:lang w:eastAsia="en-AU"/>
        </w:rPr>
      </w:pPr>
      <w:r w:rsidRPr="00E47746">
        <w:rPr>
          <w:rFonts w:asciiTheme="minorHAnsi" w:hAnsiTheme="minorHAnsi" w:cstheme="minorHAnsi"/>
        </w:rPr>
        <w:t>This clause omits subsection (1) which limits the application of the section to when a COVID-19 emergency is in force, subsection (6) which defines a ‘COVID-19 emergency’ and subsection (7) which provides for the automatic expiry of the section.</w:t>
      </w:r>
    </w:p>
    <w:p w14:paraId="3387DA95" w14:textId="10A381E4" w:rsidR="00E47746" w:rsidRPr="00D4690B" w:rsidRDefault="00E47746" w:rsidP="00E47746">
      <w:pPr>
        <w:pStyle w:val="Heading1"/>
        <w:rPr>
          <w:rFonts w:asciiTheme="minorHAnsi" w:hAnsiTheme="minorHAnsi" w:cstheme="minorHAnsi"/>
          <w:sz w:val="24"/>
          <w:szCs w:val="24"/>
          <w:lang w:eastAsia="en-AU"/>
        </w:rPr>
      </w:pPr>
      <w:bookmarkStart w:id="31" w:name="_Toc79498186"/>
      <w:r w:rsidRPr="00D4690B">
        <w:rPr>
          <w:rFonts w:asciiTheme="minorHAnsi" w:hAnsiTheme="minorHAnsi" w:cstheme="minorHAnsi"/>
          <w:sz w:val="24"/>
          <w:szCs w:val="24"/>
          <w:lang w:eastAsia="en-AU"/>
        </w:rPr>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53434E">
        <w:rPr>
          <w:rFonts w:asciiTheme="minorHAnsi" w:hAnsiTheme="minorHAnsi" w:cstheme="minorHAnsi"/>
          <w:noProof/>
          <w:sz w:val="24"/>
          <w:szCs w:val="24"/>
          <w:lang w:eastAsia="en-AU"/>
        </w:rPr>
        <w:t>6</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Crimes (Sentencing) Act 2005</w:t>
      </w:r>
      <w:bookmarkEnd w:id="31"/>
    </w:p>
    <w:p w14:paraId="758CC97A" w14:textId="75D8AF32" w:rsidR="00AF0D54" w:rsidRPr="00D4690B" w:rsidRDefault="00AF0D54" w:rsidP="00AF0D54">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13</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E47746">
        <w:rPr>
          <w:rFonts w:asciiTheme="minorHAnsi" w:hAnsiTheme="minorHAnsi" w:cstheme="minorHAnsi"/>
          <w:lang w:eastAsia="en-AU"/>
        </w:rPr>
        <w:t xml:space="preserve">Good behaviour orders </w:t>
      </w:r>
      <w:r w:rsidR="0053434E" w:rsidRPr="00D4690B">
        <w:rPr>
          <w:rFonts w:asciiTheme="minorHAnsi" w:hAnsiTheme="minorHAnsi" w:cstheme="minorHAnsi"/>
          <w:lang w:eastAsia="en-AU"/>
        </w:rPr>
        <w:t>–</w:t>
      </w:r>
      <w:r w:rsidR="0053434E">
        <w:rPr>
          <w:rFonts w:asciiTheme="minorHAnsi" w:hAnsiTheme="minorHAnsi" w:cstheme="minorHAnsi"/>
          <w:lang w:eastAsia="en-AU"/>
        </w:rPr>
        <w:t xml:space="preserve"> </w:t>
      </w:r>
      <w:r w:rsidR="00E47746">
        <w:rPr>
          <w:rFonts w:asciiTheme="minorHAnsi" w:hAnsiTheme="minorHAnsi" w:cstheme="minorHAnsi"/>
          <w:lang w:eastAsia="en-AU"/>
        </w:rPr>
        <w:t>Section 13 (2)</w:t>
      </w:r>
    </w:p>
    <w:p w14:paraId="351A4CA0" w14:textId="78AB530E" w:rsidR="00AF0D54" w:rsidRPr="00E47746" w:rsidRDefault="00E47746" w:rsidP="002E3A1A">
      <w:pPr>
        <w:spacing w:before="240" w:after="120"/>
        <w:rPr>
          <w:rFonts w:asciiTheme="minorHAnsi" w:hAnsiTheme="minorHAnsi" w:cstheme="minorHAnsi"/>
          <w:b/>
          <w:lang w:eastAsia="en-AU"/>
        </w:rPr>
      </w:pPr>
      <w:r w:rsidRPr="00E47746">
        <w:rPr>
          <w:rFonts w:asciiTheme="minorHAnsi" w:hAnsiTheme="minorHAnsi" w:cstheme="minorHAnsi"/>
        </w:rPr>
        <w:t xml:space="preserve">This clause inserts ‘or give’ into </w:t>
      </w:r>
      <w:r w:rsidR="00E73DA5">
        <w:rPr>
          <w:rFonts w:asciiTheme="minorHAnsi" w:hAnsiTheme="minorHAnsi" w:cstheme="minorHAnsi"/>
        </w:rPr>
        <w:t>sub</w:t>
      </w:r>
      <w:r w:rsidRPr="00E47746">
        <w:rPr>
          <w:rFonts w:asciiTheme="minorHAnsi" w:hAnsiTheme="minorHAnsi" w:cstheme="minorHAnsi"/>
        </w:rPr>
        <w:t>section 13 (2) in order to clarify that the court may require an undertaking to either be signed or given.</w:t>
      </w:r>
    </w:p>
    <w:p w14:paraId="4CFA60FA" w14:textId="087366A6" w:rsidR="00AF0D54" w:rsidRPr="00D4690B" w:rsidRDefault="00AF0D54" w:rsidP="00AF0D54">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14</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E47746">
        <w:rPr>
          <w:rFonts w:asciiTheme="minorHAnsi" w:hAnsiTheme="minorHAnsi" w:cstheme="minorHAnsi"/>
          <w:lang w:eastAsia="en-AU"/>
        </w:rPr>
        <w:t>Section 13 (2A)</w:t>
      </w:r>
    </w:p>
    <w:p w14:paraId="3C674245" w14:textId="2134B0BB" w:rsidR="00AF0D54" w:rsidRPr="00E47746" w:rsidRDefault="00E47746" w:rsidP="002E3A1A">
      <w:pPr>
        <w:spacing w:before="240" w:after="120"/>
        <w:rPr>
          <w:rFonts w:asciiTheme="minorHAnsi" w:hAnsiTheme="minorHAnsi" w:cstheme="minorHAnsi"/>
          <w:b/>
          <w:lang w:eastAsia="en-AU"/>
        </w:rPr>
      </w:pPr>
      <w:r w:rsidRPr="00E47746">
        <w:rPr>
          <w:rFonts w:asciiTheme="minorHAnsi" w:hAnsiTheme="minorHAnsi" w:cstheme="minorHAnsi"/>
        </w:rPr>
        <w:t xml:space="preserve">This clause removes the reference to a COVID-19 emergency from </w:t>
      </w:r>
      <w:r w:rsidR="00A7040F">
        <w:rPr>
          <w:rFonts w:asciiTheme="minorHAnsi" w:hAnsiTheme="minorHAnsi" w:cstheme="minorHAnsi"/>
        </w:rPr>
        <w:t>sub</w:t>
      </w:r>
      <w:r w:rsidRPr="00E47746">
        <w:rPr>
          <w:rFonts w:asciiTheme="minorHAnsi" w:hAnsiTheme="minorHAnsi" w:cstheme="minorHAnsi"/>
        </w:rPr>
        <w:t>section 13 (2A) in order to allow the provision to operate on a permanent basis.</w:t>
      </w:r>
    </w:p>
    <w:p w14:paraId="606616AC" w14:textId="11202D73" w:rsidR="00AF0D54" w:rsidRPr="00D4690B" w:rsidRDefault="00AF0D54" w:rsidP="00AF0D54">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15</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E47746">
        <w:rPr>
          <w:rFonts w:asciiTheme="minorHAnsi" w:hAnsiTheme="minorHAnsi" w:cstheme="minorHAnsi"/>
          <w:lang w:eastAsia="en-AU"/>
        </w:rPr>
        <w:t>Section 13 (9) and (10)</w:t>
      </w:r>
    </w:p>
    <w:p w14:paraId="4780BADF" w14:textId="7763F5F0" w:rsidR="00AF0D54" w:rsidRPr="00E47746" w:rsidRDefault="0053434E" w:rsidP="002E3A1A">
      <w:pPr>
        <w:spacing w:before="240" w:after="120"/>
        <w:rPr>
          <w:rFonts w:asciiTheme="minorHAnsi" w:hAnsiTheme="minorHAnsi" w:cstheme="minorHAnsi"/>
          <w:b/>
          <w:lang w:eastAsia="en-AU"/>
        </w:rPr>
      </w:pPr>
      <w:r w:rsidRPr="004B0CE7">
        <w:rPr>
          <w:rFonts w:asciiTheme="minorHAnsi" w:hAnsiTheme="minorHAnsi" w:cstheme="minorHAnsi"/>
        </w:rPr>
        <w:t xml:space="preserve">This clause removes </w:t>
      </w:r>
      <w:r>
        <w:rPr>
          <w:rFonts w:asciiTheme="minorHAnsi" w:hAnsiTheme="minorHAnsi" w:cstheme="minorHAnsi"/>
        </w:rPr>
        <w:t>sub</w:t>
      </w:r>
      <w:r w:rsidRPr="004B0CE7">
        <w:rPr>
          <w:rFonts w:asciiTheme="minorHAnsi" w:hAnsiTheme="minorHAnsi" w:cstheme="minorHAnsi"/>
        </w:rPr>
        <w:t xml:space="preserve">sections </w:t>
      </w:r>
      <w:r>
        <w:rPr>
          <w:rFonts w:asciiTheme="minorHAnsi" w:hAnsiTheme="minorHAnsi" w:cstheme="minorHAnsi"/>
        </w:rPr>
        <w:t xml:space="preserve">13 (9) and (10) </w:t>
      </w:r>
      <w:r w:rsidRPr="004B0CE7">
        <w:rPr>
          <w:rFonts w:asciiTheme="minorHAnsi" w:hAnsiTheme="minorHAnsi" w:cstheme="minorHAnsi"/>
        </w:rPr>
        <w:t xml:space="preserve">to allow for the ongoing operation of section </w:t>
      </w:r>
      <w:r w:rsidR="00A7040F">
        <w:rPr>
          <w:rFonts w:asciiTheme="minorHAnsi" w:hAnsiTheme="minorHAnsi" w:cstheme="minorHAnsi"/>
        </w:rPr>
        <w:t>13</w:t>
      </w:r>
      <w:r w:rsidRPr="004B0CE7">
        <w:rPr>
          <w:rFonts w:asciiTheme="minorHAnsi" w:hAnsiTheme="minorHAnsi" w:cstheme="minorHAnsi"/>
        </w:rPr>
        <w:t xml:space="preserve"> (2A).</w:t>
      </w:r>
    </w:p>
    <w:p w14:paraId="308DD68D" w14:textId="1561C0B3" w:rsidR="00AF0D54" w:rsidRPr="00D4690B" w:rsidRDefault="00AF0D54" w:rsidP="00AF0D54">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008E4B06" w:rsidRPr="00D4690B">
        <w:rPr>
          <w:rFonts w:asciiTheme="minorHAnsi" w:hAnsiTheme="minorHAnsi" w:cstheme="minorHAnsi"/>
        </w:rPr>
        <w:fldChar w:fldCharType="begin"/>
      </w:r>
      <w:r w:rsidR="008E4B06" w:rsidRPr="00D4690B">
        <w:rPr>
          <w:rFonts w:asciiTheme="minorHAnsi" w:hAnsiTheme="minorHAnsi" w:cstheme="minorHAnsi"/>
        </w:rPr>
        <w:instrText xml:space="preserve"> SEQ Clause \* ARABIC </w:instrText>
      </w:r>
      <w:r w:rsidR="008E4B06" w:rsidRPr="00D4690B">
        <w:rPr>
          <w:rFonts w:asciiTheme="minorHAnsi" w:hAnsiTheme="minorHAnsi" w:cstheme="minorHAnsi"/>
        </w:rPr>
        <w:fldChar w:fldCharType="separate"/>
      </w:r>
      <w:r w:rsidR="00E93D04">
        <w:rPr>
          <w:rFonts w:asciiTheme="minorHAnsi" w:hAnsiTheme="minorHAnsi" w:cstheme="minorHAnsi"/>
          <w:noProof/>
        </w:rPr>
        <w:t>16</w:t>
      </w:r>
      <w:r w:rsidR="008E4B06"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sidR="00E47746">
        <w:rPr>
          <w:rFonts w:asciiTheme="minorHAnsi" w:hAnsiTheme="minorHAnsi" w:cstheme="minorHAnsi"/>
          <w:lang w:eastAsia="en-AU"/>
        </w:rPr>
        <w:t xml:space="preserve">Good behaviour–consequences of failure to sign undertaking </w:t>
      </w:r>
      <w:r w:rsidR="0053434E" w:rsidRPr="00D4690B">
        <w:rPr>
          <w:rFonts w:asciiTheme="minorHAnsi" w:hAnsiTheme="minorHAnsi" w:cstheme="minorHAnsi"/>
          <w:lang w:eastAsia="en-AU"/>
        </w:rPr>
        <w:t>–</w:t>
      </w:r>
      <w:r w:rsidR="0053434E">
        <w:rPr>
          <w:rFonts w:asciiTheme="minorHAnsi" w:hAnsiTheme="minorHAnsi" w:cstheme="minorHAnsi"/>
          <w:lang w:eastAsia="en-AU"/>
        </w:rPr>
        <w:t xml:space="preserve"> </w:t>
      </w:r>
      <w:r w:rsidR="00E47746">
        <w:rPr>
          <w:rFonts w:asciiTheme="minorHAnsi" w:hAnsiTheme="minorHAnsi" w:cstheme="minorHAnsi"/>
          <w:lang w:eastAsia="en-AU"/>
        </w:rPr>
        <w:t>Section 105</w:t>
      </w:r>
    </w:p>
    <w:p w14:paraId="3AD72A05" w14:textId="3A691F4B" w:rsidR="00A7040F" w:rsidRDefault="00E47746" w:rsidP="002E3A1A">
      <w:pPr>
        <w:spacing w:before="240" w:after="120"/>
        <w:rPr>
          <w:rFonts w:asciiTheme="minorHAnsi" w:hAnsiTheme="minorHAnsi" w:cstheme="minorHAnsi"/>
        </w:rPr>
      </w:pPr>
      <w:r w:rsidRPr="00E47746">
        <w:rPr>
          <w:rFonts w:asciiTheme="minorHAnsi" w:hAnsiTheme="minorHAnsi" w:cstheme="minorHAnsi"/>
        </w:rPr>
        <w:t>This clause amends section 105 (1) to add a reference to giving an undertaking to reflect that an undertaking may now be signed or given.</w:t>
      </w:r>
    </w:p>
    <w:p w14:paraId="71C24755" w14:textId="727E9F80" w:rsidR="00E47746" w:rsidRPr="00D4690B" w:rsidRDefault="00E47746" w:rsidP="00E47746">
      <w:pPr>
        <w:pStyle w:val="Heading1"/>
        <w:rPr>
          <w:rFonts w:asciiTheme="minorHAnsi" w:hAnsiTheme="minorHAnsi" w:cstheme="minorHAnsi"/>
          <w:sz w:val="24"/>
          <w:szCs w:val="24"/>
          <w:lang w:eastAsia="en-AU"/>
        </w:rPr>
      </w:pPr>
      <w:bookmarkStart w:id="32" w:name="_Toc79498187"/>
      <w:r w:rsidRPr="00D4690B">
        <w:rPr>
          <w:rFonts w:asciiTheme="minorHAnsi" w:hAnsiTheme="minorHAnsi" w:cstheme="minorHAnsi"/>
          <w:sz w:val="24"/>
          <w:szCs w:val="24"/>
          <w:lang w:eastAsia="en-AU"/>
        </w:rPr>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A7040F">
        <w:rPr>
          <w:rFonts w:asciiTheme="minorHAnsi" w:hAnsiTheme="minorHAnsi" w:cstheme="minorHAnsi"/>
          <w:noProof/>
          <w:sz w:val="24"/>
          <w:szCs w:val="24"/>
          <w:lang w:eastAsia="en-AU"/>
        </w:rPr>
        <w:t>7</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Drugs of Dependence Act 1989</w:t>
      </w:r>
      <w:bookmarkEnd w:id="32"/>
    </w:p>
    <w:p w14:paraId="45377413" w14:textId="13BDFCF4" w:rsidR="00E47746" w:rsidRPr="00D4690B" w:rsidRDefault="00E47746" w:rsidP="00E47746">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17</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187A heading</w:t>
      </w:r>
    </w:p>
    <w:p w14:paraId="7B6CE1D4" w14:textId="7F4EDDA2" w:rsidR="00E47746" w:rsidRPr="00E47746" w:rsidRDefault="00E47746" w:rsidP="002E3A1A">
      <w:pPr>
        <w:spacing w:before="240" w:after="120"/>
        <w:rPr>
          <w:rFonts w:asciiTheme="minorHAnsi" w:hAnsiTheme="minorHAnsi" w:cstheme="minorHAnsi"/>
          <w:b/>
          <w:lang w:eastAsia="en-AU"/>
        </w:rPr>
      </w:pPr>
      <w:r w:rsidRPr="00E47746">
        <w:rPr>
          <w:rFonts w:asciiTheme="minorHAnsi" w:hAnsiTheme="minorHAnsi" w:cstheme="minorHAnsi"/>
          <w:color w:val="000000"/>
        </w:rPr>
        <w:t>This clause replaces the existing heading with ‘Electronic versions of affidavits and warrants’ to better describe the section.</w:t>
      </w:r>
    </w:p>
    <w:p w14:paraId="5C1293A2" w14:textId="12AE8CBE" w:rsidR="00E47746" w:rsidRPr="00D4690B" w:rsidRDefault="00E47746" w:rsidP="00E47746">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18</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187A (1), (4) and (5)</w:t>
      </w:r>
    </w:p>
    <w:p w14:paraId="05BD4C0B" w14:textId="4B338022" w:rsidR="009B4EE5" w:rsidRDefault="00E47746" w:rsidP="002E3A1A">
      <w:pPr>
        <w:spacing w:before="240" w:after="120"/>
        <w:rPr>
          <w:rFonts w:asciiTheme="minorHAnsi" w:hAnsiTheme="minorHAnsi" w:cstheme="minorHAnsi"/>
        </w:rPr>
      </w:pPr>
      <w:r w:rsidRPr="00E47746">
        <w:rPr>
          <w:rFonts w:asciiTheme="minorHAnsi" w:hAnsiTheme="minorHAnsi" w:cstheme="minorHAnsi"/>
        </w:rPr>
        <w:lastRenderedPageBreak/>
        <w:t>This clause omits subsection (1) which limits the application of the section to when a COVID-19 emergency is in force, subsection (4) which defines a ‘COVID-19 emergency’ and subsection (5) which provides for the automatic expiry of the section.</w:t>
      </w:r>
    </w:p>
    <w:p w14:paraId="11C76887" w14:textId="77777777" w:rsidR="009B4EE5" w:rsidRDefault="009B4EE5">
      <w:pPr>
        <w:spacing w:after="0" w:line="240" w:lineRule="auto"/>
        <w:rPr>
          <w:rFonts w:asciiTheme="minorHAnsi" w:hAnsiTheme="minorHAnsi" w:cstheme="minorHAnsi"/>
        </w:rPr>
      </w:pPr>
      <w:r>
        <w:rPr>
          <w:rFonts w:asciiTheme="minorHAnsi" w:hAnsiTheme="minorHAnsi" w:cstheme="minorHAnsi"/>
        </w:rPr>
        <w:br w:type="page"/>
      </w:r>
    </w:p>
    <w:p w14:paraId="061EB924" w14:textId="0D657CA0" w:rsidR="00E47746" w:rsidRPr="00D4690B" w:rsidRDefault="00E47746" w:rsidP="00E47746">
      <w:pPr>
        <w:pStyle w:val="Heading1"/>
        <w:rPr>
          <w:rFonts w:asciiTheme="minorHAnsi" w:hAnsiTheme="minorHAnsi" w:cstheme="minorHAnsi"/>
          <w:sz w:val="24"/>
          <w:szCs w:val="24"/>
          <w:lang w:eastAsia="en-AU"/>
        </w:rPr>
      </w:pPr>
      <w:bookmarkStart w:id="33" w:name="_Toc79498188"/>
      <w:r w:rsidRPr="00D4690B">
        <w:rPr>
          <w:rFonts w:asciiTheme="minorHAnsi" w:hAnsiTheme="minorHAnsi" w:cstheme="minorHAnsi"/>
          <w:sz w:val="24"/>
          <w:szCs w:val="24"/>
          <w:lang w:eastAsia="en-AU"/>
        </w:rPr>
        <w:lastRenderedPageBreak/>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A7040F">
        <w:rPr>
          <w:rFonts w:asciiTheme="minorHAnsi" w:hAnsiTheme="minorHAnsi" w:cstheme="minorHAnsi"/>
          <w:noProof/>
          <w:sz w:val="24"/>
          <w:szCs w:val="24"/>
          <w:lang w:eastAsia="en-AU"/>
        </w:rPr>
        <w:t>8</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Human Rights Commission Act 2005</w:t>
      </w:r>
      <w:bookmarkEnd w:id="33"/>
    </w:p>
    <w:p w14:paraId="63B16049" w14:textId="1EC5CE66" w:rsidR="00E47746" w:rsidRPr="00D4690B" w:rsidRDefault="00E47746" w:rsidP="00E47746">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19</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Expiry–vulnerable person complaint provisions </w:t>
      </w:r>
      <w:r w:rsidR="00A7040F" w:rsidRPr="00D4690B">
        <w:rPr>
          <w:rFonts w:asciiTheme="minorHAnsi" w:hAnsiTheme="minorHAnsi" w:cstheme="minorHAnsi"/>
          <w:lang w:eastAsia="en-AU"/>
        </w:rPr>
        <w:t>–</w:t>
      </w:r>
      <w:r w:rsidR="00A7040F">
        <w:rPr>
          <w:rFonts w:asciiTheme="minorHAnsi" w:hAnsiTheme="minorHAnsi" w:cstheme="minorHAnsi"/>
          <w:lang w:eastAsia="en-AU"/>
        </w:rPr>
        <w:t xml:space="preserve"> </w:t>
      </w:r>
      <w:r>
        <w:rPr>
          <w:rFonts w:asciiTheme="minorHAnsi" w:hAnsiTheme="minorHAnsi" w:cstheme="minorHAnsi"/>
          <w:lang w:eastAsia="en-AU"/>
        </w:rPr>
        <w:t>Section 105B</w:t>
      </w:r>
    </w:p>
    <w:p w14:paraId="4FB6A6B6" w14:textId="7E62E8F3" w:rsidR="00E47746" w:rsidRPr="00870BD7" w:rsidRDefault="00870BD7" w:rsidP="002E3A1A">
      <w:pPr>
        <w:spacing w:before="240" w:after="120"/>
        <w:rPr>
          <w:rFonts w:asciiTheme="minorHAnsi" w:eastAsia="Times New Roman" w:hAnsiTheme="minorHAnsi" w:cstheme="minorHAnsi"/>
          <w:lang w:eastAsia="en-AU"/>
        </w:rPr>
      </w:pPr>
      <w:r w:rsidRPr="00870BD7">
        <w:rPr>
          <w:rFonts w:asciiTheme="minorHAnsi" w:eastAsia="Times New Roman" w:hAnsiTheme="minorHAnsi" w:cstheme="minorHAnsi"/>
          <w:lang w:eastAsia="en-AU"/>
        </w:rPr>
        <w:t>This clause omits section 105B of the Human Rights Commission Act and thereby makes permanent the changes introduced as a temporary measure during the COVID-19 emergency that permitted vulnerable older people or people with a disability, and their advocates, to seek the assistance of the Human Rights Commission to address situations of abuse, neglect and exploitation.</w:t>
      </w:r>
    </w:p>
    <w:p w14:paraId="0D0FC1CC" w14:textId="2EE97040" w:rsidR="00E47746" w:rsidRPr="00D4690B" w:rsidRDefault="00E47746" w:rsidP="00E47746">
      <w:pPr>
        <w:pStyle w:val="Heading1"/>
        <w:rPr>
          <w:rFonts w:asciiTheme="minorHAnsi" w:hAnsiTheme="minorHAnsi" w:cstheme="minorHAnsi"/>
          <w:sz w:val="24"/>
          <w:szCs w:val="24"/>
          <w:lang w:eastAsia="en-AU"/>
        </w:rPr>
      </w:pPr>
      <w:bookmarkStart w:id="34" w:name="_Toc79498189"/>
      <w:r w:rsidRPr="00D4690B">
        <w:rPr>
          <w:rFonts w:asciiTheme="minorHAnsi" w:hAnsiTheme="minorHAnsi" w:cstheme="minorHAnsi"/>
          <w:sz w:val="24"/>
          <w:szCs w:val="24"/>
          <w:lang w:eastAsia="en-AU"/>
        </w:rPr>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A7040F">
        <w:rPr>
          <w:rFonts w:asciiTheme="minorHAnsi" w:hAnsiTheme="minorHAnsi" w:cstheme="minorHAnsi"/>
          <w:noProof/>
          <w:sz w:val="24"/>
          <w:szCs w:val="24"/>
          <w:lang w:eastAsia="en-AU"/>
        </w:rPr>
        <w:t>9</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Public Trustee and Guardian Act 1985</w:t>
      </w:r>
      <w:bookmarkEnd w:id="34"/>
    </w:p>
    <w:p w14:paraId="308A6AAB" w14:textId="3E833546" w:rsidR="00E47746" w:rsidRDefault="00E47746" w:rsidP="00E47746">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20</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9A</w:t>
      </w:r>
    </w:p>
    <w:p w14:paraId="3315E956" w14:textId="4C84157A" w:rsidR="00E47746" w:rsidRPr="00E47746" w:rsidRDefault="00E47746" w:rsidP="002E3A1A">
      <w:pPr>
        <w:spacing w:before="240" w:after="120"/>
        <w:rPr>
          <w:rFonts w:asciiTheme="minorHAnsi" w:hAnsiTheme="minorHAnsi" w:cstheme="minorHAnsi"/>
          <w:sz w:val="22"/>
        </w:rPr>
      </w:pPr>
      <w:r w:rsidRPr="00E47746">
        <w:rPr>
          <w:rFonts w:asciiTheme="minorHAnsi" w:eastAsia="Times New Roman" w:hAnsiTheme="minorHAnsi" w:cstheme="minorHAnsi"/>
          <w:lang w:eastAsia="en-AU"/>
        </w:rPr>
        <w:t xml:space="preserve">This clause substitutes a revised section 9A of the Public Trustee and Guardian Act to </w:t>
      </w:r>
      <w:r w:rsidRPr="00E47746">
        <w:rPr>
          <w:rFonts w:asciiTheme="minorHAnsi" w:hAnsiTheme="minorHAnsi" w:cstheme="minorHAnsi"/>
        </w:rPr>
        <w:t>continue to expand the ability of the P</w:t>
      </w:r>
      <w:r>
        <w:rPr>
          <w:rFonts w:asciiTheme="minorHAnsi" w:hAnsiTheme="minorHAnsi" w:cstheme="minorHAnsi"/>
        </w:rPr>
        <w:t xml:space="preserve">ublic </w:t>
      </w:r>
      <w:r w:rsidRPr="00E47746">
        <w:rPr>
          <w:rFonts w:asciiTheme="minorHAnsi" w:hAnsiTheme="minorHAnsi" w:cstheme="minorHAnsi"/>
        </w:rPr>
        <w:t>T</w:t>
      </w:r>
      <w:r>
        <w:rPr>
          <w:rFonts w:asciiTheme="minorHAnsi" w:hAnsiTheme="minorHAnsi" w:cstheme="minorHAnsi"/>
        </w:rPr>
        <w:t xml:space="preserve">rustee and </w:t>
      </w:r>
      <w:r w:rsidRPr="00E47746">
        <w:rPr>
          <w:rFonts w:asciiTheme="minorHAnsi" w:hAnsiTheme="minorHAnsi" w:cstheme="minorHAnsi"/>
        </w:rPr>
        <w:t>G</w:t>
      </w:r>
      <w:r>
        <w:rPr>
          <w:rFonts w:asciiTheme="minorHAnsi" w:hAnsiTheme="minorHAnsi" w:cstheme="minorHAnsi"/>
        </w:rPr>
        <w:t>uardian</w:t>
      </w:r>
      <w:r w:rsidRPr="00E47746">
        <w:rPr>
          <w:rFonts w:asciiTheme="minorHAnsi" w:hAnsiTheme="minorHAnsi" w:cstheme="minorHAnsi"/>
        </w:rPr>
        <w:t xml:space="preserve"> to delegate their guardian and financial manager decision-making functions on an ongoing basis. The </w:t>
      </w:r>
      <w:r w:rsidRPr="00A7040F">
        <w:rPr>
          <w:rFonts w:asciiTheme="minorHAnsi" w:hAnsiTheme="minorHAnsi" w:cstheme="minorHAnsi"/>
        </w:rPr>
        <w:t xml:space="preserve">COVID-19 Emergency Response Legislation Amendment Act </w:t>
      </w:r>
      <w:r w:rsidR="004405B3">
        <w:rPr>
          <w:rFonts w:asciiTheme="minorHAnsi" w:hAnsiTheme="minorHAnsi" w:cstheme="minorHAnsi"/>
        </w:rPr>
        <w:t xml:space="preserve">initially </w:t>
      </w:r>
      <w:r w:rsidRPr="00E47746">
        <w:rPr>
          <w:rFonts w:asciiTheme="minorHAnsi" w:hAnsiTheme="minorHAnsi" w:cstheme="minorHAnsi"/>
        </w:rPr>
        <w:t xml:space="preserve">modified the restrictions under section 9A (2) to allow the </w:t>
      </w:r>
      <w:r w:rsidRPr="00E47746">
        <w:rPr>
          <w:rFonts w:asciiTheme="minorHAnsi" w:eastAsia="Times New Roman" w:hAnsiTheme="minorHAnsi" w:cstheme="minorHAnsi"/>
          <w:lang w:eastAsia="en-AU"/>
        </w:rPr>
        <w:t>Public Trustee and Guardian</w:t>
      </w:r>
      <w:r w:rsidRPr="00E47746">
        <w:rPr>
          <w:rFonts w:asciiTheme="minorHAnsi" w:hAnsiTheme="minorHAnsi" w:cstheme="minorHAnsi"/>
        </w:rPr>
        <w:t xml:space="preserve"> to delegate most guardianship functions to a staff member, excluding the ability to make a decision in relation to medical treatment involving treatment, care or support under the </w:t>
      </w:r>
      <w:r w:rsidRPr="00E47746">
        <w:rPr>
          <w:rFonts w:asciiTheme="minorHAnsi" w:hAnsiTheme="minorHAnsi" w:cstheme="minorHAnsi"/>
          <w:i/>
          <w:iCs/>
        </w:rPr>
        <w:t>Mental Health Act 2015</w:t>
      </w:r>
      <w:r w:rsidRPr="00E47746">
        <w:rPr>
          <w:rFonts w:asciiTheme="minorHAnsi" w:hAnsiTheme="minorHAnsi" w:cstheme="minorHAnsi"/>
        </w:rPr>
        <w:t xml:space="preserve">, buying, selling, realising or mortgaging real property, or granting a lease of real property, and borrowing money with or without security. </w:t>
      </w:r>
    </w:p>
    <w:p w14:paraId="0A534505" w14:textId="2AD3B4DF" w:rsidR="00E47746" w:rsidRPr="00E47746" w:rsidRDefault="00E47746" w:rsidP="002E3A1A">
      <w:pPr>
        <w:spacing w:before="240" w:after="120"/>
        <w:rPr>
          <w:rFonts w:asciiTheme="minorHAnsi" w:hAnsiTheme="minorHAnsi" w:cstheme="minorHAnsi"/>
          <w:lang w:eastAsia="en-AU"/>
        </w:rPr>
      </w:pPr>
      <w:r w:rsidRPr="00E47746">
        <w:rPr>
          <w:rFonts w:asciiTheme="minorHAnsi" w:hAnsiTheme="minorHAnsi" w:cstheme="minorHAnsi"/>
        </w:rPr>
        <w:t xml:space="preserve">This amendment will permanently adopt and expand this measure by allowing the </w:t>
      </w:r>
      <w:r w:rsidRPr="00E47746">
        <w:rPr>
          <w:rFonts w:asciiTheme="minorHAnsi" w:eastAsia="Times New Roman" w:hAnsiTheme="minorHAnsi" w:cstheme="minorHAnsi"/>
          <w:lang w:eastAsia="en-AU"/>
        </w:rPr>
        <w:t>Public Trustee and Guardian</w:t>
      </w:r>
      <w:r w:rsidRPr="00E47746">
        <w:rPr>
          <w:rFonts w:asciiTheme="minorHAnsi" w:hAnsiTheme="minorHAnsi" w:cstheme="minorHAnsi"/>
        </w:rPr>
        <w:t xml:space="preserve"> to delegate any of their functions under the </w:t>
      </w:r>
      <w:r w:rsidRPr="00E47746">
        <w:rPr>
          <w:rFonts w:asciiTheme="minorHAnsi" w:eastAsia="Times New Roman" w:hAnsiTheme="minorHAnsi" w:cstheme="minorHAnsi"/>
          <w:lang w:eastAsia="en-AU"/>
        </w:rPr>
        <w:t>Public Trustee and Guardian</w:t>
      </w:r>
      <w:r w:rsidRPr="00E47746">
        <w:rPr>
          <w:rFonts w:asciiTheme="minorHAnsi" w:hAnsiTheme="minorHAnsi" w:cstheme="minorHAnsi"/>
        </w:rPr>
        <w:t xml:space="preserve"> Act to a member of the </w:t>
      </w:r>
      <w:r w:rsidRPr="00E47746">
        <w:rPr>
          <w:rFonts w:asciiTheme="minorHAnsi" w:eastAsia="Times New Roman" w:hAnsiTheme="minorHAnsi" w:cstheme="minorHAnsi"/>
          <w:lang w:eastAsia="en-AU"/>
        </w:rPr>
        <w:t>Public Trustee and Guardian</w:t>
      </w:r>
      <w:r w:rsidRPr="00E47746">
        <w:rPr>
          <w:rFonts w:asciiTheme="minorHAnsi" w:hAnsiTheme="minorHAnsi" w:cstheme="minorHAnsi"/>
        </w:rPr>
        <w:t xml:space="preserve"> staff, provided they have regard to certain considerations in making the delegation. In making a delegation under the new section 9A, the </w:t>
      </w:r>
      <w:r w:rsidRPr="00E47746">
        <w:rPr>
          <w:rFonts w:asciiTheme="minorHAnsi" w:eastAsia="Times New Roman" w:hAnsiTheme="minorHAnsi" w:cstheme="minorHAnsi"/>
          <w:lang w:eastAsia="en-AU"/>
        </w:rPr>
        <w:t xml:space="preserve">Public Trustee and Guardian </w:t>
      </w:r>
      <w:r w:rsidRPr="00E47746">
        <w:rPr>
          <w:rFonts w:asciiTheme="minorHAnsi" w:hAnsiTheme="minorHAnsi" w:cstheme="minorHAnsi"/>
        </w:rPr>
        <w:t xml:space="preserve">must be satisfied that the delegated function is </w:t>
      </w:r>
      <w:r w:rsidR="004405B3">
        <w:rPr>
          <w:rFonts w:asciiTheme="minorHAnsi" w:hAnsiTheme="minorHAnsi" w:cstheme="minorHAnsi"/>
        </w:rPr>
        <w:t xml:space="preserve">of </w:t>
      </w:r>
      <w:r w:rsidRPr="00E47746">
        <w:rPr>
          <w:rFonts w:asciiTheme="minorHAnsi" w:hAnsiTheme="minorHAnsi" w:cstheme="minorHAnsi"/>
        </w:rPr>
        <w:t>a kind that is appropriate to be exercised by the staff member; the staff member has the qualifications, knowledge, experience appropriate for the delegated function to be properly exercised; the staff member will comply with the obligations outlined under section 4 of the</w:t>
      </w:r>
      <w:r w:rsidRPr="00E47746">
        <w:rPr>
          <w:rFonts w:asciiTheme="minorHAnsi" w:hAnsiTheme="minorHAnsi" w:cstheme="minorHAnsi"/>
          <w:i/>
          <w:iCs/>
        </w:rPr>
        <w:t xml:space="preserve"> Guardianship and Management of Property Act 1991</w:t>
      </w:r>
      <w:r w:rsidRPr="00E47746">
        <w:rPr>
          <w:rFonts w:asciiTheme="minorHAnsi" w:hAnsiTheme="minorHAnsi" w:cstheme="minorHAnsi"/>
        </w:rPr>
        <w:t xml:space="preserve"> when exercising the functions of the </w:t>
      </w:r>
      <w:r w:rsidRPr="00E47746">
        <w:rPr>
          <w:rFonts w:asciiTheme="minorHAnsi" w:eastAsia="Times New Roman" w:hAnsiTheme="minorHAnsi" w:cstheme="minorHAnsi"/>
          <w:lang w:eastAsia="en-AU"/>
        </w:rPr>
        <w:t>Public Trustee and Guardian</w:t>
      </w:r>
      <w:r w:rsidRPr="00E47746">
        <w:rPr>
          <w:rFonts w:asciiTheme="minorHAnsi" w:hAnsiTheme="minorHAnsi" w:cstheme="minorHAnsi"/>
        </w:rPr>
        <w:t xml:space="preserve"> under that Act; and the staff member will comply with the obligations of the </w:t>
      </w:r>
      <w:r w:rsidRPr="00E47746">
        <w:rPr>
          <w:rFonts w:asciiTheme="minorHAnsi" w:eastAsia="Times New Roman" w:hAnsiTheme="minorHAnsi" w:cstheme="minorHAnsi"/>
          <w:lang w:eastAsia="en-AU"/>
        </w:rPr>
        <w:t>Public Trustee and Guardian</w:t>
      </w:r>
      <w:r w:rsidRPr="00E47746">
        <w:rPr>
          <w:rFonts w:asciiTheme="minorHAnsi" w:hAnsiTheme="minorHAnsi" w:cstheme="minorHAnsi"/>
        </w:rPr>
        <w:t xml:space="preserve"> under the Human Rights Act</w:t>
      </w:r>
      <w:r w:rsidRPr="00E47746">
        <w:rPr>
          <w:rFonts w:asciiTheme="minorHAnsi" w:hAnsiTheme="minorHAnsi" w:cstheme="minorHAnsi"/>
          <w:i/>
          <w:iCs/>
        </w:rPr>
        <w:t>.</w:t>
      </w:r>
    </w:p>
    <w:p w14:paraId="57238F21" w14:textId="14814449" w:rsidR="0020158F" w:rsidRPr="00D4690B" w:rsidRDefault="0020158F" w:rsidP="0020158F">
      <w:pPr>
        <w:pStyle w:val="Heading1"/>
        <w:rPr>
          <w:rFonts w:asciiTheme="minorHAnsi" w:hAnsiTheme="minorHAnsi" w:cstheme="minorHAnsi"/>
          <w:sz w:val="24"/>
          <w:szCs w:val="24"/>
          <w:lang w:eastAsia="en-AU"/>
        </w:rPr>
      </w:pPr>
      <w:bookmarkStart w:id="35" w:name="_Toc79498190"/>
      <w:r w:rsidRPr="00D4690B">
        <w:rPr>
          <w:rFonts w:asciiTheme="minorHAnsi" w:hAnsiTheme="minorHAnsi" w:cstheme="minorHAnsi"/>
          <w:sz w:val="24"/>
          <w:szCs w:val="24"/>
          <w:lang w:eastAsia="en-AU"/>
        </w:rPr>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A7040F">
        <w:rPr>
          <w:rFonts w:asciiTheme="minorHAnsi" w:hAnsiTheme="minorHAnsi" w:cstheme="minorHAnsi"/>
          <w:noProof/>
          <w:sz w:val="24"/>
          <w:szCs w:val="24"/>
          <w:lang w:eastAsia="en-AU"/>
        </w:rPr>
        <w:t>10</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Retirement Villages Act 2012</w:t>
      </w:r>
      <w:bookmarkEnd w:id="35"/>
    </w:p>
    <w:p w14:paraId="0A36DC6D" w14:textId="05B11F83" w:rsidR="0020158F" w:rsidRDefault="0020158F" w:rsidP="0020158F">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21</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Meetings of residents–methods of communication </w:t>
      </w:r>
      <w:r w:rsidR="00A7040F" w:rsidRPr="00D4690B">
        <w:rPr>
          <w:rFonts w:asciiTheme="minorHAnsi" w:hAnsiTheme="minorHAnsi" w:cstheme="minorHAnsi"/>
          <w:lang w:eastAsia="en-AU"/>
        </w:rPr>
        <w:t>–</w:t>
      </w:r>
      <w:r w:rsidR="00A7040F">
        <w:rPr>
          <w:rFonts w:asciiTheme="minorHAnsi" w:hAnsiTheme="minorHAnsi" w:cstheme="minorHAnsi"/>
          <w:lang w:eastAsia="en-AU"/>
        </w:rPr>
        <w:t xml:space="preserve"> </w:t>
      </w:r>
      <w:r>
        <w:rPr>
          <w:rFonts w:asciiTheme="minorHAnsi" w:hAnsiTheme="minorHAnsi" w:cstheme="minorHAnsi"/>
          <w:lang w:eastAsia="en-AU"/>
        </w:rPr>
        <w:t>Section 112A (1)</w:t>
      </w:r>
    </w:p>
    <w:p w14:paraId="56270D28" w14:textId="045AD926" w:rsidR="0020158F" w:rsidRPr="0020158F" w:rsidRDefault="0020158F" w:rsidP="002E3A1A">
      <w:pPr>
        <w:spacing w:before="240" w:after="120"/>
        <w:rPr>
          <w:rFonts w:asciiTheme="minorHAnsi" w:hAnsiTheme="minorHAnsi" w:cstheme="minorHAnsi"/>
        </w:rPr>
      </w:pPr>
      <w:r w:rsidRPr="0020158F">
        <w:rPr>
          <w:rFonts w:asciiTheme="minorHAnsi" w:hAnsiTheme="minorHAnsi" w:cstheme="minorHAnsi"/>
        </w:rPr>
        <w:t xml:space="preserve">This provision was initially introduced in the </w:t>
      </w:r>
      <w:r w:rsidRPr="00A7040F">
        <w:rPr>
          <w:rFonts w:asciiTheme="minorHAnsi" w:hAnsiTheme="minorHAnsi" w:cstheme="minorHAnsi"/>
        </w:rPr>
        <w:t xml:space="preserve">COVID-19 Emergency Response Legislation Amendment Act </w:t>
      </w:r>
      <w:r w:rsidRPr="0020158F">
        <w:rPr>
          <w:rFonts w:asciiTheme="minorHAnsi" w:hAnsiTheme="minorHAnsi" w:cstheme="minorHAnsi"/>
        </w:rPr>
        <w:t xml:space="preserve">as a temporary measure to respond to the impacts of the COVID-19 pandemic by providing residents committees or, where a residents committee does not </w:t>
      </w:r>
      <w:r w:rsidRPr="0020158F">
        <w:rPr>
          <w:rFonts w:asciiTheme="minorHAnsi" w:hAnsiTheme="minorHAnsi" w:cstheme="minorHAnsi"/>
        </w:rPr>
        <w:lastRenderedPageBreak/>
        <w:t>exist, the residents of a retirement village, with the power to authorise a meeting be conducted via methods of communication other than in</w:t>
      </w:r>
      <w:r w:rsidR="00A7040F">
        <w:rPr>
          <w:rFonts w:asciiTheme="minorHAnsi" w:hAnsiTheme="minorHAnsi" w:cstheme="minorHAnsi"/>
        </w:rPr>
        <w:t>-</w:t>
      </w:r>
      <w:r w:rsidRPr="0020158F">
        <w:rPr>
          <w:rFonts w:asciiTheme="minorHAnsi" w:hAnsiTheme="minorHAnsi" w:cstheme="minorHAnsi"/>
        </w:rPr>
        <w:t xml:space="preserve">person.  </w:t>
      </w:r>
    </w:p>
    <w:p w14:paraId="6A11D200" w14:textId="2C4947D8" w:rsidR="0020158F" w:rsidRPr="0020158F" w:rsidRDefault="0020158F" w:rsidP="002E3A1A">
      <w:pPr>
        <w:spacing w:before="240" w:after="120"/>
        <w:rPr>
          <w:rFonts w:asciiTheme="minorHAnsi" w:hAnsiTheme="minorHAnsi" w:cstheme="minorHAnsi"/>
        </w:rPr>
      </w:pPr>
      <w:r w:rsidRPr="0020158F">
        <w:rPr>
          <w:rFonts w:asciiTheme="minorHAnsi" w:hAnsiTheme="minorHAnsi" w:cstheme="minorHAnsi"/>
        </w:rPr>
        <w:t xml:space="preserve">This clause removes the requirement that the power only be utilised during a COVID-19 emergency and permits residents committees or residents of a retirement village to authorise a meeting be conducted using alternative methods of communication at any time deemed necessary.  </w:t>
      </w:r>
    </w:p>
    <w:p w14:paraId="025D887B" w14:textId="7547A539" w:rsidR="008B40CE" w:rsidRPr="0020158F" w:rsidRDefault="0020158F" w:rsidP="002E3A1A">
      <w:pPr>
        <w:spacing w:before="240" w:after="120"/>
        <w:rPr>
          <w:rFonts w:asciiTheme="minorHAnsi" w:hAnsiTheme="minorHAnsi" w:cstheme="minorHAnsi"/>
          <w:szCs w:val="24"/>
          <w:lang w:eastAsia="en-AU"/>
        </w:rPr>
      </w:pPr>
      <w:r w:rsidRPr="0020158F">
        <w:rPr>
          <w:rFonts w:asciiTheme="minorHAnsi" w:hAnsiTheme="minorHAnsi" w:cstheme="minorHAnsi"/>
        </w:rPr>
        <w:t>The perm</w:t>
      </w:r>
      <w:r w:rsidR="00A7040F">
        <w:rPr>
          <w:rFonts w:asciiTheme="minorHAnsi" w:hAnsiTheme="minorHAnsi" w:cstheme="minorHAnsi"/>
        </w:rPr>
        <w:t>ane</w:t>
      </w:r>
      <w:r w:rsidRPr="0020158F">
        <w:rPr>
          <w:rFonts w:asciiTheme="minorHAnsi" w:hAnsiTheme="minorHAnsi" w:cstheme="minorHAnsi"/>
        </w:rPr>
        <w:t>nt adoption of this measure supports improved operational efficiency and flexibility. It will also ensure that the health and safety of retirement village residents, who represent some of the most vulnerable members of the ACT community in terms of health outcomes, can be maintained as needed while also preserving their right to have their opinion heard and considered.</w:t>
      </w:r>
    </w:p>
    <w:p w14:paraId="2D727F9A" w14:textId="33685D84" w:rsidR="0020158F" w:rsidRDefault="0020158F" w:rsidP="0020158F">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22</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Meetings of operators–methods of communication </w:t>
      </w:r>
      <w:r w:rsidR="00523BF9" w:rsidRPr="00D4690B">
        <w:rPr>
          <w:rFonts w:asciiTheme="minorHAnsi" w:hAnsiTheme="minorHAnsi" w:cstheme="minorHAnsi"/>
          <w:lang w:eastAsia="en-AU"/>
        </w:rPr>
        <w:t>–</w:t>
      </w:r>
      <w:r w:rsidR="00523BF9">
        <w:rPr>
          <w:rFonts w:asciiTheme="minorHAnsi" w:hAnsiTheme="minorHAnsi" w:cstheme="minorHAnsi"/>
          <w:lang w:eastAsia="en-AU"/>
        </w:rPr>
        <w:t xml:space="preserve"> </w:t>
      </w:r>
      <w:r>
        <w:rPr>
          <w:rFonts w:asciiTheme="minorHAnsi" w:hAnsiTheme="minorHAnsi" w:cstheme="minorHAnsi"/>
          <w:lang w:eastAsia="en-AU"/>
        </w:rPr>
        <w:t>Section 261A (1)</w:t>
      </w:r>
    </w:p>
    <w:p w14:paraId="1BB7E80D" w14:textId="393117BA" w:rsidR="0020158F" w:rsidRPr="0020158F" w:rsidRDefault="0020158F" w:rsidP="002E3A1A">
      <w:pPr>
        <w:spacing w:before="240" w:after="120"/>
        <w:rPr>
          <w:rFonts w:asciiTheme="minorHAnsi" w:hAnsiTheme="minorHAnsi" w:cstheme="minorHAnsi"/>
        </w:rPr>
      </w:pPr>
      <w:r w:rsidRPr="0020158F">
        <w:rPr>
          <w:rFonts w:asciiTheme="minorHAnsi" w:hAnsiTheme="minorHAnsi" w:cstheme="minorHAnsi"/>
        </w:rPr>
        <w:t xml:space="preserve">This provision was initially introduced in the </w:t>
      </w:r>
      <w:r w:rsidRPr="00523BF9">
        <w:rPr>
          <w:rFonts w:asciiTheme="minorHAnsi" w:hAnsiTheme="minorHAnsi" w:cstheme="minorHAnsi"/>
        </w:rPr>
        <w:t>COVID-19 Emergency Response Legislation Amendment Act</w:t>
      </w:r>
      <w:r w:rsidRPr="0020158F">
        <w:rPr>
          <w:rFonts w:asciiTheme="minorHAnsi" w:hAnsiTheme="minorHAnsi" w:cstheme="minorHAnsi"/>
        </w:rPr>
        <w:t xml:space="preserve"> as a temporary measure to respond to the impacts of the COVID-19 pandemic by providing that when an operator calls for a meeting under the Act, these meetings may be held via methods of communication other than in</w:t>
      </w:r>
      <w:r w:rsidR="00523BF9">
        <w:rPr>
          <w:rFonts w:asciiTheme="minorHAnsi" w:hAnsiTheme="minorHAnsi" w:cstheme="minorHAnsi"/>
        </w:rPr>
        <w:t>-</w:t>
      </w:r>
      <w:r w:rsidRPr="0020158F">
        <w:rPr>
          <w:rFonts w:asciiTheme="minorHAnsi" w:hAnsiTheme="minorHAnsi" w:cstheme="minorHAnsi"/>
        </w:rPr>
        <w:t xml:space="preserve">person. </w:t>
      </w:r>
    </w:p>
    <w:p w14:paraId="3E3C2640" w14:textId="2B68153C" w:rsidR="0020158F" w:rsidRPr="0020158F" w:rsidRDefault="0020158F" w:rsidP="002E3A1A">
      <w:pPr>
        <w:spacing w:before="240" w:after="120"/>
        <w:rPr>
          <w:rFonts w:asciiTheme="minorHAnsi" w:hAnsiTheme="minorHAnsi" w:cstheme="minorHAnsi"/>
        </w:rPr>
      </w:pPr>
      <w:r w:rsidRPr="0020158F">
        <w:rPr>
          <w:rFonts w:asciiTheme="minorHAnsi" w:hAnsiTheme="minorHAnsi" w:cstheme="minorHAnsi"/>
        </w:rPr>
        <w:t xml:space="preserve">This clause removes the restriction that this power may only be used during COVID-19 emergency period and permits operators to conduct meetings using alternative methods of communication at any time deemed necessary. Should this power be enlivened, operators are obliged to ensure each resident has access to appropriate facilities and is able to use the relevant facilities to take part in the meeting. </w:t>
      </w:r>
    </w:p>
    <w:p w14:paraId="59497D0C" w14:textId="7C2EA6BC" w:rsidR="008B40CE" w:rsidRPr="0020158F" w:rsidRDefault="0020158F" w:rsidP="002E3A1A">
      <w:pPr>
        <w:spacing w:before="240" w:after="120"/>
        <w:rPr>
          <w:rFonts w:asciiTheme="minorHAnsi" w:hAnsiTheme="minorHAnsi" w:cstheme="minorHAnsi"/>
          <w:szCs w:val="24"/>
          <w:lang w:eastAsia="en-AU"/>
        </w:rPr>
      </w:pPr>
      <w:r w:rsidRPr="0020158F">
        <w:rPr>
          <w:rFonts w:asciiTheme="minorHAnsi" w:hAnsiTheme="minorHAnsi" w:cstheme="minorHAnsi"/>
        </w:rPr>
        <w:t>The perm</w:t>
      </w:r>
      <w:r w:rsidR="00523BF9">
        <w:rPr>
          <w:rFonts w:asciiTheme="minorHAnsi" w:hAnsiTheme="minorHAnsi" w:cstheme="minorHAnsi"/>
        </w:rPr>
        <w:t>anen</w:t>
      </w:r>
      <w:r w:rsidRPr="0020158F">
        <w:rPr>
          <w:rFonts w:asciiTheme="minorHAnsi" w:hAnsiTheme="minorHAnsi" w:cstheme="minorHAnsi"/>
        </w:rPr>
        <w:t>t adoption of the measure supports improved operational efficiency and flexibility. It will also ensure that the health and safety of retirement village residents can be maintained as needed while also preserving their right to have their opinion and heard and considered.</w:t>
      </w:r>
    </w:p>
    <w:p w14:paraId="12CEF652" w14:textId="5D0903C4" w:rsidR="0020158F" w:rsidRDefault="0020158F" w:rsidP="0020158F">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23</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Expiry–COVID-19 Emergency Response Act 2020 amendments </w:t>
      </w:r>
      <w:r w:rsidR="00523BF9" w:rsidRPr="00D4690B">
        <w:rPr>
          <w:rFonts w:asciiTheme="minorHAnsi" w:hAnsiTheme="minorHAnsi" w:cstheme="minorHAnsi"/>
          <w:lang w:eastAsia="en-AU"/>
        </w:rPr>
        <w:t>–</w:t>
      </w:r>
      <w:r w:rsidR="00523BF9">
        <w:rPr>
          <w:rFonts w:asciiTheme="minorHAnsi" w:hAnsiTheme="minorHAnsi" w:cstheme="minorHAnsi"/>
          <w:lang w:eastAsia="en-AU"/>
        </w:rPr>
        <w:t xml:space="preserve"> </w:t>
      </w:r>
      <w:r>
        <w:rPr>
          <w:rFonts w:asciiTheme="minorHAnsi" w:hAnsiTheme="minorHAnsi" w:cstheme="minorHAnsi"/>
          <w:lang w:eastAsia="en-AU"/>
        </w:rPr>
        <w:t>Section 265 (2) (b) and (d)</w:t>
      </w:r>
    </w:p>
    <w:p w14:paraId="4F671D6C" w14:textId="02ADB91B" w:rsidR="009B4EE5" w:rsidRDefault="0020158F" w:rsidP="002E3A1A">
      <w:pPr>
        <w:spacing w:before="240" w:after="120"/>
        <w:rPr>
          <w:rFonts w:asciiTheme="minorHAnsi" w:hAnsiTheme="minorHAnsi" w:cstheme="minorHAnsi"/>
        </w:rPr>
      </w:pPr>
      <w:r w:rsidRPr="0020158F">
        <w:rPr>
          <w:rFonts w:asciiTheme="minorHAnsi" w:hAnsiTheme="minorHAnsi" w:cstheme="minorHAnsi"/>
        </w:rPr>
        <w:t xml:space="preserve">This clause is consequential to the amendments to section 112A and section 261A in clauses 21 and 22. By making the amendments to section 112A and section 261A of the </w:t>
      </w:r>
      <w:r w:rsidRPr="00523BF9">
        <w:rPr>
          <w:rFonts w:asciiTheme="minorHAnsi" w:hAnsiTheme="minorHAnsi" w:cstheme="minorHAnsi"/>
        </w:rPr>
        <w:t xml:space="preserve">Retirement Villages Act </w:t>
      </w:r>
      <w:r w:rsidRPr="0020158F">
        <w:rPr>
          <w:rFonts w:asciiTheme="minorHAnsi" w:hAnsiTheme="minorHAnsi" w:cstheme="minorHAnsi"/>
        </w:rPr>
        <w:t xml:space="preserve">permanent, this expiry provision is no longer required. </w:t>
      </w:r>
    </w:p>
    <w:p w14:paraId="5DA2F170" w14:textId="77777777" w:rsidR="009B4EE5" w:rsidRDefault="009B4EE5">
      <w:pPr>
        <w:spacing w:after="0" w:line="240" w:lineRule="auto"/>
        <w:rPr>
          <w:rFonts w:asciiTheme="minorHAnsi" w:hAnsiTheme="minorHAnsi" w:cstheme="minorHAnsi"/>
        </w:rPr>
      </w:pPr>
      <w:r>
        <w:rPr>
          <w:rFonts w:asciiTheme="minorHAnsi" w:hAnsiTheme="minorHAnsi" w:cstheme="minorHAnsi"/>
        </w:rPr>
        <w:br w:type="page"/>
      </w:r>
    </w:p>
    <w:p w14:paraId="68024977" w14:textId="6A8DF77E" w:rsidR="001428EA" w:rsidRPr="00D4690B" w:rsidRDefault="001428EA" w:rsidP="001428EA">
      <w:pPr>
        <w:pStyle w:val="Heading1"/>
        <w:rPr>
          <w:rFonts w:asciiTheme="minorHAnsi" w:hAnsiTheme="minorHAnsi" w:cstheme="minorHAnsi"/>
          <w:sz w:val="24"/>
          <w:szCs w:val="24"/>
          <w:lang w:eastAsia="en-AU"/>
        </w:rPr>
      </w:pPr>
      <w:bookmarkStart w:id="36" w:name="_Toc79498191"/>
      <w:r w:rsidRPr="00D4690B">
        <w:rPr>
          <w:rFonts w:asciiTheme="minorHAnsi" w:hAnsiTheme="minorHAnsi" w:cstheme="minorHAnsi"/>
          <w:sz w:val="24"/>
          <w:szCs w:val="24"/>
          <w:lang w:eastAsia="en-AU"/>
        </w:rPr>
        <w:lastRenderedPageBreak/>
        <w:t xml:space="preserve">Part </w:t>
      </w:r>
      <w:r w:rsidRPr="00D4690B">
        <w:rPr>
          <w:rFonts w:asciiTheme="minorHAnsi" w:hAnsiTheme="minorHAnsi" w:cstheme="minorHAnsi"/>
          <w:sz w:val="24"/>
          <w:szCs w:val="24"/>
          <w:lang w:eastAsia="en-AU"/>
        </w:rPr>
        <w:fldChar w:fldCharType="begin"/>
      </w:r>
      <w:r w:rsidRPr="00D4690B">
        <w:rPr>
          <w:rFonts w:asciiTheme="minorHAnsi" w:hAnsiTheme="minorHAnsi" w:cstheme="minorHAnsi"/>
          <w:sz w:val="24"/>
          <w:szCs w:val="24"/>
          <w:lang w:eastAsia="en-AU"/>
        </w:rPr>
        <w:instrText xml:space="preserve"> SEQ Part \* ARABIC </w:instrText>
      </w:r>
      <w:r w:rsidRPr="00D4690B">
        <w:rPr>
          <w:rFonts w:asciiTheme="minorHAnsi" w:hAnsiTheme="minorHAnsi" w:cstheme="minorHAnsi"/>
          <w:sz w:val="24"/>
          <w:szCs w:val="24"/>
          <w:lang w:eastAsia="en-AU"/>
        </w:rPr>
        <w:fldChar w:fldCharType="separate"/>
      </w:r>
      <w:r w:rsidR="00523BF9">
        <w:rPr>
          <w:rFonts w:asciiTheme="minorHAnsi" w:hAnsiTheme="minorHAnsi" w:cstheme="minorHAnsi"/>
          <w:noProof/>
          <w:sz w:val="24"/>
          <w:szCs w:val="24"/>
          <w:lang w:eastAsia="en-AU"/>
        </w:rPr>
        <w:t>11</w:t>
      </w:r>
      <w:r w:rsidRPr="00D4690B">
        <w:rPr>
          <w:rFonts w:asciiTheme="minorHAnsi" w:hAnsiTheme="minorHAnsi" w:cstheme="minorHAnsi"/>
          <w:sz w:val="24"/>
          <w:szCs w:val="24"/>
          <w:lang w:eastAsia="en-AU"/>
        </w:rPr>
        <w:fldChar w:fldCharType="end"/>
      </w:r>
      <w:r w:rsidRPr="00D4690B">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Taxation Administration Act 1999</w:t>
      </w:r>
      <w:bookmarkEnd w:id="36"/>
    </w:p>
    <w:p w14:paraId="3AC9515E" w14:textId="736C2F93"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24</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Purpose of Act and relationship with other tax laws </w:t>
      </w:r>
      <w:r w:rsidR="00523BF9" w:rsidRPr="00D4690B">
        <w:rPr>
          <w:rFonts w:asciiTheme="minorHAnsi" w:hAnsiTheme="minorHAnsi" w:cstheme="minorHAnsi"/>
          <w:lang w:eastAsia="en-AU"/>
        </w:rPr>
        <w:t>–</w:t>
      </w:r>
      <w:r w:rsidR="00523BF9">
        <w:rPr>
          <w:rFonts w:asciiTheme="minorHAnsi" w:hAnsiTheme="minorHAnsi" w:cstheme="minorHAnsi"/>
          <w:lang w:eastAsia="en-AU"/>
        </w:rPr>
        <w:t xml:space="preserve"> </w:t>
      </w:r>
      <w:r>
        <w:rPr>
          <w:rFonts w:asciiTheme="minorHAnsi" w:hAnsiTheme="minorHAnsi" w:cstheme="minorHAnsi"/>
          <w:lang w:eastAsia="en-AU"/>
        </w:rPr>
        <w:t>Section 6 (3) (k)</w:t>
      </w:r>
    </w:p>
    <w:p w14:paraId="35E28F32" w14:textId="26616B0A" w:rsidR="001428EA" w:rsidRPr="001428EA" w:rsidRDefault="001428EA" w:rsidP="002E3A1A">
      <w:pPr>
        <w:spacing w:before="240" w:after="120"/>
        <w:rPr>
          <w:rFonts w:asciiTheme="minorHAnsi" w:hAnsiTheme="minorHAnsi" w:cstheme="minorHAnsi"/>
          <w:lang w:eastAsia="en-AU"/>
        </w:rPr>
      </w:pPr>
      <w:r w:rsidRPr="001428EA">
        <w:rPr>
          <w:rFonts w:asciiTheme="minorHAnsi" w:hAnsiTheme="minorHAnsi" w:cstheme="minorHAnsi"/>
          <w:szCs w:val="24"/>
        </w:rPr>
        <w:t>Th</w:t>
      </w:r>
      <w:r w:rsidR="00FA360C">
        <w:rPr>
          <w:rFonts w:asciiTheme="minorHAnsi" w:hAnsiTheme="minorHAnsi" w:cstheme="minorHAnsi"/>
          <w:szCs w:val="24"/>
        </w:rPr>
        <w:t>is</w:t>
      </w:r>
      <w:r w:rsidRPr="001428EA">
        <w:rPr>
          <w:rFonts w:asciiTheme="minorHAnsi" w:hAnsiTheme="minorHAnsi" w:cstheme="minorHAnsi"/>
          <w:szCs w:val="24"/>
        </w:rPr>
        <w:t xml:space="preserve"> clause include</w:t>
      </w:r>
      <w:r w:rsidR="00FA360C">
        <w:rPr>
          <w:rFonts w:asciiTheme="minorHAnsi" w:hAnsiTheme="minorHAnsi" w:cstheme="minorHAnsi"/>
          <w:szCs w:val="24"/>
        </w:rPr>
        <w:t>s</w:t>
      </w:r>
      <w:r w:rsidRPr="001428EA">
        <w:rPr>
          <w:rFonts w:asciiTheme="minorHAnsi" w:hAnsiTheme="minorHAnsi" w:cstheme="minorHAnsi"/>
          <w:szCs w:val="24"/>
        </w:rPr>
        <w:t xml:space="preserve"> tax deferral, exemption and rebate schemes in section 6 as miscellaneous matters that are dealt with under the Taxation Administration Act. </w:t>
      </w:r>
    </w:p>
    <w:p w14:paraId="78C2BDF7" w14:textId="19F8375F"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25</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6 (4) to (6)</w:t>
      </w:r>
    </w:p>
    <w:p w14:paraId="1AA5F136" w14:textId="108C2A26" w:rsidR="001428EA" w:rsidRDefault="00FA360C" w:rsidP="002E3A1A">
      <w:pPr>
        <w:spacing w:before="240" w:after="120"/>
        <w:rPr>
          <w:lang w:eastAsia="en-AU"/>
        </w:rPr>
      </w:pPr>
      <w:r>
        <w:rPr>
          <w:rFonts w:asciiTheme="minorHAnsi" w:hAnsiTheme="minorHAnsi" w:cstheme="minorHAnsi"/>
          <w:szCs w:val="24"/>
        </w:rPr>
        <w:t>This clause omits s</w:t>
      </w:r>
      <w:r w:rsidR="00523BF9">
        <w:rPr>
          <w:rFonts w:asciiTheme="minorHAnsi" w:hAnsiTheme="minorHAnsi" w:cstheme="minorHAnsi"/>
          <w:szCs w:val="24"/>
        </w:rPr>
        <w:t>ubs</w:t>
      </w:r>
      <w:r w:rsidR="005973CD" w:rsidRPr="001428EA">
        <w:rPr>
          <w:rFonts w:asciiTheme="minorHAnsi" w:hAnsiTheme="minorHAnsi" w:cstheme="minorHAnsi"/>
          <w:szCs w:val="24"/>
        </w:rPr>
        <w:t>ections 6 (4) to (6) to remove reference</w:t>
      </w:r>
      <w:r>
        <w:rPr>
          <w:rFonts w:asciiTheme="minorHAnsi" w:hAnsiTheme="minorHAnsi" w:cstheme="minorHAnsi"/>
          <w:szCs w:val="24"/>
        </w:rPr>
        <w:t>s</w:t>
      </w:r>
      <w:r w:rsidR="005973CD" w:rsidRPr="001428EA">
        <w:rPr>
          <w:rFonts w:asciiTheme="minorHAnsi" w:hAnsiTheme="minorHAnsi" w:cstheme="minorHAnsi"/>
          <w:szCs w:val="24"/>
        </w:rPr>
        <w:t xml:space="preserve"> to revenue measures in response to </w:t>
      </w:r>
      <w:r>
        <w:rPr>
          <w:rFonts w:asciiTheme="minorHAnsi" w:hAnsiTheme="minorHAnsi" w:cstheme="minorHAnsi"/>
          <w:szCs w:val="24"/>
        </w:rPr>
        <w:t xml:space="preserve">the </w:t>
      </w:r>
      <w:r w:rsidR="005973CD" w:rsidRPr="001428EA">
        <w:rPr>
          <w:rFonts w:asciiTheme="minorHAnsi" w:hAnsiTheme="minorHAnsi" w:cstheme="minorHAnsi"/>
          <w:szCs w:val="24"/>
        </w:rPr>
        <w:t xml:space="preserve">COVID-19 emergency, definition of </w:t>
      </w:r>
      <w:r>
        <w:rPr>
          <w:rFonts w:asciiTheme="minorHAnsi" w:hAnsiTheme="minorHAnsi" w:cstheme="minorHAnsi"/>
          <w:szCs w:val="24"/>
        </w:rPr>
        <w:t>‘</w:t>
      </w:r>
      <w:r w:rsidR="005973CD" w:rsidRPr="001428EA">
        <w:rPr>
          <w:rFonts w:asciiTheme="minorHAnsi" w:hAnsiTheme="minorHAnsi" w:cstheme="minorHAnsi"/>
          <w:szCs w:val="24"/>
        </w:rPr>
        <w:t>COVID-19 emergency</w:t>
      </w:r>
      <w:r>
        <w:rPr>
          <w:rFonts w:asciiTheme="minorHAnsi" w:hAnsiTheme="minorHAnsi" w:cstheme="minorHAnsi"/>
          <w:szCs w:val="24"/>
        </w:rPr>
        <w:t>’</w:t>
      </w:r>
      <w:r w:rsidR="005973CD" w:rsidRPr="001428EA">
        <w:rPr>
          <w:rFonts w:asciiTheme="minorHAnsi" w:hAnsiTheme="minorHAnsi" w:cstheme="minorHAnsi"/>
          <w:szCs w:val="24"/>
        </w:rPr>
        <w:t xml:space="preserve"> and expiry of these subsections.</w:t>
      </w:r>
    </w:p>
    <w:p w14:paraId="00C5345C" w14:textId="14FC0B8F" w:rsidR="001428EA" w:rsidRDefault="001428EA" w:rsidP="001428EA">
      <w:pPr>
        <w:pStyle w:val="Heading4"/>
        <w:keepNext w:val="0"/>
        <w:rPr>
          <w:rFonts w:asciiTheme="minorHAnsi" w:hAnsiTheme="minorHAnsi" w:cstheme="minorHAnsi"/>
          <w:lang w:eastAsia="en-AU"/>
        </w:rPr>
      </w:pPr>
      <w:bookmarkStart w:id="37" w:name="_Hlk79074850"/>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26</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Division 11.5A heading</w:t>
      </w:r>
    </w:p>
    <w:bookmarkEnd w:id="37"/>
    <w:p w14:paraId="4A38D160" w14:textId="60615BCD" w:rsidR="001428EA" w:rsidRPr="005973CD" w:rsidRDefault="005973CD" w:rsidP="002E3A1A">
      <w:pPr>
        <w:spacing w:before="240" w:after="120"/>
        <w:rPr>
          <w:rFonts w:asciiTheme="minorHAnsi" w:hAnsiTheme="minorHAnsi" w:cstheme="minorHAnsi"/>
          <w:lang w:eastAsia="en-AU"/>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amend</w:t>
      </w:r>
      <w:r>
        <w:rPr>
          <w:rFonts w:asciiTheme="minorHAnsi" w:hAnsiTheme="minorHAnsi" w:cstheme="minorHAnsi"/>
          <w:szCs w:val="24"/>
        </w:rPr>
        <w:t>s</w:t>
      </w:r>
      <w:r w:rsidRPr="005973CD">
        <w:rPr>
          <w:rFonts w:asciiTheme="minorHAnsi" w:hAnsiTheme="minorHAnsi" w:cstheme="minorHAnsi"/>
          <w:szCs w:val="24"/>
        </w:rPr>
        <w:t xml:space="preserve"> the heading for Division 11.5A to omit reference to ‘COVID-19 emergency’. </w:t>
      </w:r>
    </w:p>
    <w:p w14:paraId="2B550374" w14:textId="29B14897"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27</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137A</w:t>
      </w:r>
    </w:p>
    <w:p w14:paraId="22023B97" w14:textId="29B17C7E" w:rsidR="001428EA" w:rsidRDefault="005973CD" w:rsidP="002E3A1A">
      <w:pPr>
        <w:spacing w:before="240" w:after="120"/>
        <w:rPr>
          <w:lang w:eastAsia="en-AU"/>
        </w:rPr>
      </w:pPr>
      <w:r>
        <w:rPr>
          <w:rFonts w:asciiTheme="minorHAnsi" w:hAnsiTheme="minorHAnsi" w:cstheme="minorHAnsi"/>
          <w:szCs w:val="24"/>
        </w:rPr>
        <w:t>This clause removes r</w:t>
      </w:r>
      <w:r w:rsidRPr="005973CD">
        <w:rPr>
          <w:rFonts w:asciiTheme="minorHAnsi" w:hAnsiTheme="minorHAnsi" w:cstheme="minorHAnsi"/>
          <w:szCs w:val="24"/>
        </w:rPr>
        <w:t xml:space="preserve">eferences to ‘COVID-19’ </w:t>
      </w:r>
      <w:r>
        <w:rPr>
          <w:rFonts w:asciiTheme="minorHAnsi" w:hAnsiTheme="minorHAnsi" w:cstheme="minorHAnsi"/>
          <w:szCs w:val="24"/>
        </w:rPr>
        <w:t xml:space="preserve">from </w:t>
      </w:r>
      <w:r w:rsidRPr="005973CD">
        <w:rPr>
          <w:rFonts w:asciiTheme="minorHAnsi" w:hAnsiTheme="minorHAnsi" w:cstheme="minorHAnsi"/>
          <w:szCs w:val="24"/>
        </w:rPr>
        <w:t>section 137A.</w:t>
      </w:r>
    </w:p>
    <w:p w14:paraId="0806F72D" w14:textId="0DBFDE89"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28</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Application–div 11.5A </w:t>
      </w:r>
      <w:r w:rsidR="00523BF9" w:rsidRPr="00D4690B">
        <w:rPr>
          <w:rFonts w:asciiTheme="minorHAnsi" w:hAnsiTheme="minorHAnsi" w:cstheme="minorHAnsi"/>
          <w:lang w:eastAsia="en-AU"/>
        </w:rPr>
        <w:t>–</w:t>
      </w:r>
      <w:r w:rsidR="00523BF9">
        <w:rPr>
          <w:rFonts w:asciiTheme="minorHAnsi" w:hAnsiTheme="minorHAnsi" w:cstheme="minorHAnsi"/>
          <w:lang w:eastAsia="en-AU"/>
        </w:rPr>
        <w:t xml:space="preserve"> </w:t>
      </w:r>
      <w:r>
        <w:rPr>
          <w:rFonts w:asciiTheme="minorHAnsi" w:hAnsiTheme="minorHAnsi" w:cstheme="minorHAnsi"/>
          <w:lang w:eastAsia="en-AU"/>
        </w:rPr>
        <w:t>Section 137B</w:t>
      </w:r>
    </w:p>
    <w:p w14:paraId="0B21D742" w14:textId="33C62FDF" w:rsidR="002E3A1A" w:rsidRDefault="005973CD" w:rsidP="00252CC5">
      <w:pPr>
        <w:spacing w:before="240" w:after="120"/>
        <w:rPr>
          <w:rFonts w:asciiTheme="minorHAnsi" w:hAnsiTheme="minorHAnsi" w:cstheme="minorHAnsi"/>
          <w:szCs w:val="24"/>
        </w:rPr>
      </w:pPr>
      <w:r>
        <w:rPr>
          <w:rFonts w:asciiTheme="minorHAnsi" w:hAnsiTheme="minorHAnsi" w:cstheme="minorHAnsi"/>
          <w:szCs w:val="24"/>
        </w:rPr>
        <w:t>This clause removes r</w:t>
      </w:r>
      <w:r w:rsidRPr="005973CD">
        <w:rPr>
          <w:rFonts w:asciiTheme="minorHAnsi" w:hAnsiTheme="minorHAnsi" w:cstheme="minorHAnsi"/>
          <w:szCs w:val="24"/>
        </w:rPr>
        <w:t xml:space="preserve">eferences to ‘COVID-19’ </w:t>
      </w:r>
      <w:r>
        <w:rPr>
          <w:rFonts w:asciiTheme="minorHAnsi" w:hAnsiTheme="minorHAnsi" w:cstheme="minorHAnsi"/>
          <w:szCs w:val="24"/>
        </w:rPr>
        <w:t xml:space="preserve">from </w:t>
      </w:r>
      <w:r w:rsidRPr="005973CD">
        <w:rPr>
          <w:rFonts w:asciiTheme="minorHAnsi" w:hAnsiTheme="minorHAnsi" w:cstheme="minorHAnsi"/>
          <w:szCs w:val="24"/>
        </w:rPr>
        <w:t>section 137</w:t>
      </w:r>
      <w:r>
        <w:rPr>
          <w:rFonts w:asciiTheme="minorHAnsi" w:hAnsiTheme="minorHAnsi" w:cstheme="minorHAnsi"/>
          <w:szCs w:val="24"/>
        </w:rPr>
        <w:t>B</w:t>
      </w:r>
      <w:r w:rsidRPr="005973CD">
        <w:rPr>
          <w:rFonts w:asciiTheme="minorHAnsi" w:hAnsiTheme="minorHAnsi" w:cstheme="minorHAnsi"/>
          <w:szCs w:val="24"/>
        </w:rPr>
        <w:t>.</w:t>
      </w:r>
    </w:p>
    <w:p w14:paraId="15A235DB" w14:textId="2D31AFCE"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E93D04">
        <w:rPr>
          <w:rFonts w:asciiTheme="minorHAnsi" w:hAnsiTheme="minorHAnsi" w:cstheme="minorHAnsi"/>
          <w:noProof/>
        </w:rPr>
        <w:t>29</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Ministerial considerations for determining a scheme–div 11.5A </w:t>
      </w:r>
      <w:r w:rsidR="00523BF9" w:rsidRPr="00D4690B">
        <w:rPr>
          <w:rFonts w:asciiTheme="minorHAnsi" w:hAnsiTheme="minorHAnsi" w:cstheme="minorHAnsi"/>
          <w:lang w:eastAsia="en-AU"/>
        </w:rPr>
        <w:t>–</w:t>
      </w:r>
      <w:r w:rsidR="00523BF9">
        <w:rPr>
          <w:rFonts w:asciiTheme="minorHAnsi" w:hAnsiTheme="minorHAnsi" w:cstheme="minorHAnsi"/>
          <w:lang w:eastAsia="en-AU"/>
        </w:rPr>
        <w:t xml:space="preserve"> </w:t>
      </w:r>
      <w:r>
        <w:rPr>
          <w:rFonts w:asciiTheme="minorHAnsi" w:hAnsiTheme="minorHAnsi" w:cstheme="minorHAnsi"/>
          <w:lang w:eastAsia="en-AU"/>
        </w:rPr>
        <w:t>Section 137C</w:t>
      </w:r>
    </w:p>
    <w:p w14:paraId="7090C366" w14:textId="77777777" w:rsidR="005973CD" w:rsidRPr="005973CD" w:rsidRDefault="005973CD" w:rsidP="002E3A1A">
      <w:pPr>
        <w:spacing w:before="240" w:after="120"/>
        <w:contextualSpacing/>
        <w:rPr>
          <w:rFonts w:asciiTheme="minorHAnsi" w:eastAsia="Times New Roman" w:hAnsiTheme="minorHAnsi" w:cstheme="minorHAnsi"/>
          <w:szCs w:val="24"/>
        </w:rPr>
      </w:pPr>
      <w:r w:rsidRPr="005973CD">
        <w:rPr>
          <w:rFonts w:asciiTheme="minorHAnsi" w:hAnsiTheme="minorHAnsi" w:cstheme="minorHAnsi"/>
          <w:szCs w:val="24"/>
        </w:rPr>
        <w:t xml:space="preserve">This clause omits section 137C on the basis that the reasonableness of any schemes determined </w:t>
      </w:r>
      <w:r w:rsidRPr="005973CD">
        <w:rPr>
          <w:rFonts w:asciiTheme="minorHAnsi" w:eastAsia="Times New Roman" w:hAnsiTheme="minorHAnsi" w:cstheme="minorHAnsi"/>
          <w:szCs w:val="24"/>
        </w:rPr>
        <w:t xml:space="preserve">is already implied, pursuant to the </w:t>
      </w:r>
      <w:r w:rsidRPr="005973CD">
        <w:rPr>
          <w:rFonts w:asciiTheme="minorHAnsi" w:eastAsia="Times New Roman" w:hAnsiTheme="minorHAnsi" w:cstheme="minorHAnsi"/>
          <w:i/>
          <w:iCs/>
          <w:szCs w:val="24"/>
        </w:rPr>
        <w:t>Legislation Act 2001</w:t>
      </w:r>
      <w:r w:rsidRPr="005973CD">
        <w:rPr>
          <w:rFonts w:asciiTheme="minorHAnsi" w:eastAsia="Times New Roman" w:hAnsiTheme="minorHAnsi" w:cstheme="minorHAnsi"/>
          <w:szCs w:val="24"/>
        </w:rPr>
        <w:t>. Given that the schemes would be beneficial for the taxpayers involved, and that the instruments will be disallowable and subject to human rights scrutiny, section 137C is considered unnecessary.</w:t>
      </w:r>
    </w:p>
    <w:p w14:paraId="7DEBCA1D" w14:textId="6F7014C4" w:rsidR="00523BF9" w:rsidRDefault="00523BF9" w:rsidP="00624447">
      <w:pPr>
        <w:pStyle w:val="Heading4"/>
        <w:keepNext w:val="0"/>
        <w:rPr>
          <w:rFonts w:asciiTheme="minorHAnsi" w:hAnsiTheme="minorHAnsi" w:cstheme="minorHAnsi"/>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Pr>
          <w:rFonts w:asciiTheme="minorHAnsi" w:hAnsiTheme="minorHAnsi" w:cstheme="minorHAnsi"/>
        </w:rPr>
        <w:t>30</w:t>
      </w:r>
      <w:r w:rsidRPr="00D4690B">
        <w:rPr>
          <w:rFonts w:asciiTheme="minorHAnsi" w:hAnsiTheme="minorHAnsi" w:cstheme="minorHAnsi"/>
        </w:rPr>
        <w:fldChar w:fldCharType="end"/>
      </w:r>
      <w:r w:rsidRPr="00624447">
        <w:rPr>
          <w:rFonts w:asciiTheme="minorHAnsi" w:hAnsiTheme="minorHAnsi" w:cstheme="minorHAnsi"/>
        </w:rPr>
        <w:t xml:space="preserve"> </w:t>
      </w:r>
      <w:r w:rsidRPr="00D4690B">
        <w:rPr>
          <w:rFonts w:asciiTheme="minorHAnsi" w:hAnsiTheme="minorHAnsi" w:cstheme="minorHAnsi"/>
        </w:rPr>
        <w:t xml:space="preserve">– </w:t>
      </w:r>
      <w:r>
        <w:rPr>
          <w:rFonts w:asciiTheme="minorHAnsi" w:hAnsiTheme="minorHAnsi" w:cstheme="minorHAnsi"/>
        </w:rPr>
        <w:t>Section 137D heading</w:t>
      </w:r>
    </w:p>
    <w:p w14:paraId="6C81488F" w14:textId="7E081428" w:rsidR="00523BF9" w:rsidRPr="005973CD" w:rsidRDefault="00523BF9" w:rsidP="002E3A1A">
      <w:pPr>
        <w:spacing w:before="240" w:after="120"/>
        <w:rPr>
          <w:rFonts w:asciiTheme="minorHAnsi" w:hAnsiTheme="minorHAnsi" w:cstheme="minorHAnsi"/>
          <w:lang w:eastAsia="en-AU"/>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amend</w:t>
      </w:r>
      <w:r>
        <w:rPr>
          <w:rFonts w:asciiTheme="minorHAnsi" w:hAnsiTheme="minorHAnsi" w:cstheme="minorHAnsi"/>
          <w:szCs w:val="24"/>
        </w:rPr>
        <w:t>s</w:t>
      </w:r>
      <w:r w:rsidRPr="005973CD">
        <w:rPr>
          <w:rFonts w:asciiTheme="minorHAnsi" w:hAnsiTheme="minorHAnsi" w:cstheme="minorHAnsi"/>
          <w:szCs w:val="24"/>
        </w:rPr>
        <w:t xml:space="preserve"> the heading for </w:t>
      </w:r>
      <w:r>
        <w:rPr>
          <w:rFonts w:asciiTheme="minorHAnsi" w:hAnsiTheme="minorHAnsi" w:cstheme="minorHAnsi"/>
          <w:szCs w:val="24"/>
        </w:rPr>
        <w:t>section 137D</w:t>
      </w:r>
      <w:r w:rsidRPr="005973CD">
        <w:rPr>
          <w:rFonts w:asciiTheme="minorHAnsi" w:hAnsiTheme="minorHAnsi" w:cstheme="minorHAnsi"/>
          <w:szCs w:val="24"/>
        </w:rPr>
        <w:t xml:space="preserve"> to omit reference to ‘COVID-19’.</w:t>
      </w:r>
    </w:p>
    <w:p w14:paraId="44193732" w14:textId="15BCA9B8"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523BF9">
        <w:rPr>
          <w:rFonts w:asciiTheme="minorHAnsi" w:hAnsiTheme="minorHAnsi" w:cstheme="minorHAnsi"/>
          <w:noProof/>
        </w:rPr>
        <w:t>31</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137D (1) to (7)</w:t>
      </w:r>
    </w:p>
    <w:p w14:paraId="2B7A26DE" w14:textId="353579E3" w:rsidR="001428EA" w:rsidRPr="005973CD" w:rsidRDefault="005973CD" w:rsidP="002E3A1A">
      <w:pPr>
        <w:spacing w:before="240" w:after="120"/>
        <w:rPr>
          <w:rFonts w:asciiTheme="minorHAnsi" w:hAnsiTheme="minorHAnsi" w:cstheme="minorHAnsi"/>
          <w:lang w:eastAsia="en-AU"/>
        </w:rPr>
      </w:pPr>
      <w:r w:rsidRPr="005973CD">
        <w:rPr>
          <w:rFonts w:asciiTheme="minorHAnsi" w:hAnsiTheme="minorHAnsi" w:cstheme="minorHAnsi"/>
          <w:szCs w:val="24"/>
        </w:rPr>
        <w:t>Th</w:t>
      </w:r>
      <w:r w:rsidR="00523BF9">
        <w:rPr>
          <w:rFonts w:asciiTheme="minorHAnsi" w:hAnsiTheme="minorHAnsi" w:cstheme="minorHAnsi"/>
          <w:szCs w:val="24"/>
        </w:rPr>
        <w:t>is</w:t>
      </w:r>
      <w:r w:rsidRPr="005973CD">
        <w:rPr>
          <w:rFonts w:asciiTheme="minorHAnsi" w:hAnsiTheme="minorHAnsi" w:cstheme="minorHAnsi"/>
          <w:szCs w:val="24"/>
        </w:rPr>
        <w:t xml:space="preserve"> clause omit</w:t>
      </w:r>
      <w:r w:rsidR="00523BF9">
        <w:rPr>
          <w:rFonts w:asciiTheme="minorHAnsi" w:hAnsiTheme="minorHAnsi" w:cstheme="minorHAnsi"/>
          <w:szCs w:val="24"/>
        </w:rPr>
        <w:t>s</w:t>
      </w:r>
      <w:r w:rsidRPr="005973CD">
        <w:rPr>
          <w:rFonts w:asciiTheme="minorHAnsi" w:hAnsiTheme="minorHAnsi" w:cstheme="minorHAnsi"/>
          <w:szCs w:val="24"/>
        </w:rPr>
        <w:t xml:space="preserve"> reference</w:t>
      </w:r>
      <w:r w:rsidR="00FA360C">
        <w:rPr>
          <w:rFonts w:asciiTheme="minorHAnsi" w:hAnsiTheme="minorHAnsi" w:cstheme="minorHAnsi"/>
          <w:szCs w:val="24"/>
        </w:rPr>
        <w:t>s</w:t>
      </w:r>
      <w:r w:rsidRPr="005973CD">
        <w:rPr>
          <w:rFonts w:asciiTheme="minorHAnsi" w:hAnsiTheme="minorHAnsi" w:cstheme="minorHAnsi"/>
          <w:szCs w:val="24"/>
        </w:rPr>
        <w:t xml:space="preserve"> to </w:t>
      </w:r>
      <w:r w:rsidR="00FA360C">
        <w:rPr>
          <w:rFonts w:asciiTheme="minorHAnsi" w:hAnsiTheme="minorHAnsi" w:cstheme="minorHAnsi"/>
          <w:szCs w:val="24"/>
        </w:rPr>
        <w:t>‘</w:t>
      </w:r>
      <w:r w:rsidRPr="005973CD">
        <w:rPr>
          <w:rFonts w:asciiTheme="minorHAnsi" w:hAnsiTheme="minorHAnsi" w:cstheme="minorHAnsi"/>
          <w:szCs w:val="24"/>
        </w:rPr>
        <w:t>COVID-19</w:t>
      </w:r>
      <w:r w:rsidR="00FA360C">
        <w:rPr>
          <w:rFonts w:asciiTheme="minorHAnsi" w:hAnsiTheme="minorHAnsi" w:cstheme="minorHAnsi"/>
          <w:szCs w:val="24"/>
        </w:rPr>
        <w:t>’</w:t>
      </w:r>
      <w:r w:rsidRPr="005973CD">
        <w:rPr>
          <w:rFonts w:asciiTheme="minorHAnsi" w:hAnsiTheme="minorHAnsi" w:cstheme="minorHAnsi"/>
          <w:szCs w:val="24"/>
        </w:rPr>
        <w:t xml:space="preserve"> for deferral schemes</w:t>
      </w:r>
      <w:r w:rsidR="00523BF9">
        <w:rPr>
          <w:rFonts w:asciiTheme="minorHAnsi" w:hAnsiTheme="minorHAnsi" w:cstheme="minorHAnsi"/>
          <w:szCs w:val="24"/>
        </w:rPr>
        <w:t xml:space="preserve"> in subsections 137D (1) to (7)</w:t>
      </w:r>
      <w:r w:rsidRPr="005973CD">
        <w:rPr>
          <w:rFonts w:asciiTheme="minorHAnsi" w:hAnsiTheme="minorHAnsi" w:cstheme="minorHAnsi"/>
          <w:szCs w:val="24"/>
        </w:rPr>
        <w:t>. Section 137D provides that the Minister may determine a deferral scheme, and outlines what must and may be identified as part of a deferral scheme. The Minister may also prescribe information that the commissioner may require to decide an application. This is appropriate as this is consistent with other administrative schemes requiring information to be provided to determine eligibility under a given scheme. A deferral scheme determination is a disallowable instrument to allow for appropriate legislative scrutiny.</w:t>
      </w:r>
    </w:p>
    <w:p w14:paraId="64346C06" w14:textId="414E19D1"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lastRenderedPageBreak/>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523BF9">
        <w:rPr>
          <w:rFonts w:asciiTheme="minorHAnsi" w:hAnsiTheme="minorHAnsi" w:cstheme="minorHAnsi"/>
          <w:noProof/>
        </w:rPr>
        <w:t>32</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137E heading</w:t>
      </w:r>
    </w:p>
    <w:p w14:paraId="57A139DA" w14:textId="41F79A9B" w:rsidR="005973CD" w:rsidRPr="005973CD" w:rsidRDefault="005973CD" w:rsidP="002E3A1A">
      <w:pPr>
        <w:spacing w:before="240" w:after="120"/>
        <w:rPr>
          <w:rFonts w:asciiTheme="minorHAnsi" w:hAnsiTheme="minorHAnsi" w:cstheme="minorHAnsi"/>
          <w:lang w:eastAsia="en-AU"/>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amend</w:t>
      </w:r>
      <w:r>
        <w:rPr>
          <w:rFonts w:asciiTheme="minorHAnsi" w:hAnsiTheme="minorHAnsi" w:cstheme="minorHAnsi"/>
          <w:szCs w:val="24"/>
        </w:rPr>
        <w:t>s</w:t>
      </w:r>
      <w:r w:rsidRPr="005973CD">
        <w:rPr>
          <w:rFonts w:asciiTheme="minorHAnsi" w:hAnsiTheme="minorHAnsi" w:cstheme="minorHAnsi"/>
          <w:szCs w:val="24"/>
        </w:rPr>
        <w:t xml:space="preserve"> the heading for </w:t>
      </w:r>
      <w:r w:rsidR="00292BC4">
        <w:rPr>
          <w:rFonts w:asciiTheme="minorHAnsi" w:hAnsiTheme="minorHAnsi" w:cstheme="minorHAnsi"/>
          <w:szCs w:val="24"/>
        </w:rPr>
        <w:t>s</w:t>
      </w:r>
      <w:r>
        <w:rPr>
          <w:rFonts w:asciiTheme="minorHAnsi" w:hAnsiTheme="minorHAnsi" w:cstheme="minorHAnsi"/>
          <w:szCs w:val="24"/>
        </w:rPr>
        <w:t>ection 137E</w:t>
      </w:r>
      <w:r w:rsidRPr="005973CD">
        <w:rPr>
          <w:rFonts w:asciiTheme="minorHAnsi" w:hAnsiTheme="minorHAnsi" w:cstheme="minorHAnsi"/>
          <w:szCs w:val="24"/>
        </w:rPr>
        <w:t xml:space="preserve"> to omit reference to ‘COVID-19’. </w:t>
      </w:r>
    </w:p>
    <w:p w14:paraId="0B070B98" w14:textId="50CEE48D"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523BF9">
        <w:rPr>
          <w:rFonts w:asciiTheme="minorHAnsi" w:hAnsiTheme="minorHAnsi" w:cstheme="minorHAnsi"/>
          <w:noProof/>
        </w:rPr>
        <w:t>33</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137E (1)</w:t>
      </w:r>
    </w:p>
    <w:p w14:paraId="4A592223" w14:textId="47376614" w:rsidR="001428EA" w:rsidRDefault="005973CD" w:rsidP="002E3A1A">
      <w:pPr>
        <w:spacing w:before="240" w:after="120"/>
        <w:rPr>
          <w:lang w:eastAsia="en-AU"/>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omit</w:t>
      </w:r>
      <w:r>
        <w:rPr>
          <w:rFonts w:asciiTheme="minorHAnsi" w:hAnsiTheme="minorHAnsi" w:cstheme="minorHAnsi"/>
          <w:szCs w:val="24"/>
        </w:rPr>
        <w:t>s</w:t>
      </w:r>
      <w:r w:rsidRPr="005973CD">
        <w:rPr>
          <w:rFonts w:asciiTheme="minorHAnsi" w:hAnsiTheme="minorHAnsi" w:cstheme="minorHAnsi"/>
          <w:szCs w:val="24"/>
        </w:rPr>
        <w:t xml:space="preserve"> the reference to </w:t>
      </w:r>
      <w:r w:rsidR="00F83555">
        <w:rPr>
          <w:rFonts w:asciiTheme="minorHAnsi" w:hAnsiTheme="minorHAnsi" w:cstheme="minorHAnsi"/>
          <w:szCs w:val="24"/>
        </w:rPr>
        <w:t>‘</w:t>
      </w:r>
      <w:r w:rsidRPr="005973CD">
        <w:rPr>
          <w:rFonts w:asciiTheme="minorHAnsi" w:hAnsiTheme="minorHAnsi" w:cstheme="minorHAnsi"/>
          <w:szCs w:val="24"/>
        </w:rPr>
        <w:t>COVID-19</w:t>
      </w:r>
      <w:r w:rsidR="00F83555">
        <w:rPr>
          <w:rFonts w:asciiTheme="minorHAnsi" w:hAnsiTheme="minorHAnsi" w:cstheme="minorHAnsi"/>
          <w:szCs w:val="24"/>
        </w:rPr>
        <w:t>’</w:t>
      </w:r>
      <w:r w:rsidRPr="005973CD">
        <w:rPr>
          <w:rFonts w:asciiTheme="minorHAnsi" w:hAnsiTheme="minorHAnsi" w:cstheme="minorHAnsi"/>
          <w:szCs w:val="24"/>
        </w:rPr>
        <w:t xml:space="preserve"> for exemption schemes. Section 137E provides that the Minister may determine an exemption scheme, and outlines what may be identified as part of an exemption scheme.</w:t>
      </w:r>
    </w:p>
    <w:p w14:paraId="05FD2952" w14:textId="52BA14E4"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292BC4">
        <w:rPr>
          <w:rFonts w:asciiTheme="minorHAnsi" w:hAnsiTheme="minorHAnsi" w:cstheme="minorHAnsi"/>
          <w:noProof/>
        </w:rPr>
        <w:t>34</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137E (2) and (3)</w:t>
      </w:r>
    </w:p>
    <w:p w14:paraId="1412F7C6" w14:textId="5D92549A" w:rsidR="001428EA" w:rsidRDefault="005973CD" w:rsidP="002E3A1A">
      <w:pPr>
        <w:spacing w:before="240" w:after="120"/>
        <w:rPr>
          <w:lang w:eastAsia="en-AU"/>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omit</w:t>
      </w:r>
      <w:r>
        <w:rPr>
          <w:rFonts w:asciiTheme="minorHAnsi" w:hAnsiTheme="minorHAnsi" w:cstheme="minorHAnsi"/>
          <w:szCs w:val="24"/>
        </w:rPr>
        <w:t>s</w:t>
      </w:r>
      <w:r w:rsidRPr="005973CD">
        <w:rPr>
          <w:rFonts w:asciiTheme="minorHAnsi" w:hAnsiTheme="minorHAnsi" w:cstheme="minorHAnsi"/>
          <w:szCs w:val="24"/>
        </w:rPr>
        <w:t xml:space="preserve"> the reference to </w:t>
      </w:r>
      <w:r w:rsidR="00F83555">
        <w:rPr>
          <w:rFonts w:asciiTheme="minorHAnsi" w:hAnsiTheme="minorHAnsi" w:cstheme="minorHAnsi"/>
          <w:szCs w:val="24"/>
        </w:rPr>
        <w:t>‘</w:t>
      </w:r>
      <w:r w:rsidRPr="005973CD">
        <w:rPr>
          <w:rFonts w:asciiTheme="minorHAnsi" w:hAnsiTheme="minorHAnsi" w:cstheme="minorHAnsi"/>
          <w:szCs w:val="24"/>
        </w:rPr>
        <w:t>COVID-19</w:t>
      </w:r>
      <w:r w:rsidR="00F83555">
        <w:rPr>
          <w:rFonts w:asciiTheme="minorHAnsi" w:hAnsiTheme="minorHAnsi" w:cstheme="minorHAnsi"/>
          <w:szCs w:val="24"/>
        </w:rPr>
        <w:t>’</w:t>
      </w:r>
      <w:r w:rsidRPr="005973CD">
        <w:rPr>
          <w:rFonts w:asciiTheme="minorHAnsi" w:hAnsiTheme="minorHAnsi" w:cstheme="minorHAnsi"/>
          <w:szCs w:val="24"/>
        </w:rPr>
        <w:t xml:space="preserve"> for exemption schemes.</w:t>
      </w:r>
    </w:p>
    <w:p w14:paraId="778412DE" w14:textId="07EE7070"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292BC4">
        <w:rPr>
          <w:rFonts w:asciiTheme="minorHAnsi" w:hAnsiTheme="minorHAnsi" w:cstheme="minorHAnsi"/>
          <w:noProof/>
        </w:rPr>
        <w:t>35</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137E (4)</w:t>
      </w:r>
    </w:p>
    <w:p w14:paraId="28B83DE0" w14:textId="4C0A91F4" w:rsidR="001428EA" w:rsidRDefault="005973CD" w:rsidP="002E3A1A">
      <w:pPr>
        <w:spacing w:before="240" w:after="120"/>
        <w:rPr>
          <w:lang w:eastAsia="en-AU"/>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omit</w:t>
      </w:r>
      <w:r>
        <w:rPr>
          <w:rFonts w:asciiTheme="minorHAnsi" w:hAnsiTheme="minorHAnsi" w:cstheme="minorHAnsi"/>
          <w:szCs w:val="24"/>
        </w:rPr>
        <w:t>s</w:t>
      </w:r>
      <w:r w:rsidRPr="005973CD">
        <w:rPr>
          <w:rFonts w:asciiTheme="minorHAnsi" w:hAnsiTheme="minorHAnsi" w:cstheme="minorHAnsi"/>
          <w:szCs w:val="24"/>
        </w:rPr>
        <w:t xml:space="preserve"> the reference to </w:t>
      </w:r>
      <w:r w:rsidR="00F83555">
        <w:rPr>
          <w:rFonts w:asciiTheme="minorHAnsi" w:hAnsiTheme="minorHAnsi" w:cstheme="minorHAnsi"/>
          <w:szCs w:val="24"/>
        </w:rPr>
        <w:t>‘</w:t>
      </w:r>
      <w:r w:rsidRPr="005973CD">
        <w:rPr>
          <w:rFonts w:asciiTheme="minorHAnsi" w:hAnsiTheme="minorHAnsi" w:cstheme="minorHAnsi"/>
          <w:szCs w:val="24"/>
        </w:rPr>
        <w:t>COVID-19</w:t>
      </w:r>
      <w:r w:rsidR="00F83555">
        <w:rPr>
          <w:rFonts w:asciiTheme="minorHAnsi" w:hAnsiTheme="minorHAnsi" w:cstheme="minorHAnsi"/>
          <w:szCs w:val="24"/>
        </w:rPr>
        <w:t>’</w:t>
      </w:r>
      <w:r w:rsidRPr="005973CD">
        <w:rPr>
          <w:rFonts w:asciiTheme="minorHAnsi" w:hAnsiTheme="minorHAnsi" w:cstheme="minorHAnsi"/>
          <w:szCs w:val="24"/>
        </w:rPr>
        <w:t xml:space="preserve"> for exemption schemes.</w:t>
      </w:r>
    </w:p>
    <w:p w14:paraId="6283950D" w14:textId="006A169A"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292BC4">
        <w:rPr>
          <w:rFonts w:asciiTheme="minorHAnsi" w:hAnsiTheme="minorHAnsi" w:cstheme="minorHAnsi"/>
          <w:noProof/>
        </w:rPr>
        <w:t>36</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137F heading</w:t>
      </w:r>
    </w:p>
    <w:p w14:paraId="1671DE5A" w14:textId="6108FBE0" w:rsidR="002E3A1A" w:rsidRDefault="005973CD" w:rsidP="00252CC5">
      <w:pPr>
        <w:spacing w:before="240" w:after="120"/>
        <w:rPr>
          <w:rFonts w:asciiTheme="minorHAnsi" w:hAnsiTheme="minorHAnsi" w:cstheme="minorHAnsi"/>
          <w:szCs w:val="24"/>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amend</w:t>
      </w:r>
      <w:r>
        <w:rPr>
          <w:rFonts w:asciiTheme="minorHAnsi" w:hAnsiTheme="minorHAnsi" w:cstheme="minorHAnsi"/>
          <w:szCs w:val="24"/>
        </w:rPr>
        <w:t>s</w:t>
      </w:r>
      <w:r w:rsidRPr="005973CD">
        <w:rPr>
          <w:rFonts w:asciiTheme="minorHAnsi" w:hAnsiTheme="minorHAnsi" w:cstheme="minorHAnsi"/>
          <w:szCs w:val="24"/>
        </w:rPr>
        <w:t xml:space="preserve"> the heading for </w:t>
      </w:r>
      <w:r w:rsidR="00292BC4">
        <w:rPr>
          <w:rFonts w:asciiTheme="minorHAnsi" w:hAnsiTheme="minorHAnsi" w:cstheme="minorHAnsi"/>
          <w:szCs w:val="24"/>
        </w:rPr>
        <w:t>s</w:t>
      </w:r>
      <w:r>
        <w:rPr>
          <w:rFonts w:asciiTheme="minorHAnsi" w:hAnsiTheme="minorHAnsi" w:cstheme="minorHAnsi"/>
          <w:szCs w:val="24"/>
        </w:rPr>
        <w:t>ection 137F</w:t>
      </w:r>
      <w:r w:rsidRPr="005973CD">
        <w:rPr>
          <w:rFonts w:asciiTheme="minorHAnsi" w:hAnsiTheme="minorHAnsi" w:cstheme="minorHAnsi"/>
          <w:szCs w:val="24"/>
        </w:rPr>
        <w:t xml:space="preserve"> to omit reference to ‘COVID-19’. </w:t>
      </w:r>
    </w:p>
    <w:p w14:paraId="0D2AE989" w14:textId="3BC14500"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292BC4">
        <w:rPr>
          <w:rFonts w:asciiTheme="minorHAnsi" w:hAnsiTheme="minorHAnsi" w:cstheme="minorHAnsi"/>
          <w:noProof/>
        </w:rPr>
        <w:t>37</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Section 137F (1) to (5)</w:t>
      </w:r>
    </w:p>
    <w:p w14:paraId="5A0C468F" w14:textId="18B1C01D" w:rsidR="001428EA" w:rsidRPr="005973CD" w:rsidRDefault="005973CD" w:rsidP="002E3A1A">
      <w:pPr>
        <w:spacing w:before="240" w:after="120"/>
        <w:rPr>
          <w:rFonts w:asciiTheme="minorHAnsi" w:hAnsiTheme="minorHAnsi" w:cstheme="minorHAnsi"/>
          <w:lang w:eastAsia="en-AU"/>
        </w:rPr>
      </w:pPr>
      <w:r w:rsidRPr="005973CD">
        <w:rPr>
          <w:rFonts w:asciiTheme="minorHAnsi" w:hAnsiTheme="minorHAnsi" w:cstheme="minorHAnsi"/>
          <w:szCs w:val="24"/>
        </w:rPr>
        <w:t>Th</w:t>
      </w:r>
      <w:r>
        <w:rPr>
          <w:rFonts w:asciiTheme="minorHAnsi" w:hAnsiTheme="minorHAnsi" w:cstheme="minorHAnsi"/>
          <w:szCs w:val="24"/>
        </w:rPr>
        <w:t>is</w:t>
      </w:r>
      <w:r w:rsidRPr="005973CD">
        <w:rPr>
          <w:rFonts w:asciiTheme="minorHAnsi" w:hAnsiTheme="minorHAnsi" w:cstheme="minorHAnsi"/>
          <w:szCs w:val="24"/>
        </w:rPr>
        <w:t xml:space="preserve"> clause omit</w:t>
      </w:r>
      <w:r>
        <w:rPr>
          <w:rFonts w:asciiTheme="minorHAnsi" w:hAnsiTheme="minorHAnsi" w:cstheme="minorHAnsi"/>
          <w:szCs w:val="24"/>
        </w:rPr>
        <w:t>s</w:t>
      </w:r>
      <w:r w:rsidRPr="005973CD">
        <w:rPr>
          <w:rFonts w:asciiTheme="minorHAnsi" w:hAnsiTheme="minorHAnsi" w:cstheme="minorHAnsi"/>
          <w:szCs w:val="24"/>
        </w:rPr>
        <w:t xml:space="preserve"> reference</w:t>
      </w:r>
      <w:r>
        <w:rPr>
          <w:rFonts w:asciiTheme="minorHAnsi" w:hAnsiTheme="minorHAnsi" w:cstheme="minorHAnsi"/>
          <w:szCs w:val="24"/>
        </w:rPr>
        <w:t>s</w:t>
      </w:r>
      <w:r w:rsidRPr="005973CD">
        <w:rPr>
          <w:rFonts w:asciiTheme="minorHAnsi" w:hAnsiTheme="minorHAnsi" w:cstheme="minorHAnsi"/>
          <w:szCs w:val="24"/>
        </w:rPr>
        <w:t xml:space="preserve"> to </w:t>
      </w:r>
      <w:r w:rsidR="00F83555">
        <w:rPr>
          <w:rFonts w:asciiTheme="minorHAnsi" w:hAnsiTheme="minorHAnsi" w:cstheme="minorHAnsi"/>
          <w:szCs w:val="24"/>
        </w:rPr>
        <w:t>‘</w:t>
      </w:r>
      <w:r w:rsidRPr="005973CD">
        <w:rPr>
          <w:rFonts w:asciiTheme="minorHAnsi" w:hAnsiTheme="minorHAnsi" w:cstheme="minorHAnsi"/>
          <w:szCs w:val="24"/>
        </w:rPr>
        <w:t>COVID-19</w:t>
      </w:r>
      <w:r w:rsidR="00F83555">
        <w:rPr>
          <w:rFonts w:asciiTheme="minorHAnsi" w:hAnsiTheme="minorHAnsi" w:cstheme="minorHAnsi"/>
          <w:szCs w:val="24"/>
        </w:rPr>
        <w:t>’</w:t>
      </w:r>
      <w:r w:rsidRPr="005973CD">
        <w:rPr>
          <w:rFonts w:asciiTheme="minorHAnsi" w:hAnsiTheme="minorHAnsi" w:cstheme="minorHAnsi"/>
          <w:szCs w:val="24"/>
        </w:rPr>
        <w:t xml:space="preserve"> for rebate schemes. Section 137F provides that the Minister may determine a rebate scheme, and outlines what must and may be identified as part of a rebate scheme. The Minister may also prescribe information that the Commissioner may require to decide an application. This is appropriate as this is consistent with other administrative schemes requiring information to be provided to determine eligibility under a given scheme. A rebate scheme determination is a disallowable instrument to allow for appropriate legislative scrutiny.</w:t>
      </w:r>
    </w:p>
    <w:p w14:paraId="3FBA4AF9" w14:textId="2792668C"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292BC4">
        <w:rPr>
          <w:rFonts w:asciiTheme="minorHAnsi" w:hAnsiTheme="minorHAnsi" w:cstheme="minorHAnsi"/>
          <w:noProof/>
        </w:rPr>
        <w:t>38</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 xml:space="preserve">Expiry–div 11.5A </w:t>
      </w:r>
      <w:r w:rsidR="00292BC4" w:rsidRPr="00D4690B">
        <w:rPr>
          <w:rFonts w:asciiTheme="minorHAnsi" w:hAnsiTheme="minorHAnsi" w:cstheme="minorHAnsi"/>
          <w:lang w:eastAsia="en-AU"/>
        </w:rPr>
        <w:t xml:space="preserve">– </w:t>
      </w:r>
      <w:r>
        <w:rPr>
          <w:rFonts w:asciiTheme="minorHAnsi" w:hAnsiTheme="minorHAnsi" w:cstheme="minorHAnsi"/>
          <w:lang w:eastAsia="en-AU"/>
        </w:rPr>
        <w:t>Section 137G</w:t>
      </w:r>
    </w:p>
    <w:p w14:paraId="773747A3" w14:textId="7623D9CB" w:rsidR="005973CD" w:rsidRPr="005973CD" w:rsidRDefault="005973CD" w:rsidP="002E3A1A">
      <w:pPr>
        <w:spacing w:before="240" w:after="120"/>
        <w:contextualSpacing/>
        <w:rPr>
          <w:rFonts w:asciiTheme="minorHAnsi" w:hAnsiTheme="minorHAnsi" w:cstheme="minorHAnsi"/>
          <w:szCs w:val="24"/>
        </w:rPr>
      </w:pPr>
      <w:r w:rsidRPr="005973CD">
        <w:rPr>
          <w:rFonts w:asciiTheme="minorHAnsi" w:hAnsiTheme="minorHAnsi" w:cstheme="minorHAnsi"/>
          <w:szCs w:val="24"/>
        </w:rPr>
        <w:t>This clause removes the expiry date for the temporary COVID-19 power</w:t>
      </w:r>
      <w:r w:rsidR="00F83555">
        <w:rPr>
          <w:rFonts w:asciiTheme="minorHAnsi" w:hAnsiTheme="minorHAnsi" w:cstheme="minorHAnsi"/>
          <w:szCs w:val="24"/>
        </w:rPr>
        <w:t>s</w:t>
      </w:r>
      <w:r w:rsidRPr="005973CD">
        <w:rPr>
          <w:rFonts w:asciiTheme="minorHAnsi" w:hAnsiTheme="minorHAnsi" w:cstheme="minorHAnsi"/>
          <w:szCs w:val="24"/>
        </w:rPr>
        <w:t xml:space="preserve"> to provide for permanent operation of the power</w:t>
      </w:r>
      <w:r w:rsidR="00292BC4">
        <w:rPr>
          <w:rFonts w:asciiTheme="minorHAnsi" w:hAnsiTheme="minorHAnsi" w:cstheme="minorHAnsi"/>
          <w:szCs w:val="24"/>
        </w:rPr>
        <w:t>s</w:t>
      </w:r>
      <w:r w:rsidRPr="005973CD">
        <w:rPr>
          <w:rFonts w:asciiTheme="minorHAnsi" w:hAnsiTheme="minorHAnsi" w:cstheme="minorHAnsi"/>
          <w:szCs w:val="24"/>
        </w:rPr>
        <w:t xml:space="preserve"> to determine deferral, exemption and rebate schemes.</w:t>
      </w:r>
    </w:p>
    <w:p w14:paraId="427F0A1A" w14:textId="0981C812"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292BC4">
        <w:rPr>
          <w:rFonts w:asciiTheme="minorHAnsi" w:hAnsiTheme="minorHAnsi" w:cstheme="minorHAnsi"/>
          <w:noProof/>
        </w:rPr>
        <w:t>39</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New part 21</w:t>
      </w:r>
    </w:p>
    <w:p w14:paraId="575F933A" w14:textId="52E50998" w:rsidR="005973CD" w:rsidRPr="005973CD" w:rsidRDefault="005973CD" w:rsidP="002E3A1A">
      <w:pPr>
        <w:spacing w:before="240" w:after="120"/>
        <w:contextualSpacing/>
        <w:rPr>
          <w:rFonts w:asciiTheme="minorHAnsi" w:hAnsiTheme="minorHAnsi" w:cstheme="minorHAnsi"/>
          <w:szCs w:val="24"/>
        </w:rPr>
      </w:pPr>
      <w:r w:rsidRPr="005973CD">
        <w:rPr>
          <w:rFonts w:asciiTheme="minorHAnsi" w:hAnsiTheme="minorHAnsi" w:cstheme="minorHAnsi"/>
          <w:szCs w:val="24"/>
        </w:rPr>
        <w:t>This clause provides for a transitional arrangement, to allow for the change from the previous provisions that specifically support schemes that form part of the COVID-19 emergency response to the permanent operation of these power</w:t>
      </w:r>
      <w:r w:rsidR="00292BC4">
        <w:rPr>
          <w:rFonts w:asciiTheme="minorHAnsi" w:hAnsiTheme="minorHAnsi" w:cstheme="minorHAnsi"/>
          <w:szCs w:val="24"/>
        </w:rPr>
        <w:t>s</w:t>
      </w:r>
      <w:r w:rsidRPr="005973CD">
        <w:rPr>
          <w:rFonts w:asciiTheme="minorHAnsi" w:hAnsiTheme="minorHAnsi" w:cstheme="minorHAnsi"/>
          <w:szCs w:val="24"/>
        </w:rPr>
        <w:t>.</w:t>
      </w:r>
    </w:p>
    <w:p w14:paraId="6149AB9F" w14:textId="65CF4C73" w:rsidR="001428EA" w:rsidRPr="005973CD" w:rsidRDefault="005973CD" w:rsidP="002E3A1A">
      <w:pPr>
        <w:spacing w:before="240" w:after="120"/>
        <w:rPr>
          <w:rFonts w:asciiTheme="minorHAnsi" w:hAnsiTheme="minorHAnsi" w:cstheme="minorHAnsi"/>
          <w:lang w:eastAsia="en-AU"/>
        </w:rPr>
      </w:pPr>
      <w:r w:rsidRPr="005973CD">
        <w:rPr>
          <w:rFonts w:asciiTheme="minorHAnsi" w:hAnsiTheme="minorHAnsi" w:cstheme="minorHAnsi"/>
          <w:szCs w:val="24"/>
        </w:rPr>
        <w:t>There is one existing exemption scheme that was determined under the previous section 137E</w:t>
      </w:r>
      <w:r w:rsidR="00292BC4">
        <w:rPr>
          <w:rFonts w:asciiTheme="minorHAnsi" w:hAnsiTheme="minorHAnsi" w:cstheme="minorHAnsi"/>
          <w:szCs w:val="24"/>
        </w:rPr>
        <w:t xml:space="preserve">, </w:t>
      </w:r>
      <w:r w:rsidRPr="005973CD">
        <w:rPr>
          <w:rFonts w:asciiTheme="minorHAnsi" w:hAnsiTheme="minorHAnsi" w:cstheme="minorHAnsi"/>
          <w:szCs w:val="24"/>
        </w:rPr>
        <w:t xml:space="preserve">that is the </w:t>
      </w:r>
      <w:r w:rsidRPr="005973CD">
        <w:rPr>
          <w:rFonts w:asciiTheme="minorHAnsi" w:hAnsiTheme="minorHAnsi" w:cstheme="minorHAnsi"/>
          <w:i/>
          <w:iCs/>
          <w:szCs w:val="24"/>
        </w:rPr>
        <w:t xml:space="preserve">Taxation Administration (Payroll Tax) COVID-19 Exemption Scheme Determination 2021 (No 2) </w:t>
      </w:r>
      <w:r w:rsidRPr="005973CD">
        <w:rPr>
          <w:rFonts w:asciiTheme="minorHAnsi" w:hAnsiTheme="minorHAnsi" w:cstheme="minorHAnsi"/>
          <w:szCs w:val="24"/>
        </w:rPr>
        <w:t xml:space="preserve">(DI2021-177) (determination). This transition provision ensures </w:t>
      </w:r>
      <w:r w:rsidRPr="005973CD">
        <w:rPr>
          <w:rFonts w:asciiTheme="minorHAnsi" w:hAnsiTheme="minorHAnsi" w:cstheme="minorHAnsi"/>
          <w:szCs w:val="24"/>
        </w:rPr>
        <w:lastRenderedPageBreak/>
        <w:t>that the determination continues to be in force until it expires on 30 June 2022 or is otherwise revoked. It also clarifies that any exemption made under the determination, but after the commencement date of the amended provision, is taken to be a valid exemption.</w:t>
      </w:r>
    </w:p>
    <w:p w14:paraId="02CA4325" w14:textId="1301C282" w:rsidR="001428EA" w:rsidRDefault="001428EA" w:rsidP="001428EA">
      <w:pPr>
        <w:pStyle w:val="Heading4"/>
        <w:keepNext w:val="0"/>
        <w:rPr>
          <w:rFonts w:asciiTheme="minorHAnsi" w:hAnsiTheme="minorHAnsi" w:cstheme="minorHAnsi"/>
          <w:lang w:eastAsia="en-AU"/>
        </w:rPr>
      </w:pPr>
      <w:r w:rsidRPr="00D4690B">
        <w:rPr>
          <w:rFonts w:asciiTheme="minorHAnsi" w:hAnsiTheme="minorHAnsi" w:cstheme="minorHAnsi"/>
        </w:rPr>
        <w:t xml:space="preserve">Clause </w:t>
      </w:r>
      <w:r w:rsidRPr="00D4690B">
        <w:rPr>
          <w:rFonts w:asciiTheme="minorHAnsi" w:hAnsiTheme="minorHAnsi" w:cstheme="minorHAnsi"/>
        </w:rPr>
        <w:fldChar w:fldCharType="begin"/>
      </w:r>
      <w:r w:rsidRPr="00D4690B">
        <w:rPr>
          <w:rFonts w:asciiTheme="minorHAnsi" w:hAnsiTheme="minorHAnsi" w:cstheme="minorHAnsi"/>
        </w:rPr>
        <w:instrText xml:space="preserve"> SEQ Clause \* ARABIC </w:instrText>
      </w:r>
      <w:r w:rsidRPr="00D4690B">
        <w:rPr>
          <w:rFonts w:asciiTheme="minorHAnsi" w:hAnsiTheme="minorHAnsi" w:cstheme="minorHAnsi"/>
        </w:rPr>
        <w:fldChar w:fldCharType="separate"/>
      </w:r>
      <w:r w:rsidR="00292BC4">
        <w:rPr>
          <w:rFonts w:asciiTheme="minorHAnsi" w:hAnsiTheme="minorHAnsi" w:cstheme="minorHAnsi"/>
          <w:noProof/>
        </w:rPr>
        <w:t>40</w:t>
      </w:r>
      <w:r w:rsidRPr="00D4690B">
        <w:rPr>
          <w:rFonts w:asciiTheme="minorHAnsi" w:hAnsiTheme="minorHAnsi" w:cstheme="minorHAnsi"/>
          <w:noProof/>
        </w:rPr>
        <w:fldChar w:fldCharType="end"/>
      </w:r>
      <w:r w:rsidRPr="00D4690B">
        <w:rPr>
          <w:rFonts w:asciiTheme="minorHAnsi" w:hAnsiTheme="minorHAnsi" w:cstheme="minorHAnsi"/>
          <w:bCs/>
          <w:lang w:eastAsia="en-AU"/>
        </w:rPr>
        <w:t xml:space="preserve"> </w:t>
      </w:r>
      <w:r w:rsidRPr="00D4690B">
        <w:rPr>
          <w:rFonts w:asciiTheme="minorHAnsi" w:hAnsiTheme="minorHAnsi" w:cstheme="minorHAnsi"/>
          <w:lang w:eastAsia="en-AU"/>
        </w:rPr>
        <w:t xml:space="preserve">– </w:t>
      </w:r>
      <w:r>
        <w:rPr>
          <w:rFonts w:asciiTheme="minorHAnsi" w:hAnsiTheme="minorHAnsi" w:cstheme="minorHAnsi"/>
          <w:lang w:eastAsia="en-AU"/>
        </w:rPr>
        <w:t>Dictionary, new definitions</w:t>
      </w:r>
    </w:p>
    <w:p w14:paraId="482A4003" w14:textId="68CA77BF" w:rsidR="0020158F" w:rsidRPr="0020158F" w:rsidRDefault="005973CD" w:rsidP="009B4EE5">
      <w:pPr>
        <w:spacing w:before="240" w:after="120"/>
        <w:contextualSpacing/>
        <w:rPr>
          <w:lang w:eastAsia="en-AU"/>
        </w:rPr>
      </w:pPr>
      <w:r w:rsidRPr="005973CD">
        <w:rPr>
          <w:rFonts w:asciiTheme="minorHAnsi" w:hAnsiTheme="minorHAnsi" w:cstheme="minorHAnsi"/>
          <w:szCs w:val="24"/>
        </w:rPr>
        <w:t>This clause provides for consequential amendments to include definitions related to the schemes.</w:t>
      </w:r>
    </w:p>
    <w:p w14:paraId="734F0F33" w14:textId="77777777" w:rsidR="008B40CE" w:rsidRPr="00D4690B" w:rsidRDefault="008B40CE" w:rsidP="008B40CE">
      <w:pPr>
        <w:rPr>
          <w:rFonts w:asciiTheme="minorHAnsi" w:hAnsiTheme="minorHAnsi" w:cstheme="minorHAnsi"/>
          <w:szCs w:val="24"/>
          <w:lang w:eastAsia="en-AU"/>
        </w:rPr>
      </w:pPr>
    </w:p>
    <w:p w14:paraId="3B070034" w14:textId="77777777" w:rsidR="008B40CE" w:rsidRPr="00D4690B" w:rsidRDefault="008B40CE" w:rsidP="008B40CE">
      <w:pPr>
        <w:rPr>
          <w:rFonts w:asciiTheme="minorHAnsi" w:hAnsiTheme="minorHAnsi" w:cstheme="minorHAnsi"/>
          <w:szCs w:val="24"/>
          <w:lang w:eastAsia="en-AU"/>
        </w:rPr>
      </w:pPr>
    </w:p>
    <w:p w14:paraId="20FB2816" w14:textId="77777777" w:rsidR="008B40CE" w:rsidRPr="00D4690B" w:rsidRDefault="008B40CE" w:rsidP="008B40CE">
      <w:pPr>
        <w:rPr>
          <w:rFonts w:asciiTheme="minorHAnsi" w:hAnsiTheme="minorHAnsi" w:cstheme="minorHAnsi"/>
          <w:szCs w:val="24"/>
          <w:lang w:eastAsia="en-AU"/>
        </w:rPr>
      </w:pPr>
    </w:p>
    <w:sectPr w:rsidR="008B40CE" w:rsidRPr="00D4690B"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DF354" w14:textId="77777777" w:rsidR="00BC68A6" w:rsidRDefault="00BC68A6" w:rsidP="00EB113E">
      <w:pPr>
        <w:spacing w:after="0" w:line="240" w:lineRule="auto"/>
      </w:pPr>
      <w:r>
        <w:separator/>
      </w:r>
    </w:p>
  </w:endnote>
  <w:endnote w:type="continuationSeparator" w:id="0">
    <w:p w14:paraId="3A87E23A" w14:textId="77777777" w:rsidR="00BC68A6" w:rsidRDefault="00BC68A6"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6C264" w14:textId="77777777" w:rsidR="008655EF" w:rsidRDefault="0086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9CEC7" w14:textId="667D8DDC" w:rsidR="00E46AF9" w:rsidRPr="008655EF" w:rsidRDefault="008655EF" w:rsidP="008655EF">
    <w:pPr>
      <w:pStyle w:val="Footer"/>
      <w:spacing w:after="0" w:line="240" w:lineRule="auto"/>
      <w:jc w:val="center"/>
      <w:rPr>
        <w:rFonts w:ascii="Arial" w:hAnsi="Arial" w:cs="Arial"/>
        <w:sz w:val="14"/>
      </w:rPr>
    </w:pPr>
    <w:r w:rsidRPr="008655E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B299A" w14:textId="07EB3C86" w:rsidR="00E46AF9" w:rsidRPr="008655EF" w:rsidRDefault="008655EF" w:rsidP="008655EF">
    <w:pPr>
      <w:pStyle w:val="Footer"/>
      <w:spacing w:after="0" w:line="240" w:lineRule="auto"/>
      <w:jc w:val="center"/>
      <w:rPr>
        <w:rFonts w:ascii="Arial" w:hAnsi="Arial" w:cs="Arial"/>
        <w:sz w:val="14"/>
      </w:rPr>
    </w:pPr>
    <w:r w:rsidRPr="008655E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5C39C" w14:textId="4A410C5B" w:rsidR="00E46AF9" w:rsidRDefault="00E46AF9" w:rsidP="00DA3335">
    <w:pPr>
      <w:pStyle w:val="Footer"/>
      <w:jc w:val="right"/>
      <w:rPr>
        <w:rFonts w:asciiTheme="minorHAnsi" w:hAnsiTheme="minorHAnsi" w:cstheme="minorHAnsi"/>
        <w:noProof/>
        <w:sz w:val="20"/>
        <w:szCs w:val="20"/>
      </w:rPr>
    </w:pPr>
    <w:r w:rsidRPr="009760BD">
      <w:rPr>
        <w:rFonts w:asciiTheme="minorHAnsi" w:hAnsiTheme="minorHAnsi" w:cstheme="minorHAnsi"/>
        <w:sz w:val="20"/>
        <w:szCs w:val="20"/>
      </w:rPr>
      <w:fldChar w:fldCharType="begin"/>
    </w:r>
    <w:r w:rsidRPr="009760BD">
      <w:rPr>
        <w:rFonts w:asciiTheme="minorHAnsi" w:hAnsiTheme="minorHAnsi" w:cstheme="minorHAnsi"/>
        <w:sz w:val="20"/>
        <w:szCs w:val="20"/>
      </w:rPr>
      <w:instrText xml:space="preserve"> PAGE   \* MERGEFORMAT </w:instrText>
    </w:r>
    <w:r w:rsidRPr="009760BD">
      <w:rPr>
        <w:rFonts w:asciiTheme="minorHAnsi" w:hAnsiTheme="minorHAnsi" w:cstheme="minorHAnsi"/>
        <w:sz w:val="20"/>
        <w:szCs w:val="20"/>
      </w:rPr>
      <w:fldChar w:fldCharType="separate"/>
    </w:r>
    <w:r w:rsidRPr="009760BD">
      <w:rPr>
        <w:rFonts w:asciiTheme="minorHAnsi" w:hAnsiTheme="minorHAnsi" w:cstheme="minorHAnsi"/>
        <w:noProof/>
        <w:sz w:val="20"/>
        <w:szCs w:val="20"/>
      </w:rPr>
      <w:t>10</w:t>
    </w:r>
    <w:r w:rsidRPr="009760BD">
      <w:rPr>
        <w:rFonts w:asciiTheme="minorHAnsi" w:hAnsiTheme="minorHAnsi" w:cstheme="minorHAnsi"/>
        <w:noProof/>
        <w:sz w:val="20"/>
        <w:szCs w:val="20"/>
      </w:rPr>
      <w:fldChar w:fldCharType="end"/>
    </w:r>
  </w:p>
  <w:p w14:paraId="3C83CBC9" w14:textId="278CA977" w:rsidR="00E46AF9" w:rsidRPr="008655EF" w:rsidRDefault="008655EF" w:rsidP="008655EF">
    <w:pPr>
      <w:pStyle w:val="Footer"/>
      <w:spacing w:after="0" w:line="240" w:lineRule="auto"/>
      <w:jc w:val="center"/>
      <w:rPr>
        <w:rFonts w:ascii="Arial" w:hAnsi="Arial" w:cs="Arial"/>
        <w:sz w:val="14"/>
        <w:szCs w:val="20"/>
      </w:rPr>
    </w:pPr>
    <w:r w:rsidRPr="008655EF">
      <w:rPr>
        <w:rFonts w:ascii="Arial" w:hAnsi="Arial" w:cs="Arial"/>
        <w:sz w:val="14"/>
        <w:szCs w:val="20"/>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A0604" w14:textId="61CA9A0C" w:rsidR="00E46AF9" w:rsidRDefault="00E46AF9" w:rsidP="00DA3335">
    <w:pPr>
      <w:pStyle w:val="Footer"/>
      <w:jc w:val="right"/>
      <w:rPr>
        <w:rFonts w:ascii="Arial" w:hAnsi="Arial" w:cs="Arial"/>
        <w:noProof/>
        <w:sz w:val="20"/>
        <w:szCs w:val="20"/>
      </w:rPr>
    </w:pPr>
    <w:r w:rsidRPr="00476911">
      <w:rPr>
        <w:rFonts w:ascii="Arial" w:hAnsi="Arial" w:cs="Arial"/>
        <w:sz w:val="20"/>
        <w:szCs w:val="20"/>
      </w:rPr>
      <w:fldChar w:fldCharType="begin"/>
    </w:r>
    <w:r w:rsidRPr="00476911">
      <w:rPr>
        <w:rFonts w:ascii="Arial" w:hAnsi="Arial" w:cs="Arial"/>
        <w:sz w:val="20"/>
        <w:szCs w:val="20"/>
      </w:rPr>
      <w:instrText xml:space="preserve"> PAGE   \* MERGEFORMAT </w:instrText>
    </w:r>
    <w:r w:rsidRPr="00476911">
      <w:rPr>
        <w:rFonts w:ascii="Arial" w:hAnsi="Arial" w:cs="Arial"/>
        <w:sz w:val="20"/>
        <w:szCs w:val="20"/>
      </w:rPr>
      <w:fldChar w:fldCharType="separate"/>
    </w:r>
    <w:r w:rsidRPr="00476911">
      <w:rPr>
        <w:rFonts w:ascii="Arial" w:hAnsi="Arial" w:cs="Arial"/>
        <w:noProof/>
        <w:sz w:val="20"/>
        <w:szCs w:val="20"/>
      </w:rPr>
      <w:t>1</w:t>
    </w:r>
    <w:r w:rsidRPr="00476911">
      <w:rPr>
        <w:rFonts w:ascii="Arial" w:hAnsi="Arial" w:cs="Arial"/>
        <w:noProof/>
        <w:sz w:val="20"/>
        <w:szCs w:val="20"/>
      </w:rPr>
      <w:fldChar w:fldCharType="end"/>
    </w:r>
  </w:p>
  <w:p w14:paraId="348497E6" w14:textId="79B81F10" w:rsidR="00E46AF9" w:rsidRPr="008655EF" w:rsidRDefault="008655EF" w:rsidP="008655EF">
    <w:pPr>
      <w:pStyle w:val="Footer"/>
      <w:spacing w:after="0" w:line="240" w:lineRule="auto"/>
      <w:jc w:val="center"/>
      <w:rPr>
        <w:rFonts w:ascii="Arial" w:hAnsi="Arial" w:cs="Arial"/>
        <w:sz w:val="14"/>
        <w:szCs w:val="20"/>
      </w:rPr>
    </w:pPr>
    <w:r w:rsidRPr="008655EF">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3D79B" w14:textId="77777777" w:rsidR="00BC68A6" w:rsidRDefault="00BC68A6" w:rsidP="00EB113E">
      <w:pPr>
        <w:spacing w:after="0" w:line="240" w:lineRule="auto"/>
      </w:pPr>
      <w:r>
        <w:separator/>
      </w:r>
    </w:p>
  </w:footnote>
  <w:footnote w:type="continuationSeparator" w:id="0">
    <w:p w14:paraId="5CD6FE5E" w14:textId="77777777" w:rsidR="00BC68A6" w:rsidRDefault="00BC68A6" w:rsidP="00EB113E">
      <w:pPr>
        <w:spacing w:after="0" w:line="240" w:lineRule="auto"/>
      </w:pPr>
      <w:r>
        <w:continuationSeparator/>
      </w:r>
    </w:p>
  </w:footnote>
  <w:footnote w:id="1">
    <w:p w14:paraId="3338DD01" w14:textId="77777777" w:rsidR="00E46AF9" w:rsidRPr="002E3A1A" w:rsidRDefault="00E46AF9" w:rsidP="000A0AED">
      <w:pPr>
        <w:pStyle w:val="FootnoteText"/>
        <w:rPr>
          <w:rFonts w:asciiTheme="minorHAnsi" w:hAnsiTheme="minorHAnsi" w:cstheme="minorHAnsi"/>
          <w:sz w:val="16"/>
          <w:szCs w:val="16"/>
        </w:rPr>
      </w:pPr>
      <w:r w:rsidRPr="002E3A1A">
        <w:rPr>
          <w:rStyle w:val="FootnoteReference"/>
          <w:rFonts w:asciiTheme="minorHAnsi" w:hAnsiTheme="minorHAnsi" w:cstheme="minorHAnsi"/>
          <w:sz w:val="16"/>
          <w:szCs w:val="16"/>
        </w:rPr>
        <w:footnoteRef/>
      </w:r>
      <w:r w:rsidRPr="002E3A1A">
        <w:rPr>
          <w:rFonts w:asciiTheme="minorHAnsi" w:hAnsiTheme="minorHAnsi" w:cstheme="minorHAnsi"/>
          <w:sz w:val="16"/>
          <w:szCs w:val="16"/>
        </w:rPr>
        <w:t xml:space="preserve"> Colvin, M &amp; Cooper, J, 2009 </w:t>
      </w:r>
      <w:r w:rsidRPr="002E3A1A">
        <w:rPr>
          <w:rFonts w:asciiTheme="minorHAnsi" w:hAnsiTheme="minorHAnsi" w:cstheme="minorHAnsi"/>
          <w:i/>
          <w:sz w:val="16"/>
          <w:szCs w:val="16"/>
        </w:rPr>
        <w:t>‘Human Rights in the Investigation and Prosecution of Crime’</w:t>
      </w:r>
      <w:r w:rsidRPr="002E3A1A">
        <w:rPr>
          <w:rFonts w:asciiTheme="minorHAnsi" w:hAnsiTheme="minorHAnsi" w:cstheme="minorHAnsi"/>
          <w:sz w:val="16"/>
          <w:szCs w:val="16"/>
        </w:rPr>
        <w:t xml:space="preserve"> Oxford University Press, p.425. For more detail on positive obligations, see generally, Akandji-Kombe, J, 2007 ‘</w:t>
      </w:r>
      <w:r w:rsidRPr="002E3A1A">
        <w:rPr>
          <w:rFonts w:asciiTheme="minorHAnsi" w:hAnsiTheme="minorHAnsi" w:cstheme="minorHAnsi"/>
          <w:i/>
          <w:sz w:val="16"/>
          <w:szCs w:val="16"/>
        </w:rPr>
        <w:t>Positive obligations under the European Convention on Human Rights’</w:t>
      </w:r>
      <w:r w:rsidRPr="002E3A1A">
        <w:rPr>
          <w:rFonts w:asciiTheme="minorHAnsi" w:hAnsiTheme="minorHAnsi" w:cstheme="minorHAnsi"/>
          <w:sz w:val="16"/>
          <w:szCs w:val="16"/>
        </w:rPr>
        <w:t>, Council of Europe.</w:t>
      </w:r>
    </w:p>
  </w:footnote>
  <w:footnote w:id="2">
    <w:p w14:paraId="1E171B2D" w14:textId="77777777" w:rsidR="00E46AF9" w:rsidRPr="002E3A1A" w:rsidRDefault="00E46AF9" w:rsidP="000A0AED">
      <w:pPr>
        <w:pStyle w:val="FootnoteText"/>
        <w:rPr>
          <w:rFonts w:asciiTheme="minorHAnsi" w:hAnsiTheme="minorHAnsi" w:cstheme="minorHAnsi"/>
          <w:sz w:val="16"/>
          <w:szCs w:val="16"/>
        </w:rPr>
      </w:pPr>
      <w:r w:rsidRPr="002E3A1A">
        <w:rPr>
          <w:rStyle w:val="FootnoteReference"/>
          <w:rFonts w:asciiTheme="minorHAnsi" w:hAnsiTheme="minorHAnsi" w:cstheme="minorHAnsi"/>
          <w:sz w:val="16"/>
          <w:szCs w:val="16"/>
        </w:rPr>
        <w:footnoteRef/>
      </w:r>
      <w:r w:rsidRPr="002E3A1A">
        <w:rPr>
          <w:rFonts w:asciiTheme="minorHAnsi" w:hAnsiTheme="minorHAnsi" w:cstheme="minorHAnsi"/>
          <w:sz w:val="16"/>
          <w:szCs w:val="16"/>
        </w:rPr>
        <w:t xml:space="preserve"> [</w:t>
      </w:r>
      <w:r w:rsidRPr="002E3A1A">
        <w:rPr>
          <w:rFonts w:asciiTheme="minorHAnsi" w:hAnsiTheme="minorHAnsi" w:cstheme="minorHAnsi"/>
          <w:bCs/>
          <w:sz w:val="16"/>
          <w:szCs w:val="16"/>
        </w:rPr>
        <w:t>1986</w:t>
      </w:r>
      <w:r w:rsidRPr="002E3A1A">
        <w:rPr>
          <w:rFonts w:asciiTheme="minorHAnsi" w:hAnsiTheme="minorHAnsi" w:cstheme="minorHAnsi"/>
          <w:sz w:val="16"/>
          <w:szCs w:val="16"/>
        </w:rPr>
        <w:t>] 1 S.C.</w:t>
      </w:r>
      <w:r w:rsidRPr="002E3A1A">
        <w:rPr>
          <w:rFonts w:asciiTheme="minorHAnsi" w:hAnsiTheme="minorHAnsi" w:cstheme="minorHAnsi"/>
          <w:bCs/>
          <w:sz w:val="16"/>
          <w:szCs w:val="16"/>
        </w:rPr>
        <w:t>R</w:t>
      </w:r>
      <w:r w:rsidRPr="002E3A1A">
        <w:rPr>
          <w:rFonts w:asciiTheme="minorHAnsi" w:hAnsiTheme="minorHAnsi" w:cstheme="minorHAnsi"/>
          <w:sz w:val="16"/>
          <w:szCs w:val="16"/>
        </w:rPr>
        <w:t>. 103.</w:t>
      </w:r>
    </w:p>
  </w:footnote>
  <w:footnote w:id="3">
    <w:p w14:paraId="777A5EA4" w14:textId="77777777" w:rsidR="00E46AF9" w:rsidRPr="002E3A1A" w:rsidRDefault="00E46AF9" w:rsidP="000A0AED">
      <w:pPr>
        <w:pStyle w:val="FootnoteText"/>
        <w:rPr>
          <w:rFonts w:asciiTheme="minorHAnsi" w:hAnsiTheme="minorHAnsi" w:cstheme="minorHAnsi"/>
          <w:sz w:val="16"/>
          <w:szCs w:val="16"/>
        </w:rPr>
      </w:pPr>
      <w:r w:rsidRPr="002E3A1A">
        <w:rPr>
          <w:rStyle w:val="FootnoteReference"/>
          <w:rFonts w:asciiTheme="minorHAnsi" w:hAnsiTheme="minorHAnsi" w:cstheme="minorHAnsi"/>
          <w:sz w:val="16"/>
          <w:szCs w:val="16"/>
        </w:rPr>
        <w:footnoteRef/>
      </w:r>
      <w:r w:rsidRPr="002E3A1A">
        <w:rPr>
          <w:rFonts w:asciiTheme="minorHAnsi" w:hAnsiTheme="minorHAnsi" w:cstheme="minorHAnsi"/>
          <w:sz w:val="16"/>
          <w:szCs w:val="16"/>
        </w:rPr>
        <w:t xml:space="preserve"> </w:t>
      </w:r>
      <w:r w:rsidRPr="002E3A1A">
        <w:rPr>
          <w:rFonts w:asciiTheme="minorHAnsi" w:hAnsiTheme="minorHAnsi" w:cstheme="minorHAnsi"/>
          <w:bCs/>
          <w:i/>
          <w:sz w:val="16"/>
          <w:szCs w:val="16"/>
        </w:rPr>
        <w:t>R v Oakes</w:t>
      </w:r>
      <w:r w:rsidRPr="002E3A1A">
        <w:rPr>
          <w:rFonts w:asciiTheme="minorHAnsi" w:hAnsiTheme="minorHAnsi" w:cstheme="minorHAnsi"/>
          <w:bCs/>
          <w:sz w:val="16"/>
          <w:szCs w:val="16"/>
        </w:rPr>
        <w:t xml:space="preserve"> [1986</w:t>
      </w:r>
      <w:r w:rsidRPr="002E3A1A">
        <w:rPr>
          <w:rFonts w:asciiTheme="minorHAnsi" w:hAnsiTheme="minorHAnsi" w:cstheme="minorHAnsi"/>
          <w:sz w:val="16"/>
          <w:szCs w:val="16"/>
        </w:rPr>
        <w:t>] 1 S.C.</w:t>
      </w:r>
      <w:r w:rsidRPr="002E3A1A">
        <w:rPr>
          <w:rFonts w:asciiTheme="minorHAnsi" w:hAnsiTheme="minorHAnsi" w:cstheme="minorHAnsi"/>
          <w:bCs/>
          <w:sz w:val="16"/>
          <w:szCs w:val="16"/>
        </w:rPr>
        <w:t>R</w:t>
      </w:r>
      <w:r w:rsidRPr="002E3A1A">
        <w:rPr>
          <w:rFonts w:asciiTheme="minorHAnsi" w:hAnsiTheme="minorHAnsi" w:cstheme="minorHAnsi"/>
          <w:sz w:val="16"/>
          <w:szCs w:val="16"/>
        </w:rPr>
        <w:t>. 103.</w:t>
      </w:r>
    </w:p>
  </w:footnote>
  <w:footnote w:id="4">
    <w:p w14:paraId="1CFF1A4F" w14:textId="0CB7681D" w:rsidR="00E46AF9" w:rsidRPr="002E3A1A" w:rsidRDefault="00E46AF9" w:rsidP="000A0AED">
      <w:pPr>
        <w:pStyle w:val="FootnoteText"/>
        <w:rPr>
          <w:rFonts w:asciiTheme="minorHAnsi" w:hAnsiTheme="minorHAnsi" w:cstheme="minorHAnsi"/>
          <w:sz w:val="16"/>
          <w:szCs w:val="16"/>
        </w:rPr>
      </w:pPr>
      <w:r w:rsidRPr="002E3A1A">
        <w:rPr>
          <w:rStyle w:val="FootnoteReference"/>
          <w:rFonts w:asciiTheme="minorHAnsi" w:hAnsiTheme="minorHAnsi" w:cstheme="minorHAnsi"/>
          <w:sz w:val="16"/>
          <w:szCs w:val="16"/>
        </w:rPr>
        <w:footnoteRef/>
      </w:r>
      <w:r w:rsidRPr="002E3A1A">
        <w:rPr>
          <w:rFonts w:asciiTheme="minorHAnsi" w:hAnsiTheme="minorHAnsi" w:cstheme="minorHAnsi"/>
          <w:sz w:val="16"/>
          <w:szCs w:val="16"/>
        </w:rPr>
        <w:t xml:space="preserve"> Australian Law Reform Commission, </w:t>
      </w:r>
      <w:r w:rsidRPr="002E3A1A">
        <w:rPr>
          <w:rFonts w:asciiTheme="minorHAnsi" w:hAnsiTheme="minorHAnsi" w:cstheme="minorHAnsi"/>
          <w:i/>
          <w:iCs/>
          <w:sz w:val="16"/>
          <w:szCs w:val="16"/>
        </w:rPr>
        <w:t>Elder Abuse—A National Legal Response</w:t>
      </w:r>
      <w:r w:rsidRPr="002E3A1A">
        <w:rPr>
          <w:rFonts w:asciiTheme="minorHAnsi" w:hAnsiTheme="minorHAnsi" w:cstheme="minorHAnsi"/>
          <w:sz w:val="16"/>
          <w:szCs w:val="16"/>
        </w:rPr>
        <w:t xml:space="preserve"> (Report 131, June 2017).</w:t>
      </w:r>
    </w:p>
  </w:footnote>
  <w:footnote w:id="5">
    <w:p w14:paraId="5CEF83A4" w14:textId="656C8E08" w:rsidR="00E46AF9" w:rsidRPr="002E3A1A" w:rsidRDefault="00E46AF9">
      <w:pPr>
        <w:pStyle w:val="FootnoteText"/>
        <w:rPr>
          <w:rFonts w:asciiTheme="minorHAnsi" w:hAnsiTheme="minorHAnsi" w:cstheme="minorHAnsi"/>
          <w:sz w:val="16"/>
          <w:szCs w:val="16"/>
        </w:rPr>
      </w:pPr>
      <w:r w:rsidRPr="002E3A1A">
        <w:rPr>
          <w:rStyle w:val="FootnoteReference"/>
          <w:rFonts w:asciiTheme="minorHAnsi" w:hAnsiTheme="minorHAnsi" w:cstheme="minorHAnsi"/>
          <w:sz w:val="16"/>
          <w:szCs w:val="16"/>
        </w:rPr>
        <w:footnoteRef/>
      </w:r>
      <w:r w:rsidRPr="002E3A1A">
        <w:rPr>
          <w:rFonts w:asciiTheme="minorHAnsi" w:hAnsiTheme="minorHAnsi" w:cstheme="minorHAnsi"/>
          <w:sz w:val="16"/>
          <w:szCs w:val="16"/>
        </w:rPr>
        <w:t xml:space="preserve"> </w:t>
      </w:r>
      <w:bookmarkStart w:id="13" w:name="_Hlk79497743"/>
      <w:r w:rsidRPr="002E3A1A">
        <w:rPr>
          <w:rFonts w:asciiTheme="minorHAnsi" w:hAnsiTheme="minorHAnsi" w:cstheme="minorHAnsi"/>
          <w:sz w:val="16"/>
          <w:szCs w:val="16"/>
        </w:rPr>
        <w:t xml:space="preserve">Council of Attorneys-General, </w:t>
      </w:r>
      <w:r w:rsidRPr="002E3A1A">
        <w:rPr>
          <w:rFonts w:asciiTheme="minorHAnsi" w:hAnsiTheme="minorHAnsi" w:cstheme="minorHAnsi"/>
          <w:i/>
          <w:iCs/>
          <w:sz w:val="16"/>
          <w:szCs w:val="16"/>
        </w:rPr>
        <w:t>National Plan to Respond to the Abuse of Older Australians (Elder Abuse) 2019-2023</w:t>
      </w:r>
      <w:r w:rsidRPr="002E3A1A">
        <w:rPr>
          <w:rFonts w:asciiTheme="minorHAnsi" w:hAnsiTheme="minorHAnsi" w:cstheme="minorHAnsi"/>
          <w:sz w:val="16"/>
          <w:szCs w:val="16"/>
        </w:rPr>
        <w:t>, pp 29–32.</w:t>
      </w:r>
    </w:p>
    <w:bookmarkEnd w:id="13"/>
  </w:footnote>
  <w:footnote w:id="6">
    <w:p w14:paraId="46D2DFAC" w14:textId="77777777" w:rsidR="00E46AF9" w:rsidRPr="002E3A1A" w:rsidRDefault="00E46AF9" w:rsidP="000A0AED">
      <w:pPr>
        <w:pStyle w:val="FootnoteText"/>
        <w:rPr>
          <w:rFonts w:asciiTheme="minorHAnsi" w:hAnsiTheme="minorHAnsi" w:cstheme="minorHAnsi"/>
          <w:sz w:val="16"/>
          <w:szCs w:val="16"/>
        </w:rPr>
      </w:pPr>
      <w:r w:rsidRPr="002E3A1A">
        <w:rPr>
          <w:rStyle w:val="FootnoteReference"/>
          <w:rFonts w:asciiTheme="minorHAnsi" w:hAnsiTheme="minorHAnsi" w:cstheme="minorHAnsi"/>
          <w:sz w:val="16"/>
          <w:szCs w:val="16"/>
        </w:rPr>
        <w:footnoteRef/>
      </w:r>
      <w:r w:rsidRPr="002E3A1A">
        <w:rPr>
          <w:rFonts w:asciiTheme="minorHAnsi" w:hAnsiTheme="minorHAnsi" w:cstheme="minorHAnsi"/>
          <w:sz w:val="16"/>
          <w:szCs w:val="16"/>
        </w:rPr>
        <w:t xml:space="preserve"> Insight Consulting, Protection of Rights Services Review 2021, p62-63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F3A0E" w14:textId="77777777" w:rsidR="008655EF" w:rsidRDefault="00865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16C3" w14:textId="77777777" w:rsidR="008655EF" w:rsidRDefault="00865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74BFE" w14:textId="77777777" w:rsidR="008655EF" w:rsidRDefault="00865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6238C"/>
    <w:multiLevelType w:val="hybridMultilevel"/>
    <w:tmpl w:val="C1B4A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C6EAA"/>
    <w:multiLevelType w:val="hybridMultilevel"/>
    <w:tmpl w:val="9E6C43D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2495119B"/>
    <w:multiLevelType w:val="hybridMultilevel"/>
    <w:tmpl w:val="94C01D8C"/>
    <w:lvl w:ilvl="0" w:tplc="3FF4F1B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F865CB"/>
    <w:multiLevelType w:val="hybridMultilevel"/>
    <w:tmpl w:val="A6D85106"/>
    <w:lvl w:ilvl="0" w:tplc="CEB8288A">
      <w:start w:val="1"/>
      <w:numFmt w:val="lowerRoman"/>
      <w:pStyle w:val="Recommendation3"/>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5" w15:restartNumberingAfterBreak="0">
    <w:nsid w:val="3A2F6FBE"/>
    <w:multiLevelType w:val="hybridMultilevel"/>
    <w:tmpl w:val="232A6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B51DA3"/>
    <w:multiLevelType w:val="hybridMultilevel"/>
    <w:tmpl w:val="6A18A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E4C2F"/>
    <w:multiLevelType w:val="hybridMultilevel"/>
    <w:tmpl w:val="BDECAD7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016D5C"/>
    <w:multiLevelType w:val="hybridMultilevel"/>
    <w:tmpl w:val="70A0100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8"/>
  </w:num>
  <w:num w:numId="3">
    <w:abstractNumId w:val="2"/>
  </w:num>
  <w:num w:numId="4">
    <w:abstractNumId w:val="18"/>
  </w:num>
  <w:num w:numId="5">
    <w:abstractNumId w:val="0"/>
  </w:num>
  <w:num w:numId="6">
    <w:abstractNumId w:val="29"/>
  </w:num>
  <w:num w:numId="7">
    <w:abstractNumId w:val="6"/>
  </w:num>
  <w:num w:numId="8">
    <w:abstractNumId w:val="25"/>
  </w:num>
  <w:num w:numId="9">
    <w:abstractNumId w:val="26"/>
  </w:num>
  <w:num w:numId="10">
    <w:abstractNumId w:val="19"/>
  </w:num>
  <w:num w:numId="11">
    <w:abstractNumId w:val="1"/>
  </w:num>
  <w:num w:numId="12">
    <w:abstractNumId w:val="31"/>
  </w:num>
  <w:num w:numId="13">
    <w:abstractNumId w:val="4"/>
  </w:num>
  <w:num w:numId="14">
    <w:abstractNumId w:val="13"/>
  </w:num>
  <w:num w:numId="15">
    <w:abstractNumId w:val="16"/>
  </w:num>
  <w:num w:numId="16">
    <w:abstractNumId w:val="20"/>
  </w:num>
  <w:num w:numId="17">
    <w:abstractNumId w:val="9"/>
  </w:num>
  <w:num w:numId="18">
    <w:abstractNumId w:val="24"/>
  </w:num>
  <w:num w:numId="19">
    <w:abstractNumId w:val="23"/>
  </w:num>
  <w:num w:numId="20">
    <w:abstractNumId w:val="22"/>
  </w:num>
  <w:num w:numId="21">
    <w:abstractNumId w:val="17"/>
  </w:num>
  <w:num w:numId="22">
    <w:abstractNumId w:val="21"/>
  </w:num>
  <w:num w:numId="23">
    <w:abstractNumId w:val="5"/>
  </w:num>
  <w:num w:numId="24">
    <w:abstractNumId w:val="10"/>
  </w:num>
  <w:num w:numId="25">
    <w:abstractNumId w:val="11"/>
  </w:num>
  <w:num w:numId="26">
    <w:abstractNumId w:val="12"/>
  </w:num>
  <w:num w:numId="27">
    <w:abstractNumId w:val="12"/>
    <w:lvlOverride w:ilvl="0">
      <w:startOverride w:val="1"/>
    </w:lvlOverride>
  </w:num>
  <w:num w:numId="28">
    <w:abstractNumId w:val="32"/>
  </w:num>
  <w:num w:numId="29">
    <w:abstractNumId w:val="12"/>
  </w:num>
  <w:num w:numId="30">
    <w:abstractNumId w:val="3"/>
  </w:num>
  <w:num w:numId="31">
    <w:abstractNumId w:val="15"/>
  </w:num>
  <w:num w:numId="32">
    <w:abstractNumId w:val="8"/>
  </w:num>
  <w:num w:numId="33">
    <w:abstractNumId w:val="7"/>
  </w:num>
  <w:num w:numId="34">
    <w:abstractNumId w:val="27"/>
  </w:num>
  <w:num w:numId="3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D7E61F-8E27-4012-863B-A37B6762D3BD}"/>
    <w:docVar w:name="dgnword-eventsink" w:val="621610184"/>
  </w:docVars>
  <w:rsids>
    <w:rsidRoot w:val="0030585F"/>
    <w:rsid w:val="000015A3"/>
    <w:rsid w:val="00003A60"/>
    <w:rsid w:val="00004C31"/>
    <w:rsid w:val="00004C8C"/>
    <w:rsid w:val="00006786"/>
    <w:rsid w:val="00006C49"/>
    <w:rsid w:val="000071C7"/>
    <w:rsid w:val="00007206"/>
    <w:rsid w:val="000101D9"/>
    <w:rsid w:val="000115BF"/>
    <w:rsid w:val="000116BF"/>
    <w:rsid w:val="0001228A"/>
    <w:rsid w:val="00012BB3"/>
    <w:rsid w:val="00012D1B"/>
    <w:rsid w:val="00014D20"/>
    <w:rsid w:val="00015C96"/>
    <w:rsid w:val="000169D0"/>
    <w:rsid w:val="00016D42"/>
    <w:rsid w:val="00020890"/>
    <w:rsid w:val="00020FDB"/>
    <w:rsid w:val="000215C2"/>
    <w:rsid w:val="00023463"/>
    <w:rsid w:val="00023F7F"/>
    <w:rsid w:val="000263D1"/>
    <w:rsid w:val="00026A03"/>
    <w:rsid w:val="00031D9F"/>
    <w:rsid w:val="000348B1"/>
    <w:rsid w:val="00037F43"/>
    <w:rsid w:val="000402AF"/>
    <w:rsid w:val="000428AD"/>
    <w:rsid w:val="00042B0B"/>
    <w:rsid w:val="00043790"/>
    <w:rsid w:val="00044FFD"/>
    <w:rsid w:val="00046749"/>
    <w:rsid w:val="00046A4A"/>
    <w:rsid w:val="00046F4A"/>
    <w:rsid w:val="00047523"/>
    <w:rsid w:val="000475F2"/>
    <w:rsid w:val="00047E5D"/>
    <w:rsid w:val="00050F68"/>
    <w:rsid w:val="00052380"/>
    <w:rsid w:val="0005298F"/>
    <w:rsid w:val="00053623"/>
    <w:rsid w:val="00053D52"/>
    <w:rsid w:val="00054020"/>
    <w:rsid w:val="000545DF"/>
    <w:rsid w:val="000559E0"/>
    <w:rsid w:val="00055EB6"/>
    <w:rsid w:val="0005733C"/>
    <w:rsid w:val="00057859"/>
    <w:rsid w:val="00060993"/>
    <w:rsid w:val="00061410"/>
    <w:rsid w:val="000625C1"/>
    <w:rsid w:val="00063E3F"/>
    <w:rsid w:val="00065917"/>
    <w:rsid w:val="000670EB"/>
    <w:rsid w:val="000673A5"/>
    <w:rsid w:val="00070620"/>
    <w:rsid w:val="00070EC3"/>
    <w:rsid w:val="000721B0"/>
    <w:rsid w:val="00072520"/>
    <w:rsid w:val="000748A0"/>
    <w:rsid w:val="00077560"/>
    <w:rsid w:val="0008299A"/>
    <w:rsid w:val="00085977"/>
    <w:rsid w:val="00086CEF"/>
    <w:rsid w:val="000900EC"/>
    <w:rsid w:val="00090B56"/>
    <w:rsid w:val="000911EB"/>
    <w:rsid w:val="00092EE3"/>
    <w:rsid w:val="0009319D"/>
    <w:rsid w:val="00093829"/>
    <w:rsid w:val="00093EE9"/>
    <w:rsid w:val="000974D5"/>
    <w:rsid w:val="000A0872"/>
    <w:rsid w:val="000A0AED"/>
    <w:rsid w:val="000A29DE"/>
    <w:rsid w:val="000A2E19"/>
    <w:rsid w:val="000A41D2"/>
    <w:rsid w:val="000A5481"/>
    <w:rsid w:val="000A5922"/>
    <w:rsid w:val="000B086A"/>
    <w:rsid w:val="000B0E83"/>
    <w:rsid w:val="000B119B"/>
    <w:rsid w:val="000B30D8"/>
    <w:rsid w:val="000B4650"/>
    <w:rsid w:val="000B4844"/>
    <w:rsid w:val="000B5559"/>
    <w:rsid w:val="000B68D6"/>
    <w:rsid w:val="000C08B4"/>
    <w:rsid w:val="000C4A95"/>
    <w:rsid w:val="000C52D8"/>
    <w:rsid w:val="000C5792"/>
    <w:rsid w:val="000C6B65"/>
    <w:rsid w:val="000C6CDD"/>
    <w:rsid w:val="000C6E4A"/>
    <w:rsid w:val="000C757E"/>
    <w:rsid w:val="000D00D3"/>
    <w:rsid w:val="000D08EB"/>
    <w:rsid w:val="000D0DF0"/>
    <w:rsid w:val="000D1672"/>
    <w:rsid w:val="000D3492"/>
    <w:rsid w:val="000D49AD"/>
    <w:rsid w:val="000D4E86"/>
    <w:rsid w:val="000E093A"/>
    <w:rsid w:val="000E0D63"/>
    <w:rsid w:val="000E122F"/>
    <w:rsid w:val="000E12ED"/>
    <w:rsid w:val="000E1760"/>
    <w:rsid w:val="000E3C9D"/>
    <w:rsid w:val="000E4C04"/>
    <w:rsid w:val="000E6C5B"/>
    <w:rsid w:val="000E6DAB"/>
    <w:rsid w:val="000E7048"/>
    <w:rsid w:val="000E7B1E"/>
    <w:rsid w:val="000F114D"/>
    <w:rsid w:val="000F309C"/>
    <w:rsid w:val="000F4CA8"/>
    <w:rsid w:val="000F58CA"/>
    <w:rsid w:val="000F6CC6"/>
    <w:rsid w:val="001013C2"/>
    <w:rsid w:val="00102162"/>
    <w:rsid w:val="00103DA7"/>
    <w:rsid w:val="001079CC"/>
    <w:rsid w:val="001129D2"/>
    <w:rsid w:val="0011351A"/>
    <w:rsid w:val="00113D31"/>
    <w:rsid w:val="0011578D"/>
    <w:rsid w:val="001161FE"/>
    <w:rsid w:val="00116CB0"/>
    <w:rsid w:val="00116F01"/>
    <w:rsid w:val="001202A7"/>
    <w:rsid w:val="00121C72"/>
    <w:rsid w:val="0012423D"/>
    <w:rsid w:val="00124DFA"/>
    <w:rsid w:val="00125EC6"/>
    <w:rsid w:val="0012660F"/>
    <w:rsid w:val="00126C7A"/>
    <w:rsid w:val="00126FD0"/>
    <w:rsid w:val="00131012"/>
    <w:rsid w:val="0013475A"/>
    <w:rsid w:val="00135F51"/>
    <w:rsid w:val="001364FE"/>
    <w:rsid w:val="0013726E"/>
    <w:rsid w:val="00137350"/>
    <w:rsid w:val="00137A6F"/>
    <w:rsid w:val="00141ACF"/>
    <w:rsid w:val="001428EA"/>
    <w:rsid w:val="00143817"/>
    <w:rsid w:val="00143847"/>
    <w:rsid w:val="00143B3D"/>
    <w:rsid w:val="0014533D"/>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1403"/>
    <w:rsid w:val="00161598"/>
    <w:rsid w:val="00161E92"/>
    <w:rsid w:val="0016244C"/>
    <w:rsid w:val="001627AD"/>
    <w:rsid w:val="00162893"/>
    <w:rsid w:val="00164C81"/>
    <w:rsid w:val="00165B49"/>
    <w:rsid w:val="00166B2A"/>
    <w:rsid w:val="00167163"/>
    <w:rsid w:val="00167A83"/>
    <w:rsid w:val="00167B13"/>
    <w:rsid w:val="00172631"/>
    <w:rsid w:val="001735A4"/>
    <w:rsid w:val="001752F7"/>
    <w:rsid w:val="00175D0E"/>
    <w:rsid w:val="0017781D"/>
    <w:rsid w:val="00177F7F"/>
    <w:rsid w:val="00180946"/>
    <w:rsid w:val="001820A2"/>
    <w:rsid w:val="00183148"/>
    <w:rsid w:val="00183CAA"/>
    <w:rsid w:val="00184158"/>
    <w:rsid w:val="0018628F"/>
    <w:rsid w:val="001863BC"/>
    <w:rsid w:val="00191C3D"/>
    <w:rsid w:val="00192B65"/>
    <w:rsid w:val="00195933"/>
    <w:rsid w:val="001A1F22"/>
    <w:rsid w:val="001A3A2E"/>
    <w:rsid w:val="001A42B5"/>
    <w:rsid w:val="001A48F2"/>
    <w:rsid w:val="001A58AC"/>
    <w:rsid w:val="001A5FB9"/>
    <w:rsid w:val="001A64D0"/>
    <w:rsid w:val="001A78FE"/>
    <w:rsid w:val="001B05B6"/>
    <w:rsid w:val="001B1AA2"/>
    <w:rsid w:val="001B30CE"/>
    <w:rsid w:val="001B3691"/>
    <w:rsid w:val="001B5F7A"/>
    <w:rsid w:val="001B64EB"/>
    <w:rsid w:val="001B7E69"/>
    <w:rsid w:val="001C1650"/>
    <w:rsid w:val="001C22AE"/>
    <w:rsid w:val="001C2523"/>
    <w:rsid w:val="001C2DED"/>
    <w:rsid w:val="001C4091"/>
    <w:rsid w:val="001C5B4D"/>
    <w:rsid w:val="001C6CCE"/>
    <w:rsid w:val="001D0F44"/>
    <w:rsid w:val="001D28FD"/>
    <w:rsid w:val="001D2CF9"/>
    <w:rsid w:val="001D485C"/>
    <w:rsid w:val="001D48C1"/>
    <w:rsid w:val="001D519A"/>
    <w:rsid w:val="001D56E3"/>
    <w:rsid w:val="001D6683"/>
    <w:rsid w:val="001E0F79"/>
    <w:rsid w:val="001E13ED"/>
    <w:rsid w:val="001E1AC6"/>
    <w:rsid w:val="001E2E89"/>
    <w:rsid w:val="001E3654"/>
    <w:rsid w:val="001E4A19"/>
    <w:rsid w:val="001E4C81"/>
    <w:rsid w:val="001E4E37"/>
    <w:rsid w:val="001E66FB"/>
    <w:rsid w:val="001E6E4E"/>
    <w:rsid w:val="001E7005"/>
    <w:rsid w:val="001F00A7"/>
    <w:rsid w:val="001F126B"/>
    <w:rsid w:val="001F2426"/>
    <w:rsid w:val="001F26DB"/>
    <w:rsid w:val="001F4E9D"/>
    <w:rsid w:val="001F6DBE"/>
    <w:rsid w:val="001F7F5F"/>
    <w:rsid w:val="00200955"/>
    <w:rsid w:val="0020136C"/>
    <w:rsid w:val="0020158F"/>
    <w:rsid w:val="00201AD8"/>
    <w:rsid w:val="00202D8A"/>
    <w:rsid w:val="0020440A"/>
    <w:rsid w:val="0020540B"/>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4B2"/>
    <w:rsid w:val="00225663"/>
    <w:rsid w:val="00225D75"/>
    <w:rsid w:val="00226A09"/>
    <w:rsid w:val="0022766D"/>
    <w:rsid w:val="00230442"/>
    <w:rsid w:val="002329EA"/>
    <w:rsid w:val="00234132"/>
    <w:rsid w:val="00234D19"/>
    <w:rsid w:val="002352DF"/>
    <w:rsid w:val="002361E0"/>
    <w:rsid w:val="00242605"/>
    <w:rsid w:val="0024673E"/>
    <w:rsid w:val="002469E9"/>
    <w:rsid w:val="00247DE7"/>
    <w:rsid w:val="00252CC5"/>
    <w:rsid w:val="00254067"/>
    <w:rsid w:val="002542E5"/>
    <w:rsid w:val="00254797"/>
    <w:rsid w:val="00254E3E"/>
    <w:rsid w:val="002555AB"/>
    <w:rsid w:val="00255D30"/>
    <w:rsid w:val="00256E81"/>
    <w:rsid w:val="00257029"/>
    <w:rsid w:val="00257A47"/>
    <w:rsid w:val="00260001"/>
    <w:rsid w:val="00263CB4"/>
    <w:rsid w:val="00263FCF"/>
    <w:rsid w:val="002641CC"/>
    <w:rsid w:val="00265966"/>
    <w:rsid w:val="0027025A"/>
    <w:rsid w:val="00270B08"/>
    <w:rsid w:val="00271FB4"/>
    <w:rsid w:val="00273BE9"/>
    <w:rsid w:val="002740B8"/>
    <w:rsid w:val="00276F77"/>
    <w:rsid w:val="00277539"/>
    <w:rsid w:val="00277A4C"/>
    <w:rsid w:val="0028119A"/>
    <w:rsid w:val="00281925"/>
    <w:rsid w:val="00281EB6"/>
    <w:rsid w:val="002838D0"/>
    <w:rsid w:val="00284155"/>
    <w:rsid w:val="00284AE1"/>
    <w:rsid w:val="00287F1A"/>
    <w:rsid w:val="00291CE9"/>
    <w:rsid w:val="00292BC4"/>
    <w:rsid w:val="00293CBB"/>
    <w:rsid w:val="00294123"/>
    <w:rsid w:val="00294F20"/>
    <w:rsid w:val="00295A55"/>
    <w:rsid w:val="00295CB1"/>
    <w:rsid w:val="00295EA3"/>
    <w:rsid w:val="002963D7"/>
    <w:rsid w:val="00296D06"/>
    <w:rsid w:val="00296D56"/>
    <w:rsid w:val="00297D32"/>
    <w:rsid w:val="002A1D6E"/>
    <w:rsid w:val="002A3308"/>
    <w:rsid w:val="002A3D03"/>
    <w:rsid w:val="002A69FB"/>
    <w:rsid w:val="002B0C42"/>
    <w:rsid w:val="002B21EE"/>
    <w:rsid w:val="002B282C"/>
    <w:rsid w:val="002B3688"/>
    <w:rsid w:val="002B545A"/>
    <w:rsid w:val="002B62B2"/>
    <w:rsid w:val="002B69FC"/>
    <w:rsid w:val="002B7E39"/>
    <w:rsid w:val="002C26F0"/>
    <w:rsid w:val="002C3109"/>
    <w:rsid w:val="002C3DA5"/>
    <w:rsid w:val="002C474E"/>
    <w:rsid w:val="002C4DB6"/>
    <w:rsid w:val="002C546E"/>
    <w:rsid w:val="002C667E"/>
    <w:rsid w:val="002C6A06"/>
    <w:rsid w:val="002C72FA"/>
    <w:rsid w:val="002C7864"/>
    <w:rsid w:val="002D0602"/>
    <w:rsid w:val="002D0BD8"/>
    <w:rsid w:val="002D4736"/>
    <w:rsid w:val="002D491A"/>
    <w:rsid w:val="002D5E29"/>
    <w:rsid w:val="002D64D5"/>
    <w:rsid w:val="002D6DEC"/>
    <w:rsid w:val="002D7EC5"/>
    <w:rsid w:val="002E088B"/>
    <w:rsid w:val="002E1092"/>
    <w:rsid w:val="002E1B08"/>
    <w:rsid w:val="002E1B66"/>
    <w:rsid w:val="002E2A34"/>
    <w:rsid w:val="002E37B4"/>
    <w:rsid w:val="002E3985"/>
    <w:rsid w:val="002E3A1A"/>
    <w:rsid w:val="002E55B5"/>
    <w:rsid w:val="002E59F4"/>
    <w:rsid w:val="002E67C3"/>
    <w:rsid w:val="002E6959"/>
    <w:rsid w:val="002F0FD2"/>
    <w:rsid w:val="002F18B6"/>
    <w:rsid w:val="002F1918"/>
    <w:rsid w:val="002F2784"/>
    <w:rsid w:val="002F437B"/>
    <w:rsid w:val="002F44DD"/>
    <w:rsid w:val="002F4F19"/>
    <w:rsid w:val="002F578C"/>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6462"/>
    <w:rsid w:val="00311615"/>
    <w:rsid w:val="00312E59"/>
    <w:rsid w:val="00313143"/>
    <w:rsid w:val="0031384F"/>
    <w:rsid w:val="003153CA"/>
    <w:rsid w:val="0031576A"/>
    <w:rsid w:val="00315ACA"/>
    <w:rsid w:val="0031614E"/>
    <w:rsid w:val="003168DF"/>
    <w:rsid w:val="003169F8"/>
    <w:rsid w:val="003172F1"/>
    <w:rsid w:val="00317DD7"/>
    <w:rsid w:val="00322584"/>
    <w:rsid w:val="00324782"/>
    <w:rsid w:val="003247F7"/>
    <w:rsid w:val="00326167"/>
    <w:rsid w:val="003264D5"/>
    <w:rsid w:val="003270F6"/>
    <w:rsid w:val="00327BD8"/>
    <w:rsid w:val="00330DC5"/>
    <w:rsid w:val="00332AF0"/>
    <w:rsid w:val="00333AB2"/>
    <w:rsid w:val="00333E5D"/>
    <w:rsid w:val="00334CCE"/>
    <w:rsid w:val="0033669B"/>
    <w:rsid w:val="00336AAF"/>
    <w:rsid w:val="00337F26"/>
    <w:rsid w:val="00342FB5"/>
    <w:rsid w:val="00343A7F"/>
    <w:rsid w:val="003473E6"/>
    <w:rsid w:val="00351F41"/>
    <w:rsid w:val="00352BB6"/>
    <w:rsid w:val="003530AF"/>
    <w:rsid w:val="00353230"/>
    <w:rsid w:val="00354214"/>
    <w:rsid w:val="003547B8"/>
    <w:rsid w:val="00354E28"/>
    <w:rsid w:val="00360CFB"/>
    <w:rsid w:val="00361639"/>
    <w:rsid w:val="0036321F"/>
    <w:rsid w:val="003656A8"/>
    <w:rsid w:val="00366367"/>
    <w:rsid w:val="00367472"/>
    <w:rsid w:val="0037046B"/>
    <w:rsid w:val="003706AB"/>
    <w:rsid w:val="00371ACC"/>
    <w:rsid w:val="003725DD"/>
    <w:rsid w:val="00372E7D"/>
    <w:rsid w:val="00373DC4"/>
    <w:rsid w:val="00373F54"/>
    <w:rsid w:val="0037435E"/>
    <w:rsid w:val="00374F71"/>
    <w:rsid w:val="003762BA"/>
    <w:rsid w:val="0037653A"/>
    <w:rsid w:val="003770C0"/>
    <w:rsid w:val="00380C89"/>
    <w:rsid w:val="003818A5"/>
    <w:rsid w:val="00381A2E"/>
    <w:rsid w:val="003823FA"/>
    <w:rsid w:val="00382806"/>
    <w:rsid w:val="00384B35"/>
    <w:rsid w:val="00384DCD"/>
    <w:rsid w:val="00384FF5"/>
    <w:rsid w:val="003868C8"/>
    <w:rsid w:val="00386B8D"/>
    <w:rsid w:val="003936D9"/>
    <w:rsid w:val="00393C03"/>
    <w:rsid w:val="00395BE9"/>
    <w:rsid w:val="00396F6F"/>
    <w:rsid w:val="003972FD"/>
    <w:rsid w:val="00397994"/>
    <w:rsid w:val="003A2779"/>
    <w:rsid w:val="003A35F7"/>
    <w:rsid w:val="003A3638"/>
    <w:rsid w:val="003A4EC1"/>
    <w:rsid w:val="003A5041"/>
    <w:rsid w:val="003A5DF4"/>
    <w:rsid w:val="003A5EB6"/>
    <w:rsid w:val="003A6387"/>
    <w:rsid w:val="003A774C"/>
    <w:rsid w:val="003A7C2F"/>
    <w:rsid w:val="003B216E"/>
    <w:rsid w:val="003B459A"/>
    <w:rsid w:val="003B56A8"/>
    <w:rsid w:val="003B6472"/>
    <w:rsid w:val="003C10DE"/>
    <w:rsid w:val="003C20D9"/>
    <w:rsid w:val="003C27F6"/>
    <w:rsid w:val="003C31B5"/>
    <w:rsid w:val="003C37DC"/>
    <w:rsid w:val="003C5473"/>
    <w:rsid w:val="003C5D3A"/>
    <w:rsid w:val="003C7366"/>
    <w:rsid w:val="003C7522"/>
    <w:rsid w:val="003C79F7"/>
    <w:rsid w:val="003D18B1"/>
    <w:rsid w:val="003D1F94"/>
    <w:rsid w:val="003D28A4"/>
    <w:rsid w:val="003D2C9C"/>
    <w:rsid w:val="003D442C"/>
    <w:rsid w:val="003D71CB"/>
    <w:rsid w:val="003E08C3"/>
    <w:rsid w:val="003E0BC4"/>
    <w:rsid w:val="003E1C14"/>
    <w:rsid w:val="003E3C68"/>
    <w:rsid w:val="003E76DF"/>
    <w:rsid w:val="003E7871"/>
    <w:rsid w:val="003F15A7"/>
    <w:rsid w:val="003F16E9"/>
    <w:rsid w:val="003F1AC4"/>
    <w:rsid w:val="003F29D9"/>
    <w:rsid w:val="003F3401"/>
    <w:rsid w:val="003F5FA5"/>
    <w:rsid w:val="003F7868"/>
    <w:rsid w:val="004009A6"/>
    <w:rsid w:val="00402073"/>
    <w:rsid w:val="004024F4"/>
    <w:rsid w:val="0040357C"/>
    <w:rsid w:val="0040397B"/>
    <w:rsid w:val="00406118"/>
    <w:rsid w:val="00406C67"/>
    <w:rsid w:val="00410BAB"/>
    <w:rsid w:val="00410F37"/>
    <w:rsid w:val="004125AC"/>
    <w:rsid w:val="0041276E"/>
    <w:rsid w:val="0041364F"/>
    <w:rsid w:val="00413858"/>
    <w:rsid w:val="00414089"/>
    <w:rsid w:val="00414202"/>
    <w:rsid w:val="00414310"/>
    <w:rsid w:val="004146D1"/>
    <w:rsid w:val="00416CA7"/>
    <w:rsid w:val="00420763"/>
    <w:rsid w:val="00421493"/>
    <w:rsid w:val="00421680"/>
    <w:rsid w:val="0042333D"/>
    <w:rsid w:val="00424D52"/>
    <w:rsid w:val="00433C14"/>
    <w:rsid w:val="00433EE9"/>
    <w:rsid w:val="00433F4F"/>
    <w:rsid w:val="004342B4"/>
    <w:rsid w:val="00435300"/>
    <w:rsid w:val="00435F00"/>
    <w:rsid w:val="004405B3"/>
    <w:rsid w:val="00441793"/>
    <w:rsid w:val="004422FB"/>
    <w:rsid w:val="00442BD2"/>
    <w:rsid w:val="00443149"/>
    <w:rsid w:val="004452AF"/>
    <w:rsid w:val="00446142"/>
    <w:rsid w:val="00450AC6"/>
    <w:rsid w:val="004522F1"/>
    <w:rsid w:val="00452A3A"/>
    <w:rsid w:val="00452E62"/>
    <w:rsid w:val="0045411B"/>
    <w:rsid w:val="00454D4D"/>
    <w:rsid w:val="0045558A"/>
    <w:rsid w:val="00456B77"/>
    <w:rsid w:val="00457B87"/>
    <w:rsid w:val="004618BD"/>
    <w:rsid w:val="00461D6D"/>
    <w:rsid w:val="00462B2C"/>
    <w:rsid w:val="0046693F"/>
    <w:rsid w:val="004669AB"/>
    <w:rsid w:val="00467034"/>
    <w:rsid w:val="00471C1C"/>
    <w:rsid w:val="004729F7"/>
    <w:rsid w:val="00472F58"/>
    <w:rsid w:val="004730BF"/>
    <w:rsid w:val="004737B0"/>
    <w:rsid w:val="00474218"/>
    <w:rsid w:val="00474D3F"/>
    <w:rsid w:val="00475B71"/>
    <w:rsid w:val="0047619D"/>
    <w:rsid w:val="00476911"/>
    <w:rsid w:val="0047694A"/>
    <w:rsid w:val="00476DB7"/>
    <w:rsid w:val="004802AD"/>
    <w:rsid w:val="00480887"/>
    <w:rsid w:val="00480CA5"/>
    <w:rsid w:val="004913EC"/>
    <w:rsid w:val="004923B7"/>
    <w:rsid w:val="0049496B"/>
    <w:rsid w:val="00496901"/>
    <w:rsid w:val="00497DBF"/>
    <w:rsid w:val="004A1DC3"/>
    <w:rsid w:val="004A42CD"/>
    <w:rsid w:val="004A54A0"/>
    <w:rsid w:val="004A5A29"/>
    <w:rsid w:val="004B0CE7"/>
    <w:rsid w:val="004B20A4"/>
    <w:rsid w:val="004B40C0"/>
    <w:rsid w:val="004B49A4"/>
    <w:rsid w:val="004B558A"/>
    <w:rsid w:val="004B5D89"/>
    <w:rsid w:val="004B7DBC"/>
    <w:rsid w:val="004C0DA3"/>
    <w:rsid w:val="004C13B1"/>
    <w:rsid w:val="004C1EB9"/>
    <w:rsid w:val="004C398D"/>
    <w:rsid w:val="004C4373"/>
    <w:rsid w:val="004C5624"/>
    <w:rsid w:val="004C5872"/>
    <w:rsid w:val="004D1968"/>
    <w:rsid w:val="004D1D08"/>
    <w:rsid w:val="004D20D0"/>
    <w:rsid w:val="004D330B"/>
    <w:rsid w:val="004D33B2"/>
    <w:rsid w:val="004D385B"/>
    <w:rsid w:val="004D5CEA"/>
    <w:rsid w:val="004D5E9F"/>
    <w:rsid w:val="004D7CC9"/>
    <w:rsid w:val="004D7D86"/>
    <w:rsid w:val="004E22D9"/>
    <w:rsid w:val="004E2C29"/>
    <w:rsid w:val="004E347F"/>
    <w:rsid w:val="004E4E5D"/>
    <w:rsid w:val="004E5108"/>
    <w:rsid w:val="004E620D"/>
    <w:rsid w:val="004E67C2"/>
    <w:rsid w:val="004E6F66"/>
    <w:rsid w:val="004E75D7"/>
    <w:rsid w:val="004F2015"/>
    <w:rsid w:val="004F221C"/>
    <w:rsid w:val="004F7FF1"/>
    <w:rsid w:val="00500191"/>
    <w:rsid w:val="0050047C"/>
    <w:rsid w:val="0050115C"/>
    <w:rsid w:val="00501993"/>
    <w:rsid w:val="00502EAD"/>
    <w:rsid w:val="00503EB1"/>
    <w:rsid w:val="005041CC"/>
    <w:rsid w:val="00505B45"/>
    <w:rsid w:val="005079E0"/>
    <w:rsid w:val="00510B1F"/>
    <w:rsid w:val="00510F55"/>
    <w:rsid w:val="00512A76"/>
    <w:rsid w:val="0051718C"/>
    <w:rsid w:val="005223E7"/>
    <w:rsid w:val="005228F6"/>
    <w:rsid w:val="00522E75"/>
    <w:rsid w:val="005237AC"/>
    <w:rsid w:val="00523BF9"/>
    <w:rsid w:val="00523E15"/>
    <w:rsid w:val="00524342"/>
    <w:rsid w:val="00526BF6"/>
    <w:rsid w:val="005303ED"/>
    <w:rsid w:val="0053121C"/>
    <w:rsid w:val="00532BF5"/>
    <w:rsid w:val="00532FB2"/>
    <w:rsid w:val="005333B5"/>
    <w:rsid w:val="0053434E"/>
    <w:rsid w:val="00535B11"/>
    <w:rsid w:val="005371D0"/>
    <w:rsid w:val="00541268"/>
    <w:rsid w:val="005415A4"/>
    <w:rsid w:val="00541C3D"/>
    <w:rsid w:val="005420B2"/>
    <w:rsid w:val="00542B8E"/>
    <w:rsid w:val="00543B97"/>
    <w:rsid w:val="0054444E"/>
    <w:rsid w:val="0055109E"/>
    <w:rsid w:val="005525BB"/>
    <w:rsid w:val="00552C09"/>
    <w:rsid w:val="00557381"/>
    <w:rsid w:val="00557FB4"/>
    <w:rsid w:val="00561847"/>
    <w:rsid w:val="005623F5"/>
    <w:rsid w:val="00562540"/>
    <w:rsid w:val="005642C4"/>
    <w:rsid w:val="005645B5"/>
    <w:rsid w:val="00565A77"/>
    <w:rsid w:val="00565C4E"/>
    <w:rsid w:val="00565E7C"/>
    <w:rsid w:val="00567E42"/>
    <w:rsid w:val="00570EE8"/>
    <w:rsid w:val="005716E4"/>
    <w:rsid w:val="0057191A"/>
    <w:rsid w:val="0057236C"/>
    <w:rsid w:val="0057512A"/>
    <w:rsid w:val="00577677"/>
    <w:rsid w:val="0058031A"/>
    <w:rsid w:val="00580653"/>
    <w:rsid w:val="0058213D"/>
    <w:rsid w:val="00582FA7"/>
    <w:rsid w:val="0058416C"/>
    <w:rsid w:val="0058488F"/>
    <w:rsid w:val="00584C66"/>
    <w:rsid w:val="00584C87"/>
    <w:rsid w:val="0058529A"/>
    <w:rsid w:val="00585645"/>
    <w:rsid w:val="00585C14"/>
    <w:rsid w:val="0058617D"/>
    <w:rsid w:val="0058703F"/>
    <w:rsid w:val="0058712F"/>
    <w:rsid w:val="00587356"/>
    <w:rsid w:val="00592375"/>
    <w:rsid w:val="00592F8A"/>
    <w:rsid w:val="005940D3"/>
    <w:rsid w:val="00595DDB"/>
    <w:rsid w:val="0059706E"/>
    <w:rsid w:val="005973CD"/>
    <w:rsid w:val="005975F2"/>
    <w:rsid w:val="005A0C00"/>
    <w:rsid w:val="005A1C6A"/>
    <w:rsid w:val="005A3E1C"/>
    <w:rsid w:val="005A7405"/>
    <w:rsid w:val="005B2E2E"/>
    <w:rsid w:val="005B35F6"/>
    <w:rsid w:val="005B382E"/>
    <w:rsid w:val="005B4E1C"/>
    <w:rsid w:val="005B5065"/>
    <w:rsid w:val="005B5BAB"/>
    <w:rsid w:val="005B6F23"/>
    <w:rsid w:val="005C0274"/>
    <w:rsid w:val="005C1079"/>
    <w:rsid w:val="005C350F"/>
    <w:rsid w:val="005C3B60"/>
    <w:rsid w:val="005C44DC"/>
    <w:rsid w:val="005C4AE1"/>
    <w:rsid w:val="005C4B2F"/>
    <w:rsid w:val="005C5465"/>
    <w:rsid w:val="005C6533"/>
    <w:rsid w:val="005D0412"/>
    <w:rsid w:val="005D116B"/>
    <w:rsid w:val="005D19BD"/>
    <w:rsid w:val="005D6E7F"/>
    <w:rsid w:val="005D7632"/>
    <w:rsid w:val="005D7F7B"/>
    <w:rsid w:val="005D7F96"/>
    <w:rsid w:val="005E0AD3"/>
    <w:rsid w:val="005E1665"/>
    <w:rsid w:val="005E1A4E"/>
    <w:rsid w:val="005E445C"/>
    <w:rsid w:val="005E4F8E"/>
    <w:rsid w:val="005E57A6"/>
    <w:rsid w:val="005E58BB"/>
    <w:rsid w:val="005E7D03"/>
    <w:rsid w:val="005E7E24"/>
    <w:rsid w:val="005F01A2"/>
    <w:rsid w:val="005F09A8"/>
    <w:rsid w:val="005F117C"/>
    <w:rsid w:val="005F1272"/>
    <w:rsid w:val="005F1A7D"/>
    <w:rsid w:val="005F2206"/>
    <w:rsid w:val="005F3D88"/>
    <w:rsid w:val="005F4169"/>
    <w:rsid w:val="005F4764"/>
    <w:rsid w:val="005F7A40"/>
    <w:rsid w:val="0060454E"/>
    <w:rsid w:val="00607E51"/>
    <w:rsid w:val="00610AC3"/>
    <w:rsid w:val="00610BDA"/>
    <w:rsid w:val="00611680"/>
    <w:rsid w:val="00613F6D"/>
    <w:rsid w:val="00614F8B"/>
    <w:rsid w:val="006156DF"/>
    <w:rsid w:val="00615F21"/>
    <w:rsid w:val="00617C31"/>
    <w:rsid w:val="00617C78"/>
    <w:rsid w:val="006216D4"/>
    <w:rsid w:val="006218BC"/>
    <w:rsid w:val="0062284C"/>
    <w:rsid w:val="006233BD"/>
    <w:rsid w:val="00624063"/>
    <w:rsid w:val="00624447"/>
    <w:rsid w:val="00625E7F"/>
    <w:rsid w:val="00627361"/>
    <w:rsid w:val="00627417"/>
    <w:rsid w:val="00627AFA"/>
    <w:rsid w:val="006300C2"/>
    <w:rsid w:val="00630249"/>
    <w:rsid w:val="00633348"/>
    <w:rsid w:val="0063421F"/>
    <w:rsid w:val="0063491A"/>
    <w:rsid w:val="00634DFE"/>
    <w:rsid w:val="006357F8"/>
    <w:rsid w:val="0063620B"/>
    <w:rsid w:val="0064272F"/>
    <w:rsid w:val="00642B18"/>
    <w:rsid w:val="006431CF"/>
    <w:rsid w:val="00643D4D"/>
    <w:rsid w:val="006449DF"/>
    <w:rsid w:val="0064504A"/>
    <w:rsid w:val="00645242"/>
    <w:rsid w:val="00645373"/>
    <w:rsid w:val="0064554D"/>
    <w:rsid w:val="0064588B"/>
    <w:rsid w:val="0064631E"/>
    <w:rsid w:val="00647C1C"/>
    <w:rsid w:val="00655772"/>
    <w:rsid w:val="006610CB"/>
    <w:rsid w:val="00661521"/>
    <w:rsid w:val="00662392"/>
    <w:rsid w:val="0066340C"/>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56B5"/>
    <w:rsid w:val="00685DA1"/>
    <w:rsid w:val="00686133"/>
    <w:rsid w:val="006862E3"/>
    <w:rsid w:val="00686730"/>
    <w:rsid w:val="00687B3D"/>
    <w:rsid w:val="00690286"/>
    <w:rsid w:val="006903CB"/>
    <w:rsid w:val="006911F5"/>
    <w:rsid w:val="00693B2C"/>
    <w:rsid w:val="00697145"/>
    <w:rsid w:val="00697ED1"/>
    <w:rsid w:val="006A123D"/>
    <w:rsid w:val="006A1B5D"/>
    <w:rsid w:val="006A2475"/>
    <w:rsid w:val="006A4D5B"/>
    <w:rsid w:val="006A5912"/>
    <w:rsid w:val="006A5C42"/>
    <w:rsid w:val="006A72F5"/>
    <w:rsid w:val="006A7426"/>
    <w:rsid w:val="006A7DEE"/>
    <w:rsid w:val="006B28D6"/>
    <w:rsid w:val="006B36F7"/>
    <w:rsid w:val="006B43B2"/>
    <w:rsid w:val="006B45EF"/>
    <w:rsid w:val="006B7503"/>
    <w:rsid w:val="006C0141"/>
    <w:rsid w:val="006C0689"/>
    <w:rsid w:val="006C0E11"/>
    <w:rsid w:val="006C11E2"/>
    <w:rsid w:val="006C1254"/>
    <w:rsid w:val="006C162E"/>
    <w:rsid w:val="006C1E0A"/>
    <w:rsid w:val="006C47A5"/>
    <w:rsid w:val="006C4F3A"/>
    <w:rsid w:val="006C510B"/>
    <w:rsid w:val="006C7501"/>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E0E"/>
    <w:rsid w:val="006E30F4"/>
    <w:rsid w:val="006E5770"/>
    <w:rsid w:val="006E615D"/>
    <w:rsid w:val="006F03C5"/>
    <w:rsid w:val="006F0664"/>
    <w:rsid w:val="006F1135"/>
    <w:rsid w:val="006F13EF"/>
    <w:rsid w:val="006F1F72"/>
    <w:rsid w:val="006F2AF9"/>
    <w:rsid w:val="006F2CBE"/>
    <w:rsid w:val="006F4751"/>
    <w:rsid w:val="00700AD5"/>
    <w:rsid w:val="00700F5E"/>
    <w:rsid w:val="00702566"/>
    <w:rsid w:val="0070370A"/>
    <w:rsid w:val="00706447"/>
    <w:rsid w:val="007103EE"/>
    <w:rsid w:val="00711414"/>
    <w:rsid w:val="0071273F"/>
    <w:rsid w:val="00713935"/>
    <w:rsid w:val="00714439"/>
    <w:rsid w:val="00715E82"/>
    <w:rsid w:val="0071638A"/>
    <w:rsid w:val="00716D98"/>
    <w:rsid w:val="00717A86"/>
    <w:rsid w:val="00720057"/>
    <w:rsid w:val="0072058C"/>
    <w:rsid w:val="00720A78"/>
    <w:rsid w:val="00721BB3"/>
    <w:rsid w:val="0072245A"/>
    <w:rsid w:val="00722E63"/>
    <w:rsid w:val="00724CCE"/>
    <w:rsid w:val="00725170"/>
    <w:rsid w:val="00725475"/>
    <w:rsid w:val="0072747B"/>
    <w:rsid w:val="00727F92"/>
    <w:rsid w:val="00731BDB"/>
    <w:rsid w:val="00731CDA"/>
    <w:rsid w:val="007320C1"/>
    <w:rsid w:val="007326EC"/>
    <w:rsid w:val="00732AC7"/>
    <w:rsid w:val="00733815"/>
    <w:rsid w:val="007344B5"/>
    <w:rsid w:val="00734B4C"/>
    <w:rsid w:val="007352BC"/>
    <w:rsid w:val="007355E1"/>
    <w:rsid w:val="00736912"/>
    <w:rsid w:val="007375CF"/>
    <w:rsid w:val="007377C5"/>
    <w:rsid w:val="00741541"/>
    <w:rsid w:val="00742137"/>
    <w:rsid w:val="00744770"/>
    <w:rsid w:val="007447B2"/>
    <w:rsid w:val="00744F69"/>
    <w:rsid w:val="0074585F"/>
    <w:rsid w:val="007463B6"/>
    <w:rsid w:val="007476EB"/>
    <w:rsid w:val="00747F0D"/>
    <w:rsid w:val="00750620"/>
    <w:rsid w:val="0075123F"/>
    <w:rsid w:val="00751DCE"/>
    <w:rsid w:val="00754707"/>
    <w:rsid w:val="00754B75"/>
    <w:rsid w:val="00754D4C"/>
    <w:rsid w:val="00755AAA"/>
    <w:rsid w:val="00755D42"/>
    <w:rsid w:val="00756FD5"/>
    <w:rsid w:val="00757750"/>
    <w:rsid w:val="00757C90"/>
    <w:rsid w:val="00762B14"/>
    <w:rsid w:val="007637E7"/>
    <w:rsid w:val="007646F6"/>
    <w:rsid w:val="00765CE9"/>
    <w:rsid w:val="00766802"/>
    <w:rsid w:val="00767749"/>
    <w:rsid w:val="007710D0"/>
    <w:rsid w:val="007730A7"/>
    <w:rsid w:val="00773148"/>
    <w:rsid w:val="00775740"/>
    <w:rsid w:val="0077742F"/>
    <w:rsid w:val="007802F3"/>
    <w:rsid w:val="00783664"/>
    <w:rsid w:val="0078392D"/>
    <w:rsid w:val="00785A3B"/>
    <w:rsid w:val="00786631"/>
    <w:rsid w:val="00786A47"/>
    <w:rsid w:val="007906DB"/>
    <w:rsid w:val="007925C8"/>
    <w:rsid w:val="00792EF5"/>
    <w:rsid w:val="00794D06"/>
    <w:rsid w:val="00795604"/>
    <w:rsid w:val="00796204"/>
    <w:rsid w:val="00796B5A"/>
    <w:rsid w:val="00797A23"/>
    <w:rsid w:val="007A0061"/>
    <w:rsid w:val="007A108D"/>
    <w:rsid w:val="007A20D5"/>
    <w:rsid w:val="007A4A0E"/>
    <w:rsid w:val="007A5391"/>
    <w:rsid w:val="007A589E"/>
    <w:rsid w:val="007A6CC0"/>
    <w:rsid w:val="007B095F"/>
    <w:rsid w:val="007B0C55"/>
    <w:rsid w:val="007B172E"/>
    <w:rsid w:val="007B1843"/>
    <w:rsid w:val="007B2295"/>
    <w:rsid w:val="007B333F"/>
    <w:rsid w:val="007B6124"/>
    <w:rsid w:val="007B78C2"/>
    <w:rsid w:val="007B7934"/>
    <w:rsid w:val="007C041B"/>
    <w:rsid w:val="007C24A5"/>
    <w:rsid w:val="007C30B5"/>
    <w:rsid w:val="007C53DE"/>
    <w:rsid w:val="007C6519"/>
    <w:rsid w:val="007C692F"/>
    <w:rsid w:val="007D3E2D"/>
    <w:rsid w:val="007D5041"/>
    <w:rsid w:val="007D687A"/>
    <w:rsid w:val="007D6EB9"/>
    <w:rsid w:val="007D742C"/>
    <w:rsid w:val="007D79C7"/>
    <w:rsid w:val="007E122F"/>
    <w:rsid w:val="007E1F20"/>
    <w:rsid w:val="007E26DC"/>
    <w:rsid w:val="007E3BA2"/>
    <w:rsid w:val="007E4791"/>
    <w:rsid w:val="007E4E58"/>
    <w:rsid w:val="007E51AF"/>
    <w:rsid w:val="007E5A78"/>
    <w:rsid w:val="007E6124"/>
    <w:rsid w:val="007E67AF"/>
    <w:rsid w:val="007E7F22"/>
    <w:rsid w:val="007F018C"/>
    <w:rsid w:val="007F5457"/>
    <w:rsid w:val="007F5733"/>
    <w:rsid w:val="007F5AB1"/>
    <w:rsid w:val="007F5FF7"/>
    <w:rsid w:val="00800047"/>
    <w:rsid w:val="00800514"/>
    <w:rsid w:val="008030BC"/>
    <w:rsid w:val="008065B7"/>
    <w:rsid w:val="008068E2"/>
    <w:rsid w:val="00807087"/>
    <w:rsid w:val="0080767B"/>
    <w:rsid w:val="008078EB"/>
    <w:rsid w:val="00810811"/>
    <w:rsid w:val="00810A11"/>
    <w:rsid w:val="00810CE4"/>
    <w:rsid w:val="00811F38"/>
    <w:rsid w:val="0081326C"/>
    <w:rsid w:val="008147D7"/>
    <w:rsid w:val="00817DA9"/>
    <w:rsid w:val="00820D48"/>
    <w:rsid w:val="00820DDF"/>
    <w:rsid w:val="00825078"/>
    <w:rsid w:val="0082551A"/>
    <w:rsid w:val="00825A0F"/>
    <w:rsid w:val="008323C6"/>
    <w:rsid w:val="008326A2"/>
    <w:rsid w:val="0083310F"/>
    <w:rsid w:val="00833F1E"/>
    <w:rsid w:val="008342D9"/>
    <w:rsid w:val="00834F92"/>
    <w:rsid w:val="00835457"/>
    <w:rsid w:val="00836EF9"/>
    <w:rsid w:val="00836FDE"/>
    <w:rsid w:val="00842131"/>
    <w:rsid w:val="00843E0F"/>
    <w:rsid w:val="008444AE"/>
    <w:rsid w:val="00845DC4"/>
    <w:rsid w:val="0085103E"/>
    <w:rsid w:val="00852B37"/>
    <w:rsid w:val="00852E04"/>
    <w:rsid w:val="0085314F"/>
    <w:rsid w:val="00854B92"/>
    <w:rsid w:val="00855923"/>
    <w:rsid w:val="00860E19"/>
    <w:rsid w:val="00861428"/>
    <w:rsid w:val="00861D4B"/>
    <w:rsid w:val="008624D2"/>
    <w:rsid w:val="008625D2"/>
    <w:rsid w:val="008655EF"/>
    <w:rsid w:val="0086764C"/>
    <w:rsid w:val="00870BD7"/>
    <w:rsid w:val="00871C56"/>
    <w:rsid w:val="00872100"/>
    <w:rsid w:val="0087216D"/>
    <w:rsid w:val="00872880"/>
    <w:rsid w:val="008749C6"/>
    <w:rsid w:val="008773BC"/>
    <w:rsid w:val="00877593"/>
    <w:rsid w:val="00877BAE"/>
    <w:rsid w:val="00882DD3"/>
    <w:rsid w:val="00883315"/>
    <w:rsid w:val="00883813"/>
    <w:rsid w:val="00884E88"/>
    <w:rsid w:val="00885065"/>
    <w:rsid w:val="0088781C"/>
    <w:rsid w:val="00887D73"/>
    <w:rsid w:val="00890850"/>
    <w:rsid w:val="008908B7"/>
    <w:rsid w:val="00890B3B"/>
    <w:rsid w:val="00891D8C"/>
    <w:rsid w:val="00891F94"/>
    <w:rsid w:val="0089287B"/>
    <w:rsid w:val="0089333D"/>
    <w:rsid w:val="008935D6"/>
    <w:rsid w:val="008947FF"/>
    <w:rsid w:val="00897F60"/>
    <w:rsid w:val="008A089F"/>
    <w:rsid w:val="008A3385"/>
    <w:rsid w:val="008A3D49"/>
    <w:rsid w:val="008A6F2A"/>
    <w:rsid w:val="008A71BE"/>
    <w:rsid w:val="008A75F0"/>
    <w:rsid w:val="008A7B96"/>
    <w:rsid w:val="008B164A"/>
    <w:rsid w:val="008B1D8C"/>
    <w:rsid w:val="008B297E"/>
    <w:rsid w:val="008B40CE"/>
    <w:rsid w:val="008B4D9C"/>
    <w:rsid w:val="008B5F8E"/>
    <w:rsid w:val="008B6447"/>
    <w:rsid w:val="008B6DE3"/>
    <w:rsid w:val="008C00F3"/>
    <w:rsid w:val="008C0FFF"/>
    <w:rsid w:val="008C1D42"/>
    <w:rsid w:val="008C1E9E"/>
    <w:rsid w:val="008C381F"/>
    <w:rsid w:val="008C3E3E"/>
    <w:rsid w:val="008C3F4A"/>
    <w:rsid w:val="008C5899"/>
    <w:rsid w:val="008C69EE"/>
    <w:rsid w:val="008C7AF9"/>
    <w:rsid w:val="008D1207"/>
    <w:rsid w:val="008D2206"/>
    <w:rsid w:val="008D324E"/>
    <w:rsid w:val="008D5121"/>
    <w:rsid w:val="008D709F"/>
    <w:rsid w:val="008D7B7C"/>
    <w:rsid w:val="008E0832"/>
    <w:rsid w:val="008E0F2F"/>
    <w:rsid w:val="008E1F17"/>
    <w:rsid w:val="008E43C2"/>
    <w:rsid w:val="008E45E7"/>
    <w:rsid w:val="008E4B06"/>
    <w:rsid w:val="008E4EB8"/>
    <w:rsid w:val="008E5AE2"/>
    <w:rsid w:val="008F0B8B"/>
    <w:rsid w:val="008F1821"/>
    <w:rsid w:val="008F309C"/>
    <w:rsid w:val="008F3A9B"/>
    <w:rsid w:val="008F4EE1"/>
    <w:rsid w:val="008F5854"/>
    <w:rsid w:val="008F61A8"/>
    <w:rsid w:val="008F7A5A"/>
    <w:rsid w:val="00900B1C"/>
    <w:rsid w:val="00901EC5"/>
    <w:rsid w:val="00902553"/>
    <w:rsid w:val="009042F6"/>
    <w:rsid w:val="00905399"/>
    <w:rsid w:val="00907203"/>
    <w:rsid w:val="009072E7"/>
    <w:rsid w:val="00910146"/>
    <w:rsid w:val="00910499"/>
    <w:rsid w:val="00910BF7"/>
    <w:rsid w:val="00911721"/>
    <w:rsid w:val="00911D9C"/>
    <w:rsid w:val="009133EE"/>
    <w:rsid w:val="00913C15"/>
    <w:rsid w:val="00913F03"/>
    <w:rsid w:val="009161BE"/>
    <w:rsid w:val="009175D9"/>
    <w:rsid w:val="0092193B"/>
    <w:rsid w:val="0092403F"/>
    <w:rsid w:val="00925838"/>
    <w:rsid w:val="00926165"/>
    <w:rsid w:val="0092782F"/>
    <w:rsid w:val="00931C26"/>
    <w:rsid w:val="00931D07"/>
    <w:rsid w:val="00932845"/>
    <w:rsid w:val="0093399E"/>
    <w:rsid w:val="00934550"/>
    <w:rsid w:val="00935699"/>
    <w:rsid w:val="00936B62"/>
    <w:rsid w:val="00940B11"/>
    <w:rsid w:val="00942334"/>
    <w:rsid w:val="009426B8"/>
    <w:rsid w:val="009428EA"/>
    <w:rsid w:val="00942E72"/>
    <w:rsid w:val="00944567"/>
    <w:rsid w:val="009452E3"/>
    <w:rsid w:val="00945C13"/>
    <w:rsid w:val="009460D0"/>
    <w:rsid w:val="00951D1D"/>
    <w:rsid w:val="00951EB0"/>
    <w:rsid w:val="00952B76"/>
    <w:rsid w:val="00953DEA"/>
    <w:rsid w:val="00954C6E"/>
    <w:rsid w:val="009557C7"/>
    <w:rsid w:val="009578DC"/>
    <w:rsid w:val="009608C0"/>
    <w:rsid w:val="00960EF7"/>
    <w:rsid w:val="00960F9C"/>
    <w:rsid w:val="0096108C"/>
    <w:rsid w:val="00962EF2"/>
    <w:rsid w:val="00963EBF"/>
    <w:rsid w:val="00966493"/>
    <w:rsid w:val="00971F5C"/>
    <w:rsid w:val="00973EA7"/>
    <w:rsid w:val="00974E97"/>
    <w:rsid w:val="00975399"/>
    <w:rsid w:val="009760BD"/>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A3F"/>
    <w:rsid w:val="009950D9"/>
    <w:rsid w:val="009964C7"/>
    <w:rsid w:val="009A082B"/>
    <w:rsid w:val="009A10F0"/>
    <w:rsid w:val="009A32FA"/>
    <w:rsid w:val="009A478E"/>
    <w:rsid w:val="009A4F04"/>
    <w:rsid w:val="009A5043"/>
    <w:rsid w:val="009A5515"/>
    <w:rsid w:val="009A6578"/>
    <w:rsid w:val="009A6E9D"/>
    <w:rsid w:val="009B01D5"/>
    <w:rsid w:val="009B0C02"/>
    <w:rsid w:val="009B4EE5"/>
    <w:rsid w:val="009B58DF"/>
    <w:rsid w:val="009B5D70"/>
    <w:rsid w:val="009B7097"/>
    <w:rsid w:val="009B7B1A"/>
    <w:rsid w:val="009C0110"/>
    <w:rsid w:val="009C1AF7"/>
    <w:rsid w:val="009C25B6"/>
    <w:rsid w:val="009C3785"/>
    <w:rsid w:val="009C3821"/>
    <w:rsid w:val="009C424A"/>
    <w:rsid w:val="009C4A95"/>
    <w:rsid w:val="009C4C50"/>
    <w:rsid w:val="009C4CE5"/>
    <w:rsid w:val="009C6664"/>
    <w:rsid w:val="009C6841"/>
    <w:rsid w:val="009C7044"/>
    <w:rsid w:val="009D117D"/>
    <w:rsid w:val="009D28AF"/>
    <w:rsid w:val="009D290E"/>
    <w:rsid w:val="009D2CC6"/>
    <w:rsid w:val="009D2F47"/>
    <w:rsid w:val="009D3A40"/>
    <w:rsid w:val="009D3E04"/>
    <w:rsid w:val="009D4A30"/>
    <w:rsid w:val="009D59CF"/>
    <w:rsid w:val="009D7A85"/>
    <w:rsid w:val="009E15B4"/>
    <w:rsid w:val="009E18A4"/>
    <w:rsid w:val="009E235F"/>
    <w:rsid w:val="009E3971"/>
    <w:rsid w:val="009E7F86"/>
    <w:rsid w:val="009F058D"/>
    <w:rsid w:val="009F1D59"/>
    <w:rsid w:val="009F1DCB"/>
    <w:rsid w:val="009F30E6"/>
    <w:rsid w:val="009F37D8"/>
    <w:rsid w:val="009F59A3"/>
    <w:rsid w:val="00A00277"/>
    <w:rsid w:val="00A02021"/>
    <w:rsid w:val="00A03D31"/>
    <w:rsid w:val="00A0598B"/>
    <w:rsid w:val="00A06A53"/>
    <w:rsid w:val="00A11295"/>
    <w:rsid w:val="00A1191C"/>
    <w:rsid w:val="00A11978"/>
    <w:rsid w:val="00A11DD2"/>
    <w:rsid w:val="00A12828"/>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B34"/>
    <w:rsid w:val="00A33070"/>
    <w:rsid w:val="00A33208"/>
    <w:rsid w:val="00A341B6"/>
    <w:rsid w:val="00A363CB"/>
    <w:rsid w:val="00A36AD9"/>
    <w:rsid w:val="00A37534"/>
    <w:rsid w:val="00A403C7"/>
    <w:rsid w:val="00A40D04"/>
    <w:rsid w:val="00A41603"/>
    <w:rsid w:val="00A41CD3"/>
    <w:rsid w:val="00A433EB"/>
    <w:rsid w:val="00A44C24"/>
    <w:rsid w:val="00A45D35"/>
    <w:rsid w:val="00A46649"/>
    <w:rsid w:val="00A4706C"/>
    <w:rsid w:val="00A470C7"/>
    <w:rsid w:val="00A501FD"/>
    <w:rsid w:val="00A5134C"/>
    <w:rsid w:val="00A51605"/>
    <w:rsid w:val="00A51B50"/>
    <w:rsid w:val="00A54768"/>
    <w:rsid w:val="00A55009"/>
    <w:rsid w:val="00A57913"/>
    <w:rsid w:val="00A61E7A"/>
    <w:rsid w:val="00A6253C"/>
    <w:rsid w:val="00A6429F"/>
    <w:rsid w:val="00A64E7C"/>
    <w:rsid w:val="00A66160"/>
    <w:rsid w:val="00A669DE"/>
    <w:rsid w:val="00A7040F"/>
    <w:rsid w:val="00A71039"/>
    <w:rsid w:val="00A710D5"/>
    <w:rsid w:val="00A7256A"/>
    <w:rsid w:val="00A72820"/>
    <w:rsid w:val="00A72AE8"/>
    <w:rsid w:val="00A7390C"/>
    <w:rsid w:val="00A73D93"/>
    <w:rsid w:val="00A74C9B"/>
    <w:rsid w:val="00A777BD"/>
    <w:rsid w:val="00A80044"/>
    <w:rsid w:val="00A8111D"/>
    <w:rsid w:val="00A824E1"/>
    <w:rsid w:val="00A82D1A"/>
    <w:rsid w:val="00A862E2"/>
    <w:rsid w:val="00A86887"/>
    <w:rsid w:val="00A878AD"/>
    <w:rsid w:val="00A87C9C"/>
    <w:rsid w:val="00A92EEF"/>
    <w:rsid w:val="00A9371B"/>
    <w:rsid w:val="00A955E4"/>
    <w:rsid w:val="00A95DCC"/>
    <w:rsid w:val="00A9758B"/>
    <w:rsid w:val="00AA0304"/>
    <w:rsid w:val="00AA046E"/>
    <w:rsid w:val="00AA15FA"/>
    <w:rsid w:val="00AA1D70"/>
    <w:rsid w:val="00AA1FE3"/>
    <w:rsid w:val="00AA444B"/>
    <w:rsid w:val="00AA50F5"/>
    <w:rsid w:val="00AA5465"/>
    <w:rsid w:val="00AA54E0"/>
    <w:rsid w:val="00AA59F9"/>
    <w:rsid w:val="00AA741B"/>
    <w:rsid w:val="00AB3341"/>
    <w:rsid w:val="00AB39DE"/>
    <w:rsid w:val="00AB52B8"/>
    <w:rsid w:val="00AB5F1F"/>
    <w:rsid w:val="00AB60EE"/>
    <w:rsid w:val="00AB77BA"/>
    <w:rsid w:val="00AC00BD"/>
    <w:rsid w:val="00AC08CF"/>
    <w:rsid w:val="00AC0BA2"/>
    <w:rsid w:val="00AC5B87"/>
    <w:rsid w:val="00AC6296"/>
    <w:rsid w:val="00AD0617"/>
    <w:rsid w:val="00AD25BC"/>
    <w:rsid w:val="00AD3876"/>
    <w:rsid w:val="00AD4B4A"/>
    <w:rsid w:val="00AD73A1"/>
    <w:rsid w:val="00AD7FA8"/>
    <w:rsid w:val="00AE0AE9"/>
    <w:rsid w:val="00AE1194"/>
    <w:rsid w:val="00AE1619"/>
    <w:rsid w:val="00AE2DE3"/>
    <w:rsid w:val="00AE32D8"/>
    <w:rsid w:val="00AE3B1B"/>
    <w:rsid w:val="00AE5879"/>
    <w:rsid w:val="00AE5CCD"/>
    <w:rsid w:val="00AE6112"/>
    <w:rsid w:val="00AF0D54"/>
    <w:rsid w:val="00AF282A"/>
    <w:rsid w:val="00AF339C"/>
    <w:rsid w:val="00AF4BC7"/>
    <w:rsid w:val="00AF4FA1"/>
    <w:rsid w:val="00AF5623"/>
    <w:rsid w:val="00AF6A3A"/>
    <w:rsid w:val="00AF6C12"/>
    <w:rsid w:val="00AF7338"/>
    <w:rsid w:val="00B002CD"/>
    <w:rsid w:val="00B01A99"/>
    <w:rsid w:val="00B01F5A"/>
    <w:rsid w:val="00B021F5"/>
    <w:rsid w:val="00B02D2A"/>
    <w:rsid w:val="00B03290"/>
    <w:rsid w:val="00B04182"/>
    <w:rsid w:val="00B047F2"/>
    <w:rsid w:val="00B0534B"/>
    <w:rsid w:val="00B06B26"/>
    <w:rsid w:val="00B073B0"/>
    <w:rsid w:val="00B0799C"/>
    <w:rsid w:val="00B1560B"/>
    <w:rsid w:val="00B1743D"/>
    <w:rsid w:val="00B201EE"/>
    <w:rsid w:val="00B20C63"/>
    <w:rsid w:val="00B22907"/>
    <w:rsid w:val="00B24B15"/>
    <w:rsid w:val="00B24F99"/>
    <w:rsid w:val="00B251D7"/>
    <w:rsid w:val="00B27766"/>
    <w:rsid w:val="00B33073"/>
    <w:rsid w:val="00B332D1"/>
    <w:rsid w:val="00B33559"/>
    <w:rsid w:val="00B3446D"/>
    <w:rsid w:val="00B3549E"/>
    <w:rsid w:val="00B354BE"/>
    <w:rsid w:val="00B40BF6"/>
    <w:rsid w:val="00B40F66"/>
    <w:rsid w:val="00B41A0E"/>
    <w:rsid w:val="00B42250"/>
    <w:rsid w:val="00B42ECA"/>
    <w:rsid w:val="00B44D09"/>
    <w:rsid w:val="00B4527E"/>
    <w:rsid w:val="00B465FC"/>
    <w:rsid w:val="00B46E31"/>
    <w:rsid w:val="00B515B5"/>
    <w:rsid w:val="00B54F14"/>
    <w:rsid w:val="00B55A54"/>
    <w:rsid w:val="00B55BED"/>
    <w:rsid w:val="00B56424"/>
    <w:rsid w:val="00B56A46"/>
    <w:rsid w:val="00B56BA8"/>
    <w:rsid w:val="00B575C4"/>
    <w:rsid w:val="00B61611"/>
    <w:rsid w:val="00B640AC"/>
    <w:rsid w:val="00B6430D"/>
    <w:rsid w:val="00B64D68"/>
    <w:rsid w:val="00B6542C"/>
    <w:rsid w:val="00B66398"/>
    <w:rsid w:val="00B6668B"/>
    <w:rsid w:val="00B66D6C"/>
    <w:rsid w:val="00B67D2B"/>
    <w:rsid w:val="00B7297E"/>
    <w:rsid w:val="00B72E03"/>
    <w:rsid w:val="00B73AF6"/>
    <w:rsid w:val="00B744BC"/>
    <w:rsid w:val="00B76F48"/>
    <w:rsid w:val="00B832CB"/>
    <w:rsid w:val="00B83F68"/>
    <w:rsid w:val="00B87091"/>
    <w:rsid w:val="00B903D1"/>
    <w:rsid w:val="00B92390"/>
    <w:rsid w:val="00B93BBD"/>
    <w:rsid w:val="00B9437C"/>
    <w:rsid w:val="00B96166"/>
    <w:rsid w:val="00B966F0"/>
    <w:rsid w:val="00B96EF7"/>
    <w:rsid w:val="00B96FD2"/>
    <w:rsid w:val="00B97BD1"/>
    <w:rsid w:val="00BA3753"/>
    <w:rsid w:val="00BA4519"/>
    <w:rsid w:val="00BA4D15"/>
    <w:rsid w:val="00BA5B30"/>
    <w:rsid w:val="00BA5E68"/>
    <w:rsid w:val="00BA6409"/>
    <w:rsid w:val="00BA7738"/>
    <w:rsid w:val="00BB0E60"/>
    <w:rsid w:val="00BB1526"/>
    <w:rsid w:val="00BB2CF9"/>
    <w:rsid w:val="00BB5EED"/>
    <w:rsid w:val="00BB60AE"/>
    <w:rsid w:val="00BB6A23"/>
    <w:rsid w:val="00BC08DB"/>
    <w:rsid w:val="00BC30CB"/>
    <w:rsid w:val="00BC3DF5"/>
    <w:rsid w:val="00BC6308"/>
    <w:rsid w:val="00BC68A6"/>
    <w:rsid w:val="00BC7866"/>
    <w:rsid w:val="00BC7A1D"/>
    <w:rsid w:val="00BD2B17"/>
    <w:rsid w:val="00BD3327"/>
    <w:rsid w:val="00BD3507"/>
    <w:rsid w:val="00BD354E"/>
    <w:rsid w:val="00BD38D8"/>
    <w:rsid w:val="00BD64C7"/>
    <w:rsid w:val="00BD7737"/>
    <w:rsid w:val="00BE0733"/>
    <w:rsid w:val="00BE0EB0"/>
    <w:rsid w:val="00BE239A"/>
    <w:rsid w:val="00BE2515"/>
    <w:rsid w:val="00BE3466"/>
    <w:rsid w:val="00BE3970"/>
    <w:rsid w:val="00BE4528"/>
    <w:rsid w:val="00BE4A25"/>
    <w:rsid w:val="00BE544E"/>
    <w:rsid w:val="00BE56FA"/>
    <w:rsid w:val="00BE5AAD"/>
    <w:rsid w:val="00BE609A"/>
    <w:rsid w:val="00BE6510"/>
    <w:rsid w:val="00BE6AAE"/>
    <w:rsid w:val="00BE728E"/>
    <w:rsid w:val="00BF064C"/>
    <w:rsid w:val="00BF0E36"/>
    <w:rsid w:val="00BF1627"/>
    <w:rsid w:val="00BF21B6"/>
    <w:rsid w:val="00BF248C"/>
    <w:rsid w:val="00BF3AE7"/>
    <w:rsid w:val="00BF4DB7"/>
    <w:rsid w:val="00BF5320"/>
    <w:rsid w:val="00BF5335"/>
    <w:rsid w:val="00BF6346"/>
    <w:rsid w:val="00BF6D20"/>
    <w:rsid w:val="00C0094F"/>
    <w:rsid w:val="00C00AA4"/>
    <w:rsid w:val="00C01EF6"/>
    <w:rsid w:val="00C02085"/>
    <w:rsid w:val="00C04910"/>
    <w:rsid w:val="00C060EF"/>
    <w:rsid w:val="00C0690F"/>
    <w:rsid w:val="00C076C0"/>
    <w:rsid w:val="00C07ACC"/>
    <w:rsid w:val="00C07F8C"/>
    <w:rsid w:val="00C10AAF"/>
    <w:rsid w:val="00C11F1E"/>
    <w:rsid w:val="00C12EF7"/>
    <w:rsid w:val="00C148B4"/>
    <w:rsid w:val="00C1716D"/>
    <w:rsid w:val="00C17699"/>
    <w:rsid w:val="00C178A7"/>
    <w:rsid w:val="00C21EEC"/>
    <w:rsid w:val="00C2292D"/>
    <w:rsid w:val="00C2350E"/>
    <w:rsid w:val="00C23574"/>
    <w:rsid w:val="00C2432A"/>
    <w:rsid w:val="00C24CC9"/>
    <w:rsid w:val="00C25667"/>
    <w:rsid w:val="00C260DA"/>
    <w:rsid w:val="00C26EEA"/>
    <w:rsid w:val="00C27075"/>
    <w:rsid w:val="00C2759F"/>
    <w:rsid w:val="00C315EE"/>
    <w:rsid w:val="00C31AB2"/>
    <w:rsid w:val="00C32440"/>
    <w:rsid w:val="00C33C3A"/>
    <w:rsid w:val="00C34D13"/>
    <w:rsid w:val="00C35F1C"/>
    <w:rsid w:val="00C404C5"/>
    <w:rsid w:val="00C42C04"/>
    <w:rsid w:val="00C437BA"/>
    <w:rsid w:val="00C44219"/>
    <w:rsid w:val="00C445C8"/>
    <w:rsid w:val="00C44760"/>
    <w:rsid w:val="00C46862"/>
    <w:rsid w:val="00C50273"/>
    <w:rsid w:val="00C5135E"/>
    <w:rsid w:val="00C53070"/>
    <w:rsid w:val="00C5370E"/>
    <w:rsid w:val="00C543D9"/>
    <w:rsid w:val="00C54ADC"/>
    <w:rsid w:val="00C54E8B"/>
    <w:rsid w:val="00C55BB7"/>
    <w:rsid w:val="00C668F3"/>
    <w:rsid w:val="00C70B60"/>
    <w:rsid w:val="00C71797"/>
    <w:rsid w:val="00C71A66"/>
    <w:rsid w:val="00C72072"/>
    <w:rsid w:val="00C72FA8"/>
    <w:rsid w:val="00C731F3"/>
    <w:rsid w:val="00C7369B"/>
    <w:rsid w:val="00C73EB0"/>
    <w:rsid w:val="00C74015"/>
    <w:rsid w:val="00C74872"/>
    <w:rsid w:val="00C74A4C"/>
    <w:rsid w:val="00C75B96"/>
    <w:rsid w:val="00C7752E"/>
    <w:rsid w:val="00C81685"/>
    <w:rsid w:val="00C81FD0"/>
    <w:rsid w:val="00C82B95"/>
    <w:rsid w:val="00C82DC5"/>
    <w:rsid w:val="00C83EDD"/>
    <w:rsid w:val="00C840E9"/>
    <w:rsid w:val="00C84368"/>
    <w:rsid w:val="00C866FF"/>
    <w:rsid w:val="00C87A47"/>
    <w:rsid w:val="00C87B10"/>
    <w:rsid w:val="00C87E6B"/>
    <w:rsid w:val="00C903A1"/>
    <w:rsid w:val="00C913F4"/>
    <w:rsid w:val="00C9172D"/>
    <w:rsid w:val="00C964D7"/>
    <w:rsid w:val="00CA0682"/>
    <w:rsid w:val="00CA089A"/>
    <w:rsid w:val="00CA22E3"/>
    <w:rsid w:val="00CA29EB"/>
    <w:rsid w:val="00CA2F1C"/>
    <w:rsid w:val="00CA35A3"/>
    <w:rsid w:val="00CA3EA6"/>
    <w:rsid w:val="00CA4335"/>
    <w:rsid w:val="00CA66B5"/>
    <w:rsid w:val="00CA6B9E"/>
    <w:rsid w:val="00CA6FF0"/>
    <w:rsid w:val="00CB059F"/>
    <w:rsid w:val="00CB0B19"/>
    <w:rsid w:val="00CB0C2A"/>
    <w:rsid w:val="00CB49B0"/>
    <w:rsid w:val="00CB5056"/>
    <w:rsid w:val="00CB555B"/>
    <w:rsid w:val="00CB678B"/>
    <w:rsid w:val="00CC052D"/>
    <w:rsid w:val="00CC5906"/>
    <w:rsid w:val="00CC6514"/>
    <w:rsid w:val="00CC7052"/>
    <w:rsid w:val="00CD129E"/>
    <w:rsid w:val="00CD1C53"/>
    <w:rsid w:val="00CD1CC9"/>
    <w:rsid w:val="00CD20AF"/>
    <w:rsid w:val="00CD47C3"/>
    <w:rsid w:val="00CD4EDE"/>
    <w:rsid w:val="00CD5427"/>
    <w:rsid w:val="00CD7385"/>
    <w:rsid w:val="00CD7CEF"/>
    <w:rsid w:val="00CE0987"/>
    <w:rsid w:val="00CE0EC9"/>
    <w:rsid w:val="00CE1BDF"/>
    <w:rsid w:val="00CE1C03"/>
    <w:rsid w:val="00CE344A"/>
    <w:rsid w:val="00CE3FAE"/>
    <w:rsid w:val="00CE4B24"/>
    <w:rsid w:val="00CF0FB9"/>
    <w:rsid w:val="00CF108B"/>
    <w:rsid w:val="00CF129B"/>
    <w:rsid w:val="00CF156C"/>
    <w:rsid w:val="00CF1581"/>
    <w:rsid w:val="00CF59BA"/>
    <w:rsid w:val="00CF6D3B"/>
    <w:rsid w:val="00CF7733"/>
    <w:rsid w:val="00CF7896"/>
    <w:rsid w:val="00CF7D76"/>
    <w:rsid w:val="00D02AA6"/>
    <w:rsid w:val="00D02D10"/>
    <w:rsid w:val="00D045A2"/>
    <w:rsid w:val="00D046F4"/>
    <w:rsid w:val="00D05841"/>
    <w:rsid w:val="00D07F31"/>
    <w:rsid w:val="00D121EF"/>
    <w:rsid w:val="00D129E5"/>
    <w:rsid w:val="00D13ED1"/>
    <w:rsid w:val="00D147D7"/>
    <w:rsid w:val="00D15208"/>
    <w:rsid w:val="00D15AFC"/>
    <w:rsid w:val="00D15B82"/>
    <w:rsid w:val="00D204D9"/>
    <w:rsid w:val="00D208C8"/>
    <w:rsid w:val="00D21269"/>
    <w:rsid w:val="00D216E4"/>
    <w:rsid w:val="00D21B72"/>
    <w:rsid w:val="00D220A2"/>
    <w:rsid w:val="00D22785"/>
    <w:rsid w:val="00D23069"/>
    <w:rsid w:val="00D23394"/>
    <w:rsid w:val="00D23A96"/>
    <w:rsid w:val="00D25611"/>
    <w:rsid w:val="00D30621"/>
    <w:rsid w:val="00D308EB"/>
    <w:rsid w:val="00D30B89"/>
    <w:rsid w:val="00D3234A"/>
    <w:rsid w:val="00D32B9E"/>
    <w:rsid w:val="00D32CF5"/>
    <w:rsid w:val="00D333FC"/>
    <w:rsid w:val="00D3435A"/>
    <w:rsid w:val="00D35397"/>
    <w:rsid w:val="00D35D77"/>
    <w:rsid w:val="00D40BFD"/>
    <w:rsid w:val="00D421FC"/>
    <w:rsid w:val="00D440D2"/>
    <w:rsid w:val="00D4587C"/>
    <w:rsid w:val="00D45A51"/>
    <w:rsid w:val="00D45C70"/>
    <w:rsid w:val="00D4690B"/>
    <w:rsid w:val="00D509A5"/>
    <w:rsid w:val="00D523A1"/>
    <w:rsid w:val="00D53476"/>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259"/>
    <w:rsid w:val="00D67A2D"/>
    <w:rsid w:val="00D67B08"/>
    <w:rsid w:val="00D70339"/>
    <w:rsid w:val="00D70986"/>
    <w:rsid w:val="00D70A43"/>
    <w:rsid w:val="00D70FAD"/>
    <w:rsid w:val="00D71105"/>
    <w:rsid w:val="00D723DE"/>
    <w:rsid w:val="00D73012"/>
    <w:rsid w:val="00D74648"/>
    <w:rsid w:val="00D750AD"/>
    <w:rsid w:val="00D7518A"/>
    <w:rsid w:val="00D7590E"/>
    <w:rsid w:val="00D76723"/>
    <w:rsid w:val="00D76DE5"/>
    <w:rsid w:val="00D77145"/>
    <w:rsid w:val="00D77DA5"/>
    <w:rsid w:val="00D77ECE"/>
    <w:rsid w:val="00D804FD"/>
    <w:rsid w:val="00D81C89"/>
    <w:rsid w:val="00D8388E"/>
    <w:rsid w:val="00D83B3D"/>
    <w:rsid w:val="00D86C70"/>
    <w:rsid w:val="00D86CF2"/>
    <w:rsid w:val="00D8759A"/>
    <w:rsid w:val="00D9063B"/>
    <w:rsid w:val="00D94B8F"/>
    <w:rsid w:val="00D960DF"/>
    <w:rsid w:val="00D96618"/>
    <w:rsid w:val="00D97544"/>
    <w:rsid w:val="00D9761A"/>
    <w:rsid w:val="00D9768F"/>
    <w:rsid w:val="00DA000F"/>
    <w:rsid w:val="00DA227D"/>
    <w:rsid w:val="00DA2B87"/>
    <w:rsid w:val="00DA2CAD"/>
    <w:rsid w:val="00DA3335"/>
    <w:rsid w:val="00DA3475"/>
    <w:rsid w:val="00DA3F5D"/>
    <w:rsid w:val="00DA56E0"/>
    <w:rsid w:val="00DA6847"/>
    <w:rsid w:val="00DB0B8B"/>
    <w:rsid w:val="00DB402C"/>
    <w:rsid w:val="00DB4369"/>
    <w:rsid w:val="00DB5A82"/>
    <w:rsid w:val="00DB61B8"/>
    <w:rsid w:val="00DC1707"/>
    <w:rsid w:val="00DC1D32"/>
    <w:rsid w:val="00DC2E74"/>
    <w:rsid w:val="00DC3776"/>
    <w:rsid w:val="00DC3A41"/>
    <w:rsid w:val="00DC44CD"/>
    <w:rsid w:val="00DC48B4"/>
    <w:rsid w:val="00DC6F45"/>
    <w:rsid w:val="00DC71D8"/>
    <w:rsid w:val="00DC7D31"/>
    <w:rsid w:val="00DD029D"/>
    <w:rsid w:val="00DD11C3"/>
    <w:rsid w:val="00DD15FF"/>
    <w:rsid w:val="00DD2D2C"/>
    <w:rsid w:val="00DD4116"/>
    <w:rsid w:val="00DD7951"/>
    <w:rsid w:val="00DE0513"/>
    <w:rsid w:val="00DE0D1D"/>
    <w:rsid w:val="00DE402B"/>
    <w:rsid w:val="00DE40E5"/>
    <w:rsid w:val="00DE50B5"/>
    <w:rsid w:val="00DE58E9"/>
    <w:rsid w:val="00DE7BA8"/>
    <w:rsid w:val="00DF00CF"/>
    <w:rsid w:val="00DF0391"/>
    <w:rsid w:val="00DF1571"/>
    <w:rsid w:val="00DF5911"/>
    <w:rsid w:val="00DF6347"/>
    <w:rsid w:val="00DF7319"/>
    <w:rsid w:val="00DF761D"/>
    <w:rsid w:val="00E00508"/>
    <w:rsid w:val="00E02ABC"/>
    <w:rsid w:val="00E03057"/>
    <w:rsid w:val="00E04AC9"/>
    <w:rsid w:val="00E061F8"/>
    <w:rsid w:val="00E07047"/>
    <w:rsid w:val="00E07265"/>
    <w:rsid w:val="00E100F7"/>
    <w:rsid w:val="00E10B0B"/>
    <w:rsid w:val="00E13AD7"/>
    <w:rsid w:val="00E14280"/>
    <w:rsid w:val="00E15671"/>
    <w:rsid w:val="00E162F8"/>
    <w:rsid w:val="00E16AF6"/>
    <w:rsid w:val="00E21115"/>
    <w:rsid w:val="00E21D6D"/>
    <w:rsid w:val="00E23AEC"/>
    <w:rsid w:val="00E245D0"/>
    <w:rsid w:val="00E26870"/>
    <w:rsid w:val="00E26BAF"/>
    <w:rsid w:val="00E26CCA"/>
    <w:rsid w:val="00E30F86"/>
    <w:rsid w:val="00E3244C"/>
    <w:rsid w:val="00E3390F"/>
    <w:rsid w:val="00E33B81"/>
    <w:rsid w:val="00E341CB"/>
    <w:rsid w:val="00E35DDE"/>
    <w:rsid w:val="00E35F53"/>
    <w:rsid w:val="00E42D54"/>
    <w:rsid w:val="00E43811"/>
    <w:rsid w:val="00E438DD"/>
    <w:rsid w:val="00E4487F"/>
    <w:rsid w:val="00E4533A"/>
    <w:rsid w:val="00E45947"/>
    <w:rsid w:val="00E459EA"/>
    <w:rsid w:val="00E46AF9"/>
    <w:rsid w:val="00E4769C"/>
    <w:rsid w:val="00E47746"/>
    <w:rsid w:val="00E47F00"/>
    <w:rsid w:val="00E50EE0"/>
    <w:rsid w:val="00E51AC9"/>
    <w:rsid w:val="00E51C3A"/>
    <w:rsid w:val="00E54A08"/>
    <w:rsid w:val="00E54A63"/>
    <w:rsid w:val="00E56979"/>
    <w:rsid w:val="00E56D23"/>
    <w:rsid w:val="00E575FC"/>
    <w:rsid w:val="00E60BC8"/>
    <w:rsid w:val="00E63242"/>
    <w:rsid w:val="00E65E5A"/>
    <w:rsid w:val="00E702C8"/>
    <w:rsid w:val="00E73DA5"/>
    <w:rsid w:val="00E73DB5"/>
    <w:rsid w:val="00E77722"/>
    <w:rsid w:val="00E80456"/>
    <w:rsid w:val="00E80AD1"/>
    <w:rsid w:val="00E8344B"/>
    <w:rsid w:val="00E8409B"/>
    <w:rsid w:val="00E840A7"/>
    <w:rsid w:val="00E87C51"/>
    <w:rsid w:val="00E90E42"/>
    <w:rsid w:val="00E925ED"/>
    <w:rsid w:val="00E92B5E"/>
    <w:rsid w:val="00E93D04"/>
    <w:rsid w:val="00E93D53"/>
    <w:rsid w:val="00E95364"/>
    <w:rsid w:val="00E95EB4"/>
    <w:rsid w:val="00E96FF8"/>
    <w:rsid w:val="00EA0CB2"/>
    <w:rsid w:val="00EA16F0"/>
    <w:rsid w:val="00EA1F47"/>
    <w:rsid w:val="00EA225A"/>
    <w:rsid w:val="00EA2BAA"/>
    <w:rsid w:val="00EA37F1"/>
    <w:rsid w:val="00EA388E"/>
    <w:rsid w:val="00EA3CDD"/>
    <w:rsid w:val="00EA5A5F"/>
    <w:rsid w:val="00EA73F5"/>
    <w:rsid w:val="00EB113E"/>
    <w:rsid w:val="00EB1247"/>
    <w:rsid w:val="00EB2B49"/>
    <w:rsid w:val="00EB38ED"/>
    <w:rsid w:val="00EC091C"/>
    <w:rsid w:val="00EC1B79"/>
    <w:rsid w:val="00EC3C42"/>
    <w:rsid w:val="00EC4177"/>
    <w:rsid w:val="00EC5E6F"/>
    <w:rsid w:val="00EC7B7C"/>
    <w:rsid w:val="00ED0629"/>
    <w:rsid w:val="00ED1115"/>
    <w:rsid w:val="00ED12EC"/>
    <w:rsid w:val="00ED191E"/>
    <w:rsid w:val="00ED1E65"/>
    <w:rsid w:val="00ED246C"/>
    <w:rsid w:val="00ED325F"/>
    <w:rsid w:val="00ED3913"/>
    <w:rsid w:val="00ED67E8"/>
    <w:rsid w:val="00ED70C0"/>
    <w:rsid w:val="00EE0CFE"/>
    <w:rsid w:val="00EE0D4C"/>
    <w:rsid w:val="00EE275B"/>
    <w:rsid w:val="00EE32FF"/>
    <w:rsid w:val="00EE6053"/>
    <w:rsid w:val="00EE62F8"/>
    <w:rsid w:val="00EE6C16"/>
    <w:rsid w:val="00EE757A"/>
    <w:rsid w:val="00EF1BF2"/>
    <w:rsid w:val="00EF2032"/>
    <w:rsid w:val="00EF2453"/>
    <w:rsid w:val="00EF3FD8"/>
    <w:rsid w:val="00EF44E6"/>
    <w:rsid w:val="00EF7955"/>
    <w:rsid w:val="00F007E8"/>
    <w:rsid w:val="00F017A0"/>
    <w:rsid w:val="00F0290E"/>
    <w:rsid w:val="00F0430C"/>
    <w:rsid w:val="00F05FCA"/>
    <w:rsid w:val="00F06BFC"/>
    <w:rsid w:val="00F07EBA"/>
    <w:rsid w:val="00F10752"/>
    <w:rsid w:val="00F11E51"/>
    <w:rsid w:val="00F1261E"/>
    <w:rsid w:val="00F12789"/>
    <w:rsid w:val="00F131BC"/>
    <w:rsid w:val="00F13F3E"/>
    <w:rsid w:val="00F14389"/>
    <w:rsid w:val="00F14805"/>
    <w:rsid w:val="00F14A3A"/>
    <w:rsid w:val="00F1518C"/>
    <w:rsid w:val="00F151B2"/>
    <w:rsid w:val="00F158B5"/>
    <w:rsid w:val="00F159B2"/>
    <w:rsid w:val="00F16DB4"/>
    <w:rsid w:val="00F17D69"/>
    <w:rsid w:val="00F2107B"/>
    <w:rsid w:val="00F21D89"/>
    <w:rsid w:val="00F21E36"/>
    <w:rsid w:val="00F2209A"/>
    <w:rsid w:val="00F23315"/>
    <w:rsid w:val="00F23519"/>
    <w:rsid w:val="00F245EE"/>
    <w:rsid w:val="00F24948"/>
    <w:rsid w:val="00F25106"/>
    <w:rsid w:val="00F26809"/>
    <w:rsid w:val="00F278A3"/>
    <w:rsid w:val="00F2797D"/>
    <w:rsid w:val="00F30C4D"/>
    <w:rsid w:val="00F31B3F"/>
    <w:rsid w:val="00F324A9"/>
    <w:rsid w:val="00F33EE8"/>
    <w:rsid w:val="00F34570"/>
    <w:rsid w:val="00F34D89"/>
    <w:rsid w:val="00F354B9"/>
    <w:rsid w:val="00F36010"/>
    <w:rsid w:val="00F36797"/>
    <w:rsid w:val="00F36AEF"/>
    <w:rsid w:val="00F4030B"/>
    <w:rsid w:val="00F41CD0"/>
    <w:rsid w:val="00F42CF7"/>
    <w:rsid w:val="00F43669"/>
    <w:rsid w:val="00F44474"/>
    <w:rsid w:val="00F44AF9"/>
    <w:rsid w:val="00F44DCF"/>
    <w:rsid w:val="00F451F4"/>
    <w:rsid w:val="00F45966"/>
    <w:rsid w:val="00F46035"/>
    <w:rsid w:val="00F47CD2"/>
    <w:rsid w:val="00F50670"/>
    <w:rsid w:val="00F52E81"/>
    <w:rsid w:val="00F56CF6"/>
    <w:rsid w:val="00F5707E"/>
    <w:rsid w:val="00F57C5B"/>
    <w:rsid w:val="00F60311"/>
    <w:rsid w:val="00F62B72"/>
    <w:rsid w:val="00F62E9F"/>
    <w:rsid w:val="00F63F6D"/>
    <w:rsid w:val="00F64F72"/>
    <w:rsid w:val="00F664D4"/>
    <w:rsid w:val="00F66BDD"/>
    <w:rsid w:val="00F66F9B"/>
    <w:rsid w:val="00F67F00"/>
    <w:rsid w:val="00F71863"/>
    <w:rsid w:val="00F73071"/>
    <w:rsid w:val="00F7323D"/>
    <w:rsid w:val="00F73A1D"/>
    <w:rsid w:val="00F7631A"/>
    <w:rsid w:val="00F76898"/>
    <w:rsid w:val="00F769C2"/>
    <w:rsid w:val="00F77FF0"/>
    <w:rsid w:val="00F8118B"/>
    <w:rsid w:val="00F828A4"/>
    <w:rsid w:val="00F82E93"/>
    <w:rsid w:val="00F83555"/>
    <w:rsid w:val="00F86F44"/>
    <w:rsid w:val="00F87613"/>
    <w:rsid w:val="00F927D0"/>
    <w:rsid w:val="00F92819"/>
    <w:rsid w:val="00F93F43"/>
    <w:rsid w:val="00F94B63"/>
    <w:rsid w:val="00F95631"/>
    <w:rsid w:val="00F96079"/>
    <w:rsid w:val="00F96506"/>
    <w:rsid w:val="00FA1022"/>
    <w:rsid w:val="00FA1300"/>
    <w:rsid w:val="00FA23D3"/>
    <w:rsid w:val="00FA2CF8"/>
    <w:rsid w:val="00FA3384"/>
    <w:rsid w:val="00FA360C"/>
    <w:rsid w:val="00FA6407"/>
    <w:rsid w:val="00FA6AEB"/>
    <w:rsid w:val="00FB0508"/>
    <w:rsid w:val="00FB062B"/>
    <w:rsid w:val="00FB0962"/>
    <w:rsid w:val="00FB0D4F"/>
    <w:rsid w:val="00FB3211"/>
    <w:rsid w:val="00FB338F"/>
    <w:rsid w:val="00FB3BBB"/>
    <w:rsid w:val="00FB3C65"/>
    <w:rsid w:val="00FB6246"/>
    <w:rsid w:val="00FB64C6"/>
    <w:rsid w:val="00FB6F2D"/>
    <w:rsid w:val="00FB76E5"/>
    <w:rsid w:val="00FC06B0"/>
    <w:rsid w:val="00FC07A4"/>
    <w:rsid w:val="00FC0F9F"/>
    <w:rsid w:val="00FC10EF"/>
    <w:rsid w:val="00FC1D42"/>
    <w:rsid w:val="00FC2496"/>
    <w:rsid w:val="00FC39BD"/>
    <w:rsid w:val="00FC7014"/>
    <w:rsid w:val="00FD06A2"/>
    <w:rsid w:val="00FD22FD"/>
    <w:rsid w:val="00FD3E48"/>
    <w:rsid w:val="00FD54E9"/>
    <w:rsid w:val="00FD65D6"/>
    <w:rsid w:val="00FD6E6B"/>
    <w:rsid w:val="00FD6FE4"/>
    <w:rsid w:val="00FD7C5E"/>
    <w:rsid w:val="00FE0FBF"/>
    <w:rsid w:val="00FE1D8A"/>
    <w:rsid w:val="00FE2EEA"/>
    <w:rsid w:val="00FE5138"/>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unhideWhenUsed/>
    <w:rsid w:val="00B61611"/>
    <w:rPr>
      <w:sz w:val="20"/>
      <w:szCs w:val="20"/>
    </w:rPr>
  </w:style>
  <w:style w:type="character" w:customStyle="1" w:styleId="CommentTextChar">
    <w:name w:val="Comment Text Char"/>
    <w:basedOn w:val="DefaultParagraphFont"/>
    <w:link w:val="CommentText"/>
    <w:uiPriority w:val="99"/>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uiPriority w:val="34"/>
    <w:qFormat/>
    <w:locked/>
    <w:rsid w:val="00BE4528"/>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paragraph" w:customStyle="1" w:styleId="Recommendation1">
    <w:name w:val="Recommendation 1"/>
    <w:qFormat/>
    <w:rsid w:val="00D4690B"/>
    <w:pPr>
      <w:numPr>
        <w:numId w:val="25"/>
      </w:numPr>
      <w:tabs>
        <w:tab w:val="left" w:pos="425"/>
      </w:tabs>
      <w:spacing w:before="240" w:line="276" w:lineRule="auto"/>
      <w:ind w:left="425" w:hanging="425"/>
    </w:pPr>
    <w:rPr>
      <w:rFonts w:asciiTheme="minorHAnsi" w:eastAsiaTheme="minorEastAsia" w:hAnsiTheme="minorHAnsi" w:cstheme="minorBidi"/>
      <w:sz w:val="24"/>
      <w:szCs w:val="24"/>
      <w:lang w:eastAsia="en-US"/>
    </w:rPr>
  </w:style>
  <w:style w:type="paragraph" w:customStyle="1" w:styleId="Recommendation3">
    <w:name w:val="Recommendation 3"/>
    <w:qFormat/>
    <w:rsid w:val="00D4690B"/>
    <w:pPr>
      <w:numPr>
        <w:numId w:val="26"/>
      </w:numPr>
      <w:tabs>
        <w:tab w:val="left" w:pos="1276"/>
      </w:tabs>
      <w:spacing w:before="60" w:line="276" w:lineRule="auto"/>
    </w:pPr>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64182406">
      <w:bodyDiv w:val="1"/>
      <w:marLeft w:val="0"/>
      <w:marRight w:val="0"/>
      <w:marTop w:val="0"/>
      <w:marBottom w:val="0"/>
      <w:divBdr>
        <w:top w:val="none" w:sz="0" w:space="0" w:color="auto"/>
        <w:left w:val="none" w:sz="0" w:space="0" w:color="auto"/>
        <w:bottom w:val="none" w:sz="0" w:space="0" w:color="auto"/>
        <w:right w:val="none" w:sz="0" w:space="0" w:color="auto"/>
      </w:divBdr>
    </w:div>
    <w:div w:id="86928588">
      <w:bodyDiv w:val="1"/>
      <w:marLeft w:val="0"/>
      <w:marRight w:val="0"/>
      <w:marTop w:val="0"/>
      <w:marBottom w:val="0"/>
      <w:divBdr>
        <w:top w:val="none" w:sz="0" w:space="0" w:color="auto"/>
        <w:left w:val="none" w:sz="0" w:space="0" w:color="auto"/>
        <w:bottom w:val="none" w:sz="0" w:space="0" w:color="auto"/>
        <w:right w:val="none" w:sz="0" w:space="0" w:color="auto"/>
      </w:divBdr>
      <w:divsChild>
        <w:div w:id="804012150">
          <w:marLeft w:val="0"/>
          <w:marRight w:val="0"/>
          <w:marTop w:val="0"/>
          <w:marBottom w:val="0"/>
          <w:divBdr>
            <w:top w:val="none" w:sz="0" w:space="0" w:color="auto"/>
            <w:left w:val="none" w:sz="0" w:space="0" w:color="auto"/>
            <w:bottom w:val="none" w:sz="0" w:space="0" w:color="auto"/>
            <w:right w:val="none" w:sz="0" w:space="0" w:color="auto"/>
          </w:divBdr>
        </w:div>
        <w:div w:id="377902092">
          <w:marLeft w:val="0"/>
          <w:marRight w:val="0"/>
          <w:marTop w:val="0"/>
          <w:marBottom w:val="0"/>
          <w:divBdr>
            <w:top w:val="none" w:sz="0" w:space="0" w:color="auto"/>
            <w:left w:val="none" w:sz="0" w:space="0" w:color="auto"/>
            <w:bottom w:val="none" w:sz="0" w:space="0" w:color="auto"/>
            <w:right w:val="none" w:sz="0" w:space="0" w:color="auto"/>
          </w:divBdr>
        </w:div>
        <w:div w:id="1626353034">
          <w:marLeft w:val="0"/>
          <w:marRight w:val="0"/>
          <w:marTop w:val="0"/>
          <w:marBottom w:val="0"/>
          <w:divBdr>
            <w:top w:val="none" w:sz="0" w:space="0" w:color="auto"/>
            <w:left w:val="none" w:sz="0" w:space="0" w:color="auto"/>
            <w:bottom w:val="none" w:sz="0" w:space="0" w:color="auto"/>
            <w:right w:val="none" w:sz="0" w:space="0" w:color="auto"/>
          </w:divBdr>
        </w:div>
        <w:div w:id="389034483">
          <w:marLeft w:val="0"/>
          <w:marRight w:val="0"/>
          <w:marTop w:val="0"/>
          <w:marBottom w:val="0"/>
          <w:divBdr>
            <w:top w:val="none" w:sz="0" w:space="0" w:color="auto"/>
            <w:left w:val="none" w:sz="0" w:space="0" w:color="auto"/>
            <w:bottom w:val="none" w:sz="0" w:space="0" w:color="auto"/>
            <w:right w:val="none" w:sz="0" w:space="0" w:color="auto"/>
          </w:divBdr>
        </w:div>
        <w:div w:id="1345203278">
          <w:marLeft w:val="0"/>
          <w:marRight w:val="0"/>
          <w:marTop w:val="0"/>
          <w:marBottom w:val="0"/>
          <w:divBdr>
            <w:top w:val="none" w:sz="0" w:space="0" w:color="auto"/>
            <w:left w:val="none" w:sz="0" w:space="0" w:color="auto"/>
            <w:bottom w:val="none" w:sz="0" w:space="0" w:color="auto"/>
            <w:right w:val="none" w:sz="0" w:space="0" w:color="auto"/>
          </w:divBdr>
        </w:div>
        <w:div w:id="876621393">
          <w:marLeft w:val="0"/>
          <w:marRight w:val="0"/>
          <w:marTop w:val="0"/>
          <w:marBottom w:val="0"/>
          <w:divBdr>
            <w:top w:val="none" w:sz="0" w:space="0" w:color="auto"/>
            <w:left w:val="none" w:sz="0" w:space="0" w:color="auto"/>
            <w:bottom w:val="none" w:sz="0" w:space="0" w:color="auto"/>
            <w:right w:val="none" w:sz="0" w:space="0" w:color="auto"/>
          </w:divBdr>
        </w:div>
        <w:div w:id="1830826127">
          <w:marLeft w:val="0"/>
          <w:marRight w:val="0"/>
          <w:marTop w:val="0"/>
          <w:marBottom w:val="0"/>
          <w:divBdr>
            <w:top w:val="none" w:sz="0" w:space="0" w:color="auto"/>
            <w:left w:val="none" w:sz="0" w:space="0" w:color="auto"/>
            <w:bottom w:val="none" w:sz="0" w:space="0" w:color="auto"/>
            <w:right w:val="none" w:sz="0" w:space="0" w:color="auto"/>
          </w:divBdr>
        </w:div>
        <w:div w:id="2101875669">
          <w:marLeft w:val="0"/>
          <w:marRight w:val="0"/>
          <w:marTop w:val="0"/>
          <w:marBottom w:val="0"/>
          <w:divBdr>
            <w:top w:val="none" w:sz="0" w:space="0" w:color="auto"/>
            <w:left w:val="none" w:sz="0" w:space="0" w:color="auto"/>
            <w:bottom w:val="none" w:sz="0" w:space="0" w:color="auto"/>
            <w:right w:val="none" w:sz="0" w:space="0" w:color="auto"/>
          </w:divBdr>
        </w:div>
        <w:div w:id="1700397261">
          <w:marLeft w:val="0"/>
          <w:marRight w:val="0"/>
          <w:marTop w:val="0"/>
          <w:marBottom w:val="0"/>
          <w:divBdr>
            <w:top w:val="none" w:sz="0" w:space="0" w:color="auto"/>
            <w:left w:val="none" w:sz="0" w:space="0" w:color="auto"/>
            <w:bottom w:val="none" w:sz="0" w:space="0" w:color="auto"/>
            <w:right w:val="none" w:sz="0" w:space="0" w:color="auto"/>
          </w:divBdr>
        </w:div>
        <w:div w:id="1368600029">
          <w:marLeft w:val="0"/>
          <w:marRight w:val="0"/>
          <w:marTop w:val="0"/>
          <w:marBottom w:val="0"/>
          <w:divBdr>
            <w:top w:val="none" w:sz="0" w:space="0" w:color="auto"/>
            <w:left w:val="none" w:sz="0" w:space="0" w:color="auto"/>
            <w:bottom w:val="none" w:sz="0" w:space="0" w:color="auto"/>
            <w:right w:val="none" w:sz="0" w:space="0" w:color="auto"/>
          </w:divBdr>
        </w:div>
        <w:div w:id="157238609">
          <w:marLeft w:val="0"/>
          <w:marRight w:val="0"/>
          <w:marTop w:val="0"/>
          <w:marBottom w:val="0"/>
          <w:divBdr>
            <w:top w:val="none" w:sz="0" w:space="0" w:color="auto"/>
            <w:left w:val="none" w:sz="0" w:space="0" w:color="auto"/>
            <w:bottom w:val="none" w:sz="0" w:space="0" w:color="auto"/>
            <w:right w:val="none" w:sz="0" w:space="0" w:color="auto"/>
          </w:divBdr>
        </w:div>
        <w:div w:id="1213418290">
          <w:marLeft w:val="0"/>
          <w:marRight w:val="0"/>
          <w:marTop w:val="0"/>
          <w:marBottom w:val="0"/>
          <w:divBdr>
            <w:top w:val="none" w:sz="0" w:space="0" w:color="auto"/>
            <w:left w:val="none" w:sz="0" w:space="0" w:color="auto"/>
            <w:bottom w:val="none" w:sz="0" w:space="0" w:color="auto"/>
            <w:right w:val="none" w:sz="0" w:space="0" w:color="auto"/>
          </w:divBdr>
        </w:div>
        <w:div w:id="1773283010">
          <w:marLeft w:val="0"/>
          <w:marRight w:val="0"/>
          <w:marTop w:val="0"/>
          <w:marBottom w:val="0"/>
          <w:divBdr>
            <w:top w:val="none" w:sz="0" w:space="0" w:color="auto"/>
            <w:left w:val="none" w:sz="0" w:space="0" w:color="auto"/>
            <w:bottom w:val="none" w:sz="0" w:space="0" w:color="auto"/>
            <w:right w:val="none" w:sz="0" w:space="0" w:color="auto"/>
          </w:divBdr>
        </w:div>
        <w:div w:id="1781144400">
          <w:marLeft w:val="0"/>
          <w:marRight w:val="0"/>
          <w:marTop w:val="0"/>
          <w:marBottom w:val="0"/>
          <w:divBdr>
            <w:top w:val="none" w:sz="0" w:space="0" w:color="auto"/>
            <w:left w:val="none" w:sz="0" w:space="0" w:color="auto"/>
            <w:bottom w:val="none" w:sz="0" w:space="0" w:color="auto"/>
            <w:right w:val="none" w:sz="0" w:space="0" w:color="auto"/>
          </w:divBdr>
        </w:div>
        <w:div w:id="1403217323">
          <w:marLeft w:val="0"/>
          <w:marRight w:val="0"/>
          <w:marTop w:val="0"/>
          <w:marBottom w:val="0"/>
          <w:divBdr>
            <w:top w:val="none" w:sz="0" w:space="0" w:color="auto"/>
            <w:left w:val="none" w:sz="0" w:space="0" w:color="auto"/>
            <w:bottom w:val="none" w:sz="0" w:space="0" w:color="auto"/>
            <w:right w:val="none" w:sz="0" w:space="0" w:color="auto"/>
          </w:divBdr>
        </w:div>
        <w:div w:id="1720125381">
          <w:marLeft w:val="0"/>
          <w:marRight w:val="0"/>
          <w:marTop w:val="0"/>
          <w:marBottom w:val="0"/>
          <w:divBdr>
            <w:top w:val="none" w:sz="0" w:space="0" w:color="auto"/>
            <w:left w:val="none" w:sz="0" w:space="0" w:color="auto"/>
            <w:bottom w:val="none" w:sz="0" w:space="0" w:color="auto"/>
            <w:right w:val="none" w:sz="0" w:space="0" w:color="auto"/>
          </w:divBdr>
        </w:div>
        <w:div w:id="536159062">
          <w:marLeft w:val="0"/>
          <w:marRight w:val="0"/>
          <w:marTop w:val="0"/>
          <w:marBottom w:val="0"/>
          <w:divBdr>
            <w:top w:val="none" w:sz="0" w:space="0" w:color="auto"/>
            <w:left w:val="none" w:sz="0" w:space="0" w:color="auto"/>
            <w:bottom w:val="none" w:sz="0" w:space="0" w:color="auto"/>
            <w:right w:val="none" w:sz="0" w:space="0" w:color="auto"/>
          </w:divBdr>
        </w:div>
        <w:div w:id="534584444">
          <w:marLeft w:val="0"/>
          <w:marRight w:val="0"/>
          <w:marTop w:val="0"/>
          <w:marBottom w:val="0"/>
          <w:divBdr>
            <w:top w:val="none" w:sz="0" w:space="0" w:color="auto"/>
            <w:left w:val="none" w:sz="0" w:space="0" w:color="auto"/>
            <w:bottom w:val="none" w:sz="0" w:space="0" w:color="auto"/>
            <w:right w:val="none" w:sz="0" w:space="0" w:color="auto"/>
          </w:divBdr>
        </w:div>
        <w:div w:id="1610553257">
          <w:marLeft w:val="0"/>
          <w:marRight w:val="0"/>
          <w:marTop w:val="0"/>
          <w:marBottom w:val="0"/>
          <w:divBdr>
            <w:top w:val="none" w:sz="0" w:space="0" w:color="auto"/>
            <w:left w:val="none" w:sz="0" w:space="0" w:color="auto"/>
            <w:bottom w:val="none" w:sz="0" w:space="0" w:color="auto"/>
            <w:right w:val="none" w:sz="0" w:space="0" w:color="auto"/>
          </w:divBdr>
        </w:div>
        <w:div w:id="1187989860">
          <w:marLeft w:val="0"/>
          <w:marRight w:val="0"/>
          <w:marTop w:val="0"/>
          <w:marBottom w:val="0"/>
          <w:divBdr>
            <w:top w:val="none" w:sz="0" w:space="0" w:color="auto"/>
            <w:left w:val="none" w:sz="0" w:space="0" w:color="auto"/>
            <w:bottom w:val="none" w:sz="0" w:space="0" w:color="auto"/>
            <w:right w:val="none" w:sz="0" w:space="0" w:color="auto"/>
          </w:divBdr>
        </w:div>
        <w:div w:id="234124717">
          <w:marLeft w:val="0"/>
          <w:marRight w:val="0"/>
          <w:marTop w:val="0"/>
          <w:marBottom w:val="0"/>
          <w:divBdr>
            <w:top w:val="none" w:sz="0" w:space="0" w:color="auto"/>
            <w:left w:val="none" w:sz="0" w:space="0" w:color="auto"/>
            <w:bottom w:val="none" w:sz="0" w:space="0" w:color="auto"/>
            <w:right w:val="none" w:sz="0" w:space="0" w:color="auto"/>
          </w:divBdr>
        </w:div>
        <w:div w:id="358050088">
          <w:marLeft w:val="0"/>
          <w:marRight w:val="0"/>
          <w:marTop w:val="0"/>
          <w:marBottom w:val="0"/>
          <w:divBdr>
            <w:top w:val="none" w:sz="0" w:space="0" w:color="auto"/>
            <w:left w:val="none" w:sz="0" w:space="0" w:color="auto"/>
            <w:bottom w:val="none" w:sz="0" w:space="0" w:color="auto"/>
            <w:right w:val="none" w:sz="0" w:space="0" w:color="auto"/>
          </w:divBdr>
        </w:div>
        <w:div w:id="950939107">
          <w:marLeft w:val="0"/>
          <w:marRight w:val="0"/>
          <w:marTop w:val="0"/>
          <w:marBottom w:val="0"/>
          <w:divBdr>
            <w:top w:val="none" w:sz="0" w:space="0" w:color="auto"/>
            <w:left w:val="none" w:sz="0" w:space="0" w:color="auto"/>
            <w:bottom w:val="none" w:sz="0" w:space="0" w:color="auto"/>
            <w:right w:val="none" w:sz="0" w:space="0" w:color="auto"/>
          </w:divBdr>
        </w:div>
        <w:div w:id="1657680955">
          <w:marLeft w:val="0"/>
          <w:marRight w:val="0"/>
          <w:marTop w:val="0"/>
          <w:marBottom w:val="0"/>
          <w:divBdr>
            <w:top w:val="none" w:sz="0" w:space="0" w:color="auto"/>
            <w:left w:val="none" w:sz="0" w:space="0" w:color="auto"/>
            <w:bottom w:val="none" w:sz="0" w:space="0" w:color="auto"/>
            <w:right w:val="none" w:sz="0" w:space="0" w:color="auto"/>
          </w:divBdr>
        </w:div>
        <w:div w:id="1202942983">
          <w:marLeft w:val="0"/>
          <w:marRight w:val="0"/>
          <w:marTop w:val="0"/>
          <w:marBottom w:val="0"/>
          <w:divBdr>
            <w:top w:val="none" w:sz="0" w:space="0" w:color="auto"/>
            <w:left w:val="none" w:sz="0" w:space="0" w:color="auto"/>
            <w:bottom w:val="none" w:sz="0" w:space="0" w:color="auto"/>
            <w:right w:val="none" w:sz="0" w:space="0" w:color="auto"/>
          </w:divBdr>
        </w:div>
        <w:div w:id="1254047533">
          <w:marLeft w:val="0"/>
          <w:marRight w:val="0"/>
          <w:marTop w:val="0"/>
          <w:marBottom w:val="0"/>
          <w:divBdr>
            <w:top w:val="none" w:sz="0" w:space="0" w:color="auto"/>
            <w:left w:val="none" w:sz="0" w:space="0" w:color="auto"/>
            <w:bottom w:val="none" w:sz="0" w:space="0" w:color="auto"/>
            <w:right w:val="none" w:sz="0" w:space="0" w:color="auto"/>
          </w:divBdr>
        </w:div>
        <w:div w:id="1313102987">
          <w:marLeft w:val="0"/>
          <w:marRight w:val="0"/>
          <w:marTop w:val="0"/>
          <w:marBottom w:val="0"/>
          <w:divBdr>
            <w:top w:val="none" w:sz="0" w:space="0" w:color="auto"/>
            <w:left w:val="none" w:sz="0" w:space="0" w:color="auto"/>
            <w:bottom w:val="none" w:sz="0" w:space="0" w:color="auto"/>
            <w:right w:val="none" w:sz="0" w:space="0" w:color="auto"/>
          </w:divBdr>
        </w:div>
        <w:div w:id="1465273352">
          <w:marLeft w:val="0"/>
          <w:marRight w:val="0"/>
          <w:marTop w:val="0"/>
          <w:marBottom w:val="0"/>
          <w:divBdr>
            <w:top w:val="none" w:sz="0" w:space="0" w:color="auto"/>
            <w:left w:val="none" w:sz="0" w:space="0" w:color="auto"/>
            <w:bottom w:val="none" w:sz="0" w:space="0" w:color="auto"/>
            <w:right w:val="none" w:sz="0" w:space="0" w:color="auto"/>
          </w:divBdr>
        </w:div>
        <w:div w:id="1988705780">
          <w:marLeft w:val="0"/>
          <w:marRight w:val="0"/>
          <w:marTop w:val="0"/>
          <w:marBottom w:val="0"/>
          <w:divBdr>
            <w:top w:val="none" w:sz="0" w:space="0" w:color="auto"/>
            <w:left w:val="none" w:sz="0" w:space="0" w:color="auto"/>
            <w:bottom w:val="none" w:sz="0" w:space="0" w:color="auto"/>
            <w:right w:val="none" w:sz="0" w:space="0" w:color="auto"/>
          </w:divBdr>
        </w:div>
        <w:div w:id="1602645542">
          <w:marLeft w:val="0"/>
          <w:marRight w:val="0"/>
          <w:marTop w:val="0"/>
          <w:marBottom w:val="0"/>
          <w:divBdr>
            <w:top w:val="none" w:sz="0" w:space="0" w:color="auto"/>
            <w:left w:val="none" w:sz="0" w:space="0" w:color="auto"/>
            <w:bottom w:val="none" w:sz="0" w:space="0" w:color="auto"/>
            <w:right w:val="none" w:sz="0" w:space="0" w:color="auto"/>
          </w:divBdr>
        </w:div>
        <w:div w:id="1446342849">
          <w:marLeft w:val="0"/>
          <w:marRight w:val="0"/>
          <w:marTop w:val="0"/>
          <w:marBottom w:val="0"/>
          <w:divBdr>
            <w:top w:val="none" w:sz="0" w:space="0" w:color="auto"/>
            <w:left w:val="none" w:sz="0" w:space="0" w:color="auto"/>
            <w:bottom w:val="none" w:sz="0" w:space="0" w:color="auto"/>
            <w:right w:val="none" w:sz="0" w:space="0" w:color="auto"/>
          </w:divBdr>
        </w:div>
        <w:div w:id="1441876426">
          <w:marLeft w:val="0"/>
          <w:marRight w:val="0"/>
          <w:marTop w:val="0"/>
          <w:marBottom w:val="0"/>
          <w:divBdr>
            <w:top w:val="none" w:sz="0" w:space="0" w:color="auto"/>
            <w:left w:val="none" w:sz="0" w:space="0" w:color="auto"/>
            <w:bottom w:val="none" w:sz="0" w:space="0" w:color="auto"/>
            <w:right w:val="none" w:sz="0" w:space="0" w:color="auto"/>
          </w:divBdr>
        </w:div>
        <w:div w:id="1671714837">
          <w:marLeft w:val="0"/>
          <w:marRight w:val="0"/>
          <w:marTop w:val="0"/>
          <w:marBottom w:val="0"/>
          <w:divBdr>
            <w:top w:val="none" w:sz="0" w:space="0" w:color="auto"/>
            <w:left w:val="none" w:sz="0" w:space="0" w:color="auto"/>
            <w:bottom w:val="none" w:sz="0" w:space="0" w:color="auto"/>
            <w:right w:val="none" w:sz="0" w:space="0" w:color="auto"/>
          </w:divBdr>
        </w:div>
        <w:div w:id="757747617">
          <w:marLeft w:val="0"/>
          <w:marRight w:val="0"/>
          <w:marTop w:val="0"/>
          <w:marBottom w:val="0"/>
          <w:divBdr>
            <w:top w:val="none" w:sz="0" w:space="0" w:color="auto"/>
            <w:left w:val="none" w:sz="0" w:space="0" w:color="auto"/>
            <w:bottom w:val="none" w:sz="0" w:space="0" w:color="auto"/>
            <w:right w:val="none" w:sz="0" w:space="0" w:color="auto"/>
          </w:divBdr>
        </w:div>
        <w:div w:id="1846629353">
          <w:marLeft w:val="0"/>
          <w:marRight w:val="0"/>
          <w:marTop w:val="0"/>
          <w:marBottom w:val="0"/>
          <w:divBdr>
            <w:top w:val="none" w:sz="0" w:space="0" w:color="auto"/>
            <w:left w:val="none" w:sz="0" w:space="0" w:color="auto"/>
            <w:bottom w:val="none" w:sz="0" w:space="0" w:color="auto"/>
            <w:right w:val="none" w:sz="0" w:space="0" w:color="auto"/>
          </w:divBdr>
        </w:div>
        <w:div w:id="1150753106">
          <w:marLeft w:val="0"/>
          <w:marRight w:val="0"/>
          <w:marTop w:val="0"/>
          <w:marBottom w:val="0"/>
          <w:divBdr>
            <w:top w:val="none" w:sz="0" w:space="0" w:color="auto"/>
            <w:left w:val="none" w:sz="0" w:space="0" w:color="auto"/>
            <w:bottom w:val="none" w:sz="0" w:space="0" w:color="auto"/>
            <w:right w:val="none" w:sz="0" w:space="0" w:color="auto"/>
          </w:divBdr>
        </w:div>
        <w:div w:id="2099593925">
          <w:marLeft w:val="0"/>
          <w:marRight w:val="0"/>
          <w:marTop w:val="0"/>
          <w:marBottom w:val="0"/>
          <w:divBdr>
            <w:top w:val="none" w:sz="0" w:space="0" w:color="auto"/>
            <w:left w:val="none" w:sz="0" w:space="0" w:color="auto"/>
            <w:bottom w:val="none" w:sz="0" w:space="0" w:color="auto"/>
            <w:right w:val="none" w:sz="0" w:space="0" w:color="auto"/>
          </w:divBdr>
        </w:div>
        <w:div w:id="519782610">
          <w:marLeft w:val="0"/>
          <w:marRight w:val="0"/>
          <w:marTop w:val="0"/>
          <w:marBottom w:val="0"/>
          <w:divBdr>
            <w:top w:val="none" w:sz="0" w:space="0" w:color="auto"/>
            <w:left w:val="none" w:sz="0" w:space="0" w:color="auto"/>
            <w:bottom w:val="none" w:sz="0" w:space="0" w:color="auto"/>
            <w:right w:val="none" w:sz="0" w:space="0" w:color="auto"/>
          </w:divBdr>
        </w:div>
        <w:div w:id="1153646282">
          <w:marLeft w:val="0"/>
          <w:marRight w:val="0"/>
          <w:marTop w:val="0"/>
          <w:marBottom w:val="0"/>
          <w:divBdr>
            <w:top w:val="none" w:sz="0" w:space="0" w:color="auto"/>
            <w:left w:val="none" w:sz="0" w:space="0" w:color="auto"/>
            <w:bottom w:val="none" w:sz="0" w:space="0" w:color="auto"/>
            <w:right w:val="none" w:sz="0" w:space="0" w:color="auto"/>
          </w:divBdr>
        </w:div>
        <w:div w:id="1594557587">
          <w:marLeft w:val="0"/>
          <w:marRight w:val="0"/>
          <w:marTop w:val="0"/>
          <w:marBottom w:val="0"/>
          <w:divBdr>
            <w:top w:val="none" w:sz="0" w:space="0" w:color="auto"/>
            <w:left w:val="none" w:sz="0" w:space="0" w:color="auto"/>
            <w:bottom w:val="none" w:sz="0" w:space="0" w:color="auto"/>
            <w:right w:val="none" w:sz="0" w:space="0" w:color="auto"/>
          </w:divBdr>
        </w:div>
        <w:div w:id="2069069059">
          <w:marLeft w:val="0"/>
          <w:marRight w:val="0"/>
          <w:marTop w:val="0"/>
          <w:marBottom w:val="0"/>
          <w:divBdr>
            <w:top w:val="none" w:sz="0" w:space="0" w:color="auto"/>
            <w:left w:val="none" w:sz="0" w:space="0" w:color="auto"/>
            <w:bottom w:val="none" w:sz="0" w:space="0" w:color="auto"/>
            <w:right w:val="none" w:sz="0" w:space="0" w:color="auto"/>
          </w:divBdr>
        </w:div>
        <w:div w:id="105274840">
          <w:marLeft w:val="0"/>
          <w:marRight w:val="0"/>
          <w:marTop w:val="0"/>
          <w:marBottom w:val="0"/>
          <w:divBdr>
            <w:top w:val="none" w:sz="0" w:space="0" w:color="auto"/>
            <w:left w:val="none" w:sz="0" w:space="0" w:color="auto"/>
            <w:bottom w:val="none" w:sz="0" w:space="0" w:color="auto"/>
            <w:right w:val="none" w:sz="0" w:space="0" w:color="auto"/>
          </w:divBdr>
        </w:div>
        <w:div w:id="1473868664">
          <w:marLeft w:val="0"/>
          <w:marRight w:val="0"/>
          <w:marTop w:val="0"/>
          <w:marBottom w:val="0"/>
          <w:divBdr>
            <w:top w:val="none" w:sz="0" w:space="0" w:color="auto"/>
            <w:left w:val="none" w:sz="0" w:space="0" w:color="auto"/>
            <w:bottom w:val="none" w:sz="0" w:space="0" w:color="auto"/>
            <w:right w:val="none" w:sz="0" w:space="0" w:color="auto"/>
          </w:divBdr>
        </w:div>
        <w:div w:id="2058580342">
          <w:marLeft w:val="0"/>
          <w:marRight w:val="0"/>
          <w:marTop w:val="0"/>
          <w:marBottom w:val="0"/>
          <w:divBdr>
            <w:top w:val="none" w:sz="0" w:space="0" w:color="auto"/>
            <w:left w:val="none" w:sz="0" w:space="0" w:color="auto"/>
            <w:bottom w:val="none" w:sz="0" w:space="0" w:color="auto"/>
            <w:right w:val="none" w:sz="0" w:space="0" w:color="auto"/>
          </w:divBdr>
        </w:div>
        <w:div w:id="1981305375">
          <w:marLeft w:val="0"/>
          <w:marRight w:val="0"/>
          <w:marTop w:val="0"/>
          <w:marBottom w:val="0"/>
          <w:divBdr>
            <w:top w:val="none" w:sz="0" w:space="0" w:color="auto"/>
            <w:left w:val="none" w:sz="0" w:space="0" w:color="auto"/>
            <w:bottom w:val="none" w:sz="0" w:space="0" w:color="auto"/>
            <w:right w:val="none" w:sz="0" w:space="0" w:color="auto"/>
          </w:divBdr>
        </w:div>
        <w:div w:id="526455346">
          <w:marLeft w:val="0"/>
          <w:marRight w:val="0"/>
          <w:marTop w:val="0"/>
          <w:marBottom w:val="0"/>
          <w:divBdr>
            <w:top w:val="none" w:sz="0" w:space="0" w:color="auto"/>
            <w:left w:val="none" w:sz="0" w:space="0" w:color="auto"/>
            <w:bottom w:val="none" w:sz="0" w:space="0" w:color="auto"/>
            <w:right w:val="none" w:sz="0" w:space="0" w:color="auto"/>
          </w:divBdr>
        </w:div>
        <w:div w:id="198057384">
          <w:marLeft w:val="0"/>
          <w:marRight w:val="0"/>
          <w:marTop w:val="0"/>
          <w:marBottom w:val="0"/>
          <w:divBdr>
            <w:top w:val="none" w:sz="0" w:space="0" w:color="auto"/>
            <w:left w:val="none" w:sz="0" w:space="0" w:color="auto"/>
            <w:bottom w:val="none" w:sz="0" w:space="0" w:color="auto"/>
            <w:right w:val="none" w:sz="0" w:space="0" w:color="auto"/>
          </w:divBdr>
        </w:div>
        <w:div w:id="1101950280">
          <w:marLeft w:val="0"/>
          <w:marRight w:val="0"/>
          <w:marTop w:val="0"/>
          <w:marBottom w:val="0"/>
          <w:divBdr>
            <w:top w:val="none" w:sz="0" w:space="0" w:color="auto"/>
            <w:left w:val="none" w:sz="0" w:space="0" w:color="auto"/>
            <w:bottom w:val="none" w:sz="0" w:space="0" w:color="auto"/>
            <w:right w:val="none" w:sz="0" w:space="0" w:color="auto"/>
          </w:divBdr>
        </w:div>
      </w:divsChild>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277493209">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854535378">
      <w:bodyDiv w:val="1"/>
      <w:marLeft w:val="0"/>
      <w:marRight w:val="0"/>
      <w:marTop w:val="0"/>
      <w:marBottom w:val="0"/>
      <w:divBdr>
        <w:top w:val="none" w:sz="0" w:space="0" w:color="auto"/>
        <w:left w:val="none" w:sz="0" w:space="0" w:color="auto"/>
        <w:bottom w:val="none" w:sz="0" w:space="0" w:color="auto"/>
        <w:right w:val="none" w:sz="0" w:space="0" w:color="auto"/>
      </w:divBdr>
      <w:divsChild>
        <w:div w:id="1177425618">
          <w:marLeft w:val="0"/>
          <w:marRight w:val="0"/>
          <w:marTop w:val="0"/>
          <w:marBottom w:val="0"/>
          <w:divBdr>
            <w:top w:val="none" w:sz="0" w:space="0" w:color="auto"/>
            <w:left w:val="none" w:sz="0" w:space="0" w:color="auto"/>
            <w:bottom w:val="none" w:sz="0" w:space="0" w:color="auto"/>
            <w:right w:val="none" w:sz="0" w:space="0" w:color="auto"/>
          </w:divBdr>
        </w:div>
        <w:div w:id="145519213">
          <w:marLeft w:val="0"/>
          <w:marRight w:val="0"/>
          <w:marTop w:val="0"/>
          <w:marBottom w:val="0"/>
          <w:divBdr>
            <w:top w:val="none" w:sz="0" w:space="0" w:color="auto"/>
            <w:left w:val="none" w:sz="0" w:space="0" w:color="auto"/>
            <w:bottom w:val="none" w:sz="0" w:space="0" w:color="auto"/>
            <w:right w:val="none" w:sz="0" w:space="0" w:color="auto"/>
          </w:divBdr>
        </w:div>
        <w:div w:id="1766489273">
          <w:marLeft w:val="0"/>
          <w:marRight w:val="0"/>
          <w:marTop w:val="0"/>
          <w:marBottom w:val="0"/>
          <w:divBdr>
            <w:top w:val="none" w:sz="0" w:space="0" w:color="auto"/>
            <w:left w:val="none" w:sz="0" w:space="0" w:color="auto"/>
            <w:bottom w:val="none" w:sz="0" w:space="0" w:color="auto"/>
            <w:right w:val="none" w:sz="0" w:space="0" w:color="auto"/>
          </w:divBdr>
        </w:div>
        <w:div w:id="1780447141">
          <w:marLeft w:val="0"/>
          <w:marRight w:val="0"/>
          <w:marTop w:val="0"/>
          <w:marBottom w:val="0"/>
          <w:divBdr>
            <w:top w:val="none" w:sz="0" w:space="0" w:color="auto"/>
            <w:left w:val="none" w:sz="0" w:space="0" w:color="auto"/>
            <w:bottom w:val="none" w:sz="0" w:space="0" w:color="auto"/>
            <w:right w:val="none" w:sz="0" w:space="0" w:color="auto"/>
          </w:divBdr>
        </w:div>
        <w:div w:id="397552740">
          <w:marLeft w:val="0"/>
          <w:marRight w:val="0"/>
          <w:marTop w:val="0"/>
          <w:marBottom w:val="0"/>
          <w:divBdr>
            <w:top w:val="none" w:sz="0" w:space="0" w:color="auto"/>
            <w:left w:val="none" w:sz="0" w:space="0" w:color="auto"/>
            <w:bottom w:val="none" w:sz="0" w:space="0" w:color="auto"/>
            <w:right w:val="none" w:sz="0" w:space="0" w:color="auto"/>
          </w:divBdr>
        </w:div>
        <w:div w:id="415441447">
          <w:marLeft w:val="0"/>
          <w:marRight w:val="0"/>
          <w:marTop w:val="0"/>
          <w:marBottom w:val="0"/>
          <w:divBdr>
            <w:top w:val="none" w:sz="0" w:space="0" w:color="auto"/>
            <w:left w:val="none" w:sz="0" w:space="0" w:color="auto"/>
            <w:bottom w:val="none" w:sz="0" w:space="0" w:color="auto"/>
            <w:right w:val="none" w:sz="0" w:space="0" w:color="auto"/>
          </w:divBdr>
        </w:div>
      </w:divsChild>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241064677">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641764269">
      <w:bodyDiv w:val="1"/>
      <w:marLeft w:val="0"/>
      <w:marRight w:val="0"/>
      <w:marTop w:val="0"/>
      <w:marBottom w:val="0"/>
      <w:divBdr>
        <w:top w:val="none" w:sz="0" w:space="0" w:color="auto"/>
        <w:left w:val="none" w:sz="0" w:space="0" w:color="auto"/>
        <w:bottom w:val="none" w:sz="0" w:space="0" w:color="auto"/>
        <w:right w:val="none" w:sz="0" w:space="0" w:color="auto"/>
      </w:divBdr>
    </w:div>
    <w:div w:id="1668290349">
      <w:bodyDiv w:val="1"/>
      <w:marLeft w:val="0"/>
      <w:marRight w:val="0"/>
      <w:marTop w:val="0"/>
      <w:marBottom w:val="0"/>
      <w:divBdr>
        <w:top w:val="none" w:sz="0" w:space="0" w:color="auto"/>
        <w:left w:val="none" w:sz="0" w:space="0" w:color="auto"/>
        <w:bottom w:val="none" w:sz="0" w:space="0" w:color="auto"/>
        <w:right w:val="none" w:sz="0" w:space="0" w:color="auto"/>
      </w:divBdr>
    </w:div>
    <w:div w:id="1790540210">
      <w:bodyDiv w:val="1"/>
      <w:marLeft w:val="0"/>
      <w:marRight w:val="0"/>
      <w:marTop w:val="0"/>
      <w:marBottom w:val="0"/>
      <w:divBdr>
        <w:top w:val="none" w:sz="0" w:space="0" w:color="auto"/>
        <w:left w:val="none" w:sz="0" w:space="0" w:color="auto"/>
        <w:bottom w:val="none" w:sz="0" w:space="0" w:color="auto"/>
        <w:right w:val="none" w:sz="0" w:space="0" w:color="auto"/>
      </w:divBdr>
    </w:div>
    <w:div w:id="1913848507">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 w:id="21410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0035CA"/>
    <w:rsid w:val="00082794"/>
    <w:rsid w:val="00095F8C"/>
    <w:rsid w:val="000B3BC6"/>
    <w:rsid w:val="00101E01"/>
    <w:rsid w:val="00133713"/>
    <w:rsid w:val="00160EDC"/>
    <w:rsid w:val="00210F1A"/>
    <w:rsid w:val="00280B90"/>
    <w:rsid w:val="00284E98"/>
    <w:rsid w:val="003468A4"/>
    <w:rsid w:val="003F320E"/>
    <w:rsid w:val="00416284"/>
    <w:rsid w:val="004E4AD1"/>
    <w:rsid w:val="005541A4"/>
    <w:rsid w:val="00555E87"/>
    <w:rsid w:val="0057225B"/>
    <w:rsid w:val="00700FD6"/>
    <w:rsid w:val="00772D2C"/>
    <w:rsid w:val="008122F1"/>
    <w:rsid w:val="00897E4C"/>
    <w:rsid w:val="009473C3"/>
    <w:rsid w:val="009525B9"/>
    <w:rsid w:val="00956E7B"/>
    <w:rsid w:val="00A05DF8"/>
    <w:rsid w:val="00A548D5"/>
    <w:rsid w:val="00B138A8"/>
    <w:rsid w:val="00B159E0"/>
    <w:rsid w:val="00B244C1"/>
    <w:rsid w:val="00B55850"/>
    <w:rsid w:val="00C4328B"/>
    <w:rsid w:val="00E25904"/>
    <w:rsid w:val="00E36D8E"/>
    <w:rsid w:val="00E56748"/>
    <w:rsid w:val="00F33A7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DF2EF3-A6FF-466D-A7F3-9219E1ED6BB9}">
  <ds:schemaRefs>
    <ds:schemaRef ds:uri="http://schemas.openxmlformats.org/officeDocument/2006/bibliography"/>
  </ds:schemaRefs>
</ds:datastoreItem>
</file>

<file path=customXml/itemProps3.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4.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7203</Words>
  <Characters>39173</Characters>
  <Application>Microsoft Office Word</Application>
  <DocSecurity>0</DocSecurity>
  <Lines>706</Lines>
  <Paragraphs>284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46266</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Moxon, KarenL</cp:lastModifiedBy>
  <cp:revision>4</cp:revision>
  <cp:lastPrinted>2016-05-09T04:55:00Z</cp:lastPrinted>
  <dcterms:created xsi:type="dcterms:W3CDTF">2021-09-16T00:09:00Z</dcterms:created>
  <dcterms:modified xsi:type="dcterms:W3CDTF">2021-09-16T00:09:00Z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