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9CB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F11F93" w14:textId="360C233A" w:rsidR="00C17FAB" w:rsidRDefault="00B37F5B">
      <w:pPr>
        <w:pStyle w:val="Billname"/>
        <w:spacing w:before="700"/>
      </w:pPr>
      <w:r>
        <w:t>Utilities</w:t>
      </w:r>
      <w:r w:rsidR="00FD75CE">
        <w:t xml:space="preserve"> (</w:t>
      </w:r>
      <w:r>
        <w:t>Licensing</w:t>
      </w:r>
      <w:r w:rsidR="00FD75CE">
        <w:t xml:space="preserve">) </w:t>
      </w:r>
      <w:r>
        <w:t>Exemption</w:t>
      </w:r>
      <w:r w:rsidR="00FD75CE">
        <w:t xml:space="preserve"> </w:t>
      </w:r>
      <w:r>
        <w:t xml:space="preserve">2021 </w:t>
      </w:r>
      <w:r w:rsidR="00FD75CE">
        <w:t xml:space="preserve">(No </w:t>
      </w:r>
      <w:r>
        <w:t>2</w:t>
      </w:r>
      <w:r w:rsidR="00FD75CE">
        <w:t>)</w:t>
      </w:r>
    </w:p>
    <w:p w14:paraId="1E55375A" w14:textId="17D5C20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37F5B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B33AAC">
        <w:rPr>
          <w:rFonts w:ascii="Arial" w:hAnsi="Arial" w:cs="Arial"/>
          <w:b/>
          <w:bCs/>
        </w:rPr>
        <w:t>237</w:t>
      </w:r>
    </w:p>
    <w:p w14:paraId="46392F3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AD541AD" w14:textId="2449F85F" w:rsidR="00C17FAB" w:rsidRDefault="00B37F5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 22 (Exemption)</w:t>
      </w:r>
    </w:p>
    <w:p w14:paraId="02454485" w14:textId="77777777" w:rsidR="00C17FAB" w:rsidRDefault="00C17FAB" w:rsidP="007F0F32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625E69" w14:textId="77777777" w:rsidR="00C17FAB" w:rsidRDefault="00C17FAB">
      <w:pPr>
        <w:pStyle w:val="N-line3"/>
        <w:pBdr>
          <w:bottom w:val="none" w:sz="0" w:space="0" w:color="auto"/>
        </w:pBdr>
      </w:pPr>
    </w:p>
    <w:p w14:paraId="76CCAF8B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10E2D7E" w14:textId="4956862B" w:rsidR="00B37F5B" w:rsidRPr="00B24B8A" w:rsidRDefault="00B37F5B" w:rsidP="00B37F5B">
      <w:pPr>
        <w:spacing w:after="120"/>
        <w:rPr>
          <w:szCs w:val="24"/>
        </w:rPr>
      </w:pPr>
      <w:r w:rsidRPr="00B24B8A">
        <w:rPr>
          <w:szCs w:val="24"/>
        </w:rPr>
        <w:t xml:space="preserve">This explanatory statement relates to the </w:t>
      </w:r>
      <w:r w:rsidRPr="00B24B8A">
        <w:rPr>
          <w:i/>
          <w:iCs/>
          <w:szCs w:val="24"/>
        </w:rPr>
        <w:t>Utilities (</w:t>
      </w:r>
      <w:r>
        <w:rPr>
          <w:i/>
          <w:iCs/>
          <w:szCs w:val="24"/>
        </w:rPr>
        <w:t>Licensing</w:t>
      </w:r>
      <w:r w:rsidRPr="00B24B8A">
        <w:rPr>
          <w:i/>
          <w:iCs/>
          <w:szCs w:val="24"/>
        </w:rPr>
        <w:t xml:space="preserve">) </w:t>
      </w:r>
      <w:r>
        <w:rPr>
          <w:i/>
          <w:iCs/>
          <w:szCs w:val="24"/>
        </w:rPr>
        <w:t xml:space="preserve">Exemption </w:t>
      </w:r>
      <w:r w:rsidRPr="00B24B8A">
        <w:rPr>
          <w:i/>
          <w:iCs/>
          <w:szCs w:val="24"/>
        </w:rPr>
        <w:t>2021</w:t>
      </w:r>
      <w:r>
        <w:rPr>
          <w:i/>
          <w:iCs/>
          <w:szCs w:val="24"/>
        </w:rPr>
        <w:t xml:space="preserve"> (No 2)</w:t>
      </w:r>
      <w:r w:rsidRPr="00B24B8A">
        <w:rPr>
          <w:szCs w:val="24"/>
        </w:rPr>
        <w:t xml:space="preserve">. It has been prepared to assist the reader of the disallowable instrument. It does not form part of the instrument and has not been endorsed by the Assembly. </w:t>
      </w:r>
    </w:p>
    <w:p w14:paraId="5CC15A6F" w14:textId="77777777" w:rsidR="00B37F5B" w:rsidRPr="00B24B8A" w:rsidRDefault="00B37F5B" w:rsidP="00B37F5B">
      <w:pPr>
        <w:spacing w:after="120"/>
        <w:rPr>
          <w:szCs w:val="24"/>
        </w:rPr>
      </w:pPr>
      <w:r w:rsidRPr="00B24B8A">
        <w:rPr>
          <w:szCs w:val="24"/>
        </w:rPr>
        <w:t>This statement must be read in conjunction with the instrument. It is not, and is not meant to be, a comprehensive description of the instrument. What is said about a provision is not to be taken as an authoritative guide to the meaning of a provision, this being a task for the courts.</w:t>
      </w:r>
    </w:p>
    <w:p w14:paraId="11725067" w14:textId="77777777" w:rsidR="00B37F5B" w:rsidRPr="00B24B8A" w:rsidRDefault="00B37F5B" w:rsidP="002B7954">
      <w:pPr>
        <w:pStyle w:val="NoSpacing"/>
        <w:spacing w:before="240" w:after="200"/>
        <w:rPr>
          <w:rFonts w:ascii="Times New Roman" w:hAnsi="Times New Roman"/>
          <w:b/>
          <w:sz w:val="28"/>
          <w:szCs w:val="28"/>
        </w:rPr>
      </w:pPr>
      <w:r w:rsidRPr="00B24B8A">
        <w:rPr>
          <w:rFonts w:ascii="Times New Roman" w:hAnsi="Times New Roman"/>
          <w:b/>
          <w:sz w:val="28"/>
          <w:szCs w:val="28"/>
        </w:rPr>
        <w:t>Overview</w:t>
      </w:r>
    </w:p>
    <w:p w14:paraId="421EDA84" w14:textId="77777777" w:rsidR="00B37F5B" w:rsidRDefault="00B37F5B" w:rsidP="007F0F32">
      <w:pPr>
        <w:pStyle w:val="BodyText"/>
        <w:spacing w:after="240"/>
      </w:pPr>
      <w:r>
        <w:t xml:space="preserve">Section 21 of the </w:t>
      </w:r>
      <w:r>
        <w:rPr>
          <w:i/>
        </w:rPr>
        <w:t xml:space="preserve">Utilities Act 2000 </w:t>
      </w:r>
      <w:r>
        <w:t xml:space="preserve">(the </w:t>
      </w:r>
      <w:r w:rsidRPr="007F0F32">
        <w:rPr>
          <w:b/>
          <w:i/>
        </w:rPr>
        <w:t>Act</w:t>
      </w:r>
      <w:r>
        <w:t>) provides that a person must not provide a utility service except in accordance with a licence. Section 22 of the Act permits the Minister to exempt a person from the requirement to hold a licence in relation to a utility service. Under section 22 (2), an exemption is subject to compliance with the conditions stated in the instrument of</w:t>
      </w:r>
      <w:r>
        <w:rPr>
          <w:spacing w:val="-3"/>
        </w:rPr>
        <w:t xml:space="preserve"> </w:t>
      </w:r>
      <w:r>
        <w:t>exemption.</w:t>
      </w:r>
    </w:p>
    <w:p w14:paraId="278C6819" w14:textId="262E61BE" w:rsidR="00B37F5B" w:rsidRDefault="00B37F5B" w:rsidP="007F0F32">
      <w:pPr>
        <w:pStyle w:val="BodyText"/>
        <w:spacing w:after="240"/>
      </w:pPr>
      <w:r>
        <w:t xml:space="preserve">This disallowable instrument provides a licensing exemption to </w:t>
      </w:r>
      <w:r w:rsidR="00667756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>that is intending to operate a 100</w:t>
      </w:r>
      <w:r w:rsidR="00E675DC">
        <w:t xml:space="preserve"> </w:t>
      </w:r>
      <w:r>
        <w:t>MW/2</w:t>
      </w:r>
      <w:r w:rsidR="007F0F32">
        <w:t>-</w:t>
      </w:r>
      <w:r>
        <w:t xml:space="preserve">hour </w:t>
      </w:r>
      <w:r w:rsidR="00BE1AE5">
        <w:t>stand-alone</w:t>
      </w:r>
      <w:r>
        <w:t xml:space="preserve"> battery energy storage system at </w:t>
      </w:r>
      <w:r w:rsidR="007F0F32">
        <w:t xml:space="preserve">Rural </w:t>
      </w:r>
      <w:r>
        <w:t>Block 187 Jerrabomberra</w:t>
      </w:r>
      <w:r w:rsidR="0081555D">
        <w:t xml:space="preserve"> (the </w:t>
      </w:r>
      <w:r w:rsidR="0081555D" w:rsidRPr="007F0F32">
        <w:rPr>
          <w:b/>
          <w:bCs/>
          <w:i/>
          <w:iCs/>
        </w:rPr>
        <w:t>Capital Battery</w:t>
      </w:r>
      <w:r w:rsidR="0081555D">
        <w:t>)</w:t>
      </w:r>
      <w:r>
        <w:t>. The Capital Battery will connect into Australia’s national electricity grid via the Queanbeyan substation.</w:t>
      </w:r>
    </w:p>
    <w:p w14:paraId="2BFB5873" w14:textId="23208875" w:rsidR="00B37F5B" w:rsidRDefault="00B37F5B" w:rsidP="007F0F32">
      <w:pPr>
        <w:pStyle w:val="BodyText"/>
        <w:spacing w:after="240"/>
      </w:pPr>
      <w:r>
        <w:t xml:space="preserve">Under clause 5 of the exemption, </w:t>
      </w:r>
      <w:r w:rsidR="00667756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 xml:space="preserve">must comply with the </w:t>
      </w:r>
      <w:r w:rsidR="00211326">
        <w:t xml:space="preserve">condition to </w:t>
      </w:r>
      <w:r w:rsidR="00D87E43">
        <w:t xml:space="preserve">hold an </w:t>
      </w:r>
      <w:r w:rsidR="00211326">
        <w:t>operating certificate under s</w:t>
      </w:r>
      <w:r w:rsidR="00E675DC">
        <w:t xml:space="preserve">ection </w:t>
      </w:r>
      <w:r w:rsidR="00211326">
        <w:t>4</w:t>
      </w:r>
      <w:r w:rsidR="00D87E43">
        <w:t>6</w:t>
      </w:r>
      <w:r w:rsidR="00211326">
        <w:t xml:space="preserve"> of the </w:t>
      </w:r>
      <w:r w:rsidR="00211326">
        <w:rPr>
          <w:i/>
          <w:iCs/>
        </w:rPr>
        <w:t>Utilities (Technical Regulation) Act 2014</w:t>
      </w:r>
      <w:r w:rsidR="00211326">
        <w:t xml:space="preserve"> </w:t>
      </w:r>
      <w:r w:rsidR="00D87E43">
        <w:t>(</w:t>
      </w:r>
      <w:r w:rsidR="007F0F32">
        <w:t xml:space="preserve">the </w:t>
      </w:r>
      <w:r w:rsidR="00D87E43" w:rsidRPr="007F0F32">
        <w:rPr>
          <w:b/>
          <w:bCs/>
          <w:i/>
          <w:iCs/>
        </w:rPr>
        <w:t>UTR Act</w:t>
      </w:r>
      <w:r w:rsidR="00D87E43">
        <w:t xml:space="preserve">) </w:t>
      </w:r>
      <w:r w:rsidR="00211326">
        <w:t>prior to commencing construction of the Capital Battery.</w:t>
      </w:r>
      <w:r w:rsidR="00D87E43">
        <w:t xml:space="preserve"> </w:t>
      </w:r>
      <w:r w:rsidR="0027758A">
        <w:t>I</w:t>
      </w:r>
      <w:r w:rsidR="00D87E43">
        <w:t>t is an offence under section 51 of the UTR Act to construct a regulated utility service without a Design and Construct operating certificate.</w:t>
      </w:r>
    </w:p>
    <w:p w14:paraId="4CF28E8D" w14:textId="0F8596CC" w:rsidR="002B7954" w:rsidRPr="003C562E" w:rsidRDefault="002B7954" w:rsidP="002B7954">
      <w:pPr>
        <w:pStyle w:val="ESText"/>
        <w:spacing w:before="240" w:beforeAutospacing="0" w:after="120" w:afterAutospacing="0"/>
        <w:rPr>
          <w:b/>
          <w:bCs/>
          <w:sz w:val="28"/>
          <w:szCs w:val="28"/>
        </w:rPr>
      </w:pPr>
      <w:r w:rsidRPr="003C562E">
        <w:rPr>
          <w:b/>
          <w:bCs/>
          <w:sz w:val="28"/>
          <w:szCs w:val="28"/>
        </w:rPr>
        <w:t>Consultation</w:t>
      </w:r>
    </w:p>
    <w:p w14:paraId="7286323F" w14:textId="3652F067" w:rsidR="002B7954" w:rsidRPr="00B24B8A" w:rsidRDefault="00E675DC" w:rsidP="002B7954">
      <w:pPr>
        <w:autoSpaceDE w:val="0"/>
        <w:autoSpaceDN w:val="0"/>
        <w:adjustRightInd w:val="0"/>
        <w:spacing w:before="120" w:after="120"/>
        <w:rPr>
          <w:szCs w:val="24"/>
        </w:rPr>
      </w:pPr>
      <w:r>
        <w:rPr>
          <w:szCs w:val="24"/>
        </w:rPr>
        <w:t xml:space="preserve">Consultation was undertaken with </w:t>
      </w:r>
      <w:r w:rsidR="0093335E">
        <w:rPr>
          <w:szCs w:val="24"/>
        </w:rPr>
        <w:t>the Independent Competition and Regulatory Commission, the Environment Protection Authority and the Office of the Coordinator</w:t>
      </w:r>
      <w:r w:rsidR="0081555D">
        <w:rPr>
          <w:szCs w:val="24"/>
        </w:rPr>
        <w:t>-</w:t>
      </w:r>
      <w:r w:rsidR="0093335E">
        <w:rPr>
          <w:szCs w:val="24"/>
        </w:rPr>
        <w:t>General for Climate Action. Feedback received from these stakeholders was incorporated</w:t>
      </w:r>
      <w:r w:rsidR="007F0F32">
        <w:rPr>
          <w:szCs w:val="24"/>
        </w:rPr>
        <w:t xml:space="preserve"> into the instrument</w:t>
      </w:r>
      <w:r w:rsidR="0093335E">
        <w:rPr>
          <w:szCs w:val="24"/>
        </w:rPr>
        <w:t>.</w:t>
      </w:r>
    </w:p>
    <w:p w14:paraId="21429506" w14:textId="77777777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</w:p>
    <w:p w14:paraId="125BBDA8" w14:textId="77777777" w:rsidR="002B7954" w:rsidRPr="003C562E" w:rsidRDefault="002B7954" w:rsidP="002B7954">
      <w:pPr>
        <w:autoSpaceDE w:val="0"/>
        <w:autoSpaceDN w:val="0"/>
        <w:adjustRightInd w:val="0"/>
        <w:spacing w:before="240" w:after="120"/>
        <w:rPr>
          <w:b/>
          <w:bCs/>
          <w:sz w:val="28"/>
          <w:szCs w:val="28"/>
        </w:rPr>
      </w:pPr>
      <w:r w:rsidRPr="003C562E">
        <w:rPr>
          <w:b/>
          <w:bCs/>
          <w:sz w:val="28"/>
          <w:szCs w:val="28"/>
        </w:rPr>
        <w:lastRenderedPageBreak/>
        <w:t>Regulatory Impact Statement</w:t>
      </w:r>
    </w:p>
    <w:p w14:paraId="6B1DC283" w14:textId="5F636FE2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  <w:r w:rsidRPr="00B24B8A">
        <w:rPr>
          <w:szCs w:val="24"/>
        </w:rPr>
        <w:t xml:space="preserve">A </w:t>
      </w:r>
      <w:r>
        <w:rPr>
          <w:szCs w:val="24"/>
        </w:rPr>
        <w:t>r</w:t>
      </w:r>
      <w:r w:rsidRPr="00B24B8A">
        <w:rPr>
          <w:szCs w:val="24"/>
        </w:rPr>
        <w:t xml:space="preserve">egulatory </w:t>
      </w:r>
      <w:r>
        <w:rPr>
          <w:szCs w:val="24"/>
        </w:rPr>
        <w:t>i</w:t>
      </w:r>
      <w:r w:rsidRPr="00B24B8A">
        <w:rPr>
          <w:szCs w:val="24"/>
        </w:rPr>
        <w:t xml:space="preserve">mpact </w:t>
      </w:r>
      <w:r>
        <w:rPr>
          <w:szCs w:val="24"/>
        </w:rPr>
        <w:t>s</w:t>
      </w:r>
      <w:r w:rsidRPr="00B24B8A">
        <w:rPr>
          <w:szCs w:val="24"/>
        </w:rPr>
        <w:t>tatement</w:t>
      </w:r>
      <w:r w:rsidR="00E675DC">
        <w:rPr>
          <w:szCs w:val="24"/>
        </w:rPr>
        <w:t xml:space="preserve"> is not required</w:t>
      </w:r>
      <w:r w:rsidRPr="00B24B8A">
        <w:rPr>
          <w:szCs w:val="24"/>
        </w:rPr>
        <w:t xml:space="preserve"> </w:t>
      </w:r>
      <w:r w:rsidR="00E675DC">
        <w:rPr>
          <w:szCs w:val="24"/>
        </w:rPr>
        <w:t xml:space="preserve">as </w:t>
      </w:r>
      <w:r w:rsidRPr="00B24B8A">
        <w:rPr>
          <w:szCs w:val="24"/>
        </w:rPr>
        <w:t>th</w:t>
      </w:r>
      <w:r w:rsidR="00E675DC">
        <w:rPr>
          <w:szCs w:val="24"/>
        </w:rPr>
        <w:t>is</w:t>
      </w:r>
      <w:r w:rsidRPr="00B24B8A">
        <w:rPr>
          <w:szCs w:val="24"/>
        </w:rPr>
        <w:t xml:space="preserve"> instrument</w:t>
      </w:r>
      <w:r w:rsidR="00E675DC">
        <w:rPr>
          <w:szCs w:val="24"/>
        </w:rPr>
        <w:t xml:space="preserve"> </w:t>
      </w:r>
      <w:r w:rsidR="00E675DC">
        <w:rPr>
          <w:iCs/>
          <w:szCs w:val="24"/>
        </w:rPr>
        <w:t xml:space="preserve">does </w:t>
      </w:r>
      <w:r w:rsidR="00E675DC" w:rsidRPr="00B24B8A">
        <w:rPr>
          <w:szCs w:val="24"/>
        </w:rPr>
        <w:t>not impose appreciable costs on the community, or part of the community</w:t>
      </w:r>
      <w:r w:rsidR="00E675DC">
        <w:rPr>
          <w:szCs w:val="24"/>
        </w:rPr>
        <w:t xml:space="preserve"> </w:t>
      </w:r>
      <w:r w:rsidR="007F0F32">
        <w:rPr>
          <w:szCs w:val="24"/>
        </w:rPr>
        <w:t xml:space="preserve">(see </w:t>
      </w:r>
      <w:r w:rsidRPr="00B24B8A">
        <w:rPr>
          <w:szCs w:val="24"/>
        </w:rPr>
        <w:t>section</w:t>
      </w:r>
      <w:r w:rsidR="00E675DC">
        <w:rPr>
          <w:szCs w:val="24"/>
        </w:rPr>
        <w:t xml:space="preserve"> </w:t>
      </w:r>
      <w:r w:rsidRPr="00B24B8A">
        <w:rPr>
          <w:szCs w:val="24"/>
        </w:rPr>
        <w:t>34</w:t>
      </w:r>
      <w:r w:rsidR="00E675DC">
        <w:rPr>
          <w:szCs w:val="24"/>
        </w:rPr>
        <w:t xml:space="preserve"> </w:t>
      </w:r>
      <w:r w:rsidRPr="00B24B8A">
        <w:rPr>
          <w:szCs w:val="24"/>
        </w:rPr>
        <w:t xml:space="preserve">(1) of the </w:t>
      </w:r>
      <w:r w:rsidRPr="00B24B8A">
        <w:rPr>
          <w:i/>
          <w:szCs w:val="24"/>
        </w:rPr>
        <w:t>Legislation Act 2001</w:t>
      </w:r>
      <w:r w:rsidR="007F0F32" w:rsidRPr="007F0F32">
        <w:rPr>
          <w:iCs/>
          <w:szCs w:val="24"/>
        </w:rPr>
        <w:t>)</w:t>
      </w:r>
      <w:r w:rsidRPr="00B24B8A">
        <w:rPr>
          <w:iCs/>
          <w:szCs w:val="24"/>
        </w:rPr>
        <w:t xml:space="preserve">. </w:t>
      </w:r>
      <w:r w:rsidRPr="00B24B8A">
        <w:rPr>
          <w:szCs w:val="24"/>
        </w:rPr>
        <w:t>Further,</w:t>
      </w:r>
      <w:r w:rsidR="00E675DC">
        <w:rPr>
          <w:szCs w:val="24"/>
        </w:rPr>
        <w:t xml:space="preserve"> the exemption does not operate to the disadvantage of anyone by adversely affecting their rights or imposing liabilities on the person</w:t>
      </w:r>
      <w:r w:rsidR="007F0F32">
        <w:rPr>
          <w:szCs w:val="24"/>
        </w:rPr>
        <w:t xml:space="preserve"> (see </w:t>
      </w:r>
      <w:r w:rsidRPr="00B24B8A">
        <w:rPr>
          <w:szCs w:val="24"/>
        </w:rPr>
        <w:t>section 36</w:t>
      </w:r>
      <w:r w:rsidR="00E675DC">
        <w:rPr>
          <w:szCs w:val="24"/>
        </w:rPr>
        <w:t xml:space="preserve"> </w:t>
      </w:r>
      <w:r w:rsidRPr="00B24B8A">
        <w:rPr>
          <w:szCs w:val="24"/>
        </w:rPr>
        <w:t>(1)</w:t>
      </w:r>
      <w:r w:rsidR="00E675DC">
        <w:rPr>
          <w:szCs w:val="24"/>
        </w:rPr>
        <w:t xml:space="preserve"> </w:t>
      </w:r>
      <w:r w:rsidRPr="00B24B8A">
        <w:rPr>
          <w:szCs w:val="24"/>
        </w:rPr>
        <w:t xml:space="preserve">(b) of the </w:t>
      </w:r>
      <w:r w:rsidRPr="00B24B8A">
        <w:rPr>
          <w:i/>
          <w:szCs w:val="24"/>
        </w:rPr>
        <w:t>Legislation Act 2001</w:t>
      </w:r>
      <w:r w:rsidR="007F0F32" w:rsidRPr="007F0F32">
        <w:rPr>
          <w:iCs/>
          <w:szCs w:val="24"/>
        </w:rPr>
        <w:t>)</w:t>
      </w:r>
      <w:r w:rsidRPr="00B24B8A">
        <w:rPr>
          <w:szCs w:val="24"/>
        </w:rPr>
        <w:t>.</w:t>
      </w:r>
    </w:p>
    <w:p w14:paraId="6FBC0DA1" w14:textId="77777777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</w:p>
    <w:p w14:paraId="1C63C503" w14:textId="77777777" w:rsidR="002B7954" w:rsidRPr="003C562E" w:rsidRDefault="002B7954" w:rsidP="002B7954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</w:rPr>
      </w:pPr>
      <w:r w:rsidRPr="003C562E">
        <w:rPr>
          <w:b/>
          <w:bCs/>
          <w:sz w:val="28"/>
          <w:szCs w:val="28"/>
        </w:rPr>
        <w:t>Human rights and Scrutiny of Committee Terms of Reference</w:t>
      </w:r>
    </w:p>
    <w:p w14:paraId="3A89D0BE" w14:textId="77777777" w:rsidR="002B7954" w:rsidRPr="00B24B8A" w:rsidRDefault="002B7954" w:rsidP="002B7954">
      <w:pPr>
        <w:autoSpaceDE w:val="0"/>
        <w:autoSpaceDN w:val="0"/>
        <w:adjustRightInd w:val="0"/>
        <w:rPr>
          <w:szCs w:val="24"/>
          <w:highlight w:val="yellow"/>
        </w:rPr>
      </w:pPr>
    </w:p>
    <w:p w14:paraId="5419DBE5" w14:textId="55F90542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  <w:r w:rsidRPr="00B24B8A">
        <w:rPr>
          <w:szCs w:val="24"/>
        </w:rPr>
        <w:t>Th</w:t>
      </w:r>
      <w:r w:rsidR="0093335E">
        <w:rPr>
          <w:szCs w:val="24"/>
        </w:rPr>
        <w:t>is</w:t>
      </w:r>
      <w:r w:rsidRPr="00B24B8A">
        <w:rPr>
          <w:szCs w:val="24"/>
        </w:rPr>
        <w:t xml:space="preserve"> instrument does not engage or limit any person’s human rights. </w:t>
      </w:r>
    </w:p>
    <w:p w14:paraId="7F15B5FB" w14:textId="77777777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</w:p>
    <w:p w14:paraId="7EF35D8F" w14:textId="77777777" w:rsidR="002B7954" w:rsidRPr="00B24B8A" w:rsidRDefault="002B7954" w:rsidP="002B7954">
      <w:pPr>
        <w:autoSpaceDE w:val="0"/>
        <w:autoSpaceDN w:val="0"/>
        <w:adjustRightInd w:val="0"/>
        <w:rPr>
          <w:szCs w:val="24"/>
        </w:rPr>
      </w:pPr>
      <w:r w:rsidRPr="00B24B8A">
        <w:rPr>
          <w:szCs w:val="24"/>
        </w:rPr>
        <w:t xml:space="preserve">The instrument is consistent with the Legislative Assembly’s Scrutiny </w:t>
      </w:r>
      <w:r>
        <w:rPr>
          <w:szCs w:val="24"/>
        </w:rPr>
        <w:t xml:space="preserve">of </w:t>
      </w:r>
      <w:r w:rsidRPr="00B24B8A">
        <w:rPr>
          <w:szCs w:val="24"/>
        </w:rPr>
        <w:t>Bills Committee Terms of Reference. In particular, the instrument:</w:t>
      </w:r>
    </w:p>
    <w:p w14:paraId="59592F0F" w14:textId="77777777" w:rsidR="002B7954" w:rsidRPr="00B24B8A" w:rsidRDefault="002B7954" w:rsidP="007F0F32">
      <w:pPr>
        <w:pStyle w:val="ListBullet"/>
        <w:ind w:left="714" w:hanging="357"/>
        <w:rPr>
          <w:szCs w:val="24"/>
        </w:rPr>
      </w:pPr>
      <w:r w:rsidRPr="00B24B8A">
        <w:rPr>
          <w:szCs w:val="24"/>
        </w:rPr>
        <w:t>is made under a ministerial power found in the Act;</w:t>
      </w:r>
    </w:p>
    <w:p w14:paraId="4D6F32E2" w14:textId="77777777" w:rsidR="002B7954" w:rsidRPr="00B24B8A" w:rsidRDefault="002B7954" w:rsidP="007F0F32">
      <w:pPr>
        <w:pStyle w:val="ListBullet"/>
        <w:ind w:left="714" w:hanging="357"/>
        <w:rPr>
          <w:szCs w:val="24"/>
        </w:rPr>
      </w:pPr>
      <w:r w:rsidRPr="00B24B8A">
        <w:rPr>
          <w:szCs w:val="24"/>
        </w:rPr>
        <w:t xml:space="preserve">is in accordance with the general objects of the Act under which the instrument is made; </w:t>
      </w:r>
    </w:p>
    <w:p w14:paraId="3DFFD92D" w14:textId="77777777" w:rsidR="002B7954" w:rsidRPr="00B24B8A" w:rsidRDefault="002B7954" w:rsidP="007F0F32">
      <w:pPr>
        <w:pStyle w:val="ListBullet"/>
        <w:ind w:left="714" w:hanging="357"/>
        <w:rPr>
          <w:szCs w:val="24"/>
        </w:rPr>
      </w:pPr>
      <w:r w:rsidRPr="00B24B8A">
        <w:rPr>
          <w:szCs w:val="24"/>
        </w:rPr>
        <w:t>does not unduly trespass on rights previously established by law; and</w:t>
      </w:r>
    </w:p>
    <w:p w14:paraId="1B3B5B5B" w14:textId="77777777" w:rsidR="002B7954" w:rsidRPr="00B24B8A" w:rsidRDefault="002B7954" w:rsidP="007F0F32">
      <w:pPr>
        <w:pStyle w:val="ListBullet"/>
        <w:ind w:left="714" w:hanging="357"/>
        <w:rPr>
          <w:szCs w:val="24"/>
        </w:rPr>
      </w:pPr>
      <w:r w:rsidRPr="00B24B8A">
        <w:rPr>
          <w:szCs w:val="24"/>
        </w:rPr>
        <w:t xml:space="preserve">does not make rights, liberties and/or obligations unduly dependent upon non-reviewable decisions.   </w:t>
      </w:r>
    </w:p>
    <w:p w14:paraId="66EB3ABB" w14:textId="3DC045C5" w:rsidR="002B7954" w:rsidRDefault="002B7954"/>
    <w:p w14:paraId="125CBEFF" w14:textId="77777777" w:rsidR="005F21C0" w:rsidRPr="003C562E" w:rsidRDefault="005F21C0" w:rsidP="005F21C0">
      <w:pPr>
        <w:rPr>
          <w:b/>
          <w:bCs/>
          <w:szCs w:val="22"/>
        </w:rPr>
      </w:pPr>
      <w:r w:rsidRPr="003C562E">
        <w:rPr>
          <w:b/>
          <w:bCs/>
          <w:sz w:val="28"/>
          <w:szCs w:val="22"/>
        </w:rPr>
        <w:t>Outline of the provisions</w:t>
      </w:r>
    </w:p>
    <w:p w14:paraId="0B17F729" w14:textId="77777777" w:rsidR="005F21C0" w:rsidRDefault="005F21C0" w:rsidP="005F21C0"/>
    <w:p w14:paraId="66A405D3" w14:textId="77777777" w:rsidR="005F21C0" w:rsidRPr="005F21C0" w:rsidRDefault="005F21C0" w:rsidP="005F21C0">
      <w:pPr>
        <w:spacing w:after="120"/>
        <w:rPr>
          <w:b/>
          <w:bCs/>
        </w:rPr>
      </w:pPr>
      <w:r w:rsidRPr="005F21C0">
        <w:rPr>
          <w:b/>
          <w:bCs/>
        </w:rPr>
        <w:t xml:space="preserve">Section 1 Name of instrument </w:t>
      </w:r>
    </w:p>
    <w:p w14:paraId="31718E0D" w14:textId="20FF80C2" w:rsidR="005F21C0" w:rsidRDefault="005F21C0" w:rsidP="005F21C0">
      <w:r>
        <w:t xml:space="preserve">This section names the instrument as the </w:t>
      </w:r>
      <w:r>
        <w:rPr>
          <w:i/>
          <w:iCs/>
        </w:rPr>
        <w:t>Utilities (Licensing) Exemption 2021 (No 2)</w:t>
      </w:r>
      <w:r w:rsidR="007F0F32">
        <w:rPr>
          <w:i/>
          <w:iCs/>
        </w:rPr>
        <w:t>.</w:t>
      </w:r>
    </w:p>
    <w:p w14:paraId="6C635E5D" w14:textId="77777777" w:rsidR="005F21C0" w:rsidRDefault="005F21C0" w:rsidP="005F21C0"/>
    <w:p w14:paraId="286DD710" w14:textId="77777777" w:rsidR="005F21C0" w:rsidRDefault="005F21C0" w:rsidP="005F21C0">
      <w:pPr>
        <w:spacing w:after="120"/>
      </w:pPr>
      <w:r w:rsidRPr="005F21C0">
        <w:rPr>
          <w:b/>
          <w:bCs/>
        </w:rPr>
        <w:t>Section 2 Commencement</w:t>
      </w:r>
      <w:r>
        <w:t xml:space="preserve"> </w:t>
      </w:r>
    </w:p>
    <w:p w14:paraId="3B28073A" w14:textId="6FBD8958" w:rsidR="005F21C0" w:rsidRDefault="005F21C0" w:rsidP="005F21C0">
      <w:r>
        <w:t>This section provides for the commencement of the instrument on the day after it is notified.</w:t>
      </w:r>
    </w:p>
    <w:p w14:paraId="09AA1636" w14:textId="77777777" w:rsidR="005F21C0" w:rsidRDefault="005F21C0" w:rsidP="005F21C0"/>
    <w:p w14:paraId="13773C5B" w14:textId="77777777" w:rsidR="005F21C0" w:rsidRPr="005F21C0" w:rsidRDefault="005F21C0" w:rsidP="005F21C0">
      <w:pPr>
        <w:spacing w:after="120"/>
        <w:rPr>
          <w:b/>
          <w:bCs/>
        </w:rPr>
      </w:pPr>
      <w:r w:rsidRPr="005F21C0">
        <w:rPr>
          <w:b/>
          <w:bCs/>
        </w:rPr>
        <w:t xml:space="preserve">Section 3 Approval </w:t>
      </w:r>
    </w:p>
    <w:p w14:paraId="5D22DCCC" w14:textId="510C2893" w:rsidR="005F21C0" w:rsidRDefault="005F21C0" w:rsidP="005F21C0">
      <w:r>
        <w:t>This section provides the Minister’s exemption f</w:t>
      </w:r>
      <w:r w:rsidR="0081555D">
        <w:t>rom</w:t>
      </w:r>
      <w:r>
        <w:t xml:space="preserve"> a licence </w:t>
      </w:r>
      <w:r w:rsidR="0081555D">
        <w:t xml:space="preserve">for </w:t>
      </w:r>
      <w:r w:rsidR="00667756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>in relation to the provision of a utility service to generate 30MW or more of power connected to an electricity network.</w:t>
      </w:r>
    </w:p>
    <w:p w14:paraId="1D7D6D61" w14:textId="77777777" w:rsidR="005F21C0" w:rsidRDefault="005F21C0" w:rsidP="005F21C0"/>
    <w:p w14:paraId="6F669EB1" w14:textId="346734BA" w:rsidR="005F21C0" w:rsidRDefault="005F21C0" w:rsidP="005F21C0">
      <w:pPr>
        <w:spacing w:after="120"/>
      </w:pPr>
      <w:r w:rsidRPr="005F21C0">
        <w:rPr>
          <w:b/>
          <w:bCs/>
        </w:rPr>
        <w:t xml:space="preserve">Section 4 </w:t>
      </w:r>
      <w:r w:rsidR="007F0F32">
        <w:rPr>
          <w:b/>
          <w:bCs/>
        </w:rPr>
        <w:t>Purpose</w:t>
      </w:r>
      <w:r>
        <w:t xml:space="preserve"> </w:t>
      </w:r>
    </w:p>
    <w:p w14:paraId="6FD9F1F6" w14:textId="37DBE65B" w:rsidR="005F21C0" w:rsidRDefault="005F21C0" w:rsidP="005F21C0">
      <w:r>
        <w:t xml:space="preserve">This section provides details of the exemption for </w:t>
      </w:r>
      <w:r w:rsidR="00667756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>to operate a 100 MW/2</w:t>
      </w:r>
      <w:r w:rsidR="007F0F32">
        <w:t>-</w:t>
      </w:r>
      <w:r>
        <w:t>hour stand-alone battery energy storage system</w:t>
      </w:r>
      <w:r w:rsidR="0081555D">
        <w:t xml:space="preserve"> </w:t>
      </w:r>
      <w:r>
        <w:t xml:space="preserve">at </w:t>
      </w:r>
      <w:r w:rsidR="007F0F32">
        <w:t xml:space="preserve">Rural </w:t>
      </w:r>
      <w:r>
        <w:t>Block 187 Jerrabomberra</w:t>
      </w:r>
      <w:r w:rsidR="0081555D">
        <w:t xml:space="preserve"> (the </w:t>
      </w:r>
      <w:r w:rsidR="0081555D" w:rsidRPr="007F0F32">
        <w:rPr>
          <w:b/>
          <w:bCs/>
          <w:i/>
          <w:iCs/>
        </w:rPr>
        <w:t>Capital Battery</w:t>
      </w:r>
      <w:r w:rsidR="0081555D">
        <w:t>)</w:t>
      </w:r>
      <w:r>
        <w:t xml:space="preserve">. The Capital Battery will connect into Australia’s national electricity grid via the Queanbeyan substation. </w:t>
      </w:r>
    </w:p>
    <w:p w14:paraId="17244E66" w14:textId="77777777" w:rsidR="005F21C0" w:rsidRDefault="005F21C0" w:rsidP="005F21C0"/>
    <w:p w14:paraId="056507DB" w14:textId="77777777" w:rsidR="005F21C0" w:rsidRPr="005F21C0" w:rsidRDefault="005F21C0" w:rsidP="005F21C0">
      <w:pPr>
        <w:spacing w:after="120"/>
        <w:rPr>
          <w:b/>
          <w:bCs/>
        </w:rPr>
      </w:pPr>
      <w:r w:rsidRPr="005F21C0">
        <w:rPr>
          <w:b/>
          <w:bCs/>
        </w:rPr>
        <w:t xml:space="preserve">Section 5 Conditions </w:t>
      </w:r>
    </w:p>
    <w:p w14:paraId="66E06569" w14:textId="2C6C00A4" w:rsidR="005F21C0" w:rsidRDefault="005F21C0" w:rsidP="005F21C0">
      <w:r>
        <w:t>This section provides details on conditions associated with the exemption</w:t>
      </w:r>
      <w:r w:rsidR="007F0F32">
        <w:t>,</w:t>
      </w:r>
      <w:r>
        <w:t xml:space="preserve"> which is that </w:t>
      </w:r>
      <w:r w:rsidR="00667756" w:rsidRPr="004A2E74">
        <w:rPr>
          <w:rStyle w:val="Calibri12"/>
          <w:rFonts w:ascii="Times New Roman" w:hAnsi="Times New Roman"/>
          <w:szCs w:val="24"/>
          <w:lang w:val="en-US" w:eastAsia="zh-TW"/>
        </w:rPr>
        <w:t xml:space="preserve">Capital Battery Pty Ltd </w:t>
      </w:r>
      <w:r>
        <w:t xml:space="preserve">must hold an operating certificate under section 46 of the </w:t>
      </w:r>
      <w:r w:rsidRPr="005F21C0">
        <w:rPr>
          <w:i/>
          <w:iCs/>
        </w:rPr>
        <w:t>Utilities (Technical Regulation) Act 2014</w:t>
      </w:r>
      <w:r>
        <w:t xml:space="preserve"> prior to commencing construction of the Capital Battery.</w:t>
      </w:r>
    </w:p>
    <w:p w14:paraId="14417B93" w14:textId="77777777" w:rsidR="005F21C0" w:rsidRDefault="005F21C0"/>
    <w:sectPr w:rsidR="005F21C0" w:rsidSect="007F0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12CD6" w14:textId="77777777" w:rsidR="0012281E" w:rsidRDefault="0012281E" w:rsidP="00C17FAB">
      <w:r>
        <w:separator/>
      </w:r>
    </w:p>
  </w:endnote>
  <w:endnote w:type="continuationSeparator" w:id="0">
    <w:p w14:paraId="340E6DF9" w14:textId="77777777" w:rsidR="0012281E" w:rsidRDefault="0012281E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003E2" w14:textId="77777777" w:rsidR="00A31115" w:rsidRDefault="00A31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6C358" w14:textId="1E46ED9A" w:rsidR="00A31115" w:rsidRPr="00D817CF" w:rsidRDefault="00D817CF" w:rsidP="00D817CF">
    <w:pPr>
      <w:pStyle w:val="Footer"/>
      <w:jc w:val="center"/>
      <w:rPr>
        <w:rFonts w:cs="Arial"/>
        <w:sz w:val="14"/>
      </w:rPr>
    </w:pPr>
    <w:r w:rsidRPr="00D817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C87A5" w14:textId="77777777" w:rsidR="00A31115" w:rsidRDefault="00A3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89925" w14:textId="77777777" w:rsidR="0012281E" w:rsidRDefault="0012281E" w:rsidP="00C17FAB">
      <w:r>
        <w:separator/>
      </w:r>
    </w:p>
  </w:footnote>
  <w:footnote w:type="continuationSeparator" w:id="0">
    <w:p w14:paraId="6C56B977" w14:textId="77777777" w:rsidR="0012281E" w:rsidRDefault="0012281E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E8DB5" w14:textId="77777777" w:rsidR="00A31115" w:rsidRDefault="00A3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9015" w14:textId="77777777" w:rsidR="00A31115" w:rsidRDefault="00A31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3BF9D" w14:textId="77777777" w:rsidR="00A31115" w:rsidRDefault="00A31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19AC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489"/>
    <w:rsid w:val="0012281E"/>
    <w:rsid w:val="001A1B3B"/>
    <w:rsid w:val="001D3585"/>
    <w:rsid w:val="00211326"/>
    <w:rsid w:val="0027758A"/>
    <w:rsid w:val="002B7954"/>
    <w:rsid w:val="002D7C60"/>
    <w:rsid w:val="00322CE3"/>
    <w:rsid w:val="00396010"/>
    <w:rsid w:val="003C562E"/>
    <w:rsid w:val="005F21C0"/>
    <w:rsid w:val="00667756"/>
    <w:rsid w:val="006D548F"/>
    <w:rsid w:val="00723E55"/>
    <w:rsid w:val="007346AC"/>
    <w:rsid w:val="007F0F32"/>
    <w:rsid w:val="0081555D"/>
    <w:rsid w:val="008B7547"/>
    <w:rsid w:val="0093335E"/>
    <w:rsid w:val="009508A5"/>
    <w:rsid w:val="00A31115"/>
    <w:rsid w:val="00AB57BE"/>
    <w:rsid w:val="00B33AAC"/>
    <w:rsid w:val="00B37F5B"/>
    <w:rsid w:val="00B876FC"/>
    <w:rsid w:val="00BE1AE5"/>
    <w:rsid w:val="00C17FAB"/>
    <w:rsid w:val="00C97CAE"/>
    <w:rsid w:val="00CE599C"/>
    <w:rsid w:val="00D817CF"/>
    <w:rsid w:val="00D87E43"/>
    <w:rsid w:val="00DA3B00"/>
    <w:rsid w:val="00E07B26"/>
    <w:rsid w:val="00E31517"/>
    <w:rsid w:val="00E675DC"/>
    <w:rsid w:val="00F56215"/>
    <w:rsid w:val="00F93575"/>
    <w:rsid w:val="00FB2A3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235B24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Spacing">
    <w:name w:val="No Spacing"/>
    <w:uiPriority w:val="1"/>
    <w:qFormat/>
    <w:rsid w:val="00B37F5B"/>
    <w:rPr>
      <w:rFonts w:asciiTheme="minorHAnsi" w:hAnsi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37F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7F5B"/>
    <w:rPr>
      <w:sz w:val="24"/>
      <w:lang w:eastAsia="en-US"/>
    </w:rPr>
  </w:style>
  <w:style w:type="paragraph" w:customStyle="1" w:styleId="ESText">
    <w:name w:val="ES Text"/>
    <w:basedOn w:val="Normal"/>
    <w:qFormat/>
    <w:rsid w:val="002B7954"/>
    <w:pPr>
      <w:spacing w:before="100" w:beforeAutospacing="1" w:after="100" w:afterAutospacing="1"/>
      <w:contextualSpacing/>
    </w:pPr>
    <w:rPr>
      <w:szCs w:val="24"/>
    </w:rPr>
  </w:style>
  <w:style w:type="paragraph" w:styleId="ListBullet">
    <w:name w:val="List Bullet"/>
    <w:basedOn w:val="Normal"/>
    <w:uiPriority w:val="99"/>
    <w:unhideWhenUsed/>
    <w:rsid w:val="002B7954"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32"/>
    <w:rPr>
      <w:b/>
      <w:bCs/>
      <w:lang w:eastAsia="en-US"/>
    </w:rPr>
  </w:style>
  <w:style w:type="character" w:customStyle="1" w:styleId="Calibri12">
    <w:name w:val="Calibri 12"/>
    <w:basedOn w:val="DefaultParagraphFont"/>
    <w:uiPriority w:val="1"/>
    <w:qFormat/>
    <w:rsid w:val="0066775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3584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2006-03-31T04:28:00Z</cp:lastPrinted>
  <dcterms:created xsi:type="dcterms:W3CDTF">2021-09-23T08:33:00Z</dcterms:created>
  <dcterms:modified xsi:type="dcterms:W3CDTF">2021-09-23T08:33:00Z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A30329206</vt:lpwstr>
  </property>
  <property fmtid="{D5CDD505-2E9C-101B-9397-08002B2CF9AE}" pid="4" name="Objective-Title">
    <vt:lpwstr>Att B - DI2021-XX Explanatory Statement - Utilities (Licensing) Exemption 2021 (No.2)</vt:lpwstr>
  </property>
  <property fmtid="{D5CDD505-2E9C-101B-9397-08002B2CF9AE}" pid="5" name="Objective-Comment">
    <vt:lpwstr/>
  </property>
  <property fmtid="{D5CDD505-2E9C-101B-9397-08002B2CF9AE}" pid="6" name="Objective-CreationStamp">
    <vt:filetime>2021-08-19T11:23:04Z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2021-09-10T04:55:54Z</vt:filetime>
  </property>
  <property fmtid="{D5CDD505-2E9C-101B-9397-08002B2CF9AE}" pid="10" name="Objective-ModificationStamp">
    <vt:filetime>2021-09-14T01:02:02Z</vt:filetime>
  </property>
  <property fmtid="{D5CDD505-2E9C-101B-9397-08002B2CF9AE}" pid="11" name="Objective-Owner">
    <vt:lpwstr>Phillipa Jacomb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Correspondence:Technical Regulator (AC):02. July - September:21/71908 Ministerial-Correspondence - Rattenbury - Garth Heron - Request for 100MW Capital Battery to be classified as an unlicenced regulated utility:</vt:lpwstr>
  </property>
  <property fmtid="{D5CDD505-2E9C-101B-9397-08002B2CF9AE}" pid="13" name="Objective-Parent">
    <vt:lpwstr>21/71908 Ministerial-Correspondence - Rattenbury - Garth Heron - Request for 100MW Capital Battery to be classified as an unlicenced regulated utility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>Amending to correct the corporate entity receiving the exemption</vt:lpwstr>
  </property>
  <property fmtid="{D5CDD505-2E9C-101B-9397-08002B2CF9AE}" pid="18" name="Objective-FileNumber">
    <vt:lpwstr>1-2021/71908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1389766</vt:lpwstr>
  </property>
  <property fmtid="{D5CDD505-2E9C-101B-9397-08002B2CF9AE}" pid="34" name="JMSREQUIREDCHECKIN">
    <vt:lpwstr/>
  </property>
</Properties>
</file>