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EDD5C" w14:textId="77777777" w:rsidR="00065044" w:rsidRDefault="00065044" w:rsidP="00065044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93EE72B" w14:textId="07CFF96C" w:rsidR="00065044" w:rsidRDefault="00065044" w:rsidP="00065044">
      <w:pPr>
        <w:pStyle w:val="Billname"/>
        <w:spacing w:before="700"/>
      </w:pPr>
      <w:r>
        <w:t xml:space="preserve">Public Health (Health Care Facility) </w:t>
      </w:r>
      <w:r w:rsidR="00507BF7">
        <w:t xml:space="preserve">Risk </w:t>
      </w:r>
      <w:r>
        <w:t>Declaration 2021 (No 1)</w:t>
      </w:r>
    </w:p>
    <w:p w14:paraId="3D3720CE" w14:textId="0C220E93" w:rsidR="00065044" w:rsidRDefault="00065044" w:rsidP="00065044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DI2021–</w:t>
      </w:r>
      <w:r w:rsidR="00507BF7">
        <w:rPr>
          <w:rFonts w:ascii="Arial" w:hAnsi="Arial" w:cs="Arial"/>
          <w:b/>
          <w:bCs/>
        </w:rPr>
        <w:t>239</w:t>
      </w:r>
    </w:p>
    <w:p w14:paraId="06F263EB" w14:textId="77777777" w:rsidR="00065044" w:rsidRDefault="00065044" w:rsidP="00065044">
      <w:pPr>
        <w:pStyle w:val="madeunder"/>
        <w:spacing w:before="300" w:after="0"/>
      </w:pPr>
      <w:r>
        <w:t xml:space="preserve">made under the  </w:t>
      </w:r>
    </w:p>
    <w:p w14:paraId="1BEFE320" w14:textId="77777777" w:rsidR="00065044" w:rsidRDefault="00065044" w:rsidP="00065044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Health Act 1997, s18- Public health risk activities and procedures- declaration</w:t>
      </w:r>
    </w:p>
    <w:p w14:paraId="5CE8F14E" w14:textId="77777777" w:rsidR="00065044" w:rsidRDefault="00065044" w:rsidP="00065044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F7E1D64" w14:textId="77777777" w:rsidR="00065044" w:rsidRDefault="00065044" w:rsidP="00065044">
      <w:pPr>
        <w:pStyle w:val="N-line3"/>
        <w:pBdr>
          <w:bottom w:val="none" w:sz="0" w:space="0" w:color="auto"/>
        </w:pBdr>
      </w:pPr>
    </w:p>
    <w:p w14:paraId="543A8049" w14:textId="77777777" w:rsidR="00065044" w:rsidRDefault="00065044" w:rsidP="00065044">
      <w:pPr>
        <w:pStyle w:val="N-line3"/>
        <w:pBdr>
          <w:top w:val="single" w:sz="12" w:space="1" w:color="auto"/>
          <w:bottom w:val="none" w:sz="0" w:space="0" w:color="auto"/>
        </w:pBdr>
      </w:pPr>
    </w:p>
    <w:p w14:paraId="3D0C0BBD" w14:textId="7ECBB376" w:rsidR="00066A9F" w:rsidRDefault="00066A9F" w:rsidP="00065044">
      <w:pPr>
        <w:spacing w:after="120"/>
      </w:pPr>
      <w:bookmarkStart w:id="1" w:name="_Hlk34215619"/>
      <w:bookmarkEnd w:id="0"/>
      <w:r>
        <w:t xml:space="preserve">This explanatory statement relates to the Public Health (Health Care Facility) Declaration 2021 (No 1) </w:t>
      </w:r>
      <w:r w:rsidR="002178ED">
        <w:t>(</w:t>
      </w:r>
      <w:r w:rsidR="00D31AD7">
        <w:t>t</w:t>
      </w:r>
      <w:r w:rsidR="002178ED">
        <w:t>h</w:t>
      </w:r>
      <w:r w:rsidR="001A0A14">
        <w:t>is</w:t>
      </w:r>
      <w:r w:rsidR="002178ED">
        <w:t xml:space="preserve"> Declaration) </w:t>
      </w:r>
      <w:r>
        <w:t xml:space="preserve">as presented to the Legislative Assembly. It has been prepared in order to assist the reader of the </w:t>
      </w:r>
      <w:r w:rsidR="00B91BC2">
        <w:t xml:space="preserve">Declaration </w:t>
      </w:r>
      <w:r>
        <w:t xml:space="preserve">and to help inform debate on it. It does not form part of the </w:t>
      </w:r>
      <w:r w:rsidR="00B91BC2">
        <w:t>Declaration</w:t>
      </w:r>
      <w:r>
        <w:t xml:space="preserve"> and has not been endorsed by the Assembly.</w:t>
      </w:r>
    </w:p>
    <w:p w14:paraId="5A9EC3C9" w14:textId="33936AEC" w:rsidR="00066A9F" w:rsidRPr="006233CF" w:rsidRDefault="00066A9F" w:rsidP="00065044">
      <w:pPr>
        <w:spacing w:after="120"/>
        <w:rPr>
          <w:u w:val="single"/>
        </w:rPr>
      </w:pPr>
      <w:r w:rsidRPr="006233CF">
        <w:rPr>
          <w:u w:val="single"/>
        </w:rPr>
        <w:t>Overview</w:t>
      </w:r>
    </w:p>
    <w:p w14:paraId="3979AA5D" w14:textId="50922E12" w:rsidR="00066A9F" w:rsidRDefault="002A4228" w:rsidP="00065044">
      <w:pPr>
        <w:spacing w:after="120"/>
      </w:pPr>
      <w:r>
        <w:t xml:space="preserve">The intent of this Declaration is to </w:t>
      </w:r>
      <w:r w:rsidRPr="00405FB8">
        <w:t>ensure better safety and quality of care for patients</w:t>
      </w:r>
      <w:r>
        <w:t xml:space="preserve"> undergoing procedures that may pose a risk to health. It</w:t>
      </w:r>
      <w:r w:rsidR="00BF0A4D">
        <w:t xml:space="preserve"> </w:t>
      </w:r>
      <w:r w:rsidR="00B91BC2">
        <w:t xml:space="preserve">provides a legislative framework </w:t>
      </w:r>
      <w:r w:rsidR="00930D3B">
        <w:t>to govern</w:t>
      </w:r>
      <w:r w:rsidR="00B91BC2">
        <w:t xml:space="preserve"> Health Care Facilities in the ACT</w:t>
      </w:r>
      <w:r w:rsidR="00FC242D">
        <w:t>, including capturing</w:t>
      </w:r>
      <w:r w:rsidR="00B91BC2">
        <w:t xml:space="preserve"> accreditation requirements</w:t>
      </w:r>
      <w:r>
        <w:t xml:space="preserve"> and incorporat</w:t>
      </w:r>
      <w:r w:rsidR="00FC242D">
        <w:t>ing</w:t>
      </w:r>
      <w:r w:rsidR="0092737A">
        <w:t xml:space="preserve"> </w:t>
      </w:r>
      <w:r w:rsidR="00F31DEB">
        <w:t xml:space="preserve">recommendations made by the </w:t>
      </w:r>
      <w:r w:rsidR="0092737A">
        <w:t>Hospitals Principal Committee</w:t>
      </w:r>
      <w:r w:rsidR="00F31DEB">
        <w:t xml:space="preserve"> (HPC) </w:t>
      </w:r>
      <w:r w:rsidR="00F31DEB">
        <w:rPr>
          <w:i/>
          <w:iCs/>
        </w:rPr>
        <w:t>Standardising Safety and Quality in Private Health Facilities</w:t>
      </w:r>
      <w:r w:rsidR="00F31DEB">
        <w:rPr>
          <w:rStyle w:val="FootnoteReference"/>
          <w:i/>
          <w:iCs/>
        </w:rPr>
        <w:footnoteReference w:id="1"/>
      </w:r>
      <w:r w:rsidR="00F31DEB">
        <w:t xml:space="preserve"> report that was endorsed by the Australian Health Minister’s Advisory Council in 2016</w:t>
      </w:r>
      <w:r>
        <w:t>.</w:t>
      </w:r>
      <w:r w:rsidR="00B91BC2">
        <w:t xml:space="preserve"> </w:t>
      </w:r>
      <w:r w:rsidR="004B5FAA">
        <w:t>This Declaration</w:t>
      </w:r>
      <w:r>
        <w:t xml:space="preserve"> </w:t>
      </w:r>
      <w:r w:rsidR="004B5FAA">
        <w:t xml:space="preserve">revokes </w:t>
      </w:r>
      <w:r>
        <w:t xml:space="preserve"> </w:t>
      </w:r>
      <w:r w:rsidR="00930D3B">
        <w:t>the</w:t>
      </w:r>
      <w:r w:rsidR="00FC242D">
        <w:t xml:space="preserve"> </w:t>
      </w:r>
      <w:r w:rsidR="00930D3B">
        <w:t xml:space="preserve">public health risk activity declaration </w:t>
      </w:r>
      <w:r>
        <w:t xml:space="preserve">that </w:t>
      </w:r>
      <w:r w:rsidR="00930D3B">
        <w:t>was made for health care facilities in 2001</w:t>
      </w:r>
      <w:r w:rsidR="002178ED">
        <w:t xml:space="preserve"> (the 2001 Declaration)</w:t>
      </w:r>
      <w:r w:rsidR="00930D3B">
        <w:t xml:space="preserve">. </w:t>
      </w:r>
    </w:p>
    <w:p w14:paraId="79EB9A78" w14:textId="14D10A8C" w:rsidR="00B91BC2" w:rsidRPr="006233CF" w:rsidRDefault="00B91BC2" w:rsidP="00065044">
      <w:pPr>
        <w:spacing w:after="120"/>
        <w:rPr>
          <w:u w:val="single"/>
        </w:rPr>
      </w:pPr>
      <w:r w:rsidRPr="006233CF">
        <w:rPr>
          <w:u w:val="single"/>
        </w:rPr>
        <w:t>Provisions of th</w:t>
      </w:r>
      <w:r w:rsidR="001A0A14">
        <w:rPr>
          <w:u w:val="single"/>
        </w:rPr>
        <w:t>is</w:t>
      </w:r>
      <w:r w:rsidRPr="006233CF">
        <w:rPr>
          <w:u w:val="single"/>
        </w:rPr>
        <w:t xml:space="preserve"> Declaration</w:t>
      </w:r>
    </w:p>
    <w:p w14:paraId="164DCA26" w14:textId="1734BA45" w:rsidR="001F0618" w:rsidRDefault="00065044" w:rsidP="001F0618">
      <w:pPr>
        <w:spacing w:after="120"/>
      </w:pPr>
      <w:r>
        <w:t>Th</w:t>
      </w:r>
      <w:r w:rsidR="00B7419D">
        <w:t>is</w:t>
      </w:r>
      <w:r>
        <w:t xml:space="preserve"> Declaration </w:t>
      </w:r>
      <w:r w:rsidR="00B91BC2">
        <w:t>makes</w:t>
      </w:r>
      <w:r w:rsidR="00930D3B">
        <w:t xml:space="preserve"> </w:t>
      </w:r>
      <w:r>
        <w:t xml:space="preserve">the operation </w:t>
      </w:r>
      <w:r w:rsidR="00D31AD7">
        <w:t>of a</w:t>
      </w:r>
      <w:r w:rsidR="00930D3B">
        <w:t xml:space="preserve"> </w:t>
      </w:r>
      <w:r w:rsidRPr="00A05588">
        <w:t>health care facility</w:t>
      </w:r>
      <w:r>
        <w:t xml:space="preserve"> a licensable public health risk activity</w:t>
      </w:r>
      <w:r w:rsidRPr="00A05588">
        <w:t>.</w:t>
      </w:r>
      <w:r>
        <w:t xml:space="preserve"> </w:t>
      </w:r>
      <w:r w:rsidR="00D31AD7">
        <w:t>This Declaration</w:t>
      </w:r>
      <w:r w:rsidR="001F0618">
        <w:t xml:space="preserve"> updates the public health risk procedures that should be restricted to health care facilities due to their associated public health risks</w:t>
      </w:r>
      <w:r w:rsidR="00500662">
        <w:t>.</w:t>
      </w:r>
      <w:r w:rsidR="001F0618">
        <w:t xml:space="preserve"> </w:t>
      </w:r>
      <w:r w:rsidR="00500662">
        <w:t xml:space="preserve">It </w:t>
      </w:r>
      <w:r w:rsidR="001F0618">
        <w:t xml:space="preserve">better aligns the ACT with other jurisdictions in restricting those procedures to health care facilities. </w:t>
      </w:r>
      <w:r w:rsidR="00D31AD7">
        <w:t>This Declaration</w:t>
      </w:r>
      <w:r w:rsidR="00FC242D">
        <w:t xml:space="preserve"> </w:t>
      </w:r>
      <w:r w:rsidR="00D31AD7">
        <w:t>seeks the licencing of</w:t>
      </w:r>
      <w:r w:rsidR="00FC242D">
        <w:t xml:space="preserve"> </w:t>
      </w:r>
      <w:r w:rsidR="00D31AD7">
        <w:t xml:space="preserve">health care </w:t>
      </w:r>
      <w:r w:rsidR="00FC242D">
        <w:t>facili</w:t>
      </w:r>
      <w:r w:rsidR="00D31AD7">
        <w:t>ties</w:t>
      </w:r>
      <w:r w:rsidR="00FC242D">
        <w:t xml:space="preserve">, rather than </w:t>
      </w:r>
      <w:r w:rsidR="00D31AD7">
        <w:t>a declared public health risk</w:t>
      </w:r>
      <w:r w:rsidR="00FC242D">
        <w:t xml:space="preserve"> procedure</w:t>
      </w:r>
      <w:r w:rsidR="00F31DEB">
        <w:t>.</w:t>
      </w:r>
    </w:p>
    <w:p w14:paraId="4D96B82E" w14:textId="5BCB6A21" w:rsidR="00065044" w:rsidRDefault="00D31AD7" w:rsidP="00065044">
      <w:pPr>
        <w:spacing w:after="120"/>
      </w:pPr>
      <w:r>
        <w:t>This Declaration</w:t>
      </w:r>
      <w:r w:rsidR="001F0618">
        <w:t xml:space="preserve"> </w:t>
      </w:r>
      <w:r w:rsidR="00065044">
        <w:t>defines a health care facility as any premises where a declared public health risk procedure is performed</w:t>
      </w:r>
      <w:r w:rsidR="00C91BFF">
        <w:t xml:space="preserve"> or provides overnight inpatient services under the care of a registered medical professional</w:t>
      </w:r>
      <w:r w:rsidR="00065044">
        <w:t xml:space="preserve">. </w:t>
      </w:r>
      <w:r w:rsidR="003B1FFC">
        <w:t>D</w:t>
      </w:r>
      <w:r w:rsidR="00065044">
        <w:t>eclared public health risk procedure</w:t>
      </w:r>
      <w:r w:rsidR="003B1FFC">
        <w:t>s</w:t>
      </w:r>
      <w:r w:rsidR="00065044">
        <w:t xml:space="preserve">, </w:t>
      </w:r>
      <w:r w:rsidR="003B1FFC">
        <w:t xml:space="preserve">are </w:t>
      </w:r>
      <w:r w:rsidR="00065044">
        <w:t xml:space="preserve">described in </w:t>
      </w:r>
      <w:r w:rsidR="002178ED">
        <w:t>Schedule 1</w:t>
      </w:r>
      <w:r w:rsidR="00065044">
        <w:t>. The</w:t>
      </w:r>
      <w:r w:rsidR="00F31DEB">
        <w:t>se</w:t>
      </w:r>
      <w:r w:rsidR="00065044">
        <w:t xml:space="preserve"> declared public health risk procedures broadly align </w:t>
      </w:r>
      <w:r w:rsidR="00065044">
        <w:lastRenderedPageBreak/>
        <w:t>with the</w:t>
      </w:r>
      <w:r w:rsidR="00F31DEB">
        <w:t xml:space="preserve"> HPC</w:t>
      </w:r>
      <w:r w:rsidR="000046F1">
        <w:t xml:space="preserve"> </w:t>
      </w:r>
      <w:r w:rsidR="00065044">
        <w:t>recommendations</w:t>
      </w:r>
      <w:r>
        <w:t xml:space="preserve">. A key change introduced by this Declaration is to restrict the availability of cosmetic procedures to health care facilities.   </w:t>
      </w:r>
    </w:p>
    <w:p w14:paraId="04C84B9E" w14:textId="2F5C437E" w:rsidR="00F31DEB" w:rsidRDefault="00D31AD7" w:rsidP="001A0A14">
      <w:pPr>
        <w:spacing w:after="120"/>
      </w:pPr>
      <w:r>
        <w:t xml:space="preserve">Declared non-licensable public </w:t>
      </w:r>
      <w:r w:rsidR="001A0A14">
        <w:t>health risk procedures</w:t>
      </w:r>
      <w:r>
        <w:t xml:space="preserve">, as described by Schedule 1 of this Declaration, </w:t>
      </w:r>
      <w:r w:rsidR="001A0A14">
        <w:t xml:space="preserve">were recommended </w:t>
      </w:r>
      <w:r w:rsidR="002A4228">
        <w:t xml:space="preserve">for inclusion </w:t>
      </w:r>
      <w:r w:rsidR="001A0A14">
        <w:t xml:space="preserve">by the 2016 HPC report and </w:t>
      </w:r>
      <w:r>
        <w:t>were</w:t>
      </w:r>
      <w:r w:rsidR="001A0A14">
        <w:t xml:space="preserve"> the subject of ACT stakeholder consultation in August 2020. Stakeholders supported </w:t>
      </w:r>
      <w:r>
        <w:t xml:space="preserve">restricting the public health risk procedures at Schedule 1 to </w:t>
      </w:r>
      <w:r w:rsidR="001A0A14">
        <w:t xml:space="preserve">health care facilities. </w:t>
      </w:r>
    </w:p>
    <w:p w14:paraId="5168C261" w14:textId="12FE5B1C" w:rsidR="007B5A72" w:rsidRDefault="001A0A14" w:rsidP="001A0A14">
      <w:pPr>
        <w:spacing w:after="120"/>
      </w:pPr>
      <w:r>
        <w:t xml:space="preserve">A </w:t>
      </w:r>
      <w:r w:rsidR="00D3455B">
        <w:t>R</w:t>
      </w:r>
      <w:r>
        <w:t xml:space="preserve">egulatory </w:t>
      </w:r>
      <w:r w:rsidR="00D3455B">
        <w:t>I</w:t>
      </w:r>
      <w:r>
        <w:t xml:space="preserve">mpact </w:t>
      </w:r>
      <w:r w:rsidR="00D3455B">
        <w:t>Statement (RIS)</w:t>
      </w:r>
      <w:r>
        <w:t xml:space="preserve"> of the regulation</w:t>
      </w:r>
      <w:r w:rsidR="00500662">
        <w:t xml:space="preserve"> of</w:t>
      </w:r>
      <w:r>
        <w:t xml:space="preserve"> </w:t>
      </w:r>
      <w:r w:rsidR="00D31AD7">
        <w:t>public health risk procedures within health care facilities (including</w:t>
      </w:r>
      <w:r>
        <w:t xml:space="preserve"> cosmetic procedure</w:t>
      </w:r>
      <w:r w:rsidR="00D31AD7">
        <w:t xml:space="preserve">s) </w:t>
      </w:r>
      <w:r>
        <w:t>was</w:t>
      </w:r>
      <w:r w:rsidR="00F31DEB">
        <w:t xml:space="preserve"> </w:t>
      </w:r>
      <w:r>
        <w:t>completed by KPMG in 2018-2019.</w:t>
      </w:r>
      <w:r w:rsidR="0091043C">
        <w:t xml:space="preserve"> </w:t>
      </w:r>
      <w:r w:rsidR="00D3455B">
        <w:t xml:space="preserve">The RIS </w:t>
      </w:r>
      <w:r w:rsidR="00B8289B">
        <w:t xml:space="preserve">recommended that the ACT adjust its regulatory approaches in line with the 2016 HPC report, better integrate with </w:t>
      </w:r>
      <w:r w:rsidR="004B320D">
        <w:t xml:space="preserve">the </w:t>
      </w:r>
      <w:r w:rsidR="00B8289B">
        <w:t>Australian Health Service Safety and Quality Accreditation Scheme</w:t>
      </w:r>
      <w:r w:rsidR="004B320D">
        <w:t xml:space="preserve"> </w:t>
      </w:r>
      <w:r w:rsidR="00B8289B">
        <w:t xml:space="preserve">and </w:t>
      </w:r>
      <w:r w:rsidR="004B320D">
        <w:t xml:space="preserve">improve regulatory </w:t>
      </w:r>
      <w:r w:rsidR="00B8289B">
        <w:t>transparency.</w:t>
      </w:r>
      <w:r w:rsidR="004B320D">
        <w:t xml:space="preserve"> </w:t>
      </w:r>
    </w:p>
    <w:p w14:paraId="782A4105" w14:textId="5B52B268" w:rsidR="00650BB8" w:rsidRDefault="007B5A72" w:rsidP="001A0A14">
      <w:pPr>
        <w:spacing w:after="120"/>
      </w:pPr>
      <w:r>
        <w:t xml:space="preserve">In line with recommendations of the RIS and 2016 HPC report, this instrument seeks to restrict the provision of defined cosmetic procedures to health care facilities as a public health risk procedure. The regulation of defined cosmetic procedures as a public health risk procedure is considered appropriate in view of the public and patient risks that are associated </w:t>
      </w:r>
      <w:r w:rsidR="0091043C">
        <w:t>with</w:t>
      </w:r>
      <w:r>
        <w:t xml:space="preserve"> these procedures such as system toxicity (</w:t>
      </w:r>
      <w:r w:rsidR="00875705">
        <w:t>using</w:t>
      </w:r>
      <w:r>
        <w:t xml:space="preserve"> anaesthesia) and infection control. </w:t>
      </w:r>
      <w:r w:rsidR="004B5FAA">
        <w:t>A</w:t>
      </w:r>
      <w:r>
        <w:t xml:space="preserve">ll Australian jurisdictions </w:t>
      </w:r>
      <w:r w:rsidR="004B5FAA">
        <w:t xml:space="preserve">(other than the Northern Territory) </w:t>
      </w:r>
      <w:r>
        <w:t xml:space="preserve">have legislated restrictions </w:t>
      </w:r>
      <w:r w:rsidR="00650BB8">
        <w:t xml:space="preserve">on </w:t>
      </w:r>
      <w:r>
        <w:t>the provision of specific cosmetic procedures as recommended by the 2016 HPC report on public health grounds.</w:t>
      </w:r>
      <w:r w:rsidR="00875705">
        <w:t xml:space="preserve"> This instrument does not impact any other public health risk procedure already restricted to health care facilities e.g. gastrointestinal endoscopy or chemotherapy. </w:t>
      </w:r>
      <w:r>
        <w:t xml:space="preserve">  </w:t>
      </w:r>
    </w:p>
    <w:p w14:paraId="08DB0FA7" w14:textId="3E3EE3EE" w:rsidR="007B5A72" w:rsidRDefault="004B5FAA" w:rsidP="001A0A14">
      <w:pPr>
        <w:spacing w:after="120"/>
      </w:pPr>
      <w:r>
        <w:t>F</w:t>
      </w:r>
      <w:r w:rsidR="005F3A28">
        <w:t xml:space="preserve">acilities that provide overnight inpatient services under the care of a registered medical professional has been </w:t>
      </w:r>
      <w:r>
        <w:t xml:space="preserve">included in this Declaration </w:t>
      </w:r>
      <w:r w:rsidR="005F3A28">
        <w:t xml:space="preserve">to ensure </w:t>
      </w:r>
      <w:r w:rsidR="004977AA">
        <w:t>existing health</w:t>
      </w:r>
      <w:r w:rsidR="005F3A28">
        <w:t xml:space="preserve"> services </w:t>
      </w:r>
      <w:r w:rsidR="004977AA">
        <w:t>continue to be regulated</w:t>
      </w:r>
      <w:r w:rsidR="005F3A28">
        <w:t xml:space="preserve">. </w:t>
      </w:r>
    </w:p>
    <w:p w14:paraId="2A2492F4" w14:textId="5AFC76FC" w:rsidR="00065044" w:rsidRDefault="001A0A14" w:rsidP="00065044">
      <w:pPr>
        <w:spacing w:after="120"/>
      </w:pPr>
      <w:r>
        <w:t xml:space="preserve">This </w:t>
      </w:r>
      <w:r w:rsidR="002178ED">
        <w:t xml:space="preserve">Declaration </w:t>
      </w:r>
      <w:r w:rsidR="006654A9">
        <w:t xml:space="preserve">provides </w:t>
      </w:r>
      <w:r w:rsidR="0092737A">
        <w:t xml:space="preserve">that </w:t>
      </w:r>
      <w:r w:rsidR="00065044">
        <w:t xml:space="preserve">health care facilities owned and operated by the ACT Government (public facilities) </w:t>
      </w:r>
      <w:r w:rsidR="00D31AD7">
        <w:t>are</w:t>
      </w:r>
      <w:r w:rsidR="0092737A">
        <w:t xml:space="preserve"> not require</w:t>
      </w:r>
      <w:r w:rsidR="00D31AD7">
        <w:t>d</w:t>
      </w:r>
      <w:r w:rsidR="0092737A">
        <w:t xml:space="preserve"> </w:t>
      </w:r>
      <w:r w:rsidR="00D31AD7">
        <w:t xml:space="preserve">to hold </w:t>
      </w:r>
      <w:r w:rsidR="0092737A">
        <w:t xml:space="preserve">a </w:t>
      </w:r>
      <w:r w:rsidR="00D31AD7">
        <w:t xml:space="preserve">public health risk activity </w:t>
      </w:r>
      <w:r w:rsidR="0092737A">
        <w:t>license.</w:t>
      </w:r>
      <w:r w:rsidR="00065044">
        <w:t xml:space="preserve">  </w:t>
      </w:r>
      <w:r w:rsidR="004B5FAA">
        <w:t>P</w:t>
      </w:r>
      <w:r w:rsidR="00065044">
        <w:t xml:space="preserve">ublic facilities are still required to comply with any relevant Codes of Practice published under the </w:t>
      </w:r>
      <w:r w:rsidR="00065044" w:rsidRPr="00D31AD7">
        <w:rPr>
          <w:i/>
          <w:iCs/>
        </w:rPr>
        <w:t>Public Health Act</w:t>
      </w:r>
      <w:r w:rsidR="00D31AD7" w:rsidRPr="00D31AD7">
        <w:rPr>
          <w:i/>
          <w:iCs/>
        </w:rPr>
        <w:t xml:space="preserve"> 1997</w:t>
      </w:r>
      <w:r w:rsidR="00065044">
        <w:t xml:space="preserve"> and </w:t>
      </w:r>
      <w:r w:rsidR="00D31AD7">
        <w:t xml:space="preserve">may be </w:t>
      </w:r>
      <w:r w:rsidR="00065044">
        <w:t>subject to disciplinary actions and offences for failing to comply with a Code of Practice. The</w:t>
      </w:r>
      <w:r w:rsidR="0092737A">
        <w:t>y may also be</w:t>
      </w:r>
      <w:r w:rsidR="00065044">
        <w:t xml:space="preserve"> </w:t>
      </w:r>
      <w:r w:rsidR="0092737A">
        <w:t xml:space="preserve">inspected </w:t>
      </w:r>
      <w:r w:rsidR="00065044">
        <w:t xml:space="preserve">and </w:t>
      </w:r>
      <w:r w:rsidR="0092737A">
        <w:t xml:space="preserve">regulated </w:t>
      </w:r>
      <w:r w:rsidR="00533BE4">
        <w:t xml:space="preserve">by </w:t>
      </w:r>
      <w:r w:rsidR="00065044">
        <w:t xml:space="preserve">the ACT Health Directorate and </w:t>
      </w:r>
      <w:r w:rsidR="00533BE4">
        <w:t xml:space="preserve">are </w:t>
      </w:r>
      <w:r w:rsidR="00065044">
        <w:t>accountable to the Minister for Health.</w:t>
      </w:r>
      <w:r w:rsidR="00191485">
        <w:t xml:space="preserve"> </w:t>
      </w:r>
    </w:p>
    <w:p w14:paraId="5826771A" w14:textId="3C10E112" w:rsidR="00065044" w:rsidRDefault="001A0A14" w:rsidP="00065044">
      <w:r>
        <w:t xml:space="preserve">This </w:t>
      </w:r>
      <w:r w:rsidR="002178ED">
        <w:t>D</w:t>
      </w:r>
      <w:r w:rsidR="00065044">
        <w:t>eclaration specifically excludes residential aged care facilities, private residences, crisis accommodation, veterinary premises</w:t>
      </w:r>
      <w:r w:rsidR="00FC242D">
        <w:t>, patient transport services</w:t>
      </w:r>
      <w:r w:rsidR="00065044">
        <w:t xml:space="preserve"> and facilities owned or operated by the Australian Government from </w:t>
      </w:r>
      <w:r w:rsidR="0092737A">
        <w:t>the definition of</w:t>
      </w:r>
      <w:r w:rsidR="00065044">
        <w:t xml:space="preserve"> a health care facility. These </w:t>
      </w:r>
      <w:r w:rsidR="004B5FAA">
        <w:t xml:space="preserve">facilities are </w:t>
      </w:r>
      <w:r w:rsidR="00065044">
        <w:t>exclu</w:t>
      </w:r>
      <w:r w:rsidR="004B5FAA">
        <w:t>ded</w:t>
      </w:r>
      <w:r w:rsidR="00065044">
        <w:t xml:space="preserve"> </w:t>
      </w:r>
      <w:r w:rsidR="00533BE4">
        <w:t xml:space="preserve">because </w:t>
      </w:r>
      <w:r w:rsidR="00065044">
        <w:t>the public health risks posed by these</w:t>
      </w:r>
      <w:r w:rsidR="004B5FAA">
        <w:t xml:space="preserve"> facilities</w:t>
      </w:r>
      <w:r w:rsidR="00065044">
        <w:t xml:space="preserve"> are considered to be adequately controlled by other laws of the Territory and Commonwealth.  This exclusion is consistent with the </w:t>
      </w:r>
      <w:r w:rsidR="002178ED" w:rsidRPr="006233CF">
        <w:t>2001</w:t>
      </w:r>
      <w:r w:rsidR="002178ED">
        <w:t xml:space="preserve"> </w:t>
      </w:r>
      <w:r w:rsidR="002178ED" w:rsidRPr="006233CF">
        <w:t>Declaration</w:t>
      </w:r>
      <w:r w:rsidR="00065044">
        <w:t xml:space="preserve">, and </w:t>
      </w:r>
      <w:r w:rsidR="0092737A">
        <w:t xml:space="preserve">it </w:t>
      </w:r>
      <w:r w:rsidR="00065044">
        <w:t xml:space="preserve">aligns with </w:t>
      </w:r>
      <w:r w:rsidR="0092737A">
        <w:t xml:space="preserve">the </w:t>
      </w:r>
      <w:r w:rsidR="00065044">
        <w:t xml:space="preserve">regulatory arrangements of other Australian States and Territories.     </w:t>
      </w:r>
    </w:p>
    <w:p w14:paraId="56B3FFD4" w14:textId="210F7F5C" w:rsidR="00065044" w:rsidRDefault="00065044" w:rsidP="00065044"/>
    <w:p w14:paraId="6A95B45A" w14:textId="00D79875" w:rsidR="008E5058" w:rsidRPr="00AB4DCE" w:rsidRDefault="002F13A8" w:rsidP="00065044">
      <w:pPr>
        <w:rPr>
          <w:u w:val="single"/>
        </w:rPr>
      </w:pPr>
      <w:r>
        <w:rPr>
          <w:u w:val="single"/>
        </w:rPr>
        <w:t>Commencement</w:t>
      </w:r>
    </w:p>
    <w:p w14:paraId="19205686" w14:textId="024F407E" w:rsidR="008E5058" w:rsidRDefault="008E5058" w:rsidP="00065044">
      <w:r>
        <w:t xml:space="preserve">The changes to health care facility licencing outlined in this Declaration will </w:t>
      </w:r>
      <w:r w:rsidR="002F13A8">
        <w:t xml:space="preserve">commence </w:t>
      </w:r>
      <w:r w:rsidR="006F537C">
        <w:t xml:space="preserve">six </w:t>
      </w:r>
      <w:r>
        <w:t xml:space="preserve">months after the date the instrument is notified. </w:t>
      </w:r>
    </w:p>
    <w:p w14:paraId="1B52D2C1" w14:textId="019617A3" w:rsidR="008E5058" w:rsidRDefault="008E5058" w:rsidP="00065044"/>
    <w:p w14:paraId="76157A0A" w14:textId="77777777" w:rsidR="00500662" w:rsidRDefault="00500662" w:rsidP="00065044"/>
    <w:p w14:paraId="08F84FB6" w14:textId="77777777" w:rsidR="00065044" w:rsidRPr="002F4D00" w:rsidRDefault="00065044" w:rsidP="001A4E92">
      <w:pPr>
        <w:keepNext/>
        <w:rPr>
          <w:u w:val="single"/>
        </w:rPr>
      </w:pPr>
      <w:r w:rsidRPr="002F4D00">
        <w:rPr>
          <w:u w:val="single"/>
        </w:rPr>
        <w:lastRenderedPageBreak/>
        <w:t>Human Rights Considerations</w:t>
      </w:r>
    </w:p>
    <w:p w14:paraId="3916A9AC" w14:textId="551C7AFF" w:rsidR="00065044" w:rsidRDefault="00B7419D" w:rsidP="00065044">
      <w:pPr>
        <w:spacing w:after="120"/>
      </w:pPr>
      <w:r>
        <w:t>Part 3 of t</w:t>
      </w:r>
      <w:r w:rsidR="00065044">
        <w:t xml:space="preserve">he </w:t>
      </w:r>
      <w:r w:rsidR="00065044">
        <w:rPr>
          <w:i/>
          <w:iCs/>
        </w:rPr>
        <w:t>Public Health Act 1997</w:t>
      </w:r>
      <w:r w:rsidR="00065044">
        <w:t xml:space="preserve"> </w:t>
      </w:r>
      <w:r>
        <w:t xml:space="preserve">includes </w:t>
      </w:r>
      <w:r w:rsidR="00065044">
        <w:t xml:space="preserve">offences for conducting a public health risk activity without </w:t>
      </w:r>
      <w:r>
        <w:t xml:space="preserve">a </w:t>
      </w:r>
      <w:r w:rsidR="00065044">
        <w:t>licence, or in contravention of a licence</w:t>
      </w:r>
      <w:r>
        <w:t xml:space="preserve">. </w:t>
      </w:r>
      <w:r w:rsidR="00065044">
        <w:t>There are no strict liability offences associated with this public health risk activity declaration. All current health care facility licence holders are corporations.</w:t>
      </w:r>
    </w:p>
    <w:p w14:paraId="64BFFE58" w14:textId="057C48B5" w:rsidR="00594C33" w:rsidRDefault="001A0A14" w:rsidP="00C74755">
      <w:pPr>
        <w:rPr>
          <w:i/>
          <w:iCs/>
        </w:rPr>
      </w:pPr>
      <w:r>
        <w:t>T</w:t>
      </w:r>
      <w:r w:rsidR="00065044">
        <w:t xml:space="preserve">he operation of a health care facility requires the collection and storage of health records, which engages the right to individual privacy and reputation under the </w:t>
      </w:r>
      <w:r w:rsidR="00065044" w:rsidRPr="00EF14AE">
        <w:rPr>
          <w:i/>
          <w:iCs/>
        </w:rPr>
        <w:t>Human Rights Act 2004</w:t>
      </w:r>
      <w:r w:rsidR="00065044">
        <w:t>. This engagement is already addressed through other laws of the Territory and Commonwealth Government</w:t>
      </w:r>
      <w:r>
        <w:t xml:space="preserve"> and t</w:t>
      </w:r>
      <w:r w:rsidR="00065044">
        <w:t>his declaration is not considered to unduly infringe on an individual</w:t>
      </w:r>
      <w:r>
        <w:t>’</w:t>
      </w:r>
      <w:r w:rsidR="00065044">
        <w:t xml:space="preserve">s human rights within the </w:t>
      </w:r>
      <w:r w:rsidR="00065044" w:rsidRPr="00EF14AE">
        <w:rPr>
          <w:i/>
          <w:iCs/>
        </w:rPr>
        <w:t>Human Rights Act 2004.</w:t>
      </w:r>
      <w:bookmarkEnd w:id="1"/>
    </w:p>
    <w:p w14:paraId="0BFDEA4D" w14:textId="0DA15D04" w:rsidR="004B5FAA" w:rsidRDefault="004B5FAA" w:rsidP="00C74755">
      <w:pPr>
        <w:rPr>
          <w:i/>
          <w:iCs/>
        </w:rPr>
      </w:pPr>
    </w:p>
    <w:p w14:paraId="797B0506" w14:textId="0661A844" w:rsidR="00D73F76" w:rsidRDefault="004B5FAA" w:rsidP="00F83B0D">
      <w:r>
        <w:t>This Declaration</w:t>
      </w:r>
      <w:r w:rsidR="00153F7A">
        <w:t>,</w:t>
      </w:r>
      <w:r>
        <w:t xml:space="preserve"> </w:t>
      </w:r>
      <w:r w:rsidR="007745DA">
        <w:t>together with the Public Health (Health Care Facility) Code of Practice 2021 (No 1) (Code of Practice 2021)</w:t>
      </w:r>
      <w:r w:rsidR="00D32856">
        <w:t>,</w:t>
      </w:r>
      <w:r w:rsidR="007745DA">
        <w:t xml:space="preserve"> </w:t>
      </w:r>
      <w:r>
        <w:t>engage</w:t>
      </w:r>
      <w:r w:rsidR="00D32856">
        <w:t>s</w:t>
      </w:r>
      <w:r>
        <w:t xml:space="preserve"> and support</w:t>
      </w:r>
      <w:r w:rsidR="00D32856">
        <w:t>s</w:t>
      </w:r>
      <w:r>
        <w:t xml:space="preserve"> the </w:t>
      </w:r>
      <w:r w:rsidRPr="00F83B0D">
        <w:rPr>
          <w:i/>
          <w:iCs/>
        </w:rPr>
        <w:t>Human Rights Act 2004</w:t>
      </w:r>
      <w:r>
        <w:t xml:space="preserve"> right to life under section 9</w:t>
      </w:r>
      <w:r w:rsidR="007745DA">
        <w:t xml:space="preserve">. Together, this Declation and the Code of Practice 2021 </w:t>
      </w:r>
      <w:r>
        <w:t xml:space="preserve">support </w:t>
      </w:r>
      <w:r w:rsidR="00D73F76">
        <w:t xml:space="preserve">an effective framework for health care facilities to maintain high standards of quality to ensure the safety of the community. </w:t>
      </w:r>
      <w:r w:rsidR="007745DA">
        <w:t>They</w:t>
      </w:r>
      <w:r w:rsidR="00D73F76">
        <w:t xml:space="preserve"> do this by </w:t>
      </w:r>
      <w:r w:rsidR="007745DA">
        <w:t xml:space="preserve">achieving a stronger </w:t>
      </w:r>
      <w:r w:rsidR="00D73F76">
        <w:t>align</w:t>
      </w:r>
      <w:r w:rsidR="007745DA">
        <w:t>ment</w:t>
      </w:r>
      <w:r w:rsidR="00D73F76">
        <w:t xml:space="preserve"> with the Australian Health Service Safety and Quality Accreditation Scheme</w:t>
      </w:r>
      <w:r w:rsidR="007745DA">
        <w:t xml:space="preserve"> (the Scheme)</w:t>
      </w:r>
      <w:r w:rsidR="00D73F76">
        <w:t>.</w:t>
      </w:r>
      <w:r w:rsidR="007745DA">
        <w:t xml:space="preserve"> Information about the Scheme is available on the </w:t>
      </w:r>
      <w:hyperlink r:id="rId8" w:history="1">
        <w:r w:rsidR="007745DA" w:rsidRPr="00F83B0D">
          <w:t>Australian Commission on Safety and Quality in Health Care</w:t>
        </w:r>
      </w:hyperlink>
      <w:r w:rsidR="007745DA">
        <w:t xml:space="preserve"> website at www.safetyand quality.com.au</w:t>
      </w:r>
      <w:r w:rsidR="00D60B98">
        <w:t>.</w:t>
      </w:r>
    </w:p>
    <w:p w14:paraId="027A1782" w14:textId="7F7CB7FA" w:rsidR="004B5FAA" w:rsidRPr="004B5FAA" w:rsidRDefault="004B5FAA" w:rsidP="00C74755"/>
    <w:sectPr w:rsidR="004B5FAA" w:rsidRPr="004B5FAA" w:rsidSect="007346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582E5" w14:textId="77777777" w:rsidR="00A32EED" w:rsidRDefault="00A32EED" w:rsidP="00C17FAB">
      <w:r>
        <w:separator/>
      </w:r>
    </w:p>
  </w:endnote>
  <w:endnote w:type="continuationSeparator" w:id="0">
    <w:p w14:paraId="6765D27D" w14:textId="77777777" w:rsidR="00A32EED" w:rsidRDefault="00A32EED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36FE1" w14:textId="77777777" w:rsidR="006F0992" w:rsidRDefault="006F09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3E0F2" w14:textId="3F9BF0C9" w:rsidR="006F0992" w:rsidRPr="006F0992" w:rsidRDefault="006F0992" w:rsidP="006F0992">
    <w:pPr>
      <w:pStyle w:val="Footer"/>
      <w:jc w:val="center"/>
      <w:rPr>
        <w:rFonts w:cs="Arial"/>
        <w:sz w:val="14"/>
      </w:rPr>
    </w:pPr>
    <w:r w:rsidRPr="006F099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EA1A5" w14:textId="77777777" w:rsidR="006F0992" w:rsidRDefault="006F0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32F8C" w14:textId="77777777" w:rsidR="00A32EED" w:rsidRDefault="00A32EED" w:rsidP="00C17FAB">
      <w:r>
        <w:separator/>
      </w:r>
    </w:p>
  </w:footnote>
  <w:footnote w:type="continuationSeparator" w:id="0">
    <w:p w14:paraId="7A36557A" w14:textId="77777777" w:rsidR="00A32EED" w:rsidRDefault="00A32EED" w:rsidP="00C17FAB">
      <w:r>
        <w:continuationSeparator/>
      </w:r>
    </w:p>
  </w:footnote>
  <w:footnote w:id="1">
    <w:p w14:paraId="7DC81A66" w14:textId="77777777" w:rsidR="00F31DEB" w:rsidRPr="002F4D00" w:rsidRDefault="00F31DEB" w:rsidP="00F31DEB">
      <w:pPr>
        <w:pStyle w:val="FootnoteText"/>
        <w:rPr>
          <w:sz w:val="22"/>
          <w:szCs w:val="22"/>
        </w:rPr>
      </w:pPr>
      <w:r w:rsidRPr="002F4D00">
        <w:rPr>
          <w:rStyle w:val="FootnoteReference"/>
          <w:sz w:val="22"/>
          <w:szCs w:val="22"/>
        </w:rPr>
        <w:footnoteRef/>
      </w:r>
      <w:r w:rsidRPr="002F4D00">
        <w:rPr>
          <w:sz w:val="22"/>
          <w:szCs w:val="22"/>
        </w:rPr>
        <w:t xml:space="preserve"> </w:t>
      </w:r>
      <w:r w:rsidRPr="002F4D00">
        <w:rPr>
          <w:sz w:val="16"/>
          <w:szCs w:val="16"/>
        </w:rPr>
        <w:t xml:space="preserve">Report to the Hospitals Principal Committee (May 2016, OOS6-07). </w:t>
      </w:r>
      <w:r w:rsidRPr="002F4D00">
        <w:rPr>
          <w:i/>
          <w:iCs/>
          <w:sz w:val="16"/>
          <w:szCs w:val="16"/>
        </w:rPr>
        <w:t>Standardising Safety and Quality in Private Health Facilities</w:t>
      </w:r>
      <w:r w:rsidRPr="002F4D00">
        <w:rPr>
          <w:rStyle w:val="FootnoteReference"/>
          <w:i/>
          <w:iCs/>
          <w:sz w:val="16"/>
          <w:szCs w:val="16"/>
        </w:rPr>
        <w:footnoteRef/>
      </w:r>
      <w:r w:rsidRPr="002F4D00">
        <w:rPr>
          <w:i/>
          <w:iCs/>
          <w:sz w:val="16"/>
          <w:szCs w:val="16"/>
        </w:rPr>
        <w:t xml:space="preserve"> Greater consistency in the definition of Private Health Facility and the regulation of facilities that carry out cosmetic surgery.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507D1" w14:textId="77777777" w:rsidR="006F0992" w:rsidRDefault="006F09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AE31C" w14:textId="77777777" w:rsidR="006F0992" w:rsidRDefault="006F09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51F7D" w14:textId="77777777" w:rsidR="006F0992" w:rsidRDefault="006F09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BF331D0"/>
    <w:multiLevelType w:val="hybridMultilevel"/>
    <w:tmpl w:val="E48A1F00"/>
    <w:lvl w:ilvl="0" w:tplc="B9F0C2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872B8"/>
    <w:multiLevelType w:val="hybridMultilevel"/>
    <w:tmpl w:val="39944286"/>
    <w:lvl w:ilvl="0" w:tplc="6DBAF65E">
      <w:start w:val="1"/>
      <w:numFmt w:val="decimal"/>
      <w:pStyle w:val="CS-Paragraphnumbering"/>
      <w:lvlText w:val="%1."/>
      <w:lvlJc w:val="left"/>
      <w:pPr>
        <w:ind w:left="720" w:hanging="360"/>
      </w:pPr>
      <w:rPr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2C33D6"/>
    <w:multiLevelType w:val="hybridMultilevel"/>
    <w:tmpl w:val="8592DA2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3FA044F"/>
    <w:multiLevelType w:val="hybridMultilevel"/>
    <w:tmpl w:val="E3445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2"/>
  </w:num>
  <w:num w:numId="10">
    <w:abstractNumId w:val="11"/>
  </w:num>
  <w:num w:numId="11">
    <w:abstractNumId w:val="9"/>
  </w:num>
  <w:num w:numId="12">
    <w:abstractNumId w:val="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60"/>
    <w:rsid w:val="000046F1"/>
    <w:rsid w:val="00030173"/>
    <w:rsid w:val="00033EAD"/>
    <w:rsid w:val="0003533D"/>
    <w:rsid w:val="000437CA"/>
    <w:rsid w:val="00053C11"/>
    <w:rsid w:val="00065044"/>
    <w:rsid w:val="00066A9F"/>
    <w:rsid w:val="000906CA"/>
    <w:rsid w:val="00094A73"/>
    <w:rsid w:val="000D36A4"/>
    <w:rsid w:val="001163B7"/>
    <w:rsid w:val="00124E96"/>
    <w:rsid w:val="00137EBC"/>
    <w:rsid w:val="00153F7A"/>
    <w:rsid w:val="00155C33"/>
    <w:rsid w:val="00175FEC"/>
    <w:rsid w:val="0017730E"/>
    <w:rsid w:val="00191485"/>
    <w:rsid w:val="001A0A14"/>
    <w:rsid w:val="001A4E92"/>
    <w:rsid w:val="001E628A"/>
    <w:rsid w:val="001F0618"/>
    <w:rsid w:val="0020004A"/>
    <w:rsid w:val="002178ED"/>
    <w:rsid w:val="00292F0D"/>
    <w:rsid w:val="002A4228"/>
    <w:rsid w:val="002D7C60"/>
    <w:rsid w:val="002F13A8"/>
    <w:rsid w:val="002F4D00"/>
    <w:rsid w:val="0036655D"/>
    <w:rsid w:val="003675F3"/>
    <w:rsid w:val="00394BD7"/>
    <w:rsid w:val="003B1FFC"/>
    <w:rsid w:val="003B3179"/>
    <w:rsid w:val="00481C17"/>
    <w:rsid w:val="004946B5"/>
    <w:rsid w:val="004977AA"/>
    <w:rsid w:val="004B320D"/>
    <w:rsid w:val="004B5FAA"/>
    <w:rsid w:val="00500662"/>
    <w:rsid w:val="00507BF7"/>
    <w:rsid w:val="00533BE4"/>
    <w:rsid w:val="00591737"/>
    <w:rsid w:val="00594C33"/>
    <w:rsid w:val="005A5AD5"/>
    <w:rsid w:val="005B3BBF"/>
    <w:rsid w:val="005C64BE"/>
    <w:rsid w:val="005F3A28"/>
    <w:rsid w:val="005F42B2"/>
    <w:rsid w:val="00605A7E"/>
    <w:rsid w:val="00607DFF"/>
    <w:rsid w:val="006233CF"/>
    <w:rsid w:val="00643546"/>
    <w:rsid w:val="00650BB8"/>
    <w:rsid w:val="00660C1B"/>
    <w:rsid w:val="006654A9"/>
    <w:rsid w:val="00683EEF"/>
    <w:rsid w:val="006F0992"/>
    <w:rsid w:val="006F1105"/>
    <w:rsid w:val="006F537C"/>
    <w:rsid w:val="006F6D04"/>
    <w:rsid w:val="007346AC"/>
    <w:rsid w:val="0073739E"/>
    <w:rsid w:val="007534C7"/>
    <w:rsid w:val="00755EED"/>
    <w:rsid w:val="00762E53"/>
    <w:rsid w:val="007745DA"/>
    <w:rsid w:val="00780E64"/>
    <w:rsid w:val="007B5A72"/>
    <w:rsid w:val="007D29DD"/>
    <w:rsid w:val="007D7B68"/>
    <w:rsid w:val="007E18CE"/>
    <w:rsid w:val="007E2D0C"/>
    <w:rsid w:val="007F7F08"/>
    <w:rsid w:val="0086275F"/>
    <w:rsid w:val="00875705"/>
    <w:rsid w:val="008E5058"/>
    <w:rsid w:val="0091043C"/>
    <w:rsid w:val="0092737A"/>
    <w:rsid w:val="00930D3B"/>
    <w:rsid w:val="009508A5"/>
    <w:rsid w:val="009516A4"/>
    <w:rsid w:val="00980DA3"/>
    <w:rsid w:val="009A37D1"/>
    <w:rsid w:val="009B24DE"/>
    <w:rsid w:val="00A05588"/>
    <w:rsid w:val="00A232BB"/>
    <w:rsid w:val="00A32EED"/>
    <w:rsid w:val="00A5340A"/>
    <w:rsid w:val="00AA4068"/>
    <w:rsid w:val="00AB47C3"/>
    <w:rsid w:val="00AB4DCE"/>
    <w:rsid w:val="00B138A0"/>
    <w:rsid w:val="00B31871"/>
    <w:rsid w:val="00B54BF4"/>
    <w:rsid w:val="00B63142"/>
    <w:rsid w:val="00B7419D"/>
    <w:rsid w:val="00B778B3"/>
    <w:rsid w:val="00B8289B"/>
    <w:rsid w:val="00B91BC2"/>
    <w:rsid w:val="00BE26CD"/>
    <w:rsid w:val="00BF0A4D"/>
    <w:rsid w:val="00C17FAB"/>
    <w:rsid w:val="00C74755"/>
    <w:rsid w:val="00C832A0"/>
    <w:rsid w:val="00C91BFF"/>
    <w:rsid w:val="00C932FC"/>
    <w:rsid w:val="00CA112B"/>
    <w:rsid w:val="00CA577A"/>
    <w:rsid w:val="00CB7D25"/>
    <w:rsid w:val="00CE599C"/>
    <w:rsid w:val="00CF4F0E"/>
    <w:rsid w:val="00D31AD7"/>
    <w:rsid w:val="00D32856"/>
    <w:rsid w:val="00D3455B"/>
    <w:rsid w:val="00D40FE7"/>
    <w:rsid w:val="00D60B98"/>
    <w:rsid w:val="00D73F76"/>
    <w:rsid w:val="00DA0547"/>
    <w:rsid w:val="00DA3B00"/>
    <w:rsid w:val="00DD0693"/>
    <w:rsid w:val="00E17AA7"/>
    <w:rsid w:val="00E342D4"/>
    <w:rsid w:val="00F0474A"/>
    <w:rsid w:val="00F31DEB"/>
    <w:rsid w:val="00F47099"/>
    <w:rsid w:val="00F5286A"/>
    <w:rsid w:val="00F620C8"/>
    <w:rsid w:val="00F83B0D"/>
    <w:rsid w:val="00FC242D"/>
    <w:rsid w:val="00F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EBF6E9D"/>
  <w15:docId w15:val="{B48BEE36-EDC5-49B2-B827-FE37BB74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alloonText">
    <w:name w:val="Balloon Text"/>
    <w:basedOn w:val="Normal"/>
    <w:link w:val="BalloonTextChar"/>
    <w:uiPriority w:val="99"/>
    <w:semiHidden/>
    <w:unhideWhenUsed/>
    <w:rsid w:val="007D29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DD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917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4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2B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2B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2B2"/>
    <w:rPr>
      <w:b/>
      <w:bCs/>
      <w:lang w:eastAsia="en-US"/>
    </w:rPr>
  </w:style>
  <w:style w:type="paragraph" w:customStyle="1" w:styleId="CS-Paragraphnumbering">
    <w:name w:val="CS - Paragraph numbering"/>
    <w:basedOn w:val="Normal"/>
    <w:rsid w:val="00D73F76"/>
    <w:pPr>
      <w:numPr>
        <w:numId w:val="13"/>
      </w:numPr>
      <w:spacing w:after="120" w:line="276" w:lineRule="auto"/>
      <w:ind w:right="-45"/>
    </w:pPr>
    <w:rPr>
      <w:rFonts w:asciiTheme="minorHAnsi" w:eastAsiaTheme="minorHAnsi" w:hAnsiTheme="minorHAnsi" w:cstheme="minorBidi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74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tyandquality.gov.a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72E64-118B-40AC-9DAC-1B6FF70A0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5782</Characters>
  <Application>Microsoft Office Word</Application>
  <DocSecurity>0</DocSecurity>
  <Lines>100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2021-03-23T00:58:00Z</cp:lastPrinted>
  <dcterms:created xsi:type="dcterms:W3CDTF">2021-09-26T23:25:00Z</dcterms:created>
  <dcterms:modified xsi:type="dcterms:W3CDTF">2021-09-26T23:25:00Z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d47f2-2d0a-4515-b8de-e13c18f23c62_Enabled">
    <vt:lpwstr>true</vt:lpwstr>
  </property>
  <property fmtid="{D5CDD505-2E9C-101B-9397-08002B2CF9AE}" pid="3" name="MSIP_Label_690d47f2-2d0a-4515-b8de-e13c18f23c62_SetDate">
    <vt:lpwstr>2020-12-16T00:17:37Z</vt:lpwstr>
  </property>
  <property fmtid="{D5CDD505-2E9C-101B-9397-08002B2CF9AE}" pid="4" name="MSIP_Label_690d47f2-2d0a-4515-b8de-e13c18f23c62_Method">
    <vt:lpwstr>Privileged</vt:lpwstr>
  </property>
  <property fmtid="{D5CDD505-2E9C-101B-9397-08002B2CF9AE}" pid="5" name="MSIP_Label_690d47f2-2d0a-4515-b8de-e13c18f23c62_Name">
    <vt:lpwstr>OFFICIAL</vt:lpwstr>
  </property>
  <property fmtid="{D5CDD505-2E9C-101B-9397-08002B2CF9AE}" pid="6" name="MSIP_Label_690d47f2-2d0a-4515-b8de-e13c18f23c62_SiteId">
    <vt:lpwstr>b46c1908-0334-4236-b978-585ee88e4199</vt:lpwstr>
  </property>
  <property fmtid="{D5CDD505-2E9C-101B-9397-08002B2CF9AE}" pid="7" name="MSIP_Label_690d47f2-2d0a-4515-b8de-e13c18f23c62_ActionId">
    <vt:lpwstr>ef0d548c-74c5-41bf-9d9d-79c713328bdb</vt:lpwstr>
  </property>
  <property fmtid="{D5CDD505-2E9C-101B-9397-08002B2CF9AE}" pid="8" name="MSIP_Label_690d47f2-2d0a-4515-b8de-e13c18f23c62_ContentBits">
    <vt:lpwstr>1</vt:lpwstr>
  </property>
  <property fmtid="{D5CDD505-2E9C-101B-9397-08002B2CF9AE}" pid="9" name="CHECKEDOUTFROMJMS">
    <vt:lpwstr/>
  </property>
  <property fmtid="{D5CDD505-2E9C-101B-9397-08002B2CF9AE}" pid="10" name="DMSID">
    <vt:lpwstr>1390455</vt:lpwstr>
  </property>
  <property fmtid="{D5CDD505-2E9C-101B-9397-08002B2CF9AE}" pid="11" name="JMSREQUIREDCHECKIN">
    <vt:lpwstr/>
  </property>
</Properties>
</file>