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639411F9" w:rsidR="00BB387E" w:rsidRPr="00BB387E" w:rsidRDefault="00414BA9"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21</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2CF3019E" w:rsidR="00741C4A" w:rsidRPr="00741C4A" w:rsidRDefault="000767D8" w:rsidP="00741C4A">
      <w:pPr>
        <w:spacing w:after="0"/>
        <w:jc w:val="center"/>
        <w:rPr>
          <w:rFonts w:ascii="Arial" w:hAnsi="Arial" w:cs="Arial"/>
          <w:b/>
          <w:bCs/>
          <w:sz w:val="24"/>
          <w:szCs w:val="24"/>
        </w:rPr>
      </w:pPr>
      <w:r>
        <w:rPr>
          <w:rFonts w:ascii="Arial" w:hAnsi="Arial" w:cs="Arial"/>
          <w:b/>
          <w:bCs/>
          <w:sz w:val="24"/>
          <w:szCs w:val="24"/>
        </w:rPr>
        <w:t>JUSTICE AND COMMUNITY SAFETY LEGISLATION AMENDMENT BILL</w:t>
      </w:r>
      <w:r w:rsidR="00741C4A" w:rsidRPr="00741C4A">
        <w:rPr>
          <w:rFonts w:ascii="Arial" w:hAnsi="Arial" w:cs="Arial"/>
          <w:b/>
          <w:bCs/>
          <w:sz w:val="24"/>
          <w:szCs w:val="24"/>
        </w:rPr>
        <w:t xml:space="preserve"> </w:t>
      </w:r>
      <w:r w:rsidR="00414BA9" w:rsidRPr="00741C4A">
        <w:rPr>
          <w:rFonts w:ascii="Arial" w:hAnsi="Arial" w:cs="Arial"/>
          <w:b/>
          <w:bCs/>
          <w:sz w:val="24"/>
          <w:szCs w:val="24"/>
        </w:rPr>
        <w:t>20</w:t>
      </w:r>
      <w:r w:rsidR="00414BA9">
        <w:rPr>
          <w:rFonts w:ascii="Arial" w:hAnsi="Arial" w:cs="Arial"/>
          <w:b/>
          <w:bCs/>
          <w:sz w:val="24"/>
          <w:szCs w:val="24"/>
        </w:rPr>
        <w:t>21</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2889BC0D"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r w:rsidR="00AD11E2">
        <w:rPr>
          <w:rFonts w:ascii="Arial" w:hAnsi="Arial" w:cs="Arial"/>
          <w:b/>
          <w:bCs/>
          <w:sz w:val="24"/>
          <w:szCs w:val="24"/>
        </w:rPr>
        <w:t xml:space="preserve"> </w:t>
      </w:r>
    </w:p>
    <w:p w14:paraId="5BBE2D1D" w14:textId="6489FAF1" w:rsidR="00BB387E" w:rsidRDefault="002D7DC1" w:rsidP="00BB387E">
      <w:pPr>
        <w:spacing w:after="0"/>
        <w:ind w:right="686"/>
        <w:jc w:val="right"/>
        <w:rPr>
          <w:rFonts w:ascii="Arial" w:hAnsi="Arial" w:cs="Arial"/>
          <w:b/>
          <w:bCs/>
          <w:sz w:val="24"/>
          <w:szCs w:val="24"/>
        </w:rPr>
      </w:pPr>
      <w:r>
        <w:rPr>
          <w:rFonts w:ascii="Arial" w:hAnsi="Arial" w:cs="Arial"/>
          <w:b/>
          <w:bCs/>
          <w:sz w:val="24"/>
          <w:szCs w:val="24"/>
        </w:rPr>
        <w:t xml:space="preserve">Shane Rattenbury </w:t>
      </w:r>
      <w:r w:rsidR="00E954A1">
        <w:rPr>
          <w:rFonts w:ascii="Arial" w:hAnsi="Arial" w:cs="Arial"/>
          <w:b/>
          <w:bCs/>
          <w:sz w:val="24"/>
          <w:szCs w:val="24"/>
        </w:rPr>
        <w:t>MLA</w:t>
      </w:r>
    </w:p>
    <w:p w14:paraId="1C6CD455" w14:textId="1CBF4E92" w:rsidR="002D7DC1" w:rsidRPr="00BB387E" w:rsidRDefault="002D7DC1" w:rsidP="00BB387E">
      <w:pPr>
        <w:spacing w:after="0"/>
        <w:ind w:right="686"/>
        <w:jc w:val="right"/>
        <w:rPr>
          <w:rFonts w:ascii="Arial" w:hAnsi="Arial" w:cs="Arial"/>
          <w:b/>
          <w:bCs/>
          <w:sz w:val="24"/>
          <w:szCs w:val="24"/>
        </w:rPr>
      </w:pPr>
      <w:r>
        <w:rPr>
          <w:rFonts w:ascii="Arial" w:hAnsi="Arial" w:cs="Arial"/>
          <w:b/>
          <w:bCs/>
          <w:sz w:val="24"/>
          <w:szCs w:val="24"/>
        </w:rPr>
        <w:t>Attorney-General</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115B5C31" w:rsidR="00ED3B77" w:rsidRPr="00BB387E" w:rsidRDefault="0023428F" w:rsidP="008C225D">
      <w:pPr>
        <w:pStyle w:val="Heading1"/>
        <w:jc w:val="center"/>
      </w:pPr>
      <w:r>
        <w:lastRenderedPageBreak/>
        <w:t>JUSTICE AND COMMUNITY SAFETY LEGISLATION AMENDMENT</w:t>
      </w:r>
      <w:r w:rsidR="006D7F01" w:rsidRPr="00BB387E">
        <w:t xml:space="preserve"> </w:t>
      </w:r>
      <w:r w:rsidR="00ED3B77" w:rsidRPr="00BB387E">
        <w:t xml:space="preserve">BILL </w:t>
      </w:r>
      <w:r w:rsidR="005B7158" w:rsidRPr="00BB387E">
        <w:t>20</w:t>
      </w:r>
      <w:r w:rsidR="005B7158">
        <w:t>21</w:t>
      </w:r>
    </w:p>
    <w:p w14:paraId="2612AE1F" w14:textId="77777777" w:rsidR="00834FC9" w:rsidRPr="0098195B" w:rsidRDefault="00834FC9" w:rsidP="007F3D56">
      <w:pPr>
        <w:spacing w:after="0"/>
        <w:contextualSpacing/>
        <w:rPr>
          <w:rFonts w:ascii="Arial" w:hAnsi="Arial" w:cs="Arial"/>
          <w:bCs/>
          <w:sz w:val="24"/>
          <w:szCs w:val="24"/>
        </w:rPr>
      </w:pPr>
    </w:p>
    <w:p w14:paraId="54BE66F3" w14:textId="77777777" w:rsidR="00613925" w:rsidRDefault="00834FC9" w:rsidP="00613925">
      <w:pPr>
        <w:spacing w:after="0"/>
        <w:contextualSpacing/>
        <w:rPr>
          <w:rFonts w:ascii="Arial" w:hAnsi="Arial" w:cs="Arial"/>
          <w:bCs/>
          <w:sz w:val="24"/>
          <w:szCs w:val="24"/>
        </w:rPr>
      </w:pPr>
      <w:r w:rsidRPr="0098195B">
        <w:rPr>
          <w:rFonts w:ascii="Arial" w:hAnsi="Arial" w:cs="Arial"/>
          <w:bCs/>
          <w:sz w:val="24"/>
          <w:szCs w:val="24"/>
        </w:rPr>
        <w:t xml:space="preserve">The Bill </w:t>
      </w:r>
      <w:r w:rsidRPr="0098195B">
        <w:rPr>
          <w:rFonts w:ascii="Arial" w:hAnsi="Arial" w:cs="Arial"/>
          <w:b/>
          <w:sz w:val="24"/>
          <w:szCs w:val="24"/>
        </w:rPr>
        <w:t>is</w:t>
      </w:r>
      <w:r w:rsidRPr="0098195B">
        <w:rPr>
          <w:rFonts w:ascii="Arial" w:hAnsi="Arial" w:cs="Arial"/>
          <w:bCs/>
          <w:sz w:val="24"/>
          <w:szCs w:val="24"/>
        </w:rPr>
        <w:t xml:space="preserve"> </w:t>
      </w:r>
      <w:r w:rsidRPr="00613925">
        <w:rPr>
          <w:rFonts w:ascii="Arial" w:hAnsi="Arial" w:cs="Arial"/>
          <w:b/>
          <w:sz w:val="24"/>
          <w:szCs w:val="24"/>
        </w:rPr>
        <w:t>not</w:t>
      </w:r>
      <w:r w:rsidRPr="0098195B">
        <w:rPr>
          <w:rFonts w:ascii="Arial" w:hAnsi="Arial" w:cs="Arial"/>
          <w:bCs/>
          <w:sz w:val="24"/>
          <w:szCs w:val="24"/>
        </w:rPr>
        <w:t xml:space="preserve"> a Significant Bill. Significant Bills are bills that have been assessed as likely to have significant engagement of human rights and require more detailed reasoning in relation to compatibility with the </w:t>
      </w:r>
      <w:r w:rsidRPr="0098195B">
        <w:rPr>
          <w:rFonts w:ascii="Arial" w:hAnsi="Arial" w:cs="Arial"/>
          <w:bCs/>
          <w:i/>
          <w:iCs/>
          <w:sz w:val="24"/>
          <w:szCs w:val="24"/>
        </w:rPr>
        <w:t>Human Rights Act 2004</w:t>
      </w:r>
      <w:r w:rsidR="00613925">
        <w:rPr>
          <w:rFonts w:ascii="Arial" w:hAnsi="Arial" w:cs="Arial"/>
          <w:bCs/>
          <w:sz w:val="24"/>
          <w:szCs w:val="24"/>
        </w:rPr>
        <w:t xml:space="preserve">. </w:t>
      </w:r>
    </w:p>
    <w:p w14:paraId="042554AF" w14:textId="77777777" w:rsidR="00613925" w:rsidRDefault="00613925" w:rsidP="00613925">
      <w:pPr>
        <w:spacing w:after="0"/>
        <w:contextualSpacing/>
        <w:rPr>
          <w:rFonts w:ascii="Arial" w:hAnsi="Arial" w:cs="Arial"/>
          <w:bCs/>
          <w:sz w:val="24"/>
          <w:szCs w:val="24"/>
        </w:rPr>
      </w:pPr>
    </w:p>
    <w:p w14:paraId="75281231" w14:textId="5B70188D" w:rsidR="00AD11E2" w:rsidRPr="00613925" w:rsidRDefault="00AD11E2" w:rsidP="00613925">
      <w:pPr>
        <w:spacing w:after="0"/>
        <w:contextualSpacing/>
        <w:rPr>
          <w:rFonts w:ascii="Arial" w:hAnsi="Arial" w:cs="Arial"/>
          <w:bCs/>
          <w:sz w:val="24"/>
          <w:szCs w:val="24"/>
        </w:rPr>
      </w:pPr>
      <w:r w:rsidRPr="0098195B">
        <w:rPr>
          <w:rFonts w:ascii="Arial" w:hAnsi="Arial" w:cs="Arial"/>
          <w:sz w:val="24"/>
          <w:szCs w:val="24"/>
          <w:lang w:eastAsia="en-AU"/>
        </w:rPr>
        <w:t xml:space="preserve">This explanatory statement relates to the </w:t>
      </w:r>
      <w:r w:rsidRPr="00613925">
        <w:rPr>
          <w:rFonts w:ascii="Arial" w:hAnsi="Arial" w:cs="Arial"/>
          <w:i/>
          <w:iCs/>
          <w:sz w:val="24"/>
          <w:szCs w:val="24"/>
          <w:lang w:eastAsia="en-AU"/>
        </w:rPr>
        <w:t>Justice and Community Safety Legislation Amendment Bill 202</w:t>
      </w:r>
      <w:r w:rsidR="00602D56" w:rsidRPr="00613925">
        <w:rPr>
          <w:rFonts w:ascii="Arial" w:hAnsi="Arial" w:cs="Arial"/>
          <w:i/>
          <w:iCs/>
          <w:sz w:val="24"/>
          <w:szCs w:val="24"/>
          <w:lang w:eastAsia="en-AU"/>
        </w:rPr>
        <w:t>1</w:t>
      </w:r>
      <w:r w:rsidRPr="0098195B">
        <w:rPr>
          <w:rFonts w:ascii="Arial" w:hAnsi="Arial" w:cs="Arial"/>
          <w:sz w:val="24"/>
          <w:szCs w:val="24"/>
          <w:lang w:eastAsia="en-AU"/>
        </w:rPr>
        <w:t xml:space="preserve"> as presented to the Legislative Assembly. It has been prepared to assist the reader of the Bill and to help inform debate on it. It does not form part of the Bill and has not been endorsed by the Assembly.</w:t>
      </w:r>
      <w:r w:rsidR="00613925">
        <w:rPr>
          <w:rFonts w:ascii="Arial" w:hAnsi="Arial" w:cs="Arial"/>
          <w:bCs/>
          <w:sz w:val="24"/>
          <w:szCs w:val="24"/>
        </w:rPr>
        <w:t xml:space="preserve"> </w:t>
      </w:r>
      <w:r w:rsidRPr="0098195B">
        <w:rPr>
          <w:rFonts w:ascii="Arial" w:hAnsi="Arial" w:cs="Arial"/>
          <w:sz w:val="24"/>
          <w:szCs w:val="24"/>
          <w:lang w:eastAsia="en-AU"/>
        </w:rPr>
        <w:t>The statement is to be read in conjunction with the Bill. It is not, and is not meant to be, a comprehensive description of the Bill.</w:t>
      </w:r>
      <w:r w:rsidR="00613925">
        <w:rPr>
          <w:rFonts w:ascii="Arial" w:hAnsi="Arial" w:cs="Arial"/>
          <w:sz w:val="24"/>
          <w:szCs w:val="24"/>
          <w:lang w:eastAsia="en-AU"/>
        </w:rPr>
        <w:t xml:space="preserve"> </w:t>
      </w:r>
    </w:p>
    <w:p w14:paraId="086EE77C" w14:textId="77777777" w:rsidR="00AD11E2" w:rsidRPr="0098195B" w:rsidRDefault="00AD11E2" w:rsidP="007F3D56">
      <w:pPr>
        <w:spacing w:after="0"/>
        <w:contextualSpacing/>
        <w:rPr>
          <w:rFonts w:ascii="Arial" w:hAnsi="Arial" w:cs="Arial"/>
          <w:bCs/>
          <w:sz w:val="24"/>
          <w:szCs w:val="24"/>
        </w:rPr>
      </w:pPr>
    </w:p>
    <w:p w14:paraId="29C29316" w14:textId="56470B09" w:rsidR="007B6A78" w:rsidRPr="00AE59AA" w:rsidRDefault="003323FA" w:rsidP="008C225D">
      <w:pPr>
        <w:pStyle w:val="Heading2"/>
        <w:rPr>
          <w:rFonts w:cs="Arial"/>
          <w:szCs w:val="24"/>
        </w:rPr>
      </w:pPr>
      <w:r w:rsidRPr="00AE59AA">
        <w:rPr>
          <w:rFonts w:cs="Arial"/>
          <w:szCs w:val="24"/>
        </w:rPr>
        <w:t>OVERVIEW OF THE BILL</w:t>
      </w:r>
    </w:p>
    <w:p w14:paraId="38F7F95D" w14:textId="77777777" w:rsidR="007F37C3" w:rsidRPr="0098195B" w:rsidRDefault="00AD11E2" w:rsidP="007F37C3">
      <w:pPr>
        <w:spacing w:after="120"/>
        <w:ind w:right="-45"/>
        <w:jc w:val="both"/>
        <w:rPr>
          <w:rFonts w:ascii="Arial" w:hAnsi="Arial" w:cs="Arial"/>
          <w:iCs/>
          <w:sz w:val="24"/>
          <w:szCs w:val="24"/>
        </w:rPr>
      </w:pPr>
      <w:r w:rsidRPr="0098195B">
        <w:rPr>
          <w:rFonts w:ascii="Arial" w:hAnsi="Arial" w:cs="Arial"/>
          <w:iCs/>
          <w:sz w:val="24"/>
          <w:szCs w:val="24"/>
        </w:rPr>
        <w:t>The Bill is an omnibus bill which amends a range of legislation, primarily in the Attorney-General’s portfolio, including:</w:t>
      </w:r>
      <w:bookmarkStart w:id="0" w:name="_Hlk29465961"/>
    </w:p>
    <w:p w14:paraId="79CC558A" w14:textId="77777777" w:rsidR="007F37C3" w:rsidRPr="000646A9" w:rsidRDefault="00282400" w:rsidP="007F37C3">
      <w:pPr>
        <w:pStyle w:val="ListParagraph"/>
        <w:numPr>
          <w:ilvl w:val="0"/>
          <w:numId w:val="50"/>
        </w:numPr>
        <w:spacing w:after="120"/>
        <w:ind w:right="-45"/>
        <w:jc w:val="both"/>
        <w:rPr>
          <w:rFonts w:ascii="Arial" w:hAnsi="Arial" w:cs="Arial"/>
          <w:iCs/>
          <w:sz w:val="24"/>
          <w:szCs w:val="24"/>
        </w:rPr>
      </w:pPr>
      <w:r w:rsidRPr="000646A9">
        <w:rPr>
          <w:rFonts w:ascii="Arial" w:hAnsi="Arial" w:cs="Arial"/>
          <w:i/>
          <w:sz w:val="24"/>
          <w:szCs w:val="24"/>
        </w:rPr>
        <w:t>Administration and Probate Act 1929;</w:t>
      </w:r>
    </w:p>
    <w:p w14:paraId="712D8059" w14:textId="77777777" w:rsidR="007F37C3" w:rsidRPr="000646A9" w:rsidRDefault="00282400" w:rsidP="007F37C3">
      <w:pPr>
        <w:pStyle w:val="ListParagraph"/>
        <w:numPr>
          <w:ilvl w:val="0"/>
          <w:numId w:val="50"/>
        </w:numPr>
        <w:spacing w:after="120"/>
        <w:ind w:right="-45"/>
        <w:jc w:val="both"/>
        <w:rPr>
          <w:rFonts w:ascii="Arial" w:hAnsi="Arial" w:cs="Arial"/>
          <w:iCs/>
          <w:sz w:val="24"/>
          <w:szCs w:val="24"/>
        </w:rPr>
      </w:pPr>
      <w:r w:rsidRPr="000646A9">
        <w:rPr>
          <w:rFonts w:ascii="Arial" w:hAnsi="Arial" w:cs="Arial"/>
          <w:i/>
          <w:sz w:val="24"/>
          <w:szCs w:val="24"/>
        </w:rPr>
        <w:t>Births, Deaths and Marriages Registration Act 1997;</w:t>
      </w:r>
    </w:p>
    <w:p w14:paraId="14FF5DA0" w14:textId="77777777" w:rsidR="007F37C3" w:rsidRPr="00277CB9" w:rsidRDefault="00282400" w:rsidP="007F37C3">
      <w:pPr>
        <w:pStyle w:val="ListParagraph"/>
        <w:numPr>
          <w:ilvl w:val="0"/>
          <w:numId w:val="50"/>
        </w:numPr>
        <w:spacing w:after="120"/>
        <w:ind w:right="-45"/>
        <w:jc w:val="both"/>
        <w:rPr>
          <w:rFonts w:ascii="Arial" w:hAnsi="Arial" w:cs="Arial"/>
          <w:iCs/>
          <w:sz w:val="24"/>
          <w:szCs w:val="24"/>
        </w:rPr>
      </w:pPr>
      <w:r w:rsidRPr="000646A9">
        <w:rPr>
          <w:rFonts w:ascii="Arial" w:hAnsi="Arial" w:cs="Arial"/>
          <w:i/>
          <w:sz w:val="24"/>
          <w:szCs w:val="24"/>
        </w:rPr>
        <w:t xml:space="preserve">Crimes (Assumed Identities) </w:t>
      </w:r>
      <w:r w:rsidRPr="00277CB9">
        <w:rPr>
          <w:rFonts w:ascii="Arial" w:hAnsi="Arial" w:cs="Arial"/>
          <w:i/>
          <w:sz w:val="24"/>
          <w:szCs w:val="24"/>
        </w:rPr>
        <w:t>Act 2009;</w:t>
      </w:r>
      <w:r w:rsidRPr="00277CB9">
        <w:rPr>
          <w:rFonts w:ascii="Arial" w:hAnsi="Arial" w:cs="Arial"/>
          <w:sz w:val="24"/>
          <w:szCs w:val="24"/>
        </w:rPr>
        <w:t xml:space="preserve"> </w:t>
      </w:r>
    </w:p>
    <w:p w14:paraId="30A71236" w14:textId="77777777" w:rsidR="007F37C3" w:rsidRPr="00277CB9" w:rsidRDefault="00282400" w:rsidP="007F37C3">
      <w:pPr>
        <w:pStyle w:val="ListParagraph"/>
        <w:numPr>
          <w:ilvl w:val="0"/>
          <w:numId w:val="50"/>
        </w:numPr>
        <w:spacing w:after="120"/>
        <w:ind w:right="-45"/>
        <w:jc w:val="both"/>
        <w:rPr>
          <w:rFonts w:ascii="Arial" w:hAnsi="Arial" w:cs="Arial"/>
          <w:iCs/>
          <w:sz w:val="24"/>
          <w:szCs w:val="24"/>
        </w:rPr>
      </w:pPr>
      <w:r w:rsidRPr="00277CB9">
        <w:rPr>
          <w:rFonts w:ascii="Arial" w:hAnsi="Arial" w:cs="Arial"/>
          <w:i/>
          <w:sz w:val="24"/>
          <w:szCs w:val="24"/>
        </w:rPr>
        <w:t>Crimes (Controlled Operations) Act 2008;</w:t>
      </w:r>
      <w:r w:rsidRPr="00277CB9">
        <w:rPr>
          <w:rFonts w:ascii="Arial" w:hAnsi="Arial" w:cs="Arial"/>
          <w:sz w:val="24"/>
          <w:szCs w:val="24"/>
        </w:rPr>
        <w:t xml:space="preserve"> </w:t>
      </w:r>
    </w:p>
    <w:p w14:paraId="25FF90DF" w14:textId="77777777" w:rsidR="007F37C3" w:rsidRPr="000646A9" w:rsidRDefault="00282400" w:rsidP="007F37C3">
      <w:pPr>
        <w:pStyle w:val="ListParagraph"/>
        <w:numPr>
          <w:ilvl w:val="0"/>
          <w:numId w:val="50"/>
        </w:numPr>
        <w:spacing w:after="120"/>
        <w:ind w:right="-45"/>
        <w:jc w:val="both"/>
        <w:rPr>
          <w:rFonts w:ascii="Arial" w:hAnsi="Arial" w:cs="Arial"/>
          <w:iCs/>
          <w:sz w:val="24"/>
          <w:szCs w:val="24"/>
        </w:rPr>
      </w:pPr>
      <w:r w:rsidRPr="000646A9">
        <w:rPr>
          <w:rFonts w:ascii="Arial" w:hAnsi="Arial" w:cs="Arial"/>
          <w:i/>
          <w:sz w:val="24"/>
          <w:szCs w:val="24"/>
        </w:rPr>
        <w:t>Crimes (Protection of Witness Identity) Act 2011;</w:t>
      </w:r>
    </w:p>
    <w:p w14:paraId="3A420C1A" w14:textId="0FBA8CEF" w:rsidR="007F37C3" w:rsidRPr="000646A9" w:rsidRDefault="00282400" w:rsidP="007F37C3">
      <w:pPr>
        <w:pStyle w:val="ListParagraph"/>
        <w:numPr>
          <w:ilvl w:val="0"/>
          <w:numId w:val="50"/>
        </w:numPr>
        <w:spacing w:after="120"/>
        <w:ind w:right="-45"/>
        <w:jc w:val="both"/>
        <w:rPr>
          <w:rFonts w:ascii="Arial" w:hAnsi="Arial" w:cs="Arial"/>
          <w:iCs/>
          <w:sz w:val="24"/>
          <w:szCs w:val="24"/>
        </w:rPr>
      </w:pPr>
      <w:r w:rsidRPr="000646A9">
        <w:rPr>
          <w:rFonts w:ascii="Arial" w:hAnsi="Arial" w:cs="Arial"/>
          <w:i/>
          <w:sz w:val="24"/>
          <w:szCs w:val="24"/>
        </w:rPr>
        <w:t>Crimes (Surveillance Devices) Act 2010;</w:t>
      </w:r>
    </w:p>
    <w:p w14:paraId="02BD5956" w14:textId="72279B03" w:rsidR="00596AF6" w:rsidRPr="000646A9" w:rsidRDefault="00596AF6" w:rsidP="007F37C3">
      <w:pPr>
        <w:pStyle w:val="ListParagraph"/>
        <w:numPr>
          <w:ilvl w:val="0"/>
          <w:numId w:val="50"/>
        </w:numPr>
        <w:spacing w:after="120"/>
        <w:ind w:right="-45"/>
        <w:jc w:val="both"/>
        <w:rPr>
          <w:rFonts w:ascii="Arial" w:hAnsi="Arial" w:cs="Arial"/>
          <w:i/>
          <w:sz w:val="24"/>
          <w:szCs w:val="24"/>
        </w:rPr>
      </w:pPr>
      <w:r w:rsidRPr="000646A9">
        <w:rPr>
          <w:rFonts w:ascii="Arial" w:hAnsi="Arial" w:cs="Arial"/>
          <w:i/>
          <w:sz w:val="24"/>
          <w:szCs w:val="24"/>
        </w:rPr>
        <w:t>Family Provision Act 1969</w:t>
      </w:r>
      <w:r w:rsidR="0072631C">
        <w:rPr>
          <w:rFonts w:ascii="Arial" w:hAnsi="Arial" w:cs="Arial"/>
          <w:i/>
          <w:sz w:val="24"/>
          <w:szCs w:val="24"/>
        </w:rPr>
        <w:t>;</w:t>
      </w:r>
    </w:p>
    <w:p w14:paraId="35CF38C7" w14:textId="77777777" w:rsidR="007F37C3" w:rsidRPr="000646A9" w:rsidRDefault="00282400" w:rsidP="007F37C3">
      <w:pPr>
        <w:pStyle w:val="ListParagraph"/>
        <w:numPr>
          <w:ilvl w:val="0"/>
          <w:numId w:val="50"/>
        </w:numPr>
        <w:spacing w:after="120"/>
        <w:ind w:right="-45"/>
        <w:jc w:val="both"/>
        <w:rPr>
          <w:rFonts w:ascii="Arial" w:hAnsi="Arial" w:cs="Arial"/>
          <w:iCs/>
          <w:sz w:val="24"/>
          <w:szCs w:val="24"/>
        </w:rPr>
      </w:pPr>
      <w:r w:rsidRPr="000646A9">
        <w:rPr>
          <w:rFonts w:ascii="Arial" w:hAnsi="Arial" w:cs="Arial"/>
          <w:i/>
          <w:sz w:val="24"/>
          <w:szCs w:val="24"/>
        </w:rPr>
        <w:t>Freedom of Information Act 2016;</w:t>
      </w:r>
    </w:p>
    <w:p w14:paraId="1ED7EC0B" w14:textId="77777777" w:rsidR="007F37C3" w:rsidRPr="000646A9" w:rsidRDefault="00282400" w:rsidP="007F37C3">
      <w:pPr>
        <w:pStyle w:val="ListParagraph"/>
        <w:numPr>
          <w:ilvl w:val="0"/>
          <w:numId w:val="50"/>
        </w:numPr>
        <w:spacing w:after="120"/>
        <w:ind w:right="-45"/>
        <w:jc w:val="both"/>
        <w:rPr>
          <w:rFonts w:ascii="Arial" w:hAnsi="Arial" w:cs="Arial"/>
          <w:iCs/>
          <w:sz w:val="24"/>
          <w:szCs w:val="24"/>
        </w:rPr>
      </w:pPr>
      <w:r w:rsidRPr="000646A9">
        <w:rPr>
          <w:rFonts w:ascii="Arial" w:hAnsi="Arial" w:cs="Arial"/>
          <w:i/>
          <w:sz w:val="24"/>
          <w:szCs w:val="24"/>
        </w:rPr>
        <w:t>Guardianship and Management of Property Act 1991;</w:t>
      </w:r>
    </w:p>
    <w:p w14:paraId="5AAB3EAF" w14:textId="77777777" w:rsidR="007F37C3" w:rsidRPr="000646A9" w:rsidRDefault="00282400" w:rsidP="007F37C3">
      <w:pPr>
        <w:pStyle w:val="ListParagraph"/>
        <w:numPr>
          <w:ilvl w:val="0"/>
          <w:numId w:val="50"/>
        </w:numPr>
        <w:spacing w:after="120"/>
        <w:ind w:right="-45"/>
        <w:jc w:val="both"/>
        <w:rPr>
          <w:rFonts w:ascii="Arial" w:hAnsi="Arial" w:cs="Arial"/>
          <w:iCs/>
          <w:sz w:val="24"/>
          <w:szCs w:val="24"/>
        </w:rPr>
      </w:pPr>
      <w:r w:rsidRPr="000646A9">
        <w:rPr>
          <w:rFonts w:ascii="Arial" w:hAnsi="Arial" w:cs="Arial"/>
          <w:i/>
          <w:sz w:val="24"/>
          <w:szCs w:val="24"/>
        </w:rPr>
        <w:t>Land Titles Act 1925</w:t>
      </w:r>
      <w:r w:rsidRPr="000646A9">
        <w:rPr>
          <w:rFonts w:ascii="Arial" w:hAnsi="Arial" w:cs="Arial"/>
          <w:sz w:val="24"/>
          <w:szCs w:val="24"/>
        </w:rPr>
        <w:t>;</w:t>
      </w:r>
    </w:p>
    <w:p w14:paraId="5DD94F16" w14:textId="3CF75B10" w:rsidR="007F37C3" w:rsidRPr="000646A9" w:rsidRDefault="00282400" w:rsidP="007F37C3">
      <w:pPr>
        <w:pStyle w:val="ListParagraph"/>
        <w:numPr>
          <w:ilvl w:val="0"/>
          <w:numId w:val="50"/>
        </w:numPr>
        <w:spacing w:after="120"/>
        <w:ind w:right="-45"/>
        <w:jc w:val="both"/>
        <w:rPr>
          <w:rFonts w:ascii="Arial" w:hAnsi="Arial" w:cs="Arial"/>
          <w:iCs/>
          <w:sz w:val="24"/>
          <w:szCs w:val="24"/>
        </w:rPr>
      </w:pPr>
      <w:r w:rsidRPr="000646A9">
        <w:rPr>
          <w:rFonts w:ascii="Arial" w:hAnsi="Arial" w:cs="Arial"/>
          <w:i/>
          <w:sz w:val="24"/>
          <w:szCs w:val="24"/>
        </w:rPr>
        <w:t>Legal Aid Act 19</w:t>
      </w:r>
      <w:r w:rsidR="00290794" w:rsidRPr="0098195B">
        <w:rPr>
          <w:rFonts w:ascii="Arial" w:hAnsi="Arial" w:cs="Arial"/>
          <w:i/>
          <w:sz w:val="24"/>
          <w:szCs w:val="24"/>
        </w:rPr>
        <w:t>7</w:t>
      </w:r>
      <w:r w:rsidRPr="000646A9">
        <w:rPr>
          <w:rFonts w:ascii="Arial" w:hAnsi="Arial" w:cs="Arial"/>
          <w:i/>
          <w:sz w:val="24"/>
          <w:szCs w:val="24"/>
        </w:rPr>
        <w:t>7;</w:t>
      </w:r>
    </w:p>
    <w:p w14:paraId="4671532E" w14:textId="77777777" w:rsidR="007F37C3" w:rsidRPr="000646A9" w:rsidRDefault="00282400" w:rsidP="007F37C3">
      <w:pPr>
        <w:pStyle w:val="ListParagraph"/>
        <w:numPr>
          <w:ilvl w:val="0"/>
          <w:numId w:val="50"/>
        </w:numPr>
        <w:spacing w:after="120"/>
        <w:ind w:right="-45"/>
        <w:jc w:val="both"/>
        <w:rPr>
          <w:rFonts w:ascii="Arial" w:hAnsi="Arial" w:cs="Arial"/>
          <w:iCs/>
          <w:sz w:val="24"/>
          <w:szCs w:val="24"/>
        </w:rPr>
      </w:pPr>
      <w:r w:rsidRPr="000646A9">
        <w:rPr>
          <w:rFonts w:ascii="Arial" w:hAnsi="Arial" w:cs="Arial"/>
          <w:i/>
          <w:sz w:val="24"/>
          <w:szCs w:val="24"/>
        </w:rPr>
        <w:t>Liquor Act 2010;</w:t>
      </w:r>
    </w:p>
    <w:p w14:paraId="2CAC472C" w14:textId="77777777" w:rsidR="007F37C3" w:rsidRPr="008F01F1" w:rsidRDefault="00282400" w:rsidP="007F37C3">
      <w:pPr>
        <w:pStyle w:val="ListParagraph"/>
        <w:numPr>
          <w:ilvl w:val="0"/>
          <w:numId w:val="50"/>
        </w:numPr>
        <w:spacing w:after="120"/>
        <w:ind w:right="-45"/>
        <w:jc w:val="both"/>
        <w:rPr>
          <w:rFonts w:ascii="Arial" w:hAnsi="Arial" w:cs="Arial"/>
          <w:iCs/>
          <w:sz w:val="24"/>
          <w:szCs w:val="24"/>
        </w:rPr>
      </w:pPr>
      <w:r w:rsidRPr="000646A9">
        <w:rPr>
          <w:rFonts w:ascii="Arial" w:hAnsi="Arial" w:cs="Arial"/>
          <w:i/>
          <w:sz w:val="24"/>
          <w:szCs w:val="24"/>
        </w:rPr>
        <w:t>Magistrates Court (Infringement Notices) Amendment Act 2020;</w:t>
      </w:r>
    </w:p>
    <w:p w14:paraId="40E0FF8F" w14:textId="77777777" w:rsidR="007F37C3" w:rsidRPr="000646A9" w:rsidRDefault="00282400" w:rsidP="007F37C3">
      <w:pPr>
        <w:pStyle w:val="ListParagraph"/>
        <w:numPr>
          <w:ilvl w:val="0"/>
          <w:numId w:val="50"/>
        </w:numPr>
        <w:spacing w:after="120"/>
        <w:ind w:right="-45"/>
        <w:jc w:val="both"/>
        <w:rPr>
          <w:rFonts w:ascii="Arial" w:hAnsi="Arial" w:cs="Arial"/>
          <w:iCs/>
          <w:sz w:val="24"/>
          <w:szCs w:val="24"/>
        </w:rPr>
      </w:pPr>
      <w:r w:rsidRPr="000646A9">
        <w:rPr>
          <w:rFonts w:ascii="Arial" w:hAnsi="Arial" w:cs="Arial"/>
          <w:i/>
          <w:sz w:val="24"/>
          <w:szCs w:val="24"/>
        </w:rPr>
        <w:t>Public Trustee and Guardian Act 1985;</w:t>
      </w:r>
    </w:p>
    <w:p w14:paraId="0F2A602D" w14:textId="1ED0873D" w:rsidR="00282400" w:rsidRPr="000646A9" w:rsidRDefault="00282400" w:rsidP="000646A9">
      <w:pPr>
        <w:pStyle w:val="ListParagraph"/>
        <w:numPr>
          <w:ilvl w:val="0"/>
          <w:numId w:val="50"/>
        </w:numPr>
        <w:spacing w:after="120"/>
        <w:ind w:right="-45"/>
        <w:jc w:val="both"/>
        <w:rPr>
          <w:rFonts w:ascii="Arial" w:hAnsi="Arial" w:cs="Arial"/>
          <w:iCs/>
        </w:rPr>
      </w:pPr>
      <w:r w:rsidRPr="000646A9">
        <w:rPr>
          <w:rFonts w:ascii="Arial" w:hAnsi="Arial" w:cs="Arial"/>
          <w:i/>
          <w:sz w:val="24"/>
          <w:szCs w:val="24"/>
        </w:rPr>
        <w:t xml:space="preserve">Trustee Act 1925; </w:t>
      </w:r>
      <w:r w:rsidRPr="000646A9">
        <w:rPr>
          <w:rFonts w:ascii="Arial" w:hAnsi="Arial" w:cs="Arial"/>
          <w:sz w:val="24"/>
          <w:szCs w:val="24"/>
        </w:rPr>
        <w:t>and</w:t>
      </w:r>
    </w:p>
    <w:p w14:paraId="2F7BBE14" w14:textId="77777777" w:rsidR="00AD11E2" w:rsidRPr="0098195B" w:rsidRDefault="00AD11E2" w:rsidP="00AD11E2">
      <w:pPr>
        <w:numPr>
          <w:ilvl w:val="0"/>
          <w:numId w:val="50"/>
        </w:numPr>
        <w:spacing w:after="120"/>
        <w:ind w:right="-45"/>
        <w:rPr>
          <w:rFonts w:ascii="Arial" w:hAnsi="Arial" w:cs="Arial"/>
          <w:i/>
          <w:iCs/>
          <w:sz w:val="24"/>
          <w:szCs w:val="24"/>
        </w:rPr>
      </w:pPr>
      <w:r w:rsidRPr="0098195B">
        <w:rPr>
          <w:rFonts w:ascii="Arial" w:hAnsi="Arial" w:cs="Arial"/>
          <w:i/>
          <w:iCs/>
          <w:sz w:val="24"/>
          <w:szCs w:val="24"/>
        </w:rPr>
        <w:t>Wills Act 1968</w:t>
      </w:r>
      <w:r w:rsidRPr="0098195B">
        <w:rPr>
          <w:rFonts w:ascii="Arial" w:hAnsi="Arial" w:cs="Arial"/>
          <w:sz w:val="24"/>
          <w:szCs w:val="24"/>
        </w:rPr>
        <w:t>.</w:t>
      </w:r>
    </w:p>
    <w:bookmarkEnd w:id="0"/>
    <w:p w14:paraId="5D5C6C0D" w14:textId="3E6A89A5" w:rsidR="00E65AA5" w:rsidRPr="0098195B" w:rsidRDefault="00AC59DF" w:rsidP="00414921">
      <w:pPr>
        <w:rPr>
          <w:rFonts w:ascii="Arial" w:hAnsi="Arial" w:cs="Arial"/>
          <w:b/>
          <w:sz w:val="24"/>
          <w:szCs w:val="24"/>
        </w:rPr>
      </w:pPr>
      <w:r w:rsidRPr="0098195B">
        <w:rPr>
          <w:rFonts w:ascii="Arial" w:hAnsi="Arial" w:cs="Arial"/>
          <w:b/>
          <w:sz w:val="24"/>
          <w:szCs w:val="24"/>
        </w:rPr>
        <w:t>CONSULTATION ON THE PROPOSED APPROACH</w:t>
      </w:r>
    </w:p>
    <w:p w14:paraId="6B8D09F4" w14:textId="6B5AB18E" w:rsidR="00A57A87" w:rsidRDefault="00A57A87" w:rsidP="008F01F1">
      <w:pPr>
        <w:tabs>
          <w:tab w:val="left" w:pos="1320"/>
          <w:tab w:val="right" w:pos="9016"/>
        </w:tabs>
        <w:autoSpaceDE w:val="0"/>
        <w:autoSpaceDN w:val="0"/>
        <w:adjustRightInd w:val="0"/>
        <w:spacing w:before="240" w:after="240" w:line="240" w:lineRule="auto"/>
        <w:rPr>
          <w:rFonts w:ascii="Arial" w:hAnsi="Arial" w:cs="Arial"/>
          <w:sz w:val="24"/>
          <w:szCs w:val="24"/>
        </w:rPr>
      </w:pPr>
      <w:r>
        <w:rPr>
          <w:rFonts w:ascii="Arial" w:hAnsi="Arial" w:cs="Arial"/>
          <w:sz w:val="24"/>
          <w:szCs w:val="24"/>
        </w:rPr>
        <w:t xml:space="preserve">A number of </w:t>
      </w:r>
      <w:r w:rsidR="005C4693" w:rsidRPr="008F01F1">
        <w:rPr>
          <w:rFonts w:ascii="Arial" w:hAnsi="Arial" w:cs="Arial"/>
          <w:sz w:val="24"/>
          <w:szCs w:val="24"/>
        </w:rPr>
        <w:t xml:space="preserve">ACT Government Directorates and independent agencies were consulted on the amendments in the </w:t>
      </w:r>
      <w:r w:rsidR="005C4693" w:rsidRPr="008F01F1">
        <w:rPr>
          <w:rFonts w:ascii="Arial" w:hAnsi="Arial" w:cs="Arial"/>
          <w:i/>
          <w:iCs/>
          <w:sz w:val="24"/>
          <w:szCs w:val="24"/>
        </w:rPr>
        <w:t>Justice and Community Safety Legislation Amendment Bill 2021</w:t>
      </w:r>
      <w:r>
        <w:rPr>
          <w:rFonts w:ascii="Arial" w:hAnsi="Arial" w:cs="Arial"/>
          <w:sz w:val="24"/>
          <w:szCs w:val="24"/>
        </w:rPr>
        <w:t>.</w:t>
      </w:r>
      <w:r w:rsidRPr="008F01F1" w:rsidDel="00A57A87">
        <w:rPr>
          <w:rFonts w:ascii="Arial" w:hAnsi="Arial" w:cs="Arial"/>
          <w:sz w:val="24"/>
          <w:szCs w:val="24"/>
        </w:rPr>
        <w:t xml:space="preserve"> </w:t>
      </w:r>
    </w:p>
    <w:p w14:paraId="3619C602" w14:textId="77777777" w:rsidR="00A57A87" w:rsidRDefault="005C4693" w:rsidP="008F01F1">
      <w:pPr>
        <w:tabs>
          <w:tab w:val="left" w:pos="1320"/>
          <w:tab w:val="right" w:pos="9016"/>
        </w:tabs>
        <w:autoSpaceDE w:val="0"/>
        <w:autoSpaceDN w:val="0"/>
        <w:adjustRightInd w:val="0"/>
        <w:spacing w:before="240" w:after="240" w:line="240" w:lineRule="auto"/>
        <w:rPr>
          <w:rFonts w:ascii="Arial" w:hAnsi="Arial" w:cs="Arial"/>
          <w:sz w:val="24"/>
          <w:szCs w:val="24"/>
        </w:rPr>
      </w:pPr>
      <w:r w:rsidRPr="008F01F1">
        <w:rPr>
          <w:rFonts w:ascii="Arial" w:hAnsi="Arial" w:cs="Arial"/>
          <w:sz w:val="24"/>
          <w:szCs w:val="24"/>
        </w:rPr>
        <w:lastRenderedPageBreak/>
        <w:t xml:space="preserve">The ACT Law Society and the ACT Bar Association were also consulted on the draft Bill. </w:t>
      </w:r>
    </w:p>
    <w:p w14:paraId="1D00E382" w14:textId="0FF5160F" w:rsidR="005C4693" w:rsidRDefault="00A57A87" w:rsidP="008F01F1">
      <w:pPr>
        <w:tabs>
          <w:tab w:val="left" w:pos="1320"/>
          <w:tab w:val="right" w:pos="9016"/>
        </w:tabs>
        <w:autoSpaceDE w:val="0"/>
        <w:autoSpaceDN w:val="0"/>
        <w:adjustRightInd w:val="0"/>
        <w:spacing w:before="240" w:after="240" w:line="240" w:lineRule="auto"/>
        <w:rPr>
          <w:rFonts w:ascii="Arial" w:hAnsi="Arial" w:cs="Arial"/>
          <w:sz w:val="24"/>
          <w:szCs w:val="24"/>
        </w:rPr>
      </w:pPr>
      <w:r>
        <w:rPr>
          <w:rFonts w:ascii="Arial" w:hAnsi="Arial" w:cs="Arial"/>
          <w:sz w:val="24"/>
          <w:szCs w:val="24"/>
        </w:rPr>
        <w:t>The proposed amendments reflect</w:t>
      </w:r>
      <w:r w:rsidR="000646A9">
        <w:rPr>
          <w:rFonts w:ascii="Arial" w:hAnsi="Arial" w:cs="Arial"/>
          <w:sz w:val="24"/>
          <w:szCs w:val="24"/>
        </w:rPr>
        <w:t xml:space="preserve"> comments and feedback received from these stakeholders.</w:t>
      </w:r>
    </w:p>
    <w:p w14:paraId="4BE85E0B" w14:textId="60D1C05A" w:rsidR="000A02E3" w:rsidRPr="00AE59AA" w:rsidRDefault="000A02E3" w:rsidP="008F01F1">
      <w:pPr>
        <w:pStyle w:val="Heading2"/>
        <w:rPr>
          <w:rFonts w:cs="Arial"/>
          <w:iCs/>
          <w:szCs w:val="24"/>
        </w:rPr>
      </w:pPr>
      <w:r w:rsidRPr="00AE59AA">
        <w:rPr>
          <w:rFonts w:cs="Arial"/>
          <w:szCs w:val="24"/>
        </w:rPr>
        <w:t>SUMMARY OF AMENDMENTS</w:t>
      </w:r>
    </w:p>
    <w:p w14:paraId="24DCC5B3" w14:textId="2B7A1CAF" w:rsidR="000A02E3" w:rsidRPr="00AE59AA" w:rsidRDefault="000A02E3">
      <w:pPr>
        <w:pStyle w:val="Heading3"/>
        <w:rPr>
          <w:rFonts w:cs="Arial"/>
          <w:i/>
          <w:iCs/>
        </w:rPr>
      </w:pPr>
      <w:r w:rsidRPr="008F01F1">
        <w:rPr>
          <w:rFonts w:cs="Arial"/>
          <w:i/>
          <w:iCs/>
        </w:rPr>
        <w:t>Administration and Probate Act 1929</w:t>
      </w:r>
    </w:p>
    <w:p w14:paraId="72BBE73D" w14:textId="02667FFB" w:rsidR="00E0542F" w:rsidRPr="008F01F1" w:rsidRDefault="0072696B" w:rsidP="005B6B0B">
      <w:pPr>
        <w:rPr>
          <w:rFonts w:ascii="Arial" w:hAnsi="Arial" w:cs="Arial"/>
          <w:bCs/>
          <w:sz w:val="24"/>
          <w:szCs w:val="24"/>
        </w:rPr>
      </w:pPr>
      <w:r w:rsidRPr="005B6B0B">
        <w:rPr>
          <w:rFonts w:ascii="Arial" w:hAnsi="Arial" w:cs="Arial"/>
          <w:bCs/>
          <w:sz w:val="24"/>
          <w:szCs w:val="24"/>
        </w:rPr>
        <w:t xml:space="preserve">Section 64 of the </w:t>
      </w:r>
      <w:r w:rsidRPr="005B6B0B">
        <w:rPr>
          <w:rFonts w:ascii="Arial" w:hAnsi="Arial" w:cs="Arial"/>
          <w:bCs/>
          <w:i/>
          <w:iCs/>
          <w:sz w:val="24"/>
          <w:szCs w:val="24"/>
        </w:rPr>
        <w:t>Administration and Probate Act 1929</w:t>
      </w:r>
      <w:r w:rsidRPr="005B6B0B">
        <w:rPr>
          <w:rFonts w:ascii="Arial" w:hAnsi="Arial" w:cs="Arial"/>
          <w:bCs/>
          <w:sz w:val="24"/>
          <w:szCs w:val="24"/>
        </w:rPr>
        <w:t xml:space="preserve"> provides the public notice requirements that an executor or administrator must issue to distribute a deceased estate</w:t>
      </w:r>
      <w:r w:rsidR="00E0542F" w:rsidRPr="005B6B0B">
        <w:rPr>
          <w:rFonts w:ascii="Arial" w:hAnsi="Arial" w:cs="Arial"/>
          <w:bCs/>
          <w:sz w:val="24"/>
          <w:szCs w:val="24"/>
        </w:rPr>
        <w:t xml:space="preserve">. </w:t>
      </w:r>
      <w:r w:rsidR="00F519E7" w:rsidRPr="005B6B0B">
        <w:rPr>
          <w:rFonts w:ascii="Arial" w:hAnsi="Arial" w:cs="Arial"/>
          <w:bCs/>
          <w:sz w:val="24"/>
          <w:szCs w:val="24"/>
        </w:rPr>
        <w:t xml:space="preserve">The proposed amendments redraft section 64 to modernise and clarify the notice required to be issued by an executor or administrator in the distribution of a deceased estate. </w:t>
      </w:r>
    </w:p>
    <w:p w14:paraId="2E6D1FAB" w14:textId="3BA91E12" w:rsidR="000A02E3" w:rsidRPr="00AE59AA" w:rsidRDefault="000A02E3">
      <w:pPr>
        <w:pStyle w:val="Heading3"/>
        <w:rPr>
          <w:rFonts w:cs="Arial"/>
          <w:i/>
          <w:iCs/>
        </w:rPr>
      </w:pPr>
      <w:r w:rsidRPr="00B0454F">
        <w:rPr>
          <w:rFonts w:cs="Arial"/>
          <w:i/>
          <w:iCs/>
        </w:rPr>
        <w:t>Births, Deaths and Marriages Registration Act 1997</w:t>
      </w:r>
    </w:p>
    <w:p w14:paraId="1B7B2E5E" w14:textId="77777777" w:rsidR="007E6701" w:rsidRPr="00B0454F" w:rsidRDefault="007E6701">
      <w:pPr>
        <w:rPr>
          <w:rFonts w:ascii="Arial" w:hAnsi="Arial" w:cs="Arial"/>
          <w:sz w:val="24"/>
          <w:szCs w:val="24"/>
        </w:rPr>
      </w:pPr>
      <w:r w:rsidRPr="00B0454F">
        <w:rPr>
          <w:rFonts w:ascii="Arial" w:hAnsi="Arial" w:cs="Arial"/>
          <w:sz w:val="24"/>
          <w:szCs w:val="24"/>
        </w:rPr>
        <w:t xml:space="preserve">The Bill amends the </w:t>
      </w:r>
      <w:r w:rsidRPr="00B0454F">
        <w:rPr>
          <w:rFonts w:ascii="Arial" w:hAnsi="Arial" w:cs="Arial"/>
          <w:i/>
          <w:iCs/>
          <w:sz w:val="24"/>
          <w:szCs w:val="24"/>
        </w:rPr>
        <w:t>Births, Deaths and Marriages Registration Act 1997</w:t>
      </w:r>
      <w:r w:rsidRPr="00B0454F">
        <w:rPr>
          <w:rFonts w:ascii="Arial" w:hAnsi="Arial" w:cs="Arial"/>
          <w:sz w:val="24"/>
          <w:szCs w:val="24"/>
        </w:rPr>
        <w:t xml:space="preserve"> (BDMR Act) to clarify that an integrated birth certificate includes information about an adopted person’s date of adoption, and details about their birth and adoptive siblings as at the adopted person’s date of birth and adoption. The amendment will ensure that this information, which is significant to an adopted person, is included on an integrated birth certificate and that it accurately reflects the adopted person’s family history and birth and adoption records.</w:t>
      </w:r>
    </w:p>
    <w:p w14:paraId="61F37839" w14:textId="7AF5C51D" w:rsidR="007E6701" w:rsidRPr="00AE59AA" w:rsidRDefault="007E6701" w:rsidP="00B0454F">
      <w:pPr>
        <w:rPr>
          <w:rFonts w:cs="Arial"/>
        </w:rPr>
      </w:pPr>
      <w:r w:rsidRPr="00B0454F">
        <w:rPr>
          <w:rFonts w:ascii="Arial" w:hAnsi="Arial" w:cs="Arial"/>
          <w:sz w:val="24"/>
          <w:szCs w:val="24"/>
        </w:rPr>
        <w:t>The Bill also makes a range of technical amendments to the BDMRA in relation to applications made by transgender, intersex and gender diverse young people to the Registrar-General and to the ACT Civil and Administrative Tribunal (ACAT) to change their given names and/or registered sex on the ACT Register of births or on recognised details certificates. The amendments will clarify procedural matters of an application before ACAT, and remove barriers which impede vulnerable transgender, intersex and gender diverse young people from applying to ACAT for a grant of leave under section 29E of the BDMR Act.</w:t>
      </w:r>
    </w:p>
    <w:p w14:paraId="2D52DA40" w14:textId="7AE54660" w:rsidR="000A02E3" w:rsidRPr="00AE59AA" w:rsidRDefault="000A02E3">
      <w:pPr>
        <w:pStyle w:val="Heading3"/>
        <w:rPr>
          <w:rFonts w:cs="Arial"/>
          <w:i/>
          <w:iCs/>
        </w:rPr>
      </w:pPr>
      <w:r w:rsidRPr="00B0454F">
        <w:rPr>
          <w:rFonts w:cs="Arial"/>
          <w:i/>
          <w:iCs/>
        </w:rPr>
        <w:t xml:space="preserve">Crimes (Assumed Identities) Act 2009, Crimes (Controlled Operations) Act 2008, Crimes (Protection of Witness Identity) Act 2011, </w:t>
      </w:r>
      <w:r w:rsidRPr="00AE59AA">
        <w:rPr>
          <w:rFonts w:cs="Arial"/>
        </w:rPr>
        <w:t>and</w:t>
      </w:r>
      <w:r w:rsidRPr="00B0454F">
        <w:rPr>
          <w:rFonts w:cs="Arial"/>
          <w:i/>
          <w:iCs/>
        </w:rPr>
        <w:t xml:space="preserve"> Crimes (Surveillance Devices) Act 201</w:t>
      </w:r>
      <w:r w:rsidR="007432C7" w:rsidRPr="00AE59AA">
        <w:rPr>
          <w:rFonts w:cs="Arial"/>
          <w:i/>
          <w:iCs/>
        </w:rPr>
        <w:t>0</w:t>
      </w:r>
    </w:p>
    <w:p w14:paraId="7FE58F57" w14:textId="4E33DB72" w:rsidR="007432C7" w:rsidRPr="00B0454F" w:rsidRDefault="00C67BD9" w:rsidP="007432C7">
      <w:pPr>
        <w:keepNext/>
        <w:autoSpaceDE w:val="0"/>
        <w:autoSpaceDN w:val="0"/>
        <w:adjustRightInd w:val="0"/>
        <w:spacing w:before="240" w:after="120"/>
        <w:rPr>
          <w:rFonts w:ascii="Arial" w:hAnsi="Arial" w:cs="Arial"/>
          <w:sz w:val="24"/>
          <w:szCs w:val="24"/>
        </w:rPr>
      </w:pPr>
      <w:r>
        <w:rPr>
          <w:rFonts w:ascii="Arial" w:hAnsi="Arial" w:cs="Arial"/>
          <w:sz w:val="24"/>
          <w:szCs w:val="24"/>
        </w:rPr>
        <w:t xml:space="preserve">The </w:t>
      </w:r>
      <w:r w:rsidR="007432C7" w:rsidRPr="00B0454F">
        <w:rPr>
          <w:rFonts w:ascii="Arial" w:hAnsi="Arial" w:cs="Arial"/>
          <w:sz w:val="24"/>
          <w:szCs w:val="24"/>
        </w:rPr>
        <w:t>amendments</w:t>
      </w:r>
      <w:r>
        <w:rPr>
          <w:rFonts w:ascii="Arial" w:hAnsi="Arial" w:cs="Arial"/>
          <w:sz w:val="24"/>
          <w:szCs w:val="24"/>
        </w:rPr>
        <w:t xml:space="preserve"> to these Acts</w:t>
      </w:r>
      <w:r w:rsidR="007432C7" w:rsidRPr="00B0454F">
        <w:rPr>
          <w:rFonts w:ascii="Arial" w:hAnsi="Arial" w:cs="Arial"/>
          <w:sz w:val="24"/>
          <w:szCs w:val="24"/>
        </w:rPr>
        <w:t xml:space="preserve"> facilitate and reflect recent structural changes within the Australian Federal Police (AFP).</w:t>
      </w:r>
    </w:p>
    <w:p w14:paraId="24B8EC1A" w14:textId="77777777" w:rsidR="007432C7" w:rsidRPr="00B0454F" w:rsidRDefault="007432C7" w:rsidP="007432C7">
      <w:pPr>
        <w:keepNext/>
        <w:autoSpaceDE w:val="0"/>
        <w:autoSpaceDN w:val="0"/>
        <w:adjustRightInd w:val="0"/>
        <w:spacing w:before="240" w:after="120"/>
        <w:rPr>
          <w:rFonts w:ascii="Arial" w:hAnsi="Arial" w:cs="Arial"/>
          <w:sz w:val="24"/>
          <w:szCs w:val="24"/>
        </w:rPr>
      </w:pPr>
      <w:r w:rsidRPr="00B0454F">
        <w:rPr>
          <w:rFonts w:ascii="Arial" w:hAnsi="Arial" w:cs="Arial"/>
          <w:sz w:val="24"/>
          <w:szCs w:val="24"/>
        </w:rPr>
        <w:t xml:space="preserve">Internal organisational changes in the AFP have resulted in the creation of a new rank of Assistant Commissioner held by the Deputy Chief Police Officer (DCPO) </w:t>
      </w:r>
      <w:r w:rsidRPr="00B0454F">
        <w:rPr>
          <w:rFonts w:ascii="Arial" w:hAnsi="Arial" w:cs="Arial"/>
          <w:sz w:val="24"/>
          <w:szCs w:val="24"/>
        </w:rPr>
        <w:lastRenderedPageBreak/>
        <w:t xml:space="preserve">(formerly, the DCPO held the rank Commander) and a change in title of an ACT Policing officer holding a Commander rank. </w:t>
      </w:r>
    </w:p>
    <w:p w14:paraId="48C9C709" w14:textId="36769688" w:rsidR="007432C7" w:rsidRPr="00AE59AA" w:rsidRDefault="007432C7" w:rsidP="005B6B0B">
      <w:pPr>
        <w:keepNext/>
        <w:autoSpaceDE w:val="0"/>
        <w:autoSpaceDN w:val="0"/>
        <w:adjustRightInd w:val="0"/>
        <w:spacing w:before="240" w:after="120"/>
        <w:rPr>
          <w:rFonts w:cs="Arial"/>
        </w:rPr>
      </w:pPr>
      <w:r w:rsidRPr="00B0454F">
        <w:rPr>
          <w:rFonts w:ascii="Arial" w:hAnsi="Arial" w:cs="Arial"/>
          <w:sz w:val="24"/>
          <w:szCs w:val="24"/>
        </w:rPr>
        <w:t>Several ACT legislative provisions provide that the Chief Police Officer (CPO) may delegate their functions to a ‘senior officer’, and ‘senior officer’ is defined to mean a DCPO in relation to the AFP rank. Legislative amendments are therefore required to ensure that the CPO delegation references the new changes.</w:t>
      </w:r>
    </w:p>
    <w:p w14:paraId="23D63CE1" w14:textId="13695A69" w:rsidR="00CC68FA" w:rsidRPr="00AE59AA" w:rsidRDefault="00CC68FA">
      <w:pPr>
        <w:pStyle w:val="Heading3"/>
        <w:rPr>
          <w:rFonts w:cs="Arial"/>
          <w:i/>
          <w:iCs/>
        </w:rPr>
      </w:pPr>
      <w:r w:rsidRPr="005B6B0B">
        <w:rPr>
          <w:rFonts w:cs="Arial"/>
          <w:i/>
          <w:iCs/>
        </w:rPr>
        <w:t>Family Provision Act</w:t>
      </w:r>
      <w:r w:rsidRPr="00AE59AA">
        <w:rPr>
          <w:rFonts w:cs="Arial"/>
          <w:i/>
          <w:iCs/>
        </w:rPr>
        <w:t xml:space="preserve"> 1969</w:t>
      </w:r>
    </w:p>
    <w:p w14:paraId="50F49A98" w14:textId="1CB0AF7D" w:rsidR="000067B7" w:rsidRPr="005B6B0B" w:rsidRDefault="000067B7" w:rsidP="005B6B0B">
      <w:pPr>
        <w:tabs>
          <w:tab w:val="left" w:pos="4820"/>
        </w:tabs>
        <w:autoSpaceDE w:val="0"/>
        <w:autoSpaceDN w:val="0"/>
        <w:adjustRightInd w:val="0"/>
        <w:spacing w:after="120"/>
        <w:rPr>
          <w:rFonts w:ascii="Arial" w:hAnsi="Arial" w:cs="Arial"/>
          <w:sz w:val="24"/>
          <w:szCs w:val="24"/>
          <w:lang w:eastAsia="en-AU"/>
        </w:rPr>
      </w:pPr>
      <w:r w:rsidRPr="005B6B0B">
        <w:rPr>
          <w:rFonts w:ascii="Arial" w:hAnsi="Arial" w:cs="Arial"/>
          <w:sz w:val="24"/>
          <w:szCs w:val="24"/>
          <w:lang w:eastAsia="en-AU"/>
        </w:rPr>
        <w:t xml:space="preserve">The amendment </w:t>
      </w:r>
      <w:r w:rsidR="00BF3B0D">
        <w:rPr>
          <w:rFonts w:ascii="Arial" w:hAnsi="Arial" w:cs="Arial"/>
          <w:sz w:val="24"/>
          <w:szCs w:val="24"/>
          <w:lang w:eastAsia="en-AU"/>
        </w:rPr>
        <w:t xml:space="preserve">is consequential to the amendment to the </w:t>
      </w:r>
      <w:r w:rsidR="00BF3B0D" w:rsidRPr="0069763D">
        <w:rPr>
          <w:rFonts w:ascii="Arial" w:hAnsi="Arial" w:cs="Arial"/>
          <w:i/>
          <w:iCs/>
          <w:sz w:val="24"/>
          <w:szCs w:val="24"/>
          <w:lang w:eastAsia="en-AU"/>
        </w:rPr>
        <w:t>Administration and Probate Act 1929</w:t>
      </w:r>
      <w:r w:rsidR="00BF3B0D" w:rsidRPr="0069763D">
        <w:rPr>
          <w:rFonts w:ascii="Arial" w:hAnsi="Arial" w:cs="Arial"/>
          <w:sz w:val="24"/>
          <w:szCs w:val="24"/>
          <w:lang w:eastAsia="en-AU"/>
        </w:rPr>
        <w:t xml:space="preserve"> </w:t>
      </w:r>
      <w:r w:rsidR="00BF3B0D">
        <w:rPr>
          <w:rFonts w:ascii="Arial" w:hAnsi="Arial" w:cs="Arial"/>
          <w:sz w:val="24"/>
          <w:szCs w:val="24"/>
          <w:lang w:eastAsia="en-AU"/>
        </w:rPr>
        <w:t xml:space="preserve">and </w:t>
      </w:r>
      <w:r w:rsidRPr="005B6B0B">
        <w:rPr>
          <w:rFonts w:ascii="Arial" w:hAnsi="Arial" w:cs="Arial"/>
          <w:sz w:val="24"/>
          <w:szCs w:val="24"/>
          <w:lang w:eastAsia="en-AU"/>
        </w:rPr>
        <w:t>make</w:t>
      </w:r>
      <w:r w:rsidR="00BF3B0D">
        <w:rPr>
          <w:rFonts w:ascii="Arial" w:hAnsi="Arial" w:cs="Arial"/>
          <w:sz w:val="24"/>
          <w:szCs w:val="24"/>
          <w:lang w:eastAsia="en-AU"/>
        </w:rPr>
        <w:t>s</w:t>
      </w:r>
      <w:r w:rsidRPr="005B6B0B">
        <w:rPr>
          <w:rFonts w:ascii="Arial" w:hAnsi="Arial" w:cs="Arial"/>
          <w:sz w:val="24"/>
          <w:szCs w:val="24"/>
          <w:lang w:eastAsia="en-AU"/>
        </w:rPr>
        <w:t xml:space="preserve"> clear that before making distribution under section 21 of the </w:t>
      </w:r>
      <w:r w:rsidRPr="005B6B0B">
        <w:rPr>
          <w:rFonts w:ascii="Arial" w:hAnsi="Arial" w:cs="Arial"/>
          <w:i/>
          <w:iCs/>
          <w:sz w:val="24"/>
          <w:szCs w:val="24"/>
          <w:lang w:eastAsia="en-AU"/>
        </w:rPr>
        <w:t xml:space="preserve">Family Provision Act 1969, </w:t>
      </w:r>
      <w:r w:rsidRPr="005B6B0B">
        <w:rPr>
          <w:rFonts w:ascii="Arial" w:hAnsi="Arial" w:cs="Arial"/>
          <w:sz w:val="24"/>
          <w:szCs w:val="24"/>
          <w:lang w:eastAsia="en-AU"/>
        </w:rPr>
        <w:t>a public notice given under section 64</w:t>
      </w:r>
      <w:r w:rsidR="00D2706F">
        <w:rPr>
          <w:rFonts w:ascii="Arial" w:hAnsi="Arial" w:cs="Arial"/>
          <w:sz w:val="24"/>
          <w:szCs w:val="24"/>
          <w:lang w:eastAsia="en-AU"/>
        </w:rPr>
        <w:t xml:space="preserve"> </w:t>
      </w:r>
      <w:r w:rsidRPr="005B6B0B">
        <w:rPr>
          <w:rFonts w:ascii="Arial" w:hAnsi="Arial" w:cs="Arial"/>
          <w:sz w:val="24"/>
          <w:szCs w:val="24"/>
          <w:lang w:eastAsia="en-AU"/>
        </w:rPr>
        <w:t>(1)</w:t>
      </w:r>
      <w:r w:rsidR="00D2706F">
        <w:rPr>
          <w:rFonts w:ascii="Arial" w:hAnsi="Arial" w:cs="Arial"/>
          <w:sz w:val="24"/>
          <w:szCs w:val="24"/>
          <w:lang w:eastAsia="en-AU"/>
        </w:rPr>
        <w:t xml:space="preserve"> </w:t>
      </w:r>
      <w:r w:rsidRPr="005B6B0B">
        <w:rPr>
          <w:rFonts w:ascii="Arial" w:hAnsi="Arial" w:cs="Arial"/>
          <w:sz w:val="24"/>
          <w:szCs w:val="24"/>
          <w:lang w:eastAsia="en-AU"/>
        </w:rPr>
        <w:t xml:space="preserve">(a) of the Administration and Probate Act </w:t>
      </w:r>
      <w:r w:rsidR="00B645F1" w:rsidRPr="005B6B0B">
        <w:rPr>
          <w:rFonts w:ascii="Arial" w:hAnsi="Arial" w:cs="Arial"/>
          <w:sz w:val="24"/>
          <w:szCs w:val="24"/>
          <w:lang w:eastAsia="en-AU"/>
        </w:rPr>
        <w:t xml:space="preserve">is required. </w:t>
      </w:r>
      <w:r w:rsidRPr="005B6B0B">
        <w:rPr>
          <w:rFonts w:ascii="Arial" w:hAnsi="Arial" w:cs="Arial"/>
          <w:color w:val="FFFFFF"/>
          <w:sz w:val="24"/>
          <w:szCs w:val="24"/>
          <w:lang w:eastAsia="en-AU"/>
        </w:rPr>
        <w:t xml:space="preserve">  </w:t>
      </w:r>
    </w:p>
    <w:p w14:paraId="4AC5E8BD" w14:textId="40E26999" w:rsidR="000A02E3" w:rsidRPr="00786D74" w:rsidRDefault="000A02E3">
      <w:pPr>
        <w:pStyle w:val="Heading3"/>
        <w:rPr>
          <w:rFonts w:cs="Arial"/>
          <w:i/>
          <w:iCs/>
        </w:rPr>
      </w:pPr>
      <w:r w:rsidRPr="005B6B0B">
        <w:rPr>
          <w:rFonts w:cs="Arial"/>
          <w:i/>
          <w:iCs/>
        </w:rPr>
        <w:t>Freedom of Information Act 2016</w:t>
      </w:r>
    </w:p>
    <w:p w14:paraId="48F9E23B" w14:textId="26C38E61" w:rsidR="00341C92" w:rsidRPr="005B6B0B" w:rsidRDefault="00341C92" w:rsidP="005B6B0B">
      <w:pPr>
        <w:rPr>
          <w:rFonts w:cs="Arial"/>
        </w:rPr>
      </w:pPr>
      <w:r w:rsidRPr="005B6B0B">
        <w:rPr>
          <w:rFonts w:ascii="Arial" w:hAnsi="Arial" w:cs="Arial"/>
          <w:sz w:val="24"/>
          <w:szCs w:val="24"/>
        </w:rPr>
        <w:t xml:space="preserve">The </w:t>
      </w:r>
      <w:r w:rsidR="00861B4D">
        <w:rPr>
          <w:rFonts w:ascii="Arial" w:hAnsi="Arial" w:cs="Arial"/>
          <w:sz w:val="24"/>
          <w:szCs w:val="24"/>
        </w:rPr>
        <w:t>Bill amends</w:t>
      </w:r>
      <w:r w:rsidR="00BA5DCF">
        <w:rPr>
          <w:rFonts w:ascii="Arial" w:hAnsi="Arial" w:cs="Arial"/>
          <w:sz w:val="24"/>
          <w:szCs w:val="24"/>
        </w:rPr>
        <w:t xml:space="preserve"> the definition of ‘</w:t>
      </w:r>
      <w:r w:rsidR="00BA5DCF" w:rsidRPr="005B6B0B">
        <w:rPr>
          <w:rFonts w:ascii="Arial" w:hAnsi="Arial" w:cs="Arial"/>
          <w:i/>
          <w:iCs/>
          <w:sz w:val="24"/>
          <w:szCs w:val="24"/>
        </w:rPr>
        <w:t>open access information</w:t>
      </w:r>
      <w:r w:rsidR="00BA5DCF">
        <w:rPr>
          <w:rFonts w:ascii="Arial" w:hAnsi="Arial" w:cs="Arial"/>
          <w:sz w:val="24"/>
          <w:szCs w:val="24"/>
        </w:rPr>
        <w:t xml:space="preserve"> of a Minister’ to remove reference to Triple Bottom Line </w:t>
      </w:r>
      <w:r w:rsidR="00C856E4">
        <w:rPr>
          <w:rFonts w:ascii="Arial" w:hAnsi="Arial" w:cs="Arial"/>
          <w:sz w:val="24"/>
          <w:szCs w:val="24"/>
        </w:rPr>
        <w:t>(TBL) A</w:t>
      </w:r>
      <w:r w:rsidR="00BF3B0D">
        <w:rPr>
          <w:rFonts w:ascii="Arial" w:hAnsi="Arial" w:cs="Arial"/>
          <w:sz w:val="24"/>
          <w:szCs w:val="24"/>
        </w:rPr>
        <w:t>ssessment for a decision and substitute the Wellbeing Impact Assessment for the decisi</w:t>
      </w:r>
      <w:r w:rsidR="00C856E4">
        <w:rPr>
          <w:rFonts w:ascii="Arial" w:hAnsi="Arial" w:cs="Arial"/>
          <w:sz w:val="24"/>
          <w:szCs w:val="24"/>
        </w:rPr>
        <w:t xml:space="preserve">on. This amendment reflects changes to </w:t>
      </w:r>
      <w:r w:rsidR="003E43E2">
        <w:rPr>
          <w:rFonts w:ascii="Arial" w:hAnsi="Arial" w:cs="Arial"/>
          <w:sz w:val="24"/>
          <w:szCs w:val="24"/>
        </w:rPr>
        <w:t>the documentary</w:t>
      </w:r>
      <w:r w:rsidR="00C856E4">
        <w:rPr>
          <w:rFonts w:ascii="Arial" w:hAnsi="Arial" w:cs="Arial"/>
          <w:sz w:val="24"/>
          <w:szCs w:val="24"/>
        </w:rPr>
        <w:t xml:space="preserve"> requirements supporting Cabinet decision-making</w:t>
      </w:r>
      <w:r w:rsidR="00D8693C">
        <w:rPr>
          <w:rFonts w:ascii="Arial" w:hAnsi="Arial" w:cs="Arial"/>
          <w:sz w:val="24"/>
          <w:szCs w:val="24"/>
        </w:rPr>
        <w:t xml:space="preserve"> from 1 January 2022</w:t>
      </w:r>
      <w:r w:rsidR="00C856E4">
        <w:rPr>
          <w:rFonts w:ascii="Arial" w:hAnsi="Arial" w:cs="Arial"/>
          <w:sz w:val="24"/>
          <w:szCs w:val="24"/>
        </w:rPr>
        <w:t>.</w:t>
      </w:r>
    </w:p>
    <w:p w14:paraId="316B609F" w14:textId="0CA7979A" w:rsidR="000A02E3" w:rsidRPr="00786D74" w:rsidRDefault="000A02E3">
      <w:pPr>
        <w:pStyle w:val="Heading3"/>
        <w:rPr>
          <w:rFonts w:cs="Arial"/>
          <w:i/>
          <w:iCs/>
        </w:rPr>
      </w:pPr>
      <w:r w:rsidRPr="005B6B0B">
        <w:rPr>
          <w:rFonts w:cs="Arial"/>
          <w:i/>
          <w:iCs/>
        </w:rPr>
        <w:t>Guardianship and Management of Property Act 1991</w:t>
      </w:r>
    </w:p>
    <w:p w14:paraId="0B10C9B4" w14:textId="3739E4EC" w:rsidR="006F1C0C" w:rsidRPr="005B6B0B" w:rsidRDefault="006F1C0C" w:rsidP="005B6B0B">
      <w:pPr>
        <w:rPr>
          <w:rFonts w:ascii="Arial" w:hAnsi="Arial" w:cs="Arial"/>
          <w:sz w:val="24"/>
          <w:szCs w:val="24"/>
        </w:rPr>
      </w:pPr>
      <w:r w:rsidRPr="005B6B0B">
        <w:rPr>
          <w:rFonts w:ascii="Arial" w:hAnsi="Arial" w:cs="Arial"/>
          <w:sz w:val="24"/>
          <w:szCs w:val="24"/>
        </w:rPr>
        <w:t>Th</w:t>
      </w:r>
      <w:r w:rsidR="0029628E" w:rsidRPr="005B6B0B">
        <w:rPr>
          <w:rFonts w:ascii="Arial" w:hAnsi="Arial" w:cs="Arial"/>
          <w:sz w:val="24"/>
          <w:szCs w:val="24"/>
        </w:rPr>
        <w:t>e Bill amends section 15 of the GMP Act to</w:t>
      </w:r>
      <w:r w:rsidRPr="005B6B0B">
        <w:rPr>
          <w:rFonts w:ascii="Arial" w:hAnsi="Arial" w:cs="Arial"/>
          <w:sz w:val="24"/>
          <w:szCs w:val="24"/>
        </w:rPr>
        <w:t xml:space="preserve"> remove the capacity for a private guardian to charge fees for the role of decision-making. Removing this capacity will mean there will be no fee payable to any guardians within the Territory, private or public. This measure will not change a guardian’s entitlement to reimbursement for reasonable expenses incurred in acting as a guardian</w:t>
      </w:r>
      <w:r w:rsidR="00B2010D" w:rsidRPr="00786D74">
        <w:rPr>
          <w:rFonts w:ascii="Arial" w:hAnsi="Arial" w:cs="Arial"/>
          <w:sz w:val="24"/>
          <w:szCs w:val="24"/>
        </w:rPr>
        <w:t xml:space="preserve"> such</w:t>
      </w:r>
      <w:r w:rsidR="00226B98" w:rsidRPr="00786D74">
        <w:rPr>
          <w:rFonts w:ascii="Arial" w:hAnsi="Arial" w:cs="Arial"/>
          <w:sz w:val="24"/>
          <w:szCs w:val="24"/>
        </w:rPr>
        <w:t xml:space="preserve"> as the costs associated with a decision-making role, e.g. </w:t>
      </w:r>
      <w:r w:rsidR="00AE59AA">
        <w:rPr>
          <w:rFonts w:ascii="Arial" w:hAnsi="Arial" w:cs="Arial"/>
          <w:sz w:val="24"/>
          <w:szCs w:val="24"/>
        </w:rPr>
        <w:t>costs associated with</w:t>
      </w:r>
      <w:r w:rsidR="00226B98" w:rsidRPr="00786D74">
        <w:rPr>
          <w:rFonts w:ascii="Arial" w:hAnsi="Arial" w:cs="Arial"/>
          <w:sz w:val="24"/>
          <w:szCs w:val="24"/>
        </w:rPr>
        <w:t xml:space="preserve"> attend</w:t>
      </w:r>
      <w:r w:rsidR="00AE59AA">
        <w:rPr>
          <w:rFonts w:ascii="Arial" w:hAnsi="Arial" w:cs="Arial"/>
          <w:sz w:val="24"/>
          <w:szCs w:val="24"/>
        </w:rPr>
        <w:t>ing</w:t>
      </w:r>
      <w:r w:rsidR="00226B98" w:rsidRPr="00786D74">
        <w:rPr>
          <w:rFonts w:ascii="Arial" w:hAnsi="Arial" w:cs="Arial"/>
          <w:sz w:val="24"/>
          <w:szCs w:val="24"/>
        </w:rPr>
        <w:t xml:space="preserve"> a medical appointment with the protected person.</w:t>
      </w:r>
      <w:r w:rsidR="00B2010D" w:rsidRPr="00786D74">
        <w:rPr>
          <w:rFonts w:ascii="Arial" w:hAnsi="Arial" w:cs="Arial"/>
          <w:sz w:val="24"/>
          <w:szCs w:val="24"/>
        </w:rPr>
        <w:t xml:space="preserve"> </w:t>
      </w:r>
    </w:p>
    <w:p w14:paraId="1E16B923" w14:textId="23E9C85F" w:rsidR="006F1C0C" w:rsidRPr="005B6B0B" w:rsidRDefault="006F1C0C" w:rsidP="005B6B0B">
      <w:pPr>
        <w:spacing w:after="120"/>
        <w:rPr>
          <w:rFonts w:ascii="Arial" w:hAnsi="Arial" w:cs="Arial"/>
          <w:sz w:val="24"/>
          <w:szCs w:val="24"/>
        </w:rPr>
      </w:pPr>
      <w:r w:rsidRPr="005B6B0B">
        <w:rPr>
          <w:rFonts w:ascii="Arial" w:hAnsi="Arial" w:cs="Arial"/>
          <w:sz w:val="24"/>
          <w:szCs w:val="24"/>
        </w:rPr>
        <w:t>By removing the entitlement of guardianship fees, this amendment will update the Territory’s guardianship legislation in line with current thinking across Australian jurisdictions about the nature of the role of guardians. This approach will also update the legislation to reflect the nature of guardians currently within the Territory, with the P</w:t>
      </w:r>
      <w:r w:rsidR="00DB3814" w:rsidRPr="00786D74">
        <w:rPr>
          <w:rFonts w:ascii="Arial" w:hAnsi="Arial" w:cs="Arial"/>
          <w:sz w:val="24"/>
          <w:szCs w:val="24"/>
        </w:rPr>
        <w:t xml:space="preserve">ublic </w:t>
      </w:r>
      <w:r w:rsidRPr="005B6B0B">
        <w:rPr>
          <w:rFonts w:ascii="Arial" w:hAnsi="Arial" w:cs="Arial"/>
          <w:sz w:val="24"/>
          <w:szCs w:val="24"/>
        </w:rPr>
        <w:t>T</w:t>
      </w:r>
      <w:r w:rsidR="00DB3814" w:rsidRPr="00786D74">
        <w:rPr>
          <w:rFonts w:ascii="Arial" w:hAnsi="Arial" w:cs="Arial"/>
          <w:sz w:val="24"/>
          <w:szCs w:val="24"/>
        </w:rPr>
        <w:t xml:space="preserve">rustee and </w:t>
      </w:r>
      <w:r w:rsidRPr="005B6B0B">
        <w:rPr>
          <w:rFonts w:ascii="Arial" w:hAnsi="Arial" w:cs="Arial"/>
          <w:sz w:val="24"/>
          <w:szCs w:val="24"/>
        </w:rPr>
        <w:t>G</w:t>
      </w:r>
      <w:r w:rsidR="00DB3814" w:rsidRPr="00786D74">
        <w:rPr>
          <w:rFonts w:ascii="Arial" w:hAnsi="Arial" w:cs="Arial"/>
          <w:sz w:val="24"/>
          <w:szCs w:val="24"/>
        </w:rPr>
        <w:t>uardian</w:t>
      </w:r>
      <w:r w:rsidRPr="005B6B0B">
        <w:rPr>
          <w:rFonts w:ascii="Arial" w:hAnsi="Arial" w:cs="Arial"/>
          <w:sz w:val="24"/>
          <w:szCs w:val="24"/>
        </w:rPr>
        <w:t xml:space="preserve"> not charging a fee for exercising the guardian decision-making function and most ACT private guardians not charging a fee due to being familiar relations.</w:t>
      </w:r>
    </w:p>
    <w:p w14:paraId="68C936C6" w14:textId="79327272" w:rsidR="006F1C0C" w:rsidRPr="005B6B0B" w:rsidRDefault="006F1C0C" w:rsidP="005B6B0B">
      <w:pPr>
        <w:spacing w:after="120"/>
        <w:rPr>
          <w:rFonts w:ascii="Arial" w:hAnsi="Arial" w:cs="Arial"/>
          <w:sz w:val="24"/>
          <w:szCs w:val="24"/>
        </w:rPr>
      </w:pPr>
      <w:r w:rsidRPr="005B6B0B">
        <w:rPr>
          <w:rFonts w:ascii="Arial" w:hAnsi="Arial" w:cs="Arial"/>
          <w:sz w:val="24"/>
          <w:szCs w:val="24"/>
        </w:rPr>
        <w:t xml:space="preserve">The role of a guardian is a privileged position where the guardian makes decisions as a substitute decision maker in line with protected persons’ wishes and their interest, where the protected person does not have decision-making capacity. It is </w:t>
      </w:r>
      <w:r w:rsidR="00AE59AA">
        <w:rPr>
          <w:rFonts w:ascii="Arial" w:hAnsi="Arial" w:cs="Arial"/>
          <w:sz w:val="24"/>
          <w:szCs w:val="24"/>
        </w:rPr>
        <w:t>different from professional roles</w:t>
      </w:r>
      <w:r w:rsidRPr="005B6B0B">
        <w:rPr>
          <w:rFonts w:ascii="Arial" w:hAnsi="Arial" w:cs="Arial"/>
          <w:sz w:val="24"/>
          <w:szCs w:val="24"/>
        </w:rPr>
        <w:t xml:space="preserve"> such as a financial manager, that provide specialist skills and expertise in performing their functions, which </w:t>
      </w:r>
      <w:r w:rsidR="00AE59AA">
        <w:rPr>
          <w:rFonts w:ascii="Arial" w:hAnsi="Arial" w:cs="Arial"/>
          <w:sz w:val="24"/>
          <w:szCs w:val="24"/>
        </w:rPr>
        <w:t>may</w:t>
      </w:r>
      <w:r w:rsidRPr="005B6B0B">
        <w:rPr>
          <w:rFonts w:ascii="Arial" w:hAnsi="Arial" w:cs="Arial"/>
          <w:sz w:val="24"/>
          <w:szCs w:val="24"/>
        </w:rPr>
        <w:t xml:space="preserve"> warrant payment of a fee for the provision of such a service. </w:t>
      </w:r>
    </w:p>
    <w:p w14:paraId="146F9B3B" w14:textId="5D15EED6" w:rsidR="00967F36" w:rsidRPr="00AE59AA" w:rsidRDefault="00DB3814" w:rsidP="005B6B0B">
      <w:pPr>
        <w:spacing w:after="120"/>
        <w:rPr>
          <w:rFonts w:cs="Arial"/>
        </w:rPr>
      </w:pPr>
      <w:bookmarkStart w:id="1" w:name="_Hlk85189917"/>
      <w:r w:rsidRPr="00786D74">
        <w:rPr>
          <w:rFonts w:ascii="Arial" w:hAnsi="Arial" w:cs="Arial"/>
          <w:sz w:val="24"/>
          <w:szCs w:val="24"/>
        </w:rPr>
        <w:lastRenderedPageBreak/>
        <w:t>By removing the fee component for guardians, t</w:t>
      </w:r>
      <w:r w:rsidR="0029628E" w:rsidRPr="005B6B0B">
        <w:rPr>
          <w:rFonts w:ascii="Arial" w:hAnsi="Arial" w:cs="Arial"/>
          <w:sz w:val="24"/>
          <w:szCs w:val="24"/>
        </w:rPr>
        <w:t xml:space="preserve">he amendment will also provide greater protection for vulnerable persons preventing </w:t>
      </w:r>
      <w:r w:rsidR="00AE59AA">
        <w:rPr>
          <w:rFonts w:ascii="Arial" w:hAnsi="Arial" w:cs="Arial"/>
          <w:sz w:val="24"/>
          <w:szCs w:val="24"/>
        </w:rPr>
        <w:t xml:space="preserve">potential </w:t>
      </w:r>
      <w:r w:rsidR="0029628E" w:rsidRPr="005B6B0B">
        <w:rPr>
          <w:rFonts w:ascii="Arial" w:hAnsi="Arial" w:cs="Arial"/>
          <w:sz w:val="24"/>
          <w:szCs w:val="24"/>
        </w:rPr>
        <w:t xml:space="preserve">abuse of the scheme by unscrupulous private guardians who </w:t>
      </w:r>
      <w:r w:rsidR="00AE59AA">
        <w:rPr>
          <w:rFonts w:ascii="Arial" w:hAnsi="Arial" w:cs="Arial"/>
          <w:sz w:val="24"/>
          <w:szCs w:val="24"/>
        </w:rPr>
        <w:t xml:space="preserve">might </w:t>
      </w:r>
      <w:r w:rsidR="0029628E" w:rsidRPr="005B6B0B">
        <w:rPr>
          <w:rFonts w:ascii="Arial" w:hAnsi="Arial" w:cs="Arial"/>
          <w:sz w:val="24"/>
          <w:szCs w:val="24"/>
        </w:rPr>
        <w:t xml:space="preserve">charge fees that are inappropriate and disproportionate to the </w:t>
      </w:r>
      <w:r w:rsidR="00AE59AA">
        <w:rPr>
          <w:rFonts w:ascii="Arial" w:hAnsi="Arial" w:cs="Arial"/>
          <w:sz w:val="24"/>
          <w:szCs w:val="24"/>
        </w:rPr>
        <w:t>role of a guardian</w:t>
      </w:r>
      <w:r w:rsidRPr="00786D74">
        <w:rPr>
          <w:rFonts w:ascii="Arial" w:hAnsi="Arial" w:cs="Arial"/>
          <w:sz w:val="24"/>
          <w:szCs w:val="24"/>
        </w:rPr>
        <w:t xml:space="preserve">. </w:t>
      </w:r>
      <w:bookmarkEnd w:id="1"/>
    </w:p>
    <w:p w14:paraId="40E55F4A" w14:textId="0F40FD8E" w:rsidR="000A02E3" w:rsidRPr="00AE59AA" w:rsidRDefault="000A02E3">
      <w:pPr>
        <w:pStyle w:val="Heading3"/>
        <w:rPr>
          <w:rFonts w:cs="Arial"/>
          <w:i/>
          <w:iCs/>
        </w:rPr>
      </w:pPr>
      <w:r w:rsidRPr="005B6B0B">
        <w:rPr>
          <w:rFonts w:cs="Arial"/>
          <w:i/>
          <w:iCs/>
        </w:rPr>
        <w:t>Land Titles Act 1925</w:t>
      </w:r>
    </w:p>
    <w:p w14:paraId="38BE33E4" w14:textId="6E99B185" w:rsidR="00804D79" w:rsidRDefault="00804D79" w:rsidP="00804D79">
      <w:pPr>
        <w:rPr>
          <w:rFonts w:ascii="Arial" w:hAnsi="Arial" w:cs="Arial"/>
          <w:iCs/>
          <w:sz w:val="24"/>
          <w:szCs w:val="24"/>
        </w:rPr>
      </w:pPr>
      <w:r w:rsidRPr="005B6B0B">
        <w:rPr>
          <w:rFonts w:ascii="Arial" w:hAnsi="Arial" w:cs="Arial"/>
          <w:iCs/>
          <w:sz w:val="24"/>
          <w:szCs w:val="24"/>
        </w:rPr>
        <w:t xml:space="preserve">Section 48BC </w:t>
      </w:r>
      <w:r w:rsidR="00277A77">
        <w:rPr>
          <w:rFonts w:ascii="Arial" w:hAnsi="Arial" w:cs="Arial"/>
          <w:iCs/>
          <w:sz w:val="24"/>
          <w:szCs w:val="24"/>
        </w:rPr>
        <w:t>requires</w:t>
      </w:r>
      <w:r w:rsidRPr="005B6B0B">
        <w:rPr>
          <w:rFonts w:ascii="Arial" w:hAnsi="Arial" w:cs="Arial"/>
          <w:iCs/>
          <w:sz w:val="24"/>
          <w:szCs w:val="24"/>
        </w:rPr>
        <w:t xml:space="preserve"> </w:t>
      </w:r>
      <w:r w:rsidR="007402D8">
        <w:rPr>
          <w:rFonts w:ascii="Arial" w:hAnsi="Arial" w:cs="Arial"/>
          <w:iCs/>
          <w:sz w:val="24"/>
          <w:szCs w:val="24"/>
        </w:rPr>
        <w:t xml:space="preserve">the </w:t>
      </w:r>
      <w:r w:rsidR="00363CED">
        <w:rPr>
          <w:rFonts w:ascii="Arial" w:hAnsi="Arial" w:cs="Arial"/>
          <w:iCs/>
          <w:sz w:val="24"/>
          <w:szCs w:val="24"/>
        </w:rPr>
        <w:t>R</w:t>
      </w:r>
      <w:r w:rsidR="007402D8">
        <w:rPr>
          <w:rFonts w:ascii="Arial" w:hAnsi="Arial" w:cs="Arial"/>
          <w:iCs/>
          <w:sz w:val="24"/>
          <w:szCs w:val="24"/>
        </w:rPr>
        <w:t>egistrar-</w:t>
      </w:r>
      <w:r w:rsidR="00363CED">
        <w:rPr>
          <w:rFonts w:ascii="Arial" w:hAnsi="Arial" w:cs="Arial"/>
          <w:iCs/>
          <w:sz w:val="24"/>
          <w:szCs w:val="24"/>
        </w:rPr>
        <w:t>G</w:t>
      </w:r>
      <w:r w:rsidR="007402D8">
        <w:rPr>
          <w:rFonts w:ascii="Arial" w:hAnsi="Arial" w:cs="Arial"/>
          <w:iCs/>
          <w:sz w:val="24"/>
          <w:szCs w:val="24"/>
        </w:rPr>
        <w:t>eneral to verify the identity of a self-represented party when lodging an instrument</w:t>
      </w:r>
      <w:r w:rsidR="00277A77">
        <w:rPr>
          <w:rFonts w:ascii="Arial" w:hAnsi="Arial" w:cs="Arial"/>
          <w:iCs/>
          <w:sz w:val="24"/>
          <w:szCs w:val="24"/>
        </w:rPr>
        <w:t xml:space="preserve"> </w:t>
      </w:r>
      <w:r w:rsidR="007402D8">
        <w:rPr>
          <w:rFonts w:ascii="Arial" w:hAnsi="Arial" w:cs="Arial"/>
          <w:iCs/>
          <w:sz w:val="24"/>
          <w:szCs w:val="24"/>
        </w:rPr>
        <w:t>purporting to transfer, deal with, or affect an interest in land.</w:t>
      </w:r>
      <w:r w:rsidR="00277A77">
        <w:rPr>
          <w:rFonts w:ascii="Arial" w:hAnsi="Arial" w:cs="Arial"/>
          <w:iCs/>
          <w:sz w:val="24"/>
          <w:szCs w:val="24"/>
        </w:rPr>
        <w:t xml:space="preserve"> </w:t>
      </w:r>
      <w:r w:rsidR="00C97F9C">
        <w:rPr>
          <w:rFonts w:ascii="Arial" w:hAnsi="Arial" w:cs="Arial"/>
          <w:iCs/>
          <w:sz w:val="24"/>
          <w:szCs w:val="24"/>
        </w:rPr>
        <w:t xml:space="preserve">That verification must </w:t>
      </w:r>
      <w:r w:rsidR="00277A77">
        <w:rPr>
          <w:rFonts w:ascii="Arial" w:hAnsi="Arial" w:cs="Arial"/>
          <w:iCs/>
          <w:sz w:val="24"/>
          <w:szCs w:val="24"/>
        </w:rPr>
        <w:t xml:space="preserve">be </w:t>
      </w:r>
      <w:r w:rsidR="00C97F9C">
        <w:rPr>
          <w:rFonts w:ascii="Arial" w:hAnsi="Arial" w:cs="Arial"/>
          <w:iCs/>
          <w:sz w:val="24"/>
          <w:szCs w:val="24"/>
        </w:rPr>
        <w:t>undertaken</w:t>
      </w:r>
      <w:r w:rsidR="00277A77">
        <w:rPr>
          <w:rFonts w:ascii="Arial" w:hAnsi="Arial" w:cs="Arial"/>
          <w:iCs/>
          <w:sz w:val="24"/>
          <w:szCs w:val="24"/>
        </w:rPr>
        <w:t xml:space="preserve"> </w:t>
      </w:r>
      <w:r w:rsidR="00277A77" w:rsidRPr="005B6B0B">
        <w:rPr>
          <w:rFonts w:ascii="Arial" w:hAnsi="Arial" w:cs="Arial"/>
          <w:iCs/>
          <w:sz w:val="24"/>
          <w:szCs w:val="24"/>
        </w:rPr>
        <w:t xml:space="preserve">in accordance with the </w:t>
      </w:r>
      <w:r w:rsidR="00277A77" w:rsidRPr="005B6B0B">
        <w:rPr>
          <w:rFonts w:ascii="Arial" w:hAnsi="Arial" w:cs="Arial"/>
          <w:i/>
          <w:sz w:val="24"/>
          <w:szCs w:val="24"/>
        </w:rPr>
        <w:t>Land Titles (Verification of Identity) Rules 2020</w:t>
      </w:r>
      <w:r w:rsidR="00277A77" w:rsidRPr="005B6B0B">
        <w:rPr>
          <w:rFonts w:ascii="Arial" w:hAnsi="Arial" w:cs="Arial"/>
          <w:iCs/>
          <w:sz w:val="24"/>
          <w:szCs w:val="24"/>
        </w:rPr>
        <w:t xml:space="preserve"> (the Rules)</w:t>
      </w:r>
      <w:r w:rsidR="00277A77">
        <w:rPr>
          <w:rFonts w:ascii="Arial" w:hAnsi="Arial" w:cs="Arial"/>
          <w:iCs/>
          <w:sz w:val="24"/>
          <w:szCs w:val="24"/>
        </w:rPr>
        <w:t>.</w:t>
      </w:r>
    </w:p>
    <w:p w14:paraId="7BA4D2BB" w14:textId="233E6647" w:rsidR="00804D79" w:rsidRPr="005B6B0B" w:rsidRDefault="00277A77" w:rsidP="00804D79">
      <w:pPr>
        <w:rPr>
          <w:rFonts w:ascii="Arial" w:hAnsi="Arial" w:cs="Arial"/>
          <w:iCs/>
          <w:sz w:val="24"/>
          <w:szCs w:val="24"/>
        </w:rPr>
      </w:pPr>
      <w:r w:rsidRPr="005B6B0B">
        <w:rPr>
          <w:rFonts w:ascii="Arial" w:hAnsi="Arial" w:cs="Arial"/>
          <w:iCs/>
          <w:sz w:val="24"/>
          <w:szCs w:val="24"/>
        </w:rPr>
        <w:t>The Bill amends section 48BC to</w:t>
      </w:r>
      <w:r>
        <w:rPr>
          <w:rFonts w:ascii="Arial" w:hAnsi="Arial" w:cs="Arial"/>
          <w:iCs/>
          <w:sz w:val="24"/>
          <w:szCs w:val="24"/>
        </w:rPr>
        <w:t xml:space="preserve"> </w:t>
      </w:r>
      <w:r w:rsidR="00C97F9C">
        <w:rPr>
          <w:rFonts w:ascii="Arial" w:hAnsi="Arial" w:cs="Arial"/>
          <w:iCs/>
          <w:sz w:val="24"/>
          <w:szCs w:val="24"/>
        </w:rPr>
        <w:t>provide</w:t>
      </w:r>
      <w:r w:rsidRPr="005B6B0B">
        <w:rPr>
          <w:rFonts w:ascii="Arial" w:hAnsi="Arial" w:cs="Arial"/>
          <w:iCs/>
          <w:sz w:val="24"/>
          <w:szCs w:val="24"/>
        </w:rPr>
        <w:t xml:space="preserve"> that the </w:t>
      </w:r>
      <w:r w:rsidR="00363CED">
        <w:rPr>
          <w:rFonts w:ascii="Arial" w:hAnsi="Arial" w:cs="Arial"/>
          <w:iCs/>
          <w:sz w:val="24"/>
          <w:szCs w:val="24"/>
        </w:rPr>
        <w:t>R</w:t>
      </w:r>
      <w:r w:rsidRPr="005B6B0B">
        <w:rPr>
          <w:rFonts w:ascii="Arial" w:hAnsi="Arial" w:cs="Arial"/>
          <w:iCs/>
          <w:sz w:val="24"/>
          <w:szCs w:val="24"/>
        </w:rPr>
        <w:t>egistrar-</w:t>
      </w:r>
      <w:r w:rsidR="00363CED">
        <w:rPr>
          <w:rFonts w:ascii="Arial" w:hAnsi="Arial" w:cs="Arial"/>
          <w:iCs/>
          <w:sz w:val="24"/>
          <w:szCs w:val="24"/>
        </w:rPr>
        <w:t>Ge</w:t>
      </w:r>
      <w:r w:rsidRPr="005B6B0B">
        <w:rPr>
          <w:rFonts w:ascii="Arial" w:hAnsi="Arial" w:cs="Arial"/>
          <w:iCs/>
          <w:sz w:val="24"/>
          <w:szCs w:val="24"/>
        </w:rPr>
        <w:t>neral</w:t>
      </w:r>
      <w:r w:rsidR="00C97F9C">
        <w:rPr>
          <w:rFonts w:ascii="Arial" w:hAnsi="Arial" w:cs="Arial"/>
          <w:iCs/>
          <w:sz w:val="24"/>
          <w:szCs w:val="24"/>
        </w:rPr>
        <w:t xml:space="preserve"> </w:t>
      </w:r>
      <w:r w:rsidRPr="005B6B0B">
        <w:rPr>
          <w:rFonts w:ascii="Arial" w:hAnsi="Arial" w:cs="Arial"/>
          <w:iCs/>
          <w:sz w:val="24"/>
          <w:szCs w:val="24"/>
        </w:rPr>
        <w:t xml:space="preserve">must not register an instrument unless </w:t>
      </w:r>
      <w:r w:rsidRPr="00C97F9C">
        <w:rPr>
          <w:rFonts w:ascii="Arial" w:hAnsi="Arial" w:cs="Arial"/>
          <w:i/>
          <w:sz w:val="24"/>
          <w:szCs w:val="24"/>
        </w:rPr>
        <w:t>reasonably satisfied</w:t>
      </w:r>
      <w:r w:rsidRPr="005B6B0B">
        <w:rPr>
          <w:rFonts w:ascii="Arial" w:hAnsi="Arial" w:cs="Arial"/>
          <w:iCs/>
          <w:sz w:val="24"/>
          <w:szCs w:val="24"/>
        </w:rPr>
        <w:t xml:space="preserve"> that the party's identity has been verified in accordance with the verification of identity rules as in force at the time of verification</w:t>
      </w:r>
      <w:r w:rsidR="00804D79" w:rsidRPr="005B6B0B">
        <w:rPr>
          <w:rFonts w:ascii="Arial" w:hAnsi="Arial" w:cs="Arial"/>
          <w:iCs/>
          <w:sz w:val="24"/>
          <w:szCs w:val="24"/>
        </w:rPr>
        <w:t>.</w:t>
      </w:r>
      <w:r w:rsidR="00C97F9C">
        <w:rPr>
          <w:rFonts w:ascii="Arial" w:hAnsi="Arial" w:cs="Arial"/>
          <w:iCs/>
          <w:sz w:val="24"/>
          <w:szCs w:val="24"/>
        </w:rPr>
        <w:t xml:space="preserve"> This amendment is being made to clarify that identify verification does not require the </w:t>
      </w:r>
      <w:r w:rsidR="00363CED">
        <w:rPr>
          <w:rFonts w:ascii="Arial" w:hAnsi="Arial" w:cs="Arial"/>
          <w:iCs/>
          <w:sz w:val="24"/>
          <w:szCs w:val="24"/>
        </w:rPr>
        <w:t>R</w:t>
      </w:r>
      <w:r w:rsidR="00C97F9C">
        <w:rPr>
          <w:rFonts w:ascii="Arial" w:hAnsi="Arial" w:cs="Arial"/>
          <w:iCs/>
          <w:sz w:val="24"/>
          <w:szCs w:val="24"/>
        </w:rPr>
        <w:t>egistrar-</w:t>
      </w:r>
      <w:r w:rsidR="00363CED">
        <w:rPr>
          <w:rFonts w:ascii="Arial" w:hAnsi="Arial" w:cs="Arial"/>
          <w:iCs/>
          <w:sz w:val="24"/>
          <w:szCs w:val="24"/>
        </w:rPr>
        <w:t>G</w:t>
      </w:r>
      <w:r w:rsidR="00C97F9C">
        <w:rPr>
          <w:rFonts w:ascii="Arial" w:hAnsi="Arial" w:cs="Arial"/>
          <w:iCs/>
          <w:sz w:val="24"/>
          <w:szCs w:val="24"/>
        </w:rPr>
        <w:t xml:space="preserve">eneral or their delegate to personally verify the identity of the party. Instead, this requirement may be satisfied when verification is performed by an identity agent contracted by the Land Titles Office for the purposes of </w:t>
      </w:r>
      <w:r w:rsidR="00C97F9C" w:rsidRPr="00C97F9C">
        <w:rPr>
          <w:rFonts w:ascii="Arial" w:hAnsi="Arial" w:cs="Arial"/>
          <w:iCs/>
          <w:sz w:val="24"/>
          <w:szCs w:val="24"/>
        </w:rPr>
        <w:t>undertaking the identity verification process for self-represented parties</w:t>
      </w:r>
      <w:r w:rsidR="00C97F9C">
        <w:rPr>
          <w:rFonts w:ascii="Arial" w:hAnsi="Arial" w:cs="Arial"/>
          <w:iCs/>
          <w:sz w:val="24"/>
          <w:szCs w:val="24"/>
        </w:rPr>
        <w:t>, such as, for example, Australia Post</w:t>
      </w:r>
      <w:r w:rsidR="00C97F9C" w:rsidRPr="00C97F9C">
        <w:rPr>
          <w:rFonts w:ascii="Arial" w:hAnsi="Arial" w:cs="Arial"/>
          <w:iCs/>
          <w:sz w:val="24"/>
          <w:szCs w:val="24"/>
        </w:rPr>
        <w:t>.</w:t>
      </w:r>
    </w:p>
    <w:p w14:paraId="2A8D495B" w14:textId="32192D36" w:rsidR="000A02E3" w:rsidRDefault="000A02E3">
      <w:pPr>
        <w:pStyle w:val="Heading3"/>
        <w:rPr>
          <w:rFonts w:cs="Arial"/>
          <w:i/>
          <w:iCs/>
        </w:rPr>
      </w:pPr>
      <w:r w:rsidRPr="005B6B0B">
        <w:rPr>
          <w:rFonts w:cs="Arial"/>
          <w:i/>
          <w:iCs/>
        </w:rPr>
        <w:t>Legal Aid Act 19</w:t>
      </w:r>
      <w:r w:rsidR="001618EB" w:rsidRPr="00AE59AA">
        <w:rPr>
          <w:rFonts w:cs="Arial"/>
          <w:i/>
          <w:iCs/>
        </w:rPr>
        <w:t>7</w:t>
      </w:r>
      <w:r w:rsidRPr="005B6B0B">
        <w:rPr>
          <w:rFonts w:cs="Arial"/>
          <w:i/>
          <w:iCs/>
        </w:rPr>
        <w:t>7</w:t>
      </w:r>
    </w:p>
    <w:p w14:paraId="0F3E3D99" w14:textId="5706B002" w:rsidR="00577CAF" w:rsidRDefault="00577CAF" w:rsidP="00577CAF">
      <w:pPr>
        <w:spacing w:after="120"/>
        <w:rPr>
          <w:rFonts w:ascii="Arial" w:hAnsi="Arial" w:cs="Arial"/>
          <w:sz w:val="24"/>
          <w:szCs w:val="24"/>
        </w:rPr>
      </w:pPr>
      <w:r>
        <w:rPr>
          <w:rFonts w:ascii="Arial" w:hAnsi="Arial" w:cs="Arial"/>
          <w:sz w:val="24"/>
          <w:szCs w:val="24"/>
        </w:rPr>
        <w:t>Section 92 of the Legal Aid Act 1977 (LA Act) provides that the affairs of a client cannot be either directly or indirectly disclosed by the Legal Aid Commission (the Commission).</w:t>
      </w:r>
      <w:r>
        <w:rPr>
          <w:rFonts w:ascii="Arial" w:hAnsi="Arial" w:cs="Arial"/>
          <w:i/>
          <w:iCs/>
          <w:sz w:val="24"/>
          <w:szCs w:val="24"/>
        </w:rPr>
        <w:t> </w:t>
      </w:r>
      <w:r>
        <w:rPr>
          <w:rFonts w:ascii="Arial" w:hAnsi="Arial" w:cs="Arial"/>
          <w:sz w:val="24"/>
          <w:szCs w:val="24"/>
        </w:rPr>
        <w:t>Information or data may only be shared for the purposes of facilitating an investigation under the LA Act, with the express or implied consent of the client or</w:t>
      </w:r>
      <w:r w:rsidR="005D63B8">
        <w:rPr>
          <w:rFonts w:ascii="Arial" w:hAnsi="Arial" w:cs="Arial"/>
          <w:sz w:val="24"/>
          <w:szCs w:val="24"/>
        </w:rPr>
        <w:t>,</w:t>
      </w:r>
      <w:r>
        <w:rPr>
          <w:rFonts w:ascii="Arial" w:hAnsi="Arial" w:cs="Arial"/>
          <w:sz w:val="24"/>
          <w:szCs w:val="24"/>
        </w:rPr>
        <w:t xml:space="preserve"> in certain circumstances</w:t>
      </w:r>
      <w:r w:rsidR="005D63B8">
        <w:rPr>
          <w:rFonts w:ascii="Arial" w:hAnsi="Arial" w:cs="Arial"/>
          <w:sz w:val="24"/>
          <w:szCs w:val="24"/>
        </w:rPr>
        <w:t>,</w:t>
      </w:r>
      <w:r>
        <w:rPr>
          <w:rFonts w:ascii="Arial" w:hAnsi="Arial" w:cs="Arial"/>
          <w:sz w:val="24"/>
          <w:szCs w:val="24"/>
        </w:rPr>
        <w:t xml:space="preserve"> to respond to a subpoena in relation to an application to the ACAT under the </w:t>
      </w:r>
      <w:r>
        <w:rPr>
          <w:rFonts w:ascii="Arial" w:hAnsi="Arial" w:cs="Arial"/>
          <w:i/>
          <w:iCs/>
          <w:sz w:val="24"/>
          <w:szCs w:val="24"/>
        </w:rPr>
        <w:t>Legal Profession Act 2006</w:t>
      </w:r>
      <w:r>
        <w:rPr>
          <w:rFonts w:ascii="Arial" w:hAnsi="Arial" w:cs="Arial"/>
          <w:sz w:val="24"/>
          <w:szCs w:val="24"/>
        </w:rPr>
        <w:t xml:space="preserve">.  </w:t>
      </w:r>
    </w:p>
    <w:p w14:paraId="61CDCC7E" w14:textId="369B15D1" w:rsidR="00577CAF" w:rsidRDefault="00577CAF" w:rsidP="00577CAF">
      <w:pPr>
        <w:spacing w:after="120"/>
        <w:rPr>
          <w:rFonts w:ascii="Arial" w:hAnsi="Arial" w:cs="Arial"/>
          <w:sz w:val="24"/>
          <w:szCs w:val="24"/>
        </w:rPr>
      </w:pPr>
      <w:r>
        <w:rPr>
          <w:rFonts w:ascii="Arial" w:hAnsi="Arial" w:cs="Arial"/>
          <w:sz w:val="24"/>
          <w:szCs w:val="24"/>
        </w:rPr>
        <w:t xml:space="preserve">The amendment retains the existing exceptions and provides two new exceptions by inserting new section 92AAA. Specifically, the chief executive officer of the Commission may authorise the disclosure of data or information concerning the affairs of client to: </w:t>
      </w:r>
    </w:p>
    <w:p w14:paraId="2F2ADEEB" w14:textId="77777777" w:rsidR="00577CAF" w:rsidRDefault="00577CAF" w:rsidP="00577CAF">
      <w:pPr>
        <w:pStyle w:val="ListParagraph"/>
        <w:numPr>
          <w:ilvl w:val="0"/>
          <w:numId w:val="62"/>
        </w:numPr>
        <w:spacing w:after="120"/>
        <w:rPr>
          <w:rFonts w:ascii="Arial" w:hAnsi="Arial" w:cs="Arial"/>
          <w:sz w:val="24"/>
          <w:szCs w:val="24"/>
        </w:rPr>
      </w:pPr>
      <w:r>
        <w:rPr>
          <w:rFonts w:ascii="Arial" w:hAnsi="Arial" w:cs="Arial"/>
          <w:sz w:val="24"/>
          <w:szCs w:val="24"/>
        </w:rPr>
        <w:t xml:space="preserve">A Commonwealth entity for the purposes of complying with a national agreement in relation to the provision of national legal assistance services such as the National Legal Assistance Partnership; or </w:t>
      </w:r>
    </w:p>
    <w:p w14:paraId="1AB6B723" w14:textId="77777777" w:rsidR="00577CAF" w:rsidRDefault="00577CAF" w:rsidP="00577CAF">
      <w:pPr>
        <w:pStyle w:val="ListParagraph"/>
        <w:numPr>
          <w:ilvl w:val="0"/>
          <w:numId w:val="62"/>
        </w:numPr>
        <w:spacing w:after="120"/>
        <w:rPr>
          <w:rFonts w:ascii="Arial" w:hAnsi="Arial" w:cs="Arial"/>
          <w:sz w:val="24"/>
          <w:szCs w:val="24"/>
        </w:rPr>
      </w:pPr>
      <w:r>
        <w:rPr>
          <w:rFonts w:ascii="Arial" w:hAnsi="Arial" w:cs="Arial"/>
          <w:sz w:val="24"/>
          <w:szCs w:val="24"/>
        </w:rPr>
        <w:t xml:space="preserve">An entity for the purposes of conducting researching in relation to improving access to justice or the provision of legal assistance services. </w:t>
      </w:r>
    </w:p>
    <w:p w14:paraId="0AE84A29" w14:textId="76A0CBA3" w:rsidR="00577CAF" w:rsidRPr="00AE59AA" w:rsidRDefault="00577CAF" w:rsidP="005B6B0B">
      <w:pPr>
        <w:spacing w:after="120"/>
      </w:pPr>
      <w:r>
        <w:rPr>
          <w:rFonts w:ascii="Arial" w:hAnsi="Arial" w:cs="Arial"/>
          <w:sz w:val="24"/>
          <w:szCs w:val="24"/>
        </w:rPr>
        <w:t xml:space="preserve">The amendment also provides the Minister with the power to make guidelines concerning how the chief executive officer authorises the disclosure of information or data under the exceptions. It also expressly provides that disclosure of information or data under both exceptions is only permitted if authorised by the chief executive officer in accordance with the disclosure guidelines. </w:t>
      </w:r>
    </w:p>
    <w:p w14:paraId="4D45FFC9" w14:textId="48F1B03F" w:rsidR="000A02E3" w:rsidRPr="00AE59AA" w:rsidRDefault="000A02E3">
      <w:pPr>
        <w:pStyle w:val="Heading3"/>
        <w:rPr>
          <w:rFonts w:cs="Arial"/>
          <w:i/>
          <w:iCs/>
        </w:rPr>
      </w:pPr>
      <w:r w:rsidRPr="005B6B0B">
        <w:rPr>
          <w:rFonts w:cs="Arial"/>
          <w:i/>
          <w:iCs/>
        </w:rPr>
        <w:lastRenderedPageBreak/>
        <w:t>Liquor Act 2010</w:t>
      </w:r>
    </w:p>
    <w:p w14:paraId="66E558C3" w14:textId="77777777" w:rsidR="00857250" w:rsidRPr="005B6B0B" w:rsidRDefault="00857250" w:rsidP="00857250">
      <w:pPr>
        <w:rPr>
          <w:rFonts w:ascii="Arial" w:hAnsi="Arial" w:cs="Arial"/>
          <w:sz w:val="24"/>
          <w:szCs w:val="24"/>
        </w:rPr>
      </w:pPr>
      <w:r w:rsidRPr="005B6B0B">
        <w:rPr>
          <w:rFonts w:ascii="Arial" w:hAnsi="Arial" w:cs="Arial"/>
          <w:sz w:val="24"/>
          <w:szCs w:val="24"/>
        </w:rPr>
        <w:t xml:space="preserve">The Bill amends the </w:t>
      </w:r>
      <w:r w:rsidRPr="005B6B0B">
        <w:rPr>
          <w:rFonts w:ascii="Arial" w:hAnsi="Arial" w:cs="Arial"/>
          <w:i/>
          <w:iCs/>
          <w:sz w:val="24"/>
          <w:szCs w:val="24"/>
        </w:rPr>
        <w:t>Liquor Act 2010</w:t>
      </w:r>
      <w:r w:rsidRPr="005B6B0B">
        <w:rPr>
          <w:rFonts w:ascii="Arial" w:hAnsi="Arial" w:cs="Arial"/>
          <w:sz w:val="24"/>
          <w:szCs w:val="24"/>
        </w:rPr>
        <w:t xml:space="preserve"> to facilitate the recognition of interstate Responsible Service of Alcohol (RSA) certificates. Section 193 of the Liquor Act provides for the recognition of interstate RSA certificates. Section 193(2) of the Liquor Act defines an ‘interstate RSA certificate’ as a certificate that certifies when the person satisfactorily completed a course about the responsible service of alcohol and when the certificate expires. The purpose of this requirement is to allow for mutual recognition of interstate RSA certificates. The requirement for an expiry date is intended to ensure the certificates are current and allow compliance checks to be conducted. </w:t>
      </w:r>
    </w:p>
    <w:p w14:paraId="078B1326" w14:textId="77777777" w:rsidR="00857250" w:rsidRPr="005B6B0B" w:rsidRDefault="00857250" w:rsidP="00857250">
      <w:pPr>
        <w:rPr>
          <w:rFonts w:ascii="Arial" w:hAnsi="Arial" w:cs="Arial"/>
          <w:sz w:val="24"/>
          <w:szCs w:val="24"/>
        </w:rPr>
      </w:pPr>
      <w:r w:rsidRPr="005B6B0B">
        <w:rPr>
          <w:rFonts w:ascii="Arial" w:hAnsi="Arial" w:cs="Arial"/>
          <w:sz w:val="24"/>
          <w:szCs w:val="24"/>
        </w:rPr>
        <w:t>However, the requirement in the definition for an expiry date has created issues with recognition of some interstate RSA certificates. In some Australian jurisdictions, such as Queensland and South Australia, RSA certificates do not expire. This means that these certificates do not meet the definition in the Liquor Act of an interstate RSA certificate, creating an impediment for these interstate certificate holders being employed in the ACT. Section 193 of the Liquor Act also does not address the changing nature in which data is stored about a person’s completion of an RSA course. For example, NSW issues physical and digital competency cards with expiry dates rather than physical certificates.</w:t>
      </w:r>
    </w:p>
    <w:p w14:paraId="7B034D9B" w14:textId="11B12ED1" w:rsidR="00857250" w:rsidRPr="00AE59AA" w:rsidRDefault="00857250" w:rsidP="005B6B0B">
      <w:pPr>
        <w:rPr>
          <w:rFonts w:cs="Arial"/>
        </w:rPr>
      </w:pPr>
      <w:r w:rsidRPr="005B6B0B">
        <w:rPr>
          <w:rFonts w:ascii="Arial" w:hAnsi="Arial" w:cs="Arial"/>
          <w:sz w:val="24"/>
          <w:szCs w:val="24"/>
        </w:rPr>
        <w:t xml:space="preserve">The amendments remove the requirement for an expiry date from the definition of an interstate RSA certificate. The proposed amendments also update section 193 to reflect the acceptance of physical and digital forms of interstate RSA certificates in the ACT if the Commissioner FOR Fair Trading can determine that the accreditation is valid and current. </w:t>
      </w:r>
    </w:p>
    <w:p w14:paraId="5BD78E20" w14:textId="6BB69BB7" w:rsidR="000A02E3" w:rsidRPr="00AE59AA" w:rsidRDefault="00CC68FA">
      <w:pPr>
        <w:pStyle w:val="Heading3"/>
        <w:rPr>
          <w:rFonts w:cs="Arial"/>
          <w:i/>
          <w:iCs/>
        </w:rPr>
      </w:pPr>
      <w:r w:rsidRPr="005B6B0B">
        <w:rPr>
          <w:rFonts w:cs="Arial"/>
          <w:i/>
          <w:iCs/>
        </w:rPr>
        <w:t>Magistrates Court (Infringement Notices) Amendment Act 2020</w:t>
      </w:r>
    </w:p>
    <w:p w14:paraId="14FF21B8" w14:textId="41232C1E" w:rsidR="00CF4D8F" w:rsidRPr="00786D74" w:rsidRDefault="00CF4D8F" w:rsidP="00CF4D8F">
      <w:pPr>
        <w:keepNext/>
        <w:autoSpaceDE w:val="0"/>
        <w:autoSpaceDN w:val="0"/>
        <w:adjustRightInd w:val="0"/>
        <w:spacing w:before="240" w:after="120"/>
        <w:rPr>
          <w:rFonts w:ascii="Arial" w:hAnsi="Arial" w:cs="Arial"/>
          <w:sz w:val="24"/>
          <w:szCs w:val="24"/>
        </w:rPr>
      </w:pPr>
      <w:r w:rsidRPr="005B6B0B">
        <w:rPr>
          <w:rFonts w:ascii="Arial" w:hAnsi="Arial" w:cs="Arial"/>
          <w:sz w:val="24"/>
          <w:szCs w:val="24"/>
        </w:rPr>
        <w:t xml:space="preserve">The policy objective of this amendment is to extend the commencement date of the </w:t>
      </w:r>
      <w:r w:rsidRPr="005B6B0B">
        <w:rPr>
          <w:rFonts w:ascii="Arial" w:hAnsi="Arial" w:cs="Arial"/>
          <w:i/>
          <w:iCs/>
          <w:sz w:val="24"/>
          <w:szCs w:val="24"/>
        </w:rPr>
        <w:t xml:space="preserve">Magistrates Court (Infringement Notices) Amendment Act 2020 </w:t>
      </w:r>
      <w:r w:rsidRPr="005B6B0B">
        <w:rPr>
          <w:rFonts w:ascii="Arial" w:hAnsi="Arial" w:cs="Arial"/>
          <w:sz w:val="24"/>
          <w:szCs w:val="24"/>
        </w:rPr>
        <w:t>(Amendment Act)</w:t>
      </w:r>
      <w:r w:rsidRPr="005B6B0B">
        <w:rPr>
          <w:rFonts w:ascii="Arial" w:hAnsi="Arial" w:cs="Arial"/>
          <w:i/>
          <w:iCs/>
          <w:sz w:val="24"/>
          <w:szCs w:val="24"/>
        </w:rPr>
        <w:t>.</w:t>
      </w:r>
      <w:r w:rsidRPr="005B6B0B">
        <w:rPr>
          <w:rFonts w:ascii="Arial" w:hAnsi="Arial" w:cs="Arial"/>
          <w:sz w:val="24"/>
          <w:szCs w:val="24"/>
        </w:rPr>
        <w:t xml:space="preserve"> </w:t>
      </w:r>
    </w:p>
    <w:p w14:paraId="1ABD5EE5" w14:textId="1F858BFA" w:rsidR="00CF4D8F" w:rsidRPr="005B6B0B" w:rsidRDefault="00CF4D8F" w:rsidP="00CF4D8F">
      <w:pPr>
        <w:autoSpaceDE w:val="0"/>
        <w:autoSpaceDN w:val="0"/>
        <w:adjustRightInd w:val="0"/>
        <w:spacing w:before="240" w:after="120"/>
        <w:rPr>
          <w:rFonts w:ascii="Arial" w:hAnsi="Arial" w:cs="Arial"/>
          <w:sz w:val="24"/>
          <w:szCs w:val="24"/>
        </w:rPr>
      </w:pPr>
      <w:r w:rsidRPr="005B6B0B">
        <w:rPr>
          <w:rFonts w:ascii="Arial" w:hAnsi="Arial" w:cs="Arial"/>
          <w:sz w:val="24"/>
          <w:szCs w:val="24"/>
        </w:rPr>
        <w:t xml:space="preserve">The </w:t>
      </w:r>
      <w:r w:rsidRPr="005B6B0B">
        <w:rPr>
          <w:rFonts w:ascii="Arial" w:hAnsi="Arial" w:cs="Arial"/>
          <w:i/>
          <w:iCs/>
          <w:sz w:val="24"/>
          <w:szCs w:val="24"/>
        </w:rPr>
        <w:t>Justice and Community Safety Legislation Amendment Bill 2021</w:t>
      </w:r>
      <w:r w:rsidRPr="005B6B0B">
        <w:rPr>
          <w:rFonts w:ascii="Arial" w:hAnsi="Arial" w:cs="Arial"/>
          <w:sz w:val="24"/>
          <w:szCs w:val="24"/>
        </w:rPr>
        <w:t xml:space="preserve"> amends the commencement provisions of the Amendment Act, to extend commencement by two years to February 2024. </w:t>
      </w:r>
    </w:p>
    <w:p w14:paraId="6DEE42DE" w14:textId="77777777" w:rsidR="00CF4D8F" w:rsidRPr="005B6B0B" w:rsidRDefault="00CF4D8F" w:rsidP="00CF4D8F">
      <w:pPr>
        <w:autoSpaceDE w:val="0"/>
        <w:autoSpaceDN w:val="0"/>
        <w:adjustRightInd w:val="0"/>
        <w:spacing w:before="240" w:after="120"/>
        <w:rPr>
          <w:rFonts w:ascii="Arial" w:hAnsi="Arial" w:cs="Arial"/>
          <w:sz w:val="24"/>
          <w:szCs w:val="24"/>
        </w:rPr>
      </w:pPr>
      <w:r w:rsidRPr="005B6B0B">
        <w:rPr>
          <w:rFonts w:ascii="Arial" w:hAnsi="Arial" w:cs="Arial"/>
          <w:sz w:val="24"/>
          <w:szCs w:val="24"/>
        </w:rPr>
        <w:t xml:space="preserve">The Amendment Act amends Part 3.8 of the </w:t>
      </w:r>
      <w:r w:rsidRPr="005B6B0B">
        <w:rPr>
          <w:rFonts w:ascii="Arial" w:hAnsi="Arial" w:cs="Arial"/>
          <w:i/>
          <w:iCs/>
          <w:sz w:val="24"/>
          <w:szCs w:val="24"/>
        </w:rPr>
        <w:t>Magistrates Court Act 1930</w:t>
      </w:r>
      <w:r w:rsidRPr="005B6B0B">
        <w:rPr>
          <w:rFonts w:ascii="Arial" w:hAnsi="Arial" w:cs="Arial"/>
          <w:sz w:val="24"/>
          <w:szCs w:val="24"/>
        </w:rPr>
        <w:t xml:space="preserve"> (ACT) (Magistrates Court Act) to create an extended range of options for discharging penalties for infringement notices issued under the Magistrates Court Act. This includes enabling a person to:</w:t>
      </w:r>
    </w:p>
    <w:p w14:paraId="68882A05" w14:textId="77777777" w:rsidR="00CF4D8F" w:rsidRPr="00786D74" w:rsidRDefault="00CF4D8F" w:rsidP="00CF4D8F">
      <w:pPr>
        <w:pStyle w:val="CS-Paragraphnumbering"/>
        <w:numPr>
          <w:ilvl w:val="1"/>
          <w:numId w:val="53"/>
        </w:numPr>
        <w:rPr>
          <w:rFonts w:ascii="Arial" w:eastAsia="Calibri" w:hAnsi="Arial" w:cs="Arial"/>
        </w:rPr>
      </w:pPr>
      <w:r w:rsidRPr="00786D74">
        <w:rPr>
          <w:rFonts w:ascii="Arial" w:eastAsia="Calibri" w:hAnsi="Arial" w:cs="Arial"/>
        </w:rPr>
        <w:t xml:space="preserve">enter into an infringement notice management plan to </w:t>
      </w:r>
    </w:p>
    <w:p w14:paraId="4AC0E6E5" w14:textId="77777777" w:rsidR="00CF4D8F" w:rsidRPr="00786D74" w:rsidRDefault="00CF4D8F" w:rsidP="00CF4D8F">
      <w:pPr>
        <w:pStyle w:val="CS-Paragraphnumbering"/>
        <w:numPr>
          <w:ilvl w:val="2"/>
          <w:numId w:val="53"/>
        </w:numPr>
        <w:ind w:left="2268" w:hanging="425"/>
        <w:rPr>
          <w:rFonts w:ascii="Arial" w:eastAsia="Calibri" w:hAnsi="Arial" w:cs="Arial"/>
        </w:rPr>
      </w:pPr>
      <w:r w:rsidRPr="00786D74">
        <w:rPr>
          <w:rFonts w:ascii="Arial" w:eastAsia="Calibri" w:hAnsi="Arial" w:cs="Arial"/>
        </w:rPr>
        <w:t xml:space="preserve">pay by instalments; or </w:t>
      </w:r>
    </w:p>
    <w:p w14:paraId="6566BA4D" w14:textId="77777777" w:rsidR="00CF4D8F" w:rsidRPr="00786D74" w:rsidRDefault="00CF4D8F" w:rsidP="00CF4D8F">
      <w:pPr>
        <w:pStyle w:val="CS-Paragraphnumbering"/>
        <w:numPr>
          <w:ilvl w:val="2"/>
          <w:numId w:val="53"/>
        </w:numPr>
        <w:ind w:left="2268" w:hanging="425"/>
        <w:rPr>
          <w:rFonts w:ascii="Arial" w:eastAsia="Calibri" w:hAnsi="Arial" w:cs="Arial"/>
        </w:rPr>
      </w:pPr>
      <w:r w:rsidRPr="00786D74">
        <w:rPr>
          <w:rFonts w:ascii="Arial" w:eastAsia="Calibri" w:hAnsi="Arial" w:cs="Arial"/>
        </w:rPr>
        <w:t>participate in an approved community work or social development plan.</w:t>
      </w:r>
    </w:p>
    <w:p w14:paraId="31061761" w14:textId="77777777" w:rsidR="00CF4D8F" w:rsidRPr="00786D74" w:rsidRDefault="00CF4D8F" w:rsidP="00CF4D8F">
      <w:pPr>
        <w:pStyle w:val="CS-Paragraphnumbering"/>
        <w:tabs>
          <w:tab w:val="left" w:pos="2268"/>
        </w:tabs>
        <w:ind w:left="1418" w:firstLine="0"/>
        <w:rPr>
          <w:rFonts w:ascii="Arial" w:eastAsia="Calibri" w:hAnsi="Arial" w:cs="Arial"/>
        </w:rPr>
      </w:pPr>
      <w:r w:rsidRPr="00786D74">
        <w:rPr>
          <w:rFonts w:ascii="Arial" w:eastAsia="Calibri" w:hAnsi="Arial" w:cs="Arial"/>
        </w:rPr>
        <w:lastRenderedPageBreak/>
        <w:t>If the individual has an infringement notice management plan, to add the infringement notice penalty for the offence to the existing plan.</w:t>
      </w:r>
    </w:p>
    <w:p w14:paraId="51BBC44C" w14:textId="77777777" w:rsidR="00CF4D8F" w:rsidRPr="00786D74" w:rsidRDefault="00CF4D8F" w:rsidP="00CF4D8F">
      <w:pPr>
        <w:pStyle w:val="CS-Paragraphnumbering"/>
        <w:numPr>
          <w:ilvl w:val="1"/>
          <w:numId w:val="53"/>
        </w:numPr>
        <w:rPr>
          <w:rFonts w:ascii="Arial" w:eastAsia="Calibri" w:hAnsi="Arial" w:cs="Arial"/>
        </w:rPr>
      </w:pPr>
      <w:r w:rsidRPr="00786D74">
        <w:rPr>
          <w:rFonts w:ascii="Arial" w:eastAsia="Calibri" w:hAnsi="Arial" w:cs="Arial"/>
        </w:rPr>
        <w:t>seek to have the penalty waived.</w:t>
      </w:r>
    </w:p>
    <w:p w14:paraId="2B666C34" w14:textId="77777777" w:rsidR="00CF4D8F" w:rsidRPr="005B6B0B" w:rsidRDefault="00CF4D8F" w:rsidP="00CF4D8F">
      <w:pPr>
        <w:autoSpaceDE w:val="0"/>
        <w:autoSpaceDN w:val="0"/>
        <w:adjustRightInd w:val="0"/>
        <w:spacing w:before="240" w:after="120"/>
        <w:rPr>
          <w:rFonts w:ascii="Arial" w:eastAsia="Calibri" w:hAnsi="Arial" w:cs="Arial"/>
          <w:sz w:val="24"/>
          <w:szCs w:val="24"/>
        </w:rPr>
      </w:pPr>
      <w:r w:rsidRPr="005B6B0B">
        <w:rPr>
          <w:rFonts w:ascii="Arial" w:hAnsi="Arial" w:cs="Arial"/>
          <w:sz w:val="24"/>
          <w:szCs w:val="24"/>
        </w:rPr>
        <w:t xml:space="preserve">The amendments aim to ensure the payment system for infringements can consider the circumstances of people on low incomes or who are otherwise disadvantaged. </w:t>
      </w:r>
    </w:p>
    <w:p w14:paraId="1351E381" w14:textId="77777777" w:rsidR="00CF4D8F" w:rsidRPr="005B6B0B" w:rsidRDefault="00CF4D8F" w:rsidP="00CF4D8F">
      <w:pPr>
        <w:autoSpaceDE w:val="0"/>
        <w:autoSpaceDN w:val="0"/>
        <w:adjustRightInd w:val="0"/>
        <w:spacing w:before="240" w:after="120"/>
        <w:rPr>
          <w:rFonts w:ascii="Arial" w:hAnsi="Arial" w:cs="Arial"/>
          <w:sz w:val="24"/>
          <w:szCs w:val="24"/>
        </w:rPr>
      </w:pPr>
      <w:r w:rsidRPr="005B6B0B">
        <w:rPr>
          <w:rFonts w:ascii="Arial" w:hAnsi="Arial" w:cs="Arial"/>
          <w:sz w:val="24"/>
          <w:szCs w:val="24"/>
        </w:rPr>
        <w:t>While the Government supports the policy intention behind the amendments, in order to fully implement the additional discharge options under the Amendment Act further resourcing, ICT infrastructure and lead time is required. Consequently, it is necessary to amend the commencement provisions of the Amendment Act.</w:t>
      </w:r>
    </w:p>
    <w:p w14:paraId="1982FFD0" w14:textId="7DC264DA" w:rsidR="00CC68FA" w:rsidRPr="00AE59AA" w:rsidRDefault="00CC68FA">
      <w:pPr>
        <w:pStyle w:val="Heading3"/>
        <w:rPr>
          <w:rFonts w:cs="Arial"/>
          <w:i/>
          <w:iCs/>
        </w:rPr>
      </w:pPr>
      <w:r w:rsidRPr="005B6B0B">
        <w:rPr>
          <w:rFonts w:cs="Arial"/>
          <w:i/>
          <w:iCs/>
        </w:rPr>
        <w:t>Public Trustee and Guardian Act 1985</w:t>
      </w:r>
    </w:p>
    <w:p w14:paraId="25A3F390" w14:textId="11582213" w:rsidR="00563907" w:rsidRPr="005B6B0B" w:rsidRDefault="00563907" w:rsidP="005B6B0B">
      <w:pPr>
        <w:textAlignment w:val="center"/>
        <w:rPr>
          <w:rFonts w:cs="Arial"/>
          <w:lang w:eastAsia="en-AU"/>
        </w:rPr>
      </w:pPr>
      <w:r w:rsidRPr="005B6B0B">
        <w:rPr>
          <w:rFonts w:ascii="Arial" w:hAnsi="Arial" w:cs="Arial"/>
          <w:sz w:val="24"/>
          <w:szCs w:val="24"/>
        </w:rPr>
        <w:t xml:space="preserve">The </w:t>
      </w:r>
      <w:r w:rsidRPr="005B6B0B">
        <w:rPr>
          <w:rFonts w:ascii="Arial" w:hAnsi="Arial" w:cs="Arial"/>
          <w:i/>
          <w:iCs/>
          <w:sz w:val="24"/>
          <w:szCs w:val="24"/>
        </w:rPr>
        <w:t>Courts and Other Justice Amendment Act 2021</w:t>
      </w:r>
      <w:r w:rsidRPr="005B6B0B">
        <w:rPr>
          <w:rFonts w:ascii="Arial" w:hAnsi="Arial" w:cs="Arial"/>
          <w:sz w:val="24"/>
          <w:szCs w:val="24"/>
        </w:rPr>
        <w:t xml:space="preserve"> made amendments to the Public Trustee and Guardian Act (PTG Act) to provide the Public Trustee and Guardian with the authority to dispose of unclaimed deceased persons </w:t>
      </w:r>
      <w:r w:rsidR="00D8693C">
        <w:rPr>
          <w:rFonts w:ascii="Arial" w:hAnsi="Arial" w:cs="Arial"/>
          <w:sz w:val="24"/>
          <w:szCs w:val="24"/>
        </w:rPr>
        <w:t xml:space="preserve">bodies </w:t>
      </w:r>
      <w:r w:rsidRPr="005B6B0B">
        <w:rPr>
          <w:rFonts w:ascii="Arial" w:hAnsi="Arial" w:cs="Arial"/>
          <w:sz w:val="24"/>
          <w:szCs w:val="24"/>
        </w:rPr>
        <w:t xml:space="preserve">and the option to discretionally administer the deceased person’s estate. </w:t>
      </w:r>
      <w:r w:rsidR="00D8693C">
        <w:rPr>
          <w:rFonts w:ascii="Arial" w:hAnsi="Arial" w:cs="Arial"/>
          <w:sz w:val="24"/>
          <w:szCs w:val="24"/>
          <w:lang w:eastAsia="en-AU"/>
        </w:rPr>
        <w:t>I</w:t>
      </w:r>
      <w:r w:rsidRPr="005B6B0B">
        <w:rPr>
          <w:rFonts w:ascii="Arial" w:hAnsi="Arial" w:cs="Arial"/>
          <w:sz w:val="24"/>
          <w:szCs w:val="24"/>
          <w:lang w:eastAsia="en-AU"/>
        </w:rPr>
        <w:t xml:space="preserve">n order to register a death under the </w:t>
      </w:r>
      <w:r w:rsidRPr="005B6B0B">
        <w:rPr>
          <w:rFonts w:ascii="Arial" w:hAnsi="Arial" w:cs="Arial"/>
          <w:i/>
          <w:iCs/>
          <w:sz w:val="24"/>
          <w:szCs w:val="24"/>
          <w:lang w:eastAsia="en-AU"/>
        </w:rPr>
        <w:t>Births, Deaths and Marriages Registration Act 1997</w:t>
      </w:r>
      <w:r w:rsidRPr="005B6B0B">
        <w:rPr>
          <w:rFonts w:ascii="Arial" w:hAnsi="Arial" w:cs="Arial"/>
          <w:sz w:val="24"/>
          <w:szCs w:val="24"/>
          <w:lang w:eastAsia="en-AU"/>
        </w:rPr>
        <w:t xml:space="preserve"> (BDMR Act), certain particulars must be provide including place and manner of disposal of remains. While it is possible to register a death without all the relevant particulars being recorded, it is the administrative preference to avoid doing so until after a funeral or disposal has occurred and associated documentation has been received. This amendment will clarify section 13A</w:t>
      </w:r>
      <w:r w:rsidR="00D8693C">
        <w:rPr>
          <w:rFonts w:ascii="Arial" w:hAnsi="Arial" w:cs="Arial"/>
          <w:sz w:val="24"/>
          <w:szCs w:val="24"/>
          <w:lang w:eastAsia="en-AU"/>
        </w:rPr>
        <w:t xml:space="preserve"> </w:t>
      </w:r>
      <w:r w:rsidRPr="005B6B0B">
        <w:rPr>
          <w:rFonts w:ascii="Arial" w:hAnsi="Arial" w:cs="Arial"/>
          <w:sz w:val="24"/>
          <w:szCs w:val="24"/>
          <w:lang w:eastAsia="en-AU"/>
        </w:rPr>
        <w:t>(5)</w:t>
      </w:r>
      <w:r w:rsidR="00D8693C">
        <w:rPr>
          <w:rFonts w:ascii="Arial" w:hAnsi="Arial" w:cs="Arial"/>
          <w:sz w:val="24"/>
          <w:szCs w:val="24"/>
          <w:lang w:eastAsia="en-AU"/>
        </w:rPr>
        <w:t xml:space="preserve"> </w:t>
      </w:r>
      <w:r w:rsidRPr="005B6B0B">
        <w:rPr>
          <w:rFonts w:ascii="Arial" w:hAnsi="Arial" w:cs="Arial"/>
          <w:sz w:val="24"/>
          <w:szCs w:val="24"/>
          <w:lang w:eastAsia="en-AU"/>
        </w:rPr>
        <w:t xml:space="preserve">(a) </w:t>
      </w:r>
      <w:r w:rsidR="00D8693C">
        <w:rPr>
          <w:rFonts w:ascii="Arial" w:hAnsi="Arial" w:cs="Arial"/>
          <w:sz w:val="24"/>
          <w:szCs w:val="24"/>
          <w:lang w:eastAsia="en-AU"/>
        </w:rPr>
        <w:t xml:space="preserve">of the PTG Act so </w:t>
      </w:r>
      <w:r w:rsidRPr="005B6B0B">
        <w:rPr>
          <w:rFonts w:ascii="Arial" w:hAnsi="Arial" w:cs="Arial"/>
          <w:sz w:val="24"/>
          <w:szCs w:val="24"/>
          <w:lang w:eastAsia="en-AU"/>
        </w:rPr>
        <w:t xml:space="preserve">that an unclaimed deceased person is defined as a person whose death is ‘registerable’ rather than ‘registered’ under the BDMR Act. </w:t>
      </w:r>
    </w:p>
    <w:p w14:paraId="7C009A94" w14:textId="74DD421E" w:rsidR="00461360" w:rsidRPr="00AE59AA" w:rsidRDefault="00CC68FA">
      <w:pPr>
        <w:pStyle w:val="Heading3"/>
        <w:rPr>
          <w:rFonts w:cs="Arial"/>
          <w:i/>
          <w:iCs/>
        </w:rPr>
      </w:pPr>
      <w:r w:rsidRPr="005B6B0B">
        <w:rPr>
          <w:rFonts w:cs="Arial"/>
          <w:i/>
          <w:iCs/>
        </w:rPr>
        <w:t>Trustee Act 1925</w:t>
      </w:r>
    </w:p>
    <w:p w14:paraId="5EB67A6F" w14:textId="7D1FDB0F" w:rsidR="00461360" w:rsidRPr="005B6B0B" w:rsidRDefault="00461360" w:rsidP="00461360">
      <w:pPr>
        <w:tabs>
          <w:tab w:val="left" w:pos="709"/>
        </w:tabs>
        <w:spacing w:after="120"/>
        <w:rPr>
          <w:rFonts w:ascii="Arial" w:hAnsi="Arial" w:cs="Arial"/>
          <w:sz w:val="24"/>
          <w:szCs w:val="24"/>
        </w:rPr>
      </w:pPr>
      <w:r w:rsidRPr="005B6B0B">
        <w:rPr>
          <w:rFonts w:ascii="Arial" w:hAnsi="Arial" w:cs="Arial"/>
          <w:sz w:val="24"/>
          <w:szCs w:val="24"/>
        </w:rPr>
        <w:t xml:space="preserve">Section 60 of the </w:t>
      </w:r>
      <w:r w:rsidRPr="005B6B0B">
        <w:rPr>
          <w:rFonts w:ascii="Arial" w:hAnsi="Arial" w:cs="Arial"/>
          <w:i/>
          <w:iCs/>
          <w:sz w:val="24"/>
          <w:szCs w:val="24"/>
        </w:rPr>
        <w:t>Trustee Act 1925</w:t>
      </w:r>
      <w:r w:rsidRPr="005B6B0B">
        <w:rPr>
          <w:rFonts w:ascii="Arial" w:hAnsi="Arial" w:cs="Arial"/>
          <w:sz w:val="24"/>
          <w:szCs w:val="24"/>
        </w:rPr>
        <w:t xml:space="preserve"> provides the notice requirements a trustee must meet prior </w:t>
      </w:r>
      <w:r w:rsidR="00D8693C">
        <w:rPr>
          <w:rFonts w:ascii="Arial" w:hAnsi="Arial" w:cs="Arial"/>
          <w:sz w:val="24"/>
          <w:szCs w:val="24"/>
        </w:rPr>
        <w:t>to</w:t>
      </w:r>
      <w:r w:rsidRPr="005B6B0B">
        <w:rPr>
          <w:rFonts w:ascii="Arial" w:hAnsi="Arial" w:cs="Arial"/>
          <w:sz w:val="24"/>
          <w:szCs w:val="24"/>
        </w:rPr>
        <w:t xml:space="preserve"> conveying or distributing any property to or among the persons entitled to it. Subsection (3) allows an interested person to send particulars in respect of their claim to the property to the trustee within a specified time period determined by the trustee that cannot be less than 2 months long.</w:t>
      </w:r>
    </w:p>
    <w:p w14:paraId="673E5E59" w14:textId="74A7BED3" w:rsidR="00461360" w:rsidRPr="005B6B0B" w:rsidRDefault="00461360" w:rsidP="005B6B0B">
      <w:pPr>
        <w:rPr>
          <w:rFonts w:cs="Arial"/>
        </w:rPr>
      </w:pPr>
      <w:r w:rsidRPr="005B6B0B">
        <w:rPr>
          <w:rFonts w:ascii="Arial" w:hAnsi="Arial" w:cs="Arial"/>
          <w:sz w:val="24"/>
          <w:szCs w:val="24"/>
        </w:rPr>
        <w:t xml:space="preserve">The notice requirements under section 60 (3) of the Act have been amended to provide that 1 month rather than 2 months must elapse after public notice is made, prior to disbursement of the trust. This is considered a more reasonable timeframe, noting electronic notice is now available, and will bring the ACT in line with </w:t>
      </w:r>
      <w:r w:rsidR="005B6B0B">
        <w:rPr>
          <w:rFonts w:ascii="Arial" w:hAnsi="Arial" w:cs="Arial"/>
          <w:sz w:val="24"/>
          <w:szCs w:val="24"/>
        </w:rPr>
        <w:t xml:space="preserve">other jurisdictions including </w:t>
      </w:r>
      <w:r w:rsidRPr="005B6B0B">
        <w:rPr>
          <w:rFonts w:ascii="Arial" w:hAnsi="Arial" w:cs="Arial"/>
          <w:sz w:val="24"/>
          <w:szCs w:val="24"/>
        </w:rPr>
        <w:t>New South Wales.</w:t>
      </w:r>
    </w:p>
    <w:p w14:paraId="69CD2272" w14:textId="726AFAE1" w:rsidR="00CC68FA" w:rsidRPr="00AE59AA" w:rsidRDefault="00CC68FA">
      <w:pPr>
        <w:pStyle w:val="Heading3"/>
        <w:rPr>
          <w:rFonts w:cs="Arial"/>
          <w:i/>
          <w:iCs/>
        </w:rPr>
      </w:pPr>
      <w:r w:rsidRPr="005B6B0B">
        <w:rPr>
          <w:rFonts w:cs="Arial"/>
          <w:i/>
          <w:iCs/>
        </w:rPr>
        <w:t>Wills Act 1968</w:t>
      </w:r>
    </w:p>
    <w:p w14:paraId="3C5788C0" w14:textId="4A23DC70" w:rsidR="00461360" w:rsidRPr="005B6B0B" w:rsidRDefault="00461360" w:rsidP="00461360">
      <w:pPr>
        <w:tabs>
          <w:tab w:val="left" w:pos="709"/>
        </w:tabs>
        <w:spacing w:after="120"/>
        <w:rPr>
          <w:rFonts w:ascii="Arial" w:hAnsi="Arial" w:cs="Arial"/>
          <w:sz w:val="24"/>
          <w:szCs w:val="24"/>
        </w:rPr>
      </w:pPr>
      <w:r w:rsidRPr="005B6B0B">
        <w:rPr>
          <w:rFonts w:ascii="Arial" w:hAnsi="Arial" w:cs="Arial"/>
          <w:sz w:val="24"/>
          <w:szCs w:val="24"/>
        </w:rPr>
        <w:t xml:space="preserve">Section 12A of the </w:t>
      </w:r>
      <w:r w:rsidRPr="005B6B0B">
        <w:rPr>
          <w:rFonts w:ascii="Arial" w:hAnsi="Arial" w:cs="Arial"/>
          <w:i/>
          <w:iCs/>
          <w:sz w:val="24"/>
          <w:szCs w:val="24"/>
        </w:rPr>
        <w:t>Wills Act 1968</w:t>
      </w:r>
      <w:r w:rsidRPr="005B6B0B">
        <w:rPr>
          <w:rFonts w:ascii="Arial" w:hAnsi="Arial" w:cs="Arial"/>
          <w:sz w:val="24"/>
          <w:szCs w:val="24"/>
        </w:rPr>
        <w:t xml:space="preserve"> deals with applications to the Supreme Court for an order for rectification of a testator’s will where the court is satisfied that the will is expressed in such a way that it fails to carry out the testator’s intentions. Subsection (4) and (5) relate to the notice required to be </w:t>
      </w:r>
      <w:r w:rsidR="005B6B0B">
        <w:rPr>
          <w:rFonts w:ascii="Arial" w:hAnsi="Arial" w:cs="Arial"/>
          <w:sz w:val="24"/>
          <w:szCs w:val="24"/>
        </w:rPr>
        <w:t>given</w:t>
      </w:r>
      <w:r w:rsidRPr="005B6B0B">
        <w:rPr>
          <w:rFonts w:ascii="Arial" w:hAnsi="Arial" w:cs="Arial"/>
          <w:sz w:val="24"/>
          <w:szCs w:val="24"/>
        </w:rPr>
        <w:t xml:space="preserve"> by a personal representative of </w:t>
      </w:r>
      <w:r w:rsidRPr="005B6B0B">
        <w:rPr>
          <w:rFonts w:ascii="Arial" w:hAnsi="Arial" w:cs="Arial"/>
          <w:sz w:val="24"/>
          <w:szCs w:val="24"/>
        </w:rPr>
        <w:lastRenderedPageBreak/>
        <w:t>the deceased person of their intention to distribute all or part of the deceased person’s estate, so as to allow a person who wishes to make an application for an order for rectification can do so within a period of 2 months.</w:t>
      </w:r>
    </w:p>
    <w:p w14:paraId="05260220" w14:textId="77777777" w:rsidR="00461360" w:rsidRPr="005B6B0B" w:rsidRDefault="00461360" w:rsidP="00461360">
      <w:pPr>
        <w:tabs>
          <w:tab w:val="left" w:pos="709"/>
        </w:tabs>
        <w:spacing w:after="120"/>
        <w:rPr>
          <w:rFonts w:ascii="Arial" w:hAnsi="Arial" w:cs="Arial"/>
          <w:sz w:val="24"/>
          <w:szCs w:val="24"/>
        </w:rPr>
      </w:pPr>
      <w:r w:rsidRPr="005B6B0B">
        <w:rPr>
          <w:rFonts w:ascii="Arial" w:hAnsi="Arial" w:cs="Arial"/>
          <w:sz w:val="24"/>
          <w:szCs w:val="24"/>
        </w:rPr>
        <w:t>The notice requirements under section 12A (4) and (5) have been amended to provide that 1 month rather than 2 months must elapse after public notice is made, prior to disbursement of the estate. This is considered a more reasonable timeframe, noting electronic notice is now available, and will bring the ACT in line with New South Wales</w:t>
      </w:r>
    </w:p>
    <w:p w14:paraId="1A2BA5E1" w14:textId="6E3769AB" w:rsidR="00790FE4" w:rsidRPr="00AE59AA" w:rsidRDefault="00503AAB" w:rsidP="008C225D">
      <w:pPr>
        <w:pStyle w:val="Heading2"/>
        <w:rPr>
          <w:rFonts w:cs="Arial"/>
          <w:szCs w:val="24"/>
        </w:rPr>
      </w:pPr>
      <w:r w:rsidRPr="00AE59AA">
        <w:rPr>
          <w:rFonts w:cs="Arial"/>
          <w:szCs w:val="24"/>
        </w:rPr>
        <w:t xml:space="preserve">CONSISTENCY WITH </w:t>
      </w:r>
      <w:r w:rsidR="00790FE4" w:rsidRPr="00AE59AA">
        <w:rPr>
          <w:rFonts w:cs="Arial"/>
          <w:szCs w:val="24"/>
        </w:rPr>
        <w:t>HUMAN RIGHTS</w:t>
      </w:r>
    </w:p>
    <w:p w14:paraId="4C478E21" w14:textId="77777777" w:rsidR="00D3464E" w:rsidRPr="00B0454F" w:rsidRDefault="00D3464E" w:rsidP="00B0454F">
      <w:pPr>
        <w:shd w:val="clear" w:color="auto" w:fill="FFFFFF"/>
        <w:spacing w:before="240" w:after="120"/>
        <w:rPr>
          <w:rFonts w:ascii="Arial" w:hAnsi="Arial" w:cs="Arial"/>
          <w:color w:val="000000"/>
          <w:sz w:val="24"/>
          <w:szCs w:val="24"/>
          <w:lang w:eastAsia="en-AU"/>
        </w:rPr>
      </w:pPr>
      <w:r w:rsidRPr="00B0454F">
        <w:rPr>
          <w:rFonts w:ascii="Arial" w:hAnsi="Arial" w:cs="Arial"/>
          <w:color w:val="000000"/>
          <w:sz w:val="24"/>
          <w:szCs w:val="24"/>
          <w:lang w:eastAsia="en-AU"/>
        </w:rPr>
        <w:t>International human rights law places obligations on governments to “respect, protect and fulfil” rights. The obligation to respect means governments must ensure its organs and agents do not commit violations themselves; the obligation to protect means governments must protect individuals and groups from having rights interfered with by third parties and punish perpetrators; and the obligation to fulfil means governments must take positive action to facilitate the full enjoyment of rights.</w:t>
      </w:r>
    </w:p>
    <w:p w14:paraId="752AFA9C" w14:textId="7C7EB41B" w:rsidR="00D3464E" w:rsidRDefault="00D3464E" w:rsidP="005B6B0B">
      <w:pPr>
        <w:shd w:val="clear" w:color="auto" w:fill="FFFFFF"/>
        <w:spacing w:before="240" w:after="120"/>
        <w:rPr>
          <w:rFonts w:ascii="Arial" w:hAnsi="Arial" w:cs="Arial"/>
          <w:sz w:val="24"/>
          <w:szCs w:val="24"/>
        </w:rPr>
      </w:pPr>
      <w:r w:rsidRPr="00B0454F">
        <w:rPr>
          <w:rFonts w:ascii="Arial" w:hAnsi="Arial" w:cs="Arial"/>
          <w:color w:val="000000"/>
          <w:sz w:val="24"/>
          <w:szCs w:val="24"/>
          <w:lang w:eastAsia="en-AU"/>
        </w:rPr>
        <w:t>The European Court of Human Rights has considered the positive obligation of governments to uphold rights in depth, noting governments must put in place legislative and administrative frameworks to deter conduct that infringes rights, and to undertake operational measures to protect an individual who is at risk of rights infringement.</w:t>
      </w:r>
      <w:hyperlink r:id="rId15" w:anchor="_ftn1" w:history="1">
        <w:r w:rsidRPr="00B0454F">
          <w:rPr>
            <w:rFonts w:ascii="Arial" w:hAnsi="Arial" w:cs="Arial"/>
            <w:color w:val="000000"/>
            <w:sz w:val="16"/>
            <w:szCs w:val="16"/>
            <w:vertAlign w:val="superscript"/>
            <w:lang w:eastAsia="en-AU"/>
          </w:rPr>
          <w:t>[1]</w:t>
        </w:r>
      </w:hyperlink>
    </w:p>
    <w:p w14:paraId="2CB6F0B6" w14:textId="0CDD2B3C" w:rsidR="00117283" w:rsidRPr="00B0454F" w:rsidRDefault="00D3464E" w:rsidP="00C750E2">
      <w:pPr>
        <w:spacing w:after="0"/>
        <w:rPr>
          <w:rFonts w:ascii="Arial" w:hAnsi="Arial" w:cs="Arial"/>
          <w:b/>
          <w:bCs/>
          <w:sz w:val="24"/>
          <w:szCs w:val="24"/>
        </w:rPr>
      </w:pPr>
      <w:r w:rsidRPr="00B0454F">
        <w:rPr>
          <w:rFonts w:ascii="Arial" w:hAnsi="Arial" w:cs="Arial"/>
          <w:b/>
          <w:bCs/>
          <w:sz w:val="24"/>
          <w:szCs w:val="24"/>
        </w:rPr>
        <w:t xml:space="preserve">Rights engaged </w:t>
      </w:r>
    </w:p>
    <w:p w14:paraId="72BCAF2E" w14:textId="4FC8A147" w:rsidR="00D3464E" w:rsidRPr="005B6B0B" w:rsidRDefault="00D3464E" w:rsidP="005B6B0B">
      <w:pPr>
        <w:shd w:val="clear" w:color="auto" w:fill="FFFFFF"/>
        <w:spacing w:before="240" w:after="120"/>
        <w:rPr>
          <w:rFonts w:ascii="Arial" w:hAnsi="Arial" w:cs="Arial"/>
          <w:color w:val="000000"/>
          <w:sz w:val="24"/>
          <w:szCs w:val="24"/>
          <w:lang w:eastAsia="en-AU"/>
        </w:rPr>
      </w:pPr>
      <w:r w:rsidRPr="005B6B0B">
        <w:rPr>
          <w:rFonts w:ascii="Arial" w:hAnsi="Arial" w:cs="Arial"/>
          <w:color w:val="000000"/>
          <w:sz w:val="24"/>
          <w:szCs w:val="24"/>
          <w:lang w:eastAsia="en-AU"/>
        </w:rPr>
        <w:t xml:space="preserve">The Bill engages and may promote the following rights under the </w:t>
      </w:r>
      <w:r w:rsidRPr="007402D8">
        <w:rPr>
          <w:rFonts w:ascii="Arial" w:hAnsi="Arial" w:cs="Arial"/>
          <w:i/>
          <w:iCs/>
          <w:color w:val="000000"/>
          <w:sz w:val="24"/>
          <w:szCs w:val="24"/>
          <w:lang w:eastAsia="en-AU"/>
        </w:rPr>
        <w:t>Human Rights Act</w:t>
      </w:r>
      <w:r w:rsidR="007402D8" w:rsidRPr="007402D8">
        <w:rPr>
          <w:rFonts w:ascii="Arial" w:hAnsi="Arial" w:cs="Arial"/>
          <w:i/>
          <w:iCs/>
          <w:color w:val="000000"/>
          <w:sz w:val="24"/>
          <w:szCs w:val="24"/>
          <w:lang w:eastAsia="en-AU"/>
        </w:rPr>
        <w:t xml:space="preserve"> 2004</w:t>
      </w:r>
      <w:r w:rsidRPr="005B6B0B">
        <w:rPr>
          <w:rFonts w:ascii="Arial" w:hAnsi="Arial" w:cs="Arial"/>
          <w:color w:val="000000"/>
          <w:sz w:val="24"/>
          <w:szCs w:val="24"/>
          <w:lang w:eastAsia="en-AU"/>
        </w:rPr>
        <w:t xml:space="preserve"> </w:t>
      </w:r>
      <w:r w:rsidR="007402D8">
        <w:rPr>
          <w:rFonts w:ascii="Arial" w:hAnsi="Arial" w:cs="Arial"/>
          <w:color w:val="000000"/>
          <w:sz w:val="24"/>
          <w:szCs w:val="24"/>
          <w:lang w:eastAsia="en-AU"/>
        </w:rPr>
        <w:t xml:space="preserve">(HRA) </w:t>
      </w:r>
      <w:r w:rsidRPr="005B6B0B">
        <w:rPr>
          <w:rFonts w:ascii="Arial" w:hAnsi="Arial" w:cs="Arial"/>
          <w:color w:val="000000"/>
          <w:sz w:val="24"/>
          <w:szCs w:val="24"/>
          <w:lang w:eastAsia="en-AU"/>
        </w:rPr>
        <w:t>and is discussed under Rights Promoted in detail:</w:t>
      </w:r>
    </w:p>
    <w:p w14:paraId="2898D4CB" w14:textId="189FAF86" w:rsidR="0022202A" w:rsidRDefault="0022202A" w:rsidP="0022202A">
      <w:pPr>
        <w:pStyle w:val="ListParagraph"/>
        <w:numPr>
          <w:ilvl w:val="0"/>
          <w:numId w:val="50"/>
        </w:numPr>
        <w:rPr>
          <w:rFonts w:ascii="Arial" w:hAnsi="Arial" w:cs="Arial"/>
          <w:sz w:val="24"/>
          <w:szCs w:val="24"/>
        </w:rPr>
      </w:pPr>
      <w:r>
        <w:rPr>
          <w:rFonts w:ascii="Arial" w:hAnsi="Arial" w:cs="Arial"/>
          <w:sz w:val="24"/>
          <w:szCs w:val="24"/>
        </w:rPr>
        <w:t xml:space="preserve">Section 8 – Recognition and equality before the law </w:t>
      </w:r>
    </w:p>
    <w:p w14:paraId="411D5F47" w14:textId="30ADD759" w:rsidR="0022202A" w:rsidRPr="005B6B0B" w:rsidRDefault="0022202A">
      <w:pPr>
        <w:pStyle w:val="ListParagraph"/>
        <w:numPr>
          <w:ilvl w:val="0"/>
          <w:numId w:val="50"/>
        </w:numPr>
        <w:rPr>
          <w:rFonts w:ascii="Arial" w:hAnsi="Arial" w:cs="Arial"/>
          <w:sz w:val="24"/>
          <w:szCs w:val="24"/>
        </w:rPr>
      </w:pPr>
      <w:r>
        <w:rPr>
          <w:rFonts w:ascii="Arial" w:hAnsi="Arial" w:cs="Arial"/>
          <w:sz w:val="24"/>
          <w:szCs w:val="24"/>
        </w:rPr>
        <w:t>Section 9 – Right to life</w:t>
      </w:r>
    </w:p>
    <w:p w14:paraId="5B7D690A" w14:textId="23BD19F0" w:rsidR="0022202A" w:rsidRDefault="0022202A" w:rsidP="0022202A">
      <w:pPr>
        <w:pStyle w:val="ListParagraph"/>
        <w:numPr>
          <w:ilvl w:val="0"/>
          <w:numId w:val="50"/>
        </w:numPr>
        <w:rPr>
          <w:rFonts w:ascii="Arial" w:hAnsi="Arial" w:cs="Arial"/>
          <w:sz w:val="24"/>
          <w:szCs w:val="24"/>
        </w:rPr>
      </w:pPr>
      <w:r>
        <w:rPr>
          <w:rFonts w:ascii="Arial" w:hAnsi="Arial" w:cs="Arial"/>
          <w:sz w:val="24"/>
          <w:szCs w:val="24"/>
        </w:rPr>
        <w:t>Section 11 – Protection of the family and children</w:t>
      </w:r>
    </w:p>
    <w:p w14:paraId="35C9D845" w14:textId="3417AB13" w:rsidR="0022202A" w:rsidRPr="005B6B0B" w:rsidRDefault="0022202A">
      <w:pPr>
        <w:pStyle w:val="ListParagraph"/>
        <w:numPr>
          <w:ilvl w:val="0"/>
          <w:numId w:val="50"/>
        </w:numPr>
        <w:rPr>
          <w:rFonts w:ascii="Arial" w:hAnsi="Arial" w:cs="Arial"/>
          <w:sz w:val="24"/>
          <w:szCs w:val="24"/>
        </w:rPr>
      </w:pPr>
      <w:r>
        <w:rPr>
          <w:rFonts w:ascii="Arial" w:hAnsi="Arial" w:cs="Arial"/>
          <w:sz w:val="24"/>
          <w:szCs w:val="24"/>
        </w:rPr>
        <w:t xml:space="preserve">Section 12 – Right to privacy and reputation </w:t>
      </w:r>
    </w:p>
    <w:p w14:paraId="2A72399D" w14:textId="3EAC8383" w:rsidR="00D3464E" w:rsidRPr="005B6B0B" w:rsidRDefault="0022202A" w:rsidP="00C750E2">
      <w:pPr>
        <w:pStyle w:val="ListParagraph"/>
        <w:numPr>
          <w:ilvl w:val="0"/>
          <w:numId w:val="50"/>
        </w:numPr>
        <w:rPr>
          <w:rFonts w:ascii="Arial" w:hAnsi="Arial" w:cs="Arial"/>
          <w:sz w:val="24"/>
          <w:szCs w:val="24"/>
        </w:rPr>
      </w:pPr>
      <w:r>
        <w:rPr>
          <w:rFonts w:ascii="Arial" w:hAnsi="Arial" w:cs="Arial"/>
          <w:sz w:val="24"/>
          <w:szCs w:val="24"/>
        </w:rPr>
        <w:t>Section 27B – Right to work and other work-related rights</w:t>
      </w:r>
    </w:p>
    <w:p w14:paraId="07D158F2" w14:textId="32CECDF7" w:rsidR="00D3464E" w:rsidRPr="005B6B0B" w:rsidRDefault="00D3464E" w:rsidP="005B6B0B">
      <w:pPr>
        <w:shd w:val="clear" w:color="auto" w:fill="FFFFFF"/>
        <w:spacing w:before="240" w:after="120"/>
        <w:rPr>
          <w:rFonts w:ascii="Arial" w:hAnsi="Arial" w:cs="Arial"/>
          <w:color w:val="000000"/>
          <w:sz w:val="24"/>
          <w:szCs w:val="24"/>
          <w:lang w:eastAsia="en-AU"/>
        </w:rPr>
      </w:pPr>
      <w:r w:rsidRPr="005B6B0B">
        <w:rPr>
          <w:rFonts w:ascii="Arial" w:hAnsi="Arial" w:cs="Arial"/>
          <w:color w:val="000000"/>
          <w:sz w:val="24"/>
          <w:szCs w:val="24"/>
          <w:lang w:eastAsia="en-AU"/>
        </w:rPr>
        <w:t xml:space="preserve">The bill engages and may limit the following rights under the </w:t>
      </w:r>
      <w:r w:rsidR="007402D8">
        <w:rPr>
          <w:rFonts w:ascii="Arial" w:hAnsi="Arial" w:cs="Arial"/>
          <w:color w:val="000000"/>
          <w:sz w:val="24"/>
          <w:szCs w:val="24"/>
          <w:lang w:eastAsia="en-AU"/>
        </w:rPr>
        <w:t>HRA</w:t>
      </w:r>
      <w:r w:rsidRPr="005B6B0B">
        <w:rPr>
          <w:rFonts w:ascii="Arial" w:hAnsi="Arial" w:cs="Arial"/>
          <w:color w:val="000000"/>
          <w:sz w:val="24"/>
          <w:szCs w:val="24"/>
          <w:lang w:eastAsia="en-AU"/>
        </w:rPr>
        <w:t xml:space="preserve"> and is discussed under Rights Limited in detail:</w:t>
      </w:r>
    </w:p>
    <w:p w14:paraId="370F3A2D" w14:textId="08C59105" w:rsidR="00D3464E" w:rsidRDefault="00D3464E" w:rsidP="00D3464E">
      <w:pPr>
        <w:pStyle w:val="ListParagraph"/>
        <w:numPr>
          <w:ilvl w:val="0"/>
          <w:numId w:val="50"/>
        </w:numPr>
        <w:rPr>
          <w:rFonts w:ascii="Arial" w:hAnsi="Arial" w:cs="Arial"/>
          <w:sz w:val="24"/>
          <w:szCs w:val="24"/>
        </w:rPr>
      </w:pPr>
      <w:r>
        <w:rPr>
          <w:rFonts w:ascii="Arial" w:hAnsi="Arial" w:cs="Arial"/>
          <w:sz w:val="24"/>
          <w:szCs w:val="24"/>
        </w:rPr>
        <w:t xml:space="preserve">Section 8 – Recognition and equality before the law </w:t>
      </w:r>
    </w:p>
    <w:p w14:paraId="1E59253D" w14:textId="013D12FE" w:rsidR="0022202A" w:rsidRDefault="0022202A" w:rsidP="00D3464E">
      <w:pPr>
        <w:pStyle w:val="ListParagraph"/>
        <w:numPr>
          <w:ilvl w:val="0"/>
          <w:numId w:val="50"/>
        </w:numPr>
        <w:rPr>
          <w:rFonts w:ascii="Arial" w:hAnsi="Arial" w:cs="Arial"/>
          <w:sz w:val="24"/>
          <w:szCs w:val="24"/>
        </w:rPr>
      </w:pPr>
      <w:r>
        <w:rPr>
          <w:rFonts w:ascii="Arial" w:hAnsi="Arial" w:cs="Arial"/>
          <w:sz w:val="24"/>
          <w:szCs w:val="24"/>
        </w:rPr>
        <w:t>Section 11 – Protection of the family and children</w:t>
      </w:r>
    </w:p>
    <w:p w14:paraId="0DB16C64" w14:textId="1721DA6F" w:rsidR="0022202A" w:rsidRDefault="0022202A" w:rsidP="00D3464E">
      <w:pPr>
        <w:pStyle w:val="ListParagraph"/>
        <w:numPr>
          <w:ilvl w:val="0"/>
          <w:numId w:val="50"/>
        </w:numPr>
        <w:rPr>
          <w:rFonts w:ascii="Arial" w:hAnsi="Arial" w:cs="Arial"/>
          <w:sz w:val="24"/>
          <w:szCs w:val="24"/>
        </w:rPr>
      </w:pPr>
      <w:r>
        <w:rPr>
          <w:rFonts w:ascii="Arial" w:hAnsi="Arial" w:cs="Arial"/>
          <w:sz w:val="24"/>
          <w:szCs w:val="24"/>
        </w:rPr>
        <w:t xml:space="preserve">Section 12 – Right to privacy and reputation </w:t>
      </w:r>
    </w:p>
    <w:p w14:paraId="791F13BD" w14:textId="18F405A5" w:rsidR="00D3464E" w:rsidRPr="005B6B0B" w:rsidRDefault="00D3464E" w:rsidP="005B6B0B">
      <w:pPr>
        <w:pStyle w:val="ListParagraph"/>
        <w:numPr>
          <w:ilvl w:val="0"/>
          <w:numId w:val="50"/>
        </w:numPr>
        <w:rPr>
          <w:rFonts w:ascii="Arial" w:hAnsi="Arial" w:cs="Arial"/>
          <w:sz w:val="24"/>
          <w:szCs w:val="24"/>
        </w:rPr>
      </w:pPr>
      <w:r>
        <w:rPr>
          <w:rFonts w:ascii="Arial" w:hAnsi="Arial" w:cs="Arial"/>
          <w:sz w:val="24"/>
          <w:szCs w:val="24"/>
        </w:rPr>
        <w:t xml:space="preserve">Section 18 – Right to liberty and security of person </w:t>
      </w:r>
    </w:p>
    <w:p w14:paraId="72423E36" w14:textId="08925830" w:rsidR="00D3464E" w:rsidRDefault="00D3464E" w:rsidP="005B6B0B">
      <w:pPr>
        <w:spacing w:before="240" w:after="240"/>
        <w:rPr>
          <w:rFonts w:ascii="Arial" w:hAnsi="Arial" w:cs="Arial"/>
          <w:b/>
          <w:bCs/>
          <w:sz w:val="24"/>
          <w:szCs w:val="24"/>
        </w:rPr>
      </w:pPr>
      <w:r w:rsidRPr="005B6B0B">
        <w:rPr>
          <w:rFonts w:ascii="Arial" w:hAnsi="Arial" w:cs="Arial"/>
          <w:b/>
          <w:bCs/>
          <w:sz w:val="24"/>
          <w:szCs w:val="24"/>
        </w:rPr>
        <w:t>Rights Promoted</w:t>
      </w:r>
    </w:p>
    <w:p w14:paraId="714DE8AD" w14:textId="3373B3BC" w:rsidR="00AB092E" w:rsidRPr="005B6B0B" w:rsidRDefault="00AB092E" w:rsidP="005B6B0B">
      <w:pPr>
        <w:spacing w:before="240" w:after="240"/>
        <w:rPr>
          <w:rFonts w:ascii="Arial" w:hAnsi="Arial" w:cs="Arial"/>
          <w:b/>
          <w:bCs/>
          <w:i/>
          <w:iCs/>
          <w:sz w:val="24"/>
          <w:szCs w:val="24"/>
        </w:rPr>
      </w:pPr>
      <w:r w:rsidRPr="005B6B0B">
        <w:rPr>
          <w:rFonts w:ascii="Arial" w:hAnsi="Arial" w:cs="Arial"/>
          <w:b/>
          <w:bCs/>
          <w:i/>
          <w:iCs/>
          <w:sz w:val="24"/>
          <w:szCs w:val="24"/>
        </w:rPr>
        <w:t>Births, Deaths and Marriages Registration Act 1997</w:t>
      </w:r>
    </w:p>
    <w:p w14:paraId="6E60036F" w14:textId="77777777" w:rsidR="00AB092E" w:rsidRPr="005B6B0B" w:rsidRDefault="00AB092E" w:rsidP="005B6B0B">
      <w:pPr>
        <w:shd w:val="clear" w:color="auto" w:fill="FFFFFF"/>
        <w:spacing w:before="240" w:after="120"/>
        <w:rPr>
          <w:rFonts w:ascii="Arial" w:hAnsi="Arial" w:cs="Arial"/>
          <w:color w:val="000000"/>
          <w:sz w:val="24"/>
          <w:szCs w:val="24"/>
          <w:lang w:eastAsia="en-AU"/>
        </w:rPr>
      </w:pPr>
      <w:r w:rsidRPr="005B6B0B">
        <w:rPr>
          <w:rFonts w:ascii="Arial" w:hAnsi="Arial" w:cs="Arial"/>
          <w:color w:val="000000"/>
          <w:sz w:val="24"/>
          <w:szCs w:val="24"/>
          <w:lang w:eastAsia="en-AU"/>
        </w:rPr>
        <w:t>The amendments to the BDMRA Act promote the following rights:</w:t>
      </w:r>
    </w:p>
    <w:p w14:paraId="7470BB52" w14:textId="77777777" w:rsidR="00AB092E" w:rsidRPr="00D31163" w:rsidRDefault="00AB092E" w:rsidP="00AB092E">
      <w:pPr>
        <w:pStyle w:val="ListParagraph"/>
        <w:numPr>
          <w:ilvl w:val="0"/>
          <w:numId w:val="57"/>
        </w:numPr>
        <w:spacing w:after="160" w:line="256" w:lineRule="auto"/>
        <w:contextualSpacing/>
        <w:rPr>
          <w:rFonts w:ascii="Arial" w:hAnsi="Arial" w:cs="Arial"/>
          <w:sz w:val="24"/>
          <w:szCs w:val="24"/>
          <w:lang w:eastAsia="en-US"/>
        </w:rPr>
      </w:pPr>
      <w:r w:rsidRPr="00D31163">
        <w:rPr>
          <w:rFonts w:ascii="Arial" w:hAnsi="Arial" w:cs="Arial"/>
          <w:sz w:val="24"/>
          <w:szCs w:val="24"/>
        </w:rPr>
        <w:lastRenderedPageBreak/>
        <w:t>The right of a child to protection without distinction or discrimination of any kind</w:t>
      </w:r>
    </w:p>
    <w:p w14:paraId="23CF3EB0" w14:textId="77777777" w:rsidR="00AB092E" w:rsidRPr="00D31163" w:rsidRDefault="00AB092E" w:rsidP="00AB092E">
      <w:pPr>
        <w:pStyle w:val="ListParagraph"/>
        <w:numPr>
          <w:ilvl w:val="0"/>
          <w:numId w:val="57"/>
        </w:numPr>
        <w:spacing w:after="160" w:line="256" w:lineRule="auto"/>
        <w:contextualSpacing/>
        <w:rPr>
          <w:rFonts w:ascii="Arial" w:hAnsi="Arial" w:cs="Arial"/>
          <w:sz w:val="24"/>
          <w:szCs w:val="24"/>
        </w:rPr>
      </w:pPr>
      <w:r w:rsidRPr="00D31163">
        <w:rPr>
          <w:rFonts w:ascii="Arial" w:hAnsi="Arial" w:cs="Arial"/>
          <w:sz w:val="24"/>
          <w:szCs w:val="24"/>
        </w:rPr>
        <w:t>The right to privacy of transgender, intersex or gender diverse people</w:t>
      </w:r>
    </w:p>
    <w:p w14:paraId="60A4B031" w14:textId="77777777" w:rsidR="00AB092E" w:rsidRPr="00D31163" w:rsidRDefault="00AB092E" w:rsidP="00AB092E">
      <w:pPr>
        <w:pStyle w:val="ListParagraph"/>
        <w:numPr>
          <w:ilvl w:val="0"/>
          <w:numId w:val="57"/>
        </w:numPr>
        <w:spacing w:after="160" w:line="256" w:lineRule="auto"/>
        <w:contextualSpacing/>
        <w:rPr>
          <w:rFonts w:ascii="Arial" w:hAnsi="Arial" w:cs="Arial"/>
          <w:sz w:val="24"/>
          <w:szCs w:val="24"/>
        </w:rPr>
      </w:pPr>
      <w:r w:rsidRPr="00D31163">
        <w:rPr>
          <w:rFonts w:ascii="Arial" w:hAnsi="Arial" w:cs="Arial"/>
          <w:sz w:val="24"/>
          <w:szCs w:val="24"/>
        </w:rPr>
        <w:t>The right to privacy of adopted people</w:t>
      </w:r>
    </w:p>
    <w:p w14:paraId="290821DE" w14:textId="77777777" w:rsidR="00AB092E" w:rsidRPr="00D31163" w:rsidRDefault="00AB092E" w:rsidP="00AB092E">
      <w:pPr>
        <w:pStyle w:val="ListParagraph"/>
        <w:numPr>
          <w:ilvl w:val="0"/>
          <w:numId w:val="57"/>
        </w:numPr>
        <w:spacing w:after="160" w:line="256" w:lineRule="auto"/>
        <w:contextualSpacing/>
        <w:rPr>
          <w:rFonts w:ascii="Arial" w:hAnsi="Arial" w:cs="Arial"/>
          <w:sz w:val="24"/>
          <w:szCs w:val="24"/>
        </w:rPr>
      </w:pPr>
      <w:r w:rsidRPr="00D31163">
        <w:rPr>
          <w:rFonts w:ascii="Arial" w:hAnsi="Arial" w:cs="Arial"/>
          <w:sz w:val="24"/>
          <w:szCs w:val="24"/>
        </w:rPr>
        <w:t>The right of transgender, intersex or gender diverse people to the equal protection of the law without discrimination</w:t>
      </w:r>
    </w:p>
    <w:p w14:paraId="380801DD" w14:textId="77777777" w:rsidR="00AB092E" w:rsidRPr="00D31163" w:rsidRDefault="00AB092E" w:rsidP="00AB092E">
      <w:pPr>
        <w:pStyle w:val="ListParagraph"/>
        <w:numPr>
          <w:ilvl w:val="0"/>
          <w:numId w:val="57"/>
        </w:numPr>
        <w:spacing w:after="160" w:line="256" w:lineRule="auto"/>
        <w:contextualSpacing/>
        <w:rPr>
          <w:rFonts w:ascii="Arial" w:hAnsi="Arial" w:cs="Arial"/>
          <w:sz w:val="24"/>
          <w:szCs w:val="24"/>
        </w:rPr>
      </w:pPr>
      <w:r w:rsidRPr="00D31163">
        <w:rPr>
          <w:rFonts w:ascii="Arial" w:hAnsi="Arial" w:cs="Arial"/>
          <w:sz w:val="24"/>
          <w:szCs w:val="24"/>
        </w:rPr>
        <w:t>The right to life of transgender, intersex or gender diverse people</w:t>
      </w:r>
    </w:p>
    <w:p w14:paraId="11F3E30A" w14:textId="7F9B9325" w:rsidR="005B6B0B" w:rsidRPr="005B6B0B" w:rsidRDefault="00AB092E" w:rsidP="005B6B0B">
      <w:pPr>
        <w:pStyle w:val="ListParagraph"/>
        <w:numPr>
          <w:ilvl w:val="0"/>
          <w:numId w:val="57"/>
        </w:numPr>
        <w:spacing w:after="160" w:line="256" w:lineRule="auto"/>
        <w:contextualSpacing/>
        <w:rPr>
          <w:rFonts w:ascii="Arial" w:hAnsi="Arial" w:cs="Arial"/>
          <w:sz w:val="24"/>
          <w:szCs w:val="24"/>
        </w:rPr>
      </w:pPr>
      <w:r w:rsidRPr="00D31163">
        <w:rPr>
          <w:rFonts w:ascii="Arial" w:hAnsi="Arial" w:cs="Arial"/>
          <w:sz w:val="24"/>
          <w:szCs w:val="24"/>
        </w:rPr>
        <w:t>The right of adopted people’s family to protection by society</w:t>
      </w:r>
      <w:r w:rsidR="005B6B0B">
        <w:rPr>
          <w:rFonts w:ascii="Arial" w:hAnsi="Arial" w:cs="Arial"/>
          <w:sz w:val="24"/>
          <w:szCs w:val="24"/>
        </w:rPr>
        <w:t>.</w:t>
      </w:r>
    </w:p>
    <w:p w14:paraId="7EBFA9C5" w14:textId="24D4C770" w:rsidR="005B6B0B" w:rsidRPr="005B6B0B" w:rsidRDefault="00110F56" w:rsidP="005B6B0B">
      <w:pPr>
        <w:spacing w:before="240" w:after="240"/>
        <w:rPr>
          <w:rFonts w:ascii="Arial" w:hAnsi="Arial" w:cs="Arial"/>
          <w:b/>
          <w:bCs/>
          <w:i/>
          <w:iCs/>
          <w:sz w:val="24"/>
          <w:szCs w:val="24"/>
        </w:rPr>
      </w:pPr>
      <w:r w:rsidRPr="005B6B0B">
        <w:rPr>
          <w:rFonts w:ascii="Arial" w:hAnsi="Arial" w:cs="Arial"/>
          <w:b/>
          <w:bCs/>
          <w:i/>
          <w:iCs/>
          <w:sz w:val="24"/>
          <w:szCs w:val="24"/>
        </w:rPr>
        <w:t>Guardianship and Management of Property Act 1991</w:t>
      </w:r>
    </w:p>
    <w:p w14:paraId="606200F3" w14:textId="531243CB" w:rsidR="005B6B0B" w:rsidRDefault="00110F56" w:rsidP="005B6B0B">
      <w:pPr>
        <w:shd w:val="clear" w:color="auto" w:fill="FFFFFF"/>
        <w:spacing w:before="240" w:after="120"/>
        <w:rPr>
          <w:rFonts w:ascii="Arial" w:hAnsi="Arial" w:cs="Arial"/>
          <w:color w:val="000000"/>
          <w:sz w:val="24"/>
          <w:szCs w:val="24"/>
          <w:lang w:eastAsia="en-AU"/>
        </w:rPr>
      </w:pPr>
      <w:r w:rsidRPr="005B6B0B">
        <w:rPr>
          <w:rFonts w:ascii="Arial" w:hAnsi="Arial" w:cs="Arial"/>
          <w:color w:val="000000"/>
          <w:sz w:val="24"/>
          <w:szCs w:val="24"/>
          <w:lang w:eastAsia="en-AU"/>
        </w:rPr>
        <w:t>By removing the capacity for a private guardian to charge fees for the role of decision-making the amendment will promote the right to equality of people with impaired capacity who require the support of a guardian for decision making, by reducing unnecessary costs that might be incurred if a private guardian is appointed. Following the amendment neither private nor public guardians will be able to charge fees for decision making services. This will not prevent guardians from being able to seek reimbursement of legitimate expenses.</w:t>
      </w:r>
    </w:p>
    <w:p w14:paraId="24137786" w14:textId="798AE437" w:rsidR="00D3464E" w:rsidRPr="005B6B0B" w:rsidRDefault="00D3464E" w:rsidP="005B6B0B">
      <w:pPr>
        <w:spacing w:before="240" w:after="240"/>
        <w:rPr>
          <w:rFonts w:ascii="Arial" w:hAnsi="Arial" w:cs="Arial"/>
          <w:b/>
          <w:bCs/>
          <w:i/>
          <w:iCs/>
          <w:sz w:val="24"/>
          <w:szCs w:val="24"/>
        </w:rPr>
      </w:pPr>
      <w:r w:rsidRPr="005B6B0B">
        <w:rPr>
          <w:rFonts w:ascii="Arial" w:hAnsi="Arial" w:cs="Arial"/>
          <w:b/>
          <w:bCs/>
          <w:i/>
          <w:iCs/>
          <w:sz w:val="24"/>
          <w:szCs w:val="24"/>
        </w:rPr>
        <w:t>Liquor Act 2010</w:t>
      </w:r>
    </w:p>
    <w:p w14:paraId="19DD0961" w14:textId="3C78FF9F" w:rsidR="00D3464E" w:rsidRPr="005B6B0B" w:rsidRDefault="00D3464E" w:rsidP="005B6B0B">
      <w:pPr>
        <w:shd w:val="clear" w:color="auto" w:fill="FFFFFF"/>
        <w:spacing w:before="240" w:after="120"/>
        <w:rPr>
          <w:rFonts w:ascii="Arial" w:hAnsi="Arial" w:cs="Arial"/>
          <w:color w:val="000000"/>
          <w:sz w:val="24"/>
          <w:szCs w:val="24"/>
          <w:lang w:eastAsia="en-AU"/>
        </w:rPr>
      </w:pPr>
      <w:r w:rsidRPr="005B6B0B">
        <w:rPr>
          <w:rFonts w:ascii="Arial" w:hAnsi="Arial" w:cs="Arial"/>
          <w:color w:val="000000"/>
          <w:sz w:val="24"/>
          <w:szCs w:val="24"/>
          <w:lang w:eastAsia="en-AU"/>
        </w:rPr>
        <w:t>The amendments to s</w:t>
      </w:r>
      <w:r w:rsidR="007402D8">
        <w:rPr>
          <w:rFonts w:ascii="Arial" w:hAnsi="Arial" w:cs="Arial"/>
          <w:color w:val="000000"/>
          <w:sz w:val="24"/>
          <w:szCs w:val="24"/>
          <w:lang w:eastAsia="en-AU"/>
        </w:rPr>
        <w:t xml:space="preserve">ection </w:t>
      </w:r>
      <w:r w:rsidRPr="005B6B0B">
        <w:rPr>
          <w:rFonts w:ascii="Arial" w:hAnsi="Arial" w:cs="Arial"/>
          <w:color w:val="000000"/>
          <w:sz w:val="24"/>
          <w:szCs w:val="24"/>
          <w:lang w:eastAsia="en-AU"/>
        </w:rPr>
        <w:t>193</w:t>
      </w:r>
      <w:r w:rsidR="007402D8">
        <w:rPr>
          <w:rFonts w:ascii="Arial" w:hAnsi="Arial" w:cs="Arial"/>
          <w:color w:val="000000"/>
          <w:sz w:val="24"/>
          <w:szCs w:val="24"/>
          <w:lang w:eastAsia="en-AU"/>
        </w:rPr>
        <w:t xml:space="preserve"> </w:t>
      </w:r>
      <w:r w:rsidRPr="005B6B0B">
        <w:rPr>
          <w:rFonts w:ascii="Arial" w:hAnsi="Arial" w:cs="Arial"/>
          <w:color w:val="000000"/>
          <w:sz w:val="24"/>
          <w:szCs w:val="24"/>
          <w:lang w:eastAsia="en-AU"/>
        </w:rPr>
        <w:t xml:space="preserve">(2) of the Liquor Act </w:t>
      </w:r>
      <w:r w:rsidR="007402D8">
        <w:rPr>
          <w:rFonts w:ascii="Arial" w:hAnsi="Arial" w:cs="Arial"/>
          <w:color w:val="000000"/>
          <w:sz w:val="24"/>
          <w:szCs w:val="24"/>
          <w:lang w:eastAsia="en-AU"/>
        </w:rPr>
        <w:t xml:space="preserve">will </w:t>
      </w:r>
      <w:r w:rsidRPr="005B6B0B">
        <w:rPr>
          <w:rFonts w:ascii="Arial" w:hAnsi="Arial" w:cs="Arial"/>
          <w:color w:val="000000"/>
          <w:sz w:val="24"/>
          <w:szCs w:val="24"/>
          <w:lang w:eastAsia="en-AU"/>
        </w:rPr>
        <w:t xml:space="preserve">support the right to work in section 27B of the </w:t>
      </w:r>
      <w:r w:rsidR="007402D8">
        <w:rPr>
          <w:rFonts w:ascii="Arial" w:hAnsi="Arial" w:cs="Arial"/>
          <w:color w:val="000000"/>
          <w:sz w:val="24"/>
          <w:szCs w:val="24"/>
          <w:lang w:eastAsia="en-AU"/>
        </w:rPr>
        <w:t>HRA</w:t>
      </w:r>
      <w:r w:rsidRPr="005B6B0B">
        <w:rPr>
          <w:rFonts w:ascii="Arial" w:hAnsi="Arial" w:cs="Arial"/>
          <w:color w:val="000000"/>
          <w:sz w:val="24"/>
          <w:szCs w:val="24"/>
          <w:lang w:eastAsia="en-AU"/>
        </w:rPr>
        <w:t xml:space="preserve">. The amendments remove administrative barriers to the recognition of interstate RSA certificates in the ACT. This supports the ability of interstate certificate holders to be employed in the ACT. </w:t>
      </w:r>
    </w:p>
    <w:p w14:paraId="3BEC192C" w14:textId="096E5E34" w:rsidR="00AB092E" w:rsidRPr="005B6B0B" w:rsidRDefault="00AB092E" w:rsidP="007402D8">
      <w:pPr>
        <w:spacing w:before="240" w:after="240"/>
        <w:rPr>
          <w:rFonts w:ascii="Arial" w:hAnsi="Arial" w:cs="Arial"/>
          <w:b/>
          <w:bCs/>
          <w:sz w:val="24"/>
          <w:szCs w:val="24"/>
        </w:rPr>
      </w:pPr>
      <w:r>
        <w:rPr>
          <w:rFonts w:ascii="Arial" w:hAnsi="Arial" w:cs="Arial"/>
          <w:b/>
          <w:bCs/>
          <w:sz w:val="24"/>
          <w:szCs w:val="24"/>
        </w:rPr>
        <w:t>Rights Limited</w:t>
      </w:r>
    </w:p>
    <w:p w14:paraId="24AE5403" w14:textId="76CC7882" w:rsidR="00AB092E" w:rsidRPr="005B6B0B" w:rsidRDefault="00AB092E" w:rsidP="005B6B0B">
      <w:pPr>
        <w:shd w:val="clear" w:color="auto" w:fill="FFFFFF"/>
        <w:spacing w:before="240" w:after="120"/>
        <w:rPr>
          <w:rFonts w:ascii="Arial" w:hAnsi="Arial" w:cs="Arial"/>
          <w:color w:val="000000"/>
          <w:sz w:val="24"/>
          <w:szCs w:val="24"/>
          <w:lang w:eastAsia="en-AU"/>
        </w:rPr>
      </w:pPr>
      <w:r w:rsidRPr="005B6B0B">
        <w:rPr>
          <w:rFonts w:ascii="Arial" w:hAnsi="Arial" w:cs="Arial"/>
          <w:color w:val="000000"/>
          <w:sz w:val="24"/>
          <w:szCs w:val="24"/>
          <w:lang w:eastAsia="en-AU"/>
        </w:rPr>
        <w:t xml:space="preserve">The preamble to the </w:t>
      </w:r>
      <w:r w:rsidR="007402D8">
        <w:rPr>
          <w:rFonts w:ascii="Arial" w:hAnsi="Arial" w:cs="Arial"/>
          <w:color w:val="000000"/>
          <w:sz w:val="24"/>
          <w:szCs w:val="24"/>
          <w:lang w:eastAsia="en-AU"/>
        </w:rPr>
        <w:t>HRA</w:t>
      </w:r>
      <w:r w:rsidRPr="005B6B0B">
        <w:rPr>
          <w:rFonts w:ascii="Arial" w:hAnsi="Arial" w:cs="Arial"/>
          <w:color w:val="000000"/>
          <w:sz w:val="24"/>
          <w:szCs w:val="24"/>
          <w:lang w:eastAsia="en-AU"/>
        </w:rPr>
        <w:t xml:space="preserve"> notes that few rights are absolute and that they may be subject only to the reasonable limits in law that can be demonstrably justified in a free and democratic society. Section 28 (2) of the </w:t>
      </w:r>
      <w:r w:rsidR="007402D8">
        <w:rPr>
          <w:rFonts w:ascii="Arial" w:hAnsi="Arial" w:cs="Arial"/>
          <w:color w:val="000000"/>
          <w:sz w:val="24"/>
          <w:szCs w:val="24"/>
          <w:lang w:eastAsia="en-AU"/>
        </w:rPr>
        <w:t>HRA</w:t>
      </w:r>
      <w:r w:rsidRPr="005B6B0B">
        <w:rPr>
          <w:rFonts w:ascii="Arial" w:hAnsi="Arial" w:cs="Arial"/>
          <w:color w:val="000000"/>
          <w:sz w:val="24"/>
          <w:szCs w:val="24"/>
          <w:lang w:eastAsia="en-AU"/>
        </w:rPr>
        <w:t> contains the framework that is used to determine the acceptable limitations that may be placed on human rights.</w:t>
      </w:r>
    </w:p>
    <w:p w14:paraId="4ED9B02F" w14:textId="46DECE1F" w:rsidR="00AB092E" w:rsidRPr="007402D8" w:rsidRDefault="00AB092E" w:rsidP="005B6B0B">
      <w:pPr>
        <w:shd w:val="clear" w:color="auto" w:fill="FFFFFF"/>
        <w:spacing w:before="240" w:after="120"/>
        <w:rPr>
          <w:rFonts w:ascii="Arial" w:hAnsi="Arial" w:cs="Arial"/>
          <w:color w:val="000000"/>
          <w:sz w:val="24"/>
          <w:szCs w:val="24"/>
          <w:lang w:eastAsia="en-AU"/>
        </w:rPr>
      </w:pPr>
      <w:r w:rsidRPr="005B6B0B">
        <w:rPr>
          <w:rFonts w:ascii="Arial" w:hAnsi="Arial" w:cs="Arial"/>
          <w:color w:val="000000"/>
          <w:sz w:val="24"/>
          <w:szCs w:val="24"/>
          <w:lang w:eastAsia="en-AU"/>
        </w:rPr>
        <w:t>Section 28 of the </w:t>
      </w:r>
      <w:r w:rsidR="007402D8">
        <w:rPr>
          <w:rFonts w:ascii="Arial" w:hAnsi="Arial" w:cs="Arial"/>
          <w:color w:val="000000"/>
          <w:sz w:val="24"/>
          <w:szCs w:val="24"/>
          <w:lang w:eastAsia="en-AU"/>
        </w:rPr>
        <w:t>HRA</w:t>
      </w:r>
      <w:r w:rsidRPr="005B6B0B">
        <w:rPr>
          <w:rFonts w:ascii="Arial" w:hAnsi="Arial" w:cs="Arial"/>
          <w:color w:val="000000"/>
          <w:sz w:val="24"/>
          <w:szCs w:val="24"/>
          <w:lang w:eastAsia="en-AU"/>
        </w:rPr>
        <w:t> requires that any limitation on a human right must be authorised by a Territory law, be based on evidence, and be reasonable to achieve a legitimate aim. Whether a limitation is reasonable depends on whether it is proportionate. Proportionality can be understood and assessed as explained in </w:t>
      </w:r>
      <w:r w:rsidRPr="007402D8">
        <w:rPr>
          <w:rFonts w:ascii="Arial" w:hAnsi="Arial" w:cs="Arial"/>
          <w:i/>
          <w:iCs/>
          <w:color w:val="000000"/>
          <w:sz w:val="24"/>
          <w:szCs w:val="24"/>
          <w:lang w:eastAsia="en-AU"/>
        </w:rPr>
        <w:t>R v Oakes</w:t>
      </w:r>
      <w:r w:rsidRPr="007402D8">
        <w:rPr>
          <w:rFonts w:ascii="Arial" w:hAnsi="Arial" w:cs="Arial"/>
          <w:color w:val="000000"/>
          <w:sz w:val="24"/>
          <w:szCs w:val="24"/>
          <w:lang w:eastAsia="en-AU"/>
        </w:rPr>
        <w:t>.</w:t>
      </w:r>
      <w:bookmarkStart w:id="2" w:name="_ftnref2"/>
      <w:bookmarkEnd w:id="2"/>
      <w:r w:rsidRPr="007402D8">
        <w:rPr>
          <w:rFonts w:ascii="Arial" w:hAnsi="Arial" w:cs="Arial"/>
          <w:color w:val="000000"/>
          <w:sz w:val="24"/>
          <w:szCs w:val="24"/>
          <w:vertAlign w:val="superscript"/>
          <w:lang w:eastAsia="en-AU"/>
        </w:rPr>
        <w:fldChar w:fldCharType="begin"/>
      </w:r>
      <w:r w:rsidRPr="007402D8">
        <w:rPr>
          <w:rFonts w:ascii="Arial" w:hAnsi="Arial" w:cs="Arial"/>
          <w:color w:val="000000"/>
          <w:sz w:val="24"/>
          <w:szCs w:val="24"/>
          <w:vertAlign w:val="superscript"/>
          <w:lang w:eastAsia="en-AU"/>
        </w:rPr>
        <w:instrText xml:space="preserve"> HYPERLINK "https://www.legislation.act.gov.au/View/GetHTMLFile/es/db_65006/20210916-77470/html/db_65006.html" \l "_ftn2" </w:instrText>
      </w:r>
      <w:r w:rsidRPr="007402D8">
        <w:rPr>
          <w:rFonts w:ascii="Arial" w:hAnsi="Arial" w:cs="Arial"/>
          <w:color w:val="000000"/>
          <w:sz w:val="24"/>
          <w:szCs w:val="24"/>
          <w:vertAlign w:val="superscript"/>
          <w:lang w:eastAsia="en-AU"/>
        </w:rPr>
        <w:fldChar w:fldCharType="separate"/>
      </w:r>
      <w:r w:rsidRPr="007402D8">
        <w:rPr>
          <w:vertAlign w:val="superscript"/>
          <w:lang w:eastAsia="en-AU"/>
        </w:rPr>
        <w:t>[2]</w:t>
      </w:r>
      <w:r w:rsidRPr="007402D8">
        <w:rPr>
          <w:rFonts w:ascii="Arial" w:hAnsi="Arial" w:cs="Arial"/>
          <w:color w:val="000000"/>
          <w:sz w:val="24"/>
          <w:szCs w:val="24"/>
          <w:vertAlign w:val="superscript"/>
          <w:lang w:eastAsia="en-AU"/>
        </w:rPr>
        <w:fldChar w:fldCharType="end"/>
      </w:r>
      <w:r w:rsidRPr="007402D8">
        <w:rPr>
          <w:rFonts w:ascii="Arial" w:hAnsi="Arial" w:cs="Arial"/>
          <w:color w:val="000000"/>
          <w:sz w:val="24"/>
          <w:szCs w:val="24"/>
          <w:lang w:eastAsia="en-AU"/>
        </w:rPr>
        <w:t> A party must show that:</w:t>
      </w:r>
    </w:p>
    <w:p w14:paraId="1048E4A7" w14:textId="77777777" w:rsidR="00AB092E" w:rsidRPr="005B6B0B" w:rsidRDefault="00AB092E" w:rsidP="005B6B0B">
      <w:pPr>
        <w:pStyle w:val="NormalWeb"/>
        <w:shd w:val="clear" w:color="auto" w:fill="FFFFFF"/>
        <w:spacing w:before="240" w:beforeAutospacing="0" w:after="120" w:afterAutospacing="0" w:line="276" w:lineRule="auto"/>
        <w:ind w:left="720"/>
        <w:rPr>
          <w:rFonts w:ascii="Arial" w:hAnsi="Arial" w:cs="Arial"/>
          <w:color w:val="000000"/>
          <w:sz w:val="22"/>
          <w:szCs w:val="22"/>
        </w:rPr>
      </w:pPr>
      <w:r w:rsidRPr="005B6B0B">
        <w:rPr>
          <w:rFonts w:ascii="Arial" w:hAnsi="Arial" w:cs="Arial"/>
          <w:color w:val="000000"/>
          <w:sz w:val="22"/>
          <w:szCs w:val="22"/>
        </w:rPr>
        <w:t>[f]irst, the measures adopted must be carefully designed to achieve the objective in question. They must not be arbitrary, unfair or based on irrational considerations. In short, they must be rationally connected to the objective. Second, the means, even if rationally connected to the objective in this first sense, should impair “as little as possible” the right or freedom in question. Third, there must be a proportionality between the effects of the measures which are responsible for limiting the Charter right or freedom, and the objective which has been identified as of “sufficient importance”.</w:t>
      </w:r>
      <w:bookmarkStart w:id="3" w:name="_ftnref3"/>
      <w:bookmarkEnd w:id="3"/>
      <w:r w:rsidRPr="005B6B0B">
        <w:rPr>
          <w:rFonts w:ascii="Arial" w:hAnsi="Arial" w:cs="Arial"/>
          <w:color w:val="000000"/>
          <w:sz w:val="22"/>
          <w:szCs w:val="22"/>
        </w:rPr>
        <w:fldChar w:fldCharType="begin"/>
      </w:r>
      <w:r w:rsidRPr="005B6B0B">
        <w:rPr>
          <w:rFonts w:ascii="Arial" w:hAnsi="Arial" w:cs="Arial"/>
          <w:color w:val="000000"/>
          <w:sz w:val="22"/>
          <w:szCs w:val="22"/>
        </w:rPr>
        <w:instrText xml:space="preserve"> HYPERLINK "https://www.legislation.act.gov.au/View/GetHTMLFile/es/db_65006/20210916-77470/html/db_65006.html" \l "_ftn3" </w:instrText>
      </w:r>
      <w:r w:rsidRPr="005B6B0B">
        <w:rPr>
          <w:rFonts w:ascii="Arial" w:hAnsi="Arial" w:cs="Arial"/>
          <w:color w:val="000000"/>
          <w:sz w:val="22"/>
          <w:szCs w:val="22"/>
        </w:rPr>
        <w:fldChar w:fldCharType="separate"/>
      </w:r>
      <w:r w:rsidRPr="005B6B0B">
        <w:rPr>
          <w:rStyle w:val="Hyperlink"/>
          <w:rFonts w:ascii="Arial" w:hAnsi="Arial" w:cs="Arial"/>
          <w:color w:val="000000"/>
          <w:sz w:val="22"/>
          <w:szCs w:val="22"/>
          <w:vertAlign w:val="superscript"/>
        </w:rPr>
        <w:t>[3]</w:t>
      </w:r>
      <w:r w:rsidRPr="005B6B0B">
        <w:rPr>
          <w:rFonts w:ascii="Arial" w:hAnsi="Arial" w:cs="Arial"/>
          <w:color w:val="000000"/>
          <w:sz w:val="22"/>
          <w:szCs w:val="22"/>
        </w:rPr>
        <w:fldChar w:fldCharType="end"/>
      </w:r>
    </w:p>
    <w:p w14:paraId="44319342" w14:textId="533E06FD" w:rsidR="007E67F2" w:rsidRPr="005B6B0B" w:rsidRDefault="007E67F2" w:rsidP="007402D8">
      <w:pPr>
        <w:keepNext/>
        <w:keepLines/>
        <w:autoSpaceDE w:val="0"/>
        <w:autoSpaceDN w:val="0"/>
        <w:adjustRightInd w:val="0"/>
        <w:spacing w:before="240" w:after="120"/>
        <w:rPr>
          <w:rFonts w:ascii="Arial" w:hAnsi="Arial" w:cs="Arial"/>
          <w:sz w:val="24"/>
          <w:szCs w:val="24"/>
        </w:rPr>
      </w:pPr>
      <w:r w:rsidRPr="005B6B0B">
        <w:rPr>
          <w:rFonts w:ascii="Arial" w:hAnsi="Arial" w:cs="Arial"/>
          <w:b/>
          <w:bCs/>
          <w:i/>
          <w:sz w:val="24"/>
          <w:szCs w:val="24"/>
        </w:rPr>
        <w:lastRenderedPageBreak/>
        <w:t xml:space="preserve">Births, Deaths and Marriages Registration Act 1997 </w:t>
      </w:r>
    </w:p>
    <w:p w14:paraId="1A50017D" w14:textId="61E985C0" w:rsidR="00AB092E" w:rsidRPr="0022202A" w:rsidRDefault="00AB092E" w:rsidP="007402D8">
      <w:pPr>
        <w:keepNext/>
        <w:keepLines/>
        <w:autoSpaceDE w:val="0"/>
        <w:autoSpaceDN w:val="0"/>
        <w:adjustRightInd w:val="0"/>
        <w:spacing w:before="240" w:after="120"/>
        <w:rPr>
          <w:rFonts w:ascii="Arial" w:hAnsi="Arial" w:cs="Arial"/>
          <w:color w:val="000000"/>
          <w:sz w:val="24"/>
          <w:szCs w:val="24"/>
          <w:u w:val="single"/>
          <w:shd w:val="clear" w:color="auto" w:fill="FFFFFF"/>
        </w:rPr>
      </w:pPr>
      <w:r w:rsidRPr="005B6B0B">
        <w:rPr>
          <w:rFonts w:ascii="Arial" w:hAnsi="Arial" w:cs="Arial"/>
          <w:color w:val="000000"/>
          <w:sz w:val="24"/>
          <w:szCs w:val="24"/>
          <w:u w:val="single"/>
          <w:shd w:val="clear" w:color="auto" w:fill="FFFFFF"/>
        </w:rPr>
        <w:t>The nature of the right affected and the limitation (s 28 (2) (a) and (c))</w:t>
      </w:r>
    </w:p>
    <w:p w14:paraId="297D4B5C" w14:textId="56BD0D36" w:rsidR="00AB092E" w:rsidRPr="005B6B0B" w:rsidRDefault="00AB092E" w:rsidP="007402D8">
      <w:pPr>
        <w:keepNext/>
        <w:keepLines/>
        <w:autoSpaceDE w:val="0"/>
        <w:autoSpaceDN w:val="0"/>
        <w:adjustRightInd w:val="0"/>
        <w:spacing w:before="240" w:after="120"/>
        <w:rPr>
          <w:rFonts w:ascii="Arial" w:hAnsi="Arial" w:cs="Arial"/>
          <w:i/>
          <w:iCs/>
          <w:color w:val="000000"/>
          <w:sz w:val="24"/>
          <w:szCs w:val="24"/>
          <w:u w:val="single"/>
          <w:shd w:val="clear" w:color="auto" w:fill="FFFFFF"/>
        </w:rPr>
      </w:pPr>
      <w:r w:rsidRPr="005B6B0B">
        <w:rPr>
          <w:rFonts w:ascii="Arial" w:hAnsi="Arial" w:cs="Arial"/>
          <w:i/>
          <w:iCs/>
          <w:sz w:val="24"/>
          <w:szCs w:val="24"/>
          <w:lang w:eastAsia="en-AU"/>
        </w:rPr>
        <w:t>The right to liberty</w:t>
      </w:r>
    </w:p>
    <w:p w14:paraId="71D377B1" w14:textId="61289723" w:rsidR="007E67F2" w:rsidRPr="005B6B0B" w:rsidRDefault="007E67F2" w:rsidP="007E67F2">
      <w:pPr>
        <w:rPr>
          <w:rFonts w:ascii="Arial" w:hAnsi="Arial" w:cs="Arial"/>
          <w:sz w:val="24"/>
          <w:szCs w:val="24"/>
        </w:rPr>
      </w:pPr>
      <w:r w:rsidRPr="005B6B0B">
        <w:rPr>
          <w:rFonts w:ascii="Arial" w:hAnsi="Arial" w:cs="Arial"/>
          <w:sz w:val="24"/>
          <w:szCs w:val="24"/>
        </w:rPr>
        <w:t>Section 18(2) of the HRA provides that no one may be deprived of liberty, except on the grounds and in accordance with the procedures established by law.</w:t>
      </w:r>
    </w:p>
    <w:p w14:paraId="58A3AAF3" w14:textId="77777777" w:rsidR="007E67F2" w:rsidRPr="005B6B0B" w:rsidRDefault="007E67F2" w:rsidP="007E67F2">
      <w:pPr>
        <w:rPr>
          <w:rFonts w:ascii="Arial" w:hAnsi="Arial" w:cs="Arial"/>
          <w:sz w:val="24"/>
          <w:szCs w:val="24"/>
        </w:rPr>
      </w:pPr>
      <w:r w:rsidRPr="005B6B0B">
        <w:rPr>
          <w:rFonts w:ascii="Arial" w:hAnsi="Arial" w:cs="Arial"/>
          <w:sz w:val="24"/>
          <w:szCs w:val="24"/>
        </w:rPr>
        <w:t>Young people may apply to ACAT under section 29E of the BDMR Act for an order granting leave to apply to the Registrar-General to change their given names and/or registered sex on the ACT Register of births or on a recognised details certificate.</w:t>
      </w:r>
    </w:p>
    <w:p w14:paraId="19E20A9D" w14:textId="77777777" w:rsidR="007E67F2" w:rsidRPr="005B6B0B" w:rsidRDefault="007E67F2" w:rsidP="007E67F2">
      <w:pPr>
        <w:rPr>
          <w:rFonts w:ascii="Arial" w:hAnsi="Arial" w:cs="Arial"/>
          <w:sz w:val="24"/>
          <w:szCs w:val="24"/>
        </w:rPr>
      </w:pPr>
      <w:r w:rsidRPr="005B6B0B">
        <w:rPr>
          <w:rFonts w:ascii="Arial" w:hAnsi="Arial" w:cs="Arial"/>
          <w:sz w:val="24"/>
          <w:szCs w:val="24"/>
        </w:rPr>
        <w:t>Clause 8 of the Bill provides ACAT the power under section 29G(8) of the BDMR Act to give directions, by order, prohibiting or restricting the disclosure by a person who attends a hearing of, or makes a submission for, an application under section 29E of any evidence given at the hearing, or of a matter contained in a document lodged with ACAT or received by ACAT for the hearing.</w:t>
      </w:r>
    </w:p>
    <w:p w14:paraId="421BE53E" w14:textId="29AF5641" w:rsidR="00483D16" w:rsidRPr="0022202A" w:rsidRDefault="007E67F2" w:rsidP="007E67F2">
      <w:pPr>
        <w:rPr>
          <w:rFonts w:ascii="Arial" w:hAnsi="Arial" w:cs="Arial"/>
          <w:sz w:val="24"/>
          <w:szCs w:val="24"/>
        </w:rPr>
      </w:pPr>
      <w:r w:rsidRPr="005B6B0B">
        <w:rPr>
          <w:rFonts w:ascii="Arial" w:hAnsi="Arial" w:cs="Arial"/>
          <w:sz w:val="24"/>
          <w:szCs w:val="24"/>
        </w:rPr>
        <w:t xml:space="preserve">The right to liberty is engaged and limited by the amendment to section 29G(10) of the BDMR Act in clause 8, as it provides a maximum penalty of 6 months’ imprisonment where there is a breach of an order made by ACAT under section 29G(8). </w:t>
      </w:r>
    </w:p>
    <w:p w14:paraId="3761D111" w14:textId="59B89F93" w:rsidR="00AB092E" w:rsidRPr="0022202A" w:rsidRDefault="00AB092E" w:rsidP="007E67F2">
      <w:pPr>
        <w:rPr>
          <w:rFonts w:ascii="Arial" w:hAnsi="Arial" w:cs="Arial"/>
          <w:i/>
          <w:iCs/>
          <w:sz w:val="24"/>
          <w:szCs w:val="24"/>
        </w:rPr>
      </w:pPr>
      <w:r w:rsidRPr="005B6B0B">
        <w:rPr>
          <w:rFonts w:ascii="Arial" w:hAnsi="Arial" w:cs="Arial"/>
          <w:i/>
          <w:iCs/>
          <w:sz w:val="24"/>
          <w:szCs w:val="24"/>
        </w:rPr>
        <w:t>The rights to protection of the family, privacy and equality</w:t>
      </w:r>
    </w:p>
    <w:p w14:paraId="1158C1A7" w14:textId="77777777" w:rsidR="00AB092E" w:rsidRPr="005B6B0B" w:rsidRDefault="00AB092E" w:rsidP="00AB092E">
      <w:pPr>
        <w:rPr>
          <w:rFonts w:ascii="Arial" w:hAnsi="Arial" w:cs="Arial"/>
          <w:sz w:val="24"/>
          <w:szCs w:val="24"/>
        </w:rPr>
      </w:pPr>
      <w:r w:rsidRPr="005B6B0B">
        <w:rPr>
          <w:rFonts w:ascii="Arial" w:hAnsi="Arial" w:cs="Arial"/>
          <w:sz w:val="24"/>
          <w:szCs w:val="24"/>
        </w:rPr>
        <w:t>Section 11(1) of the HRA provides that the family is the natural and basic group unit of society and is entitled to be protected by society. Section 12(a) of the HRA provides that a family must not be interfered with unlawfully or arbitrarily. These two rights are engaged when a policy affects the exercise of parental responsibility for young people.</w:t>
      </w:r>
    </w:p>
    <w:p w14:paraId="1509D9EB" w14:textId="44D4F162" w:rsidR="00AB092E" w:rsidRPr="005B6B0B" w:rsidRDefault="00AB092E" w:rsidP="00AB092E">
      <w:pPr>
        <w:rPr>
          <w:rFonts w:ascii="Arial" w:hAnsi="Arial" w:cs="Arial"/>
          <w:sz w:val="24"/>
          <w:szCs w:val="24"/>
        </w:rPr>
      </w:pPr>
      <w:r w:rsidRPr="005B6B0B">
        <w:rPr>
          <w:rFonts w:ascii="Arial" w:hAnsi="Arial" w:cs="Arial"/>
          <w:sz w:val="24"/>
          <w:szCs w:val="24"/>
        </w:rPr>
        <w:t>The amendment to section 20</w:t>
      </w:r>
      <w:r w:rsidR="007402D8">
        <w:rPr>
          <w:rFonts w:ascii="Arial" w:hAnsi="Arial" w:cs="Arial"/>
          <w:sz w:val="24"/>
          <w:szCs w:val="24"/>
        </w:rPr>
        <w:t xml:space="preserve"> </w:t>
      </w:r>
      <w:r w:rsidRPr="005B6B0B">
        <w:rPr>
          <w:rFonts w:ascii="Arial" w:hAnsi="Arial" w:cs="Arial"/>
          <w:sz w:val="24"/>
          <w:szCs w:val="24"/>
        </w:rPr>
        <w:t>(2)</w:t>
      </w:r>
      <w:r w:rsidR="007402D8">
        <w:rPr>
          <w:rFonts w:ascii="Arial" w:hAnsi="Arial" w:cs="Arial"/>
          <w:sz w:val="24"/>
          <w:szCs w:val="24"/>
        </w:rPr>
        <w:t xml:space="preserve"> </w:t>
      </w:r>
      <w:r w:rsidRPr="005B6B0B">
        <w:rPr>
          <w:rFonts w:ascii="Arial" w:hAnsi="Arial" w:cs="Arial"/>
          <w:sz w:val="24"/>
          <w:szCs w:val="24"/>
        </w:rPr>
        <w:t>(c) of the BDMR Act in clause 4 of the Bill limits the discharge of parental responsibility in change of given name applications under section 19 of the BDMR Act. It introduces section 20</w:t>
      </w:r>
      <w:r w:rsidR="007402D8">
        <w:rPr>
          <w:rFonts w:ascii="Arial" w:hAnsi="Arial" w:cs="Arial"/>
          <w:sz w:val="24"/>
          <w:szCs w:val="24"/>
        </w:rPr>
        <w:t xml:space="preserve"> </w:t>
      </w:r>
      <w:r w:rsidRPr="005B6B0B">
        <w:rPr>
          <w:rFonts w:ascii="Arial" w:hAnsi="Arial" w:cs="Arial"/>
          <w:sz w:val="24"/>
          <w:szCs w:val="24"/>
        </w:rPr>
        <w:t>(2)</w:t>
      </w:r>
      <w:r w:rsidR="007402D8">
        <w:rPr>
          <w:rFonts w:ascii="Arial" w:hAnsi="Arial" w:cs="Arial"/>
          <w:sz w:val="24"/>
          <w:szCs w:val="24"/>
        </w:rPr>
        <w:t xml:space="preserve"> </w:t>
      </w:r>
      <w:r w:rsidRPr="005B6B0B">
        <w:rPr>
          <w:rFonts w:ascii="Arial" w:hAnsi="Arial" w:cs="Arial"/>
          <w:sz w:val="24"/>
          <w:szCs w:val="24"/>
        </w:rPr>
        <w:t>(d) which requires a parent or person with parental responsibility to obtain a young person’s consent for an application they make under section 19 to change the young person’s given name, where the young person has an order from ACAT granting leave under section 29H of the BDMR Act.</w:t>
      </w:r>
    </w:p>
    <w:p w14:paraId="35F9D354" w14:textId="7A74B6B0" w:rsidR="00AB092E" w:rsidRPr="005B6B0B" w:rsidRDefault="00AB092E" w:rsidP="00AB092E">
      <w:pPr>
        <w:rPr>
          <w:rFonts w:ascii="Arial" w:hAnsi="Arial" w:cs="Arial"/>
          <w:sz w:val="24"/>
          <w:szCs w:val="24"/>
        </w:rPr>
      </w:pPr>
      <w:r w:rsidRPr="005B6B0B">
        <w:rPr>
          <w:rFonts w:ascii="Arial" w:hAnsi="Arial" w:cs="Arial"/>
          <w:sz w:val="24"/>
          <w:szCs w:val="24"/>
        </w:rPr>
        <w:t>Section 8</w:t>
      </w:r>
      <w:r w:rsidR="007402D8">
        <w:rPr>
          <w:rFonts w:ascii="Arial" w:hAnsi="Arial" w:cs="Arial"/>
          <w:sz w:val="24"/>
          <w:szCs w:val="24"/>
        </w:rPr>
        <w:t xml:space="preserve"> </w:t>
      </w:r>
      <w:r w:rsidRPr="005B6B0B">
        <w:rPr>
          <w:rFonts w:ascii="Arial" w:hAnsi="Arial" w:cs="Arial"/>
          <w:sz w:val="24"/>
          <w:szCs w:val="24"/>
        </w:rPr>
        <w:t xml:space="preserve">(3) of the HRA provides that every individual is equal before the law and is entitled to the equal protection of the law without discrimination. It prohibits any distinction, exclusion, restriction or preference based on personal attributes like race, colour, sex, language, religion, national or social origin, property of birth. However, </w:t>
      </w:r>
      <w:r w:rsidRPr="005B6B0B">
        <w:rPr>
          <w:rFonts w:ascii="Arial" w:hAnsi="Arial" w:cs="Arial"/>
          <w:sz w:val="24"/>
          <w:szCs w:val="24"/>
        </w:rPr>
        <w:lastRenderedPageBreak/>
        <w:t>the principle of equality also requires the Government to take positive action so as to diminish or eliminate conditions which cause or help to perpetuate discrimination.</w:t>
      </w:r>
      <w:r w:rsidRPr="005B6B0B">
        <w:rPr>
          <w:rStyle w:val="FootnoteReference"/>
          <w:rFonts w:ascii="Arial" w:hAnsi="Arial" w:cs="Arial"/>
          <w:sz w:val="24"/>
          <w:szCs w:val="24"/>
        </w:rPr>
        <w:footnoteReference w:id="2"/>
      </w:r>
    </w:p>
    <w:p w14:paraId="1ACEAA63" w14:textId="0E5A439F" w:rsidR="00AB092E" w:rsidRPr="007402D8" w:rsidRDefault="00AB092E" w:rsidP="007E67F2">
      <w:pPr>
        <w:rPr>
          <w:rFonts w:ascii="Arial" w:hAnsi="Arial" w:cs="Arial"/>
          <w:sz w:val="24"/>
          <w:szCs w:val="24"/>
        </w:rPr>
      </w:pPr>
      <w:r w:rsidRPr="005B6B0B">
        <w:rPr>
          <w:rFonts w:ascii="Arial" w:hAnsi="Arial" w:cs="Arial"/>
          <w:sz w:val="24"/>
          <w:szCs w:val="24"/>
        </w:rPr>
        <w:t>The amendment to section 20</w:t>
      </w:r>
      <w:r w:rsidR="007402D8">
        <w:rPr>
          <w:rFonts w:ascii="Arial" w:hAnsi="Arial" w:cs="Arial"/>
          <w:sz w:val="24"/>
          <w:szCs w:val="24"/>
        </w:rPr>
        <w:t xml:space="preserve"> </w:t>
      </w:r>
      <w:r w:rsidRPr="005B6B0B">
        <w:rPr>
          <w:rFonts w:ascii="Arial" w:hAnsi="Arial" w:cs="Arial"/>
          <w:sz w:val="24"/>
          <w:szCs w:val="24"/>
        </w:rPr>
        <w:t>(2)</w:t>
      </w:r>
      <w:r w:rsidR="007402D8">
        <w:rPr>
          <w:rFonts w:ascii="Arial" w:hAnsi="Arial" w:cs="Arial"/>
          <w:sz w:val="24"/>
          <w:szCs w:val="24"/>
        </w:rPr>
        <w:t xml:space="preserve"> </w:t>
      </w:r>
      <w:r w:rsidRPr="005B6B0B">
        <w:rPr>
          <w:rFonts w:ascii="Arial" w:hAnsi="Arial" w:cs="Arial"/>
          <w:sz w:val="24"/>
          <w:szCs w:val="24"/>
        </w:rPr>
        <w:t>(c) limits the right to equality as, in an application to change a young person’s given name under section 19, parents or persons with parental responsibility are not required to obtain the consent of young people without a grant of leave under section 29H. As a result, parents or persons with parental responsibility may make an application under section 19 without the consent of the relevant young person.</w:t>
      </w:r>
    </w:p>
    <w:p w14:paraId="7326F8D7" w14:textId="5D7B7904" w:rsidR="00AB092E" w:rsidRPr="0022202A" w:rsidRDefault="00AB092E" w:rsidP="00AB092E">
      <w:pPr>
        <w:shd w:val="clear" w:color="auto" w:fill="FFFFFF"/>
        <w:spacing w:before="240" w:after="120" w:line="240" w:lineRule="auto"/>
        <w:rPr>
          <w:rFonts w:ascii="Arial" w:hAnsi="Arial" w:cs="Arial"/>
          <w:color w:val="000000"/>
          <w:sz w:val="24"/>
          <w:szCs w:val="24"/>
          <w:u w:val="single"/>
          <w:lang w:eastAsia="en-AU"/>
        </w:rPr>
      </w:pPr>
      <w:r w:rsidRPr="005B6B0B">
        <w:rPr>
          <w:rFonts w:ascii="Arial" w:hAnsi="Arial" w:cs="Arial"/>
          <w:color w:val="000000"/>
          <w:sz w:val="24"/>
          <w:szCs w:val="24"/>
          <w:u w:val="single"/>
          <w:lang w:eastAsia="en-AU"/>
        </w:rPr>
        <w:t>Legitimate purpose (s 28 (2) (b)) and rational connection between the limitation and the purpose (s 28 (2) (d))</w:t>
      </w:r>
    </w:p>
    <w:p w14:paraId="64DE7806" w14:textId="0AEC243A" w:rsidR="00AB092E" w:rsidRPr="005B6B0B" w:rsidRDefault="00AB092E" w:rsidP="005B6B0B">
      <w:pPr>
        <w:shd w:val="clear" w:color="auto" w:fill="FFFFFF"/>
        <w:spacing w:before="240" w:after="120" w:line="240" w:lineRule="auto"/>
        <w:rPr>
          <w:rFonts w:ascii="Arial" w:hAnsi="Arial" w:cs="Arial"/>
          <w:i/>
          <w:iCs/>
          <w:color w:val="000000"/>
          <w:sz w:val="24"/>
          <w:szCs w:val="24"/>
          <w:lang w:eastAsia="en-AU"/>
        </w:rPr>
      </w:pPr>
      <w:r w:rsidRPr="005B6B0B">
        <w:rPr>
          <w:rFonts w:ascii="Arial" w:hAnsi="Arial" w:cs="Arial"/>
          <w:i/>
          <w:iCs/>
          <w:color w:val="000000"/>
          <w:sz w:val="24"/>
          <w:szCs w:val="24"/>
          <w:lang w:eastAsia="en-AU"/>
        </w:rPr>
        <w:t>The right to liberty</w:t>
      </w:r>
    </w:p>
    <w:p w14:paraId="3C51CFE8" w14:textId="2FAF864A" w:rsidR="007E67F2" w:rsidRPr="0022202A" w:rsidRDefault="007E67F2" w:rsidP="007E67F2">
      <w:pPr>
        <w:rPr>
          <w:rFonts w:ascii="Arial" w:hAnsi="Arial" w:cs="Arial"/>
          <w:sz w:val="24"/>
          <w:szCs w:val="24"/>
        </w:rPr>
      </w:pPr>
      <w:r w:rsidRPr="005B6B0B">
        <w:rPr>
          <w:rFonts w:ascii="Arial" w:hAnsi="Arial" w:cs="Arial"/>
          <w:sz w:val="24"/>
          <w:szCs w:val="24"/>
        </w:rPr>
        <w:t>The legitimate purpose of the amendment is to protect the health, safety and privacy of vulnerable transgender, intersex and gender diverse young people.</w:t>
      </w:r>
    </w:p>
    <w:p w14:paraId="4488F35A" w14:textId="7AEC85CC" w:rsidR="007E67F2" w:rsidRPr="005B6B0B" w:rsidRDefault="007E67F2" w:rsidP="007E67F2">
      <w:pPr>
        <w:rPr>
          <w:rFonts w:ascii="Arial" w:hAnsi="Arial" w:cs="Arial"/>
          <w:sz w:val="24"/>
          <w:szCs w:val="24"/>
        </w:rPr>
      </w:pPr>
      <w:r w:rsidRPr="005B6B0B">
        <w:rPr>
          <w:rFonts w:ascii="Arial" w:hAnsi="Arial" w:cs="Arial"/>
          <w:sz w:val="24"/>
          <w:szCs w:val="24"/>
        </w:rPr>
        <w:t>The 6 months imprisonment maximum penalty is rationally connected to the legitimate purpose as it will assist to protect the identity and personal information of transgender, intersex and gender diverse young people in an application made to ACAT by the young people under section 29E of the BDMR Act</w:t>
      </w:r>
      <w:r w:rsidR="007402D8">
        <w:rPr>
          <w:rFonts w:ascii="Arial" w:hAnsi="Arial" w:cs="Arial"/>
          <w:sz w:val="24"/>
          <w:szCs w:val="24"/>
        </w:rPr>
        <w:t xml:space="preserve"> </w:t>
      </w:r>
      <w:r w:rsidRPr="005B6B0B">
        <w:rPr>
          <w:rFonts w:ascii="Arial" w:hAnsi="Arial" w:cs="Arial"/>
          <w:sz w:val="24"/>
          <w:szCs w:val="24"/>
        </w:rPr>
        <w:t>and deter any non-parties from disclosing any evidence or matters lodged in documents for the application.</w:t>
      </w:r>
    </w:p>
    <w:p w14:paraId="54ECAC85" w14:textId="77777777" w:rsidR="007E67F2" w:rsidRPr="005B6B0B" w:rsidRDefault="007E67F2" w:rsidP="007E67F2">
      <w:pPr>
        <w:rPr>
          <w:rFonts w:ascii="Arial" w:hAnsi="Arial" w:cs="Arial"/>
          <w:sz w:val="24"/>
          <w:szCs w:val="24"/>
        </w:rPr>
      </w:pPr>
      <w:r w:rsidRPr="005B6B0B">
        <w:rPr>
          <w:rFonts w:ascii="Arial" w:hAnsi="Arial" w:cs="Arial"/>
          <w:sz w:val="24"/>
          <w:szCs w:val="24"/>
        </w:rPr>
        <w:t xml:space="preserve">Evidence given at a hearing or any matter in a document lodged or received in evidence by ACAT for a hearing will contain highly personal and sensitive information about transgender, intersex and gender diverse applicants. This includes records about their transition to the sex or gender with which they currently identify.  </w:t>
      </w:r>
    </w:p>
    <w:p w14:paraId="16A34894" w14:textId="77777777" w:rsidR="007E67F2" w:rsidRPr="005B6B0B" w:rsidRDefault="007E67F2" w:rsidP="007E67F2">
      <w:pPr>
        <w:rPr>
          <w:rFonts w:ascii="Arial" w:hAnsi="Arial" w:cs="Arial"/>
          <w:color w:val="000000"/>
          <w:sz w:val="24"/>
          <w:szCs w:val="24"/>
          <w:shd w:val="clear" w:color="auto" w:fill="FFFFFF"/>
        </w:rPr>
      </w:pPr>
      <w:r w:rsidRPr="005B6B0B">
        <w:rPr>
          <w:rFonts w:ascii="Arial" w:hAnsi="Arial" w:cs="Arial"/>
          <w:sz w:val="24"/>
          <w:szCs w:val="24"/>
        </w:rPr>
        <w:t xml:space="preserve">It cannot also be discounted that transgender, intersex and gender diverse young people may face </w:t>
      </w:r>
      <w:r w:rsidRPr="005B6B0B">
        <w:rPr>
          <w:rFonts w:ascii="Arial" w:hAnsi="Arial" w:cs="Arial"/>
          <w:color w:val="000000"/>
          <w:sz w:val="24"/>
          <w:szCs w:val="24"/>
          <w:shd w:val="clear" w:color="auto" w:fill="FFFFFF"/>
        </w:rPr>
        <w:t xml:space="preserve">violence, aggression or harassment during or after the ACAT process by persons who become aware of a young person’s application under section 29E. </w:t>
      </w:r>
    </w:p>
    <w:p w14:paraId="11241C93" w14:textId="6B0DA2C3" w:rsidR="007E67F2" w:rsidRPr="0022202A" w:rsidRDefault="007E67F2" w:rsidP="007E67F2">
      <w:pPr>
        <w:rPr>
          <w:rFonts w:ascii="Arial" w:hAnsi="Arial" w:cs="Arial"/>
          <w:sz w:val="24"/>
          <w:szCs w:val="24"/>
        </w:rPr>
      </w:pPr>
      <w:r w:rsidRPr="005B6B0B">
        <w:rPr>
          <w:rFonts w:ascii="Arial" w:hAnsi="Arial" w:cs="Arial"/>
          <w:sz w:val="24"/>
          <w:szCs w:val="24"/>
        </w:rPr>
        <w:t>Accordingly, any disclosure of this information without the consent of affected young people may infringe their privacy</w:t>
      </w:r>
      <w:r w:rsidR="007402D8">
        <w:rPr>
          <w:rFonts w:ascii="Arial" w:hAnsi="Arial" w:cs="Arial"/>
          <w:sz w:val="24"/>
          <w:szCs w:val="24"/>
        </w:rPr>
        <w:t xml:space="preserve"> </w:t>
      </w:r>
      <w:r w:rsidRPr="005B6B0B">
        <w:rPr>
          <w:rFonts w:ascii="Arial" w:hAnsi="Arial" w:cs="Arial"/>
          <w:sz w:val="24"/>
          <w:szCs w:val="24"/>
        </w:rPr>
        <w:t xml:space="preserve">and may pose a potential risk to their health and safety. </w:t>
      </w:r>
    </w:p>
    <w:p w14:paraId="51C5E755" w14:textId="20367B52" w:rsidR="00AB092E" w:rsidRPr="005B6B0B" w:rsidRDefault="00AB092E" w:rsidP="007E67F2">
      <w:pPr>
        <w:rPr>
          <w:rFonts w:ascii="Arial" w:hAnsi="Arial" w:cs="Arial"/>
          <w:i/>
          <w:iCs/>
          <w:sz w:val="24"/>
          <w:szCs w:val="24"/>
        </w:rPr>
      </w:pPr>
      <w:r w:rsidRPr="0022202A">
        <w:rPr>
          <w:rFonts w:ascii="Arial" w:hAnsi="Arial" w:cs="Arial"/>
          <w:i/>
          <w:iCs/>
          <w:sz w:val="24"/>
          <w:szCs w:val="24"/>
        </w:rPr>
        <w:t>The rights to protection of the family, privacy and equality</w:t>
      </w:r>
    </w:p>
    <w:p w14:paraId="4BCB58E3" w14:textId="77777777" w:rsidR="00AB092E" w:rsidRPr="005B6B0B" w:rsidRDefault="00AB092E">
      <w:pPr>
        <w:rPr>
          <w:rFonts w:ascii="Arial" w:hAnsi="Arial" w:cs="Arial"/>
          <w:sz w:val="24"/>
          <w:szCs w:val="24"/>
        </w:rPr>
      </w:pPr>
      <w:r w:rsidRPr="005B6B0B">
        <w:rPr>
          <w:rFonts w:ascii="Arial" w:hAnsi="Arial" w:cs="Arial"/>
          <w:sz w:val="24"/>
          <w:szCs w:val="24"/>
        </w:rPr>
        <w:t>The legitimate purpose of the amendment is to protect the health, safety and privacy of vulnerable transgender, intersex and gender diverse young people.</w:t>
      </w:r>
    </w:p>
    <w:p w14:paraId="25DE8D25" w14:textId="77777777" w:rsidR="00AB092E" w:rsidRPr="005B6B0B" w:rsidRDefault="00AB092E">
      <w:pPr>
        <w:rPr>
          <w:rFonts w:ascii="Arial" w:hAnsi="Arial" w:cs="Arial"/>
          <w:sz w:val="24"/>
          <w:szCs w:val="24"/>
        </w:rPr>
      </w:pPr>
      <w:r w:rsidRPr="005B6B0B">
        <w:rPr>
          <w:rFonts w:ascii="Arial" w:hAnsi="Arial" w:cs="Arial"/>
          <w:sz w:val="24"/>
          <w:szCs w:val="24"/>
        </w:rPr>
        <w:lastRenderedPageBreak/>
        <w:t>Transgender, intersex and gender diverse young people are only able to access the ACAT pathway to change their given names under Part 4A of the BDMR Act where they are:</w:t>
      </w:r>
    </w:p>
    <w:p w14:paraId="65D9810E" w14:textId="59D2353A" w:rsidR="00AB092E" w:rsidRPr="005B6B0B" w:rsidRDefault="00AB092E" w:rsidP="005B6B0B">
      <w:pPr>
        <w:pStyle w:val="ListParagraph"/>
        <w:numPr>
          <w:ilvl w:val="0"/>
          <w:numId w:val="57"/>
        </w:numPr>
        <w:spacing w:after="160" w:line="276" w:lineRule="auto"/>
        <w:ind w:left="714" w:hanging="357"/>
        <w:contextualSpacing/>
        <w:rPr>
          <w:rFonts w:ascii="Arial" w:hAnsi="Arial" w:cs="Arial"/>
          <w:sz w:val="24"/>
          <w:szCs w:val="24"/>
        </w:rPr>
      </w:pPr>
      <w:r w:rsidRPr="005B6B0B">
        <w:rPr>
          <w:rFonts w:ascii="Arial" w:hAnsi="Arial" w:cs="Arial"/>
          <w:sz w:val="24"/>
          <w:szCs w:val="24"/>
        </w:rPr>
        <w:t>between 12 to 15 years old and are unable to obtain the consent of their parents or persons with parental responsibility for them under sections 19A</w:t>
      </w:r>
      <w:r w:rsidR="007402D8">
        <w:rPr>
          <w:rFonts w:ascii="Arial" w:hAnsi="Arial" w:cs="Arial"/>
          <w:sz w:val="24"/>
          <w:szCs w:val="24"/>
        </w:rPr>
        <w:t xml:space="preserve"> </w:t>
      </w:r>
      <w:r w:rsidRPr="005B6B0B">
        <w:rPr>
          <w:rFonts w:ascii="Arial" w:hAnsi="Arial" w:cs="Arial"/>
          <w:sz w:val="24"/>
          <w:szCs w:val="24"/>
        </w:rPr>
        <w:t>(b)</w:t>
      </w:r>
      <w:r w:rsidR="007402D8">
        <w:rPr>
          <w:rFonts w:ascii="Arial" w:hAnsi="Arial" w:cs="Arial"/>
          <w:sz w:val="24"/>
          <w:szCs w:val="24"/>
        </w:rPr>
        <w:t xml:space="preserve"> </w:t>
      </w:r>
      <w:r w:rsidRPr="005B6B0B">
        <w:rPr>
          <w:rFonts w:ascii="Arial" w:hAnsi="Arial" w:cs="Arial"/>
          <w:sz w:val="24"/>
          <w:szCs w:val="24"/>
        </w:rPr>
        <w:t>(ii)</w:t>
      </w:r>
      <w:r w:rsidR="007402D8">
        <w:rPr>
          <w:rFonts w:ascii="Arial" w:hAnsi="Arial" w:cs="Arial"/>
          <w:sz w:val="24"/>
          <w:szCs w:val="24"/>
        </w:rPr>
        <w:t xml:space="preserve"> </w:t>
      </w:r>
      <w:r w:rsidRPr="005B6B0B">
        <w:rPr>
          <w:rFonts w:ascii="Arial" w:hAnsi="Arial" w:cs="Arial"/>
          <w:sz w:val="24"/>
          <w:szCs w:val="24"/>
        </w:rPr>
        <w:t xml:space="preserve">(A)-(C) of the BDMR Act and section 8 of the </w:t>
      </w:r>
      <w:r w:rsidRPr="005B6B0B">
        <w:rPr>
          <w:rFonts w:ascii="Arial" w:hAnsi="Arial" w:cs="Arial"/>
          <w:i/>
          <w:iCs/>
          <w:sz w:val="24"/>
          <w:szCs w:val="24"/>
        </w:rPr>
        <w:t>Births, Deaths and Marriages Regulation 1998</w:t>
      </w:r>
      <w:r w:rsidRPr="005B6B0B">
        <w:rPr>
          <w:rFonts w:ascii="Arial" w:hAnsi="Arial" w:cs="Arial"/>
          <w:sz w:val="24"/>
          <w:szCs w:val="24"/>
        </w:rPr>
        <w:t>; or</w:t>
      </w:r>
    </w:p>
    <w:p w14:paraId="6438F443" w14:textId="77C820C1" w:rsidR="00AB092E" w:rsidRPr="005B6B0B" w:rsidRDefault="00AB092E" w:rsidP="005B6B0B">
      <w:pPr>
        <w:pStyle w:val="ListParagraph"/>
        <w:numPr>
          <w:ilvl w:val="0"/>
          <w:numId w:val="57"/>
        </w:numPr>
        <w:spacing w:after="160" w:line="276" w:lineRule="auto"/>
        <w:contextualSpacing/>
        <w:rPr>
          <w:rFonts w:ascii="Arial" w:hAnsi="Arial" w:cs="Arial"/>
          <w:sz w:val="24"/>
          <w:szCs w:val="24"/>
        </w:rPr>
      </w:pPr>
      <w:r w:rsidRPr="005B6B0B">
        <w:rPr>
          <w:rFonts w:ascii="Arial" w:hAnsi="Arial" w:cs="Arial"/>
          <w:sz w:val="24"/>
          <w:szCs w:val="24"/>
        </w:rPr>
        <w:t>under the age of 12 and have the consent of at least one parent or person with parental responsibility for them and exceptional circumstances apply (sections 29E</w:t>
      </w:r>
      <w:r w:rsidR="007402D8">
        <w:rPr>
          <w:rFonts w:ascii="Arial" w:hAnsi="Arial" w:cs="Arial"/>
          <w:sz w:val="24"/>
          <w:szCs w:val="24"/>
        </w:rPr>
        <w:t xml:space="preserve"> </w:t>
      </w:r>
      <w:r w:rsidRPr="005B6B0B">
        <w:rPr>
          <w:rFonts w:ascii="Arial" w:hAnsi="Arial" w:cs="Arial"/>
          <w:sz w:val="24"/>
          <w:szCs w:val="24"/>
        </w:rPr>
        <w:t>(3)</w:t>
      </w:r>
      <w:r w:rsidR="007402D8">
        <w:rPr>
          <w:rFonts w:ascii="Arial" w:hAnsi="Arial" w:cs="Arial"/>
          <w:sz w:val="24"/>
          <w:szCs w:val="24"/>
        </w:rPr>
        <w:t xml:space="preserve"> </w:t>
      </w:r>
      <w:r w:rsidRPr="005B6B0B">
        <w:rPr>
          <w:rFonts w:ascii="Arial" w:hAnsi="Arial" w:cs="Arial"/>
          <w:sz w:val="24"/>
          <w:szCs w:val="24"/>
        </w:rPr>
        <w:t>(a)-(b) of the BDMR Act).</w:t>
      </w:r>
    </w:p>
    <w:p w14:paraId="77FFAA0B" w14:textId="7722FC90" w:rsidR="00AB092E" w:rsidRPr="005B6B0B" w:rsidRDefault="00AB092E">
      <w:pPr>
        <w:rPr>
          <w:rFonts w:ascii="Arial" w:hAnsi="Arial" w:cs="Arial"/>
          <w:sz w:val="24"/>
          <w:szCs w:val="24"/>
        </w:rPr>
      </w:pPr>
      <w:r w:rsidRPr="005B6B0B">
        <w:rPr>
          <w:rFonts w:ascii="Arial" w:hAnsi="Arial" w:cs="Arial"/>
          <w:sz w:val="24"/>
          <w:szCs w:val="24"/>
        </w:rPr>
        <w:t>Section 20</w:t>
      </w:r>
      <w:r w:rsidR="007402D8">
        <w:rPr>
          <w:rFonts w:ascii="Arial" w:hAnsi="Arial" w:cs="Arial"/>
          <w:sz w:val="24"/>
          <w:szCs w:val="24"/>
        </w:rPr>
        <w:t xml:space="preserve"> </w:t>
      </w:r>
      <w:r w:rsidRPr="005B6B0B">
        <w:rPr>
          <w:rFonts w:ascii="Arial" w:hAnsi="Arial" w:cs="Arial"/>
          <w:sz w:val="24"/>
          <w:szCs w:val="24"/>
        </w:rPr>
        <w:t>(2)</w:t>
      </w:r>
      <w:r w:rsidR="007402D8">
        <w:rPr>
          <w:rFonts w:ascii="Arial" w:hAnsi="Arial" w:cs="Arial"/>
          <w:sz w:val="24"/>
          <w:szCs w:val="24"/>
        </w:rPr>
        <w:t xml:space="preserve"> </w:t>
      </w:r>
      <w:r w:rsidRPr="005B6B0B">
        <w:rPr>
          <w:rFonts w:ascii="Arial" w:hAnsi="Arial" w:cs="Arial"/>
          <w:sz w:val="24"/>
          <w:szCs w:val="24"/>
        </w:rPr>
        <w:t>(d) protects the privacy of vulnerable transgender, intersex and gender diverse young people as a young person who has been granted leave by ACAT under section 29H is considered to have agency to understand the effect of a change of their given names.  This is important where a parent or person with parental responsibility did not support the application to ACAT and seeks to change the given name without the young person’s consent after a change has been made by the Registrar-General upon the young person’s request.</w:t>
      </w:r>
    </w:p>
    <w:p w14:paraId="692C5B6F" w14:textId="052A046F" w:rsidR="00AB092E" w:rsidRPr="007402D8" w:rsidRDefault="00AB092E" w:rsidP="007E67F2">
      <w:pPr>
        <w:rPr>
          <w:rFonts w:ascii="Arial" w:hAnsi="Arial" w:cs="Arial"/>
          <w:color w:val="000000"/>
          <w:sz w:val="24"/>
          <w:szCs w:val="24"/>
          <w:shd w:val="clear" w:color="auto" w:fill="FFFFFF"/>
        </w:rPr>
      </w:pPr>
      <w:r w:rsidRPr="005B6B0B">
        <w:rPr>
          <w:rFonts w:ascii="Arial" w:hAnsi="Arial" w:cs="Arial"/>
          <w:sz w:val="24"/>
          <w:szCs w:val="24"/>
        </w:rPr>
        <w:t>Further, the amendment protects the health and safety of transgender, intersex and gender diverse young people. The inability of transgender, intersex and gender diverse young people t</w:t>
      </w:r>
      <w:r w:rsidRPr="005B6B0B">
        <w:rPr>
          <w:rFonts w:ascii="Arial" w:hAnsi="Arial" w:cs="Arial"/>
          <w:color w:val="000000"/>
          <w:sz w:val="24"/>
          <w:szCs w:val="24"/>
          <w:shd w:val="clear" w:color="auto" w:fill="FFFFFF"/>
        </w:rPr>
        <w:t>o obtain identification documents that accurately reflect their gender identity may create a range of difficulties and increase the chance of their subjection to discrimination, prejudice or bullying.</w:t>
      </w:r>
    </w:p>
    <w:p w14:paraId="5112F833" w14:textId="77777777" w:rsidR="007402D8" w:rsidRDefault="00AB092E" w:rsidP="007402D8">
      <w:pPr>
        <w:spacing w:before="120"/>
        <w:rPr>
          <w:rFonts w:ascii="Arial" w:hAnsi="Arial" w:cs="Arial"/>
          <w:color w:val="000000"/>
          <w:sz w:val="24"/>
          <w:szCs w:val="24"/>
          <w:u w:val="single"/>
          <w:shd w:val="clear" w:color="auto" w:fill="FFFFFF"/>
        </w:rPr>
      </w:pPr>
      <w:r w:rsidRPr="0022202A">
        <w:rPr>
          <w:rFonts w:ascii="Arial" w:hAnsi="Arial" w:cs="Arial"/>
          <w:color w:val="000000"/>
          <w:sz w:val="24"/>
          <w:szCs w:val="24"/>
          <w:u w:val="single"/>
          <w:shd w:val="clear" w:color="auto" w:fill="FFFFFF"/>
        </w:rPr>
        <w:t>Proportionality (s 28 (2) (e))</w:t>
      </w:r>
    </w:p>
    <w:p w14:paraId="1F6D83DF" w14:textId="6145E299" w:rsidR="00AB092E" w:rsidRPr="007402D8" w:rsidRDefault="00AB092E" w:rsidP="007402D8">
      <w:pPr>
        <w:spacing w:before="120"/>
        <w:rPr>
          <w:rFonts w:ascii="Arial" w:hAnsi="Arial" w:cs="Arial"/>
          <w:color w:val="000000"/>
          <w:sz w:val="24"/>
          <w:szCs w:val="24"/>
          <w:u w:val="single"/>
          <w:shd w:val="clear" w:color="auto" w:fill="FFFFFF"/>
        </w:rPr>
      </w:pPr>
      <w:r w:rsidRPr="005B6B0B">
        <w:rPr>
          <w:rFonts w:ascii="Arial" w:hAnsi="Arial" w:cs="Arial"/>
          <w:i/>
          <w:iCs/>
          <w:color w:val="000000"/>
          <w:sz w:val="24"/>
          <w:szCs w:val="24"/>
          <w:shd w:val="clear" w:color="auto" w:fill="FFFFFF"/>
        </w:rPr>
        <w:t>The right to liberty</w:t>
      </w:r>
    </w:p>
    <w:p w14:paraId="37E1BA9B" w14:textId="77777777" w:rsidR="007E67F2" w:rsidRPr="005B6B0B" w:rsidRDefault="007E67F2" w:rsidP="007E67F2">
      <w:pPr>
        <w:rPr>
          <w:rFonts w:ascii="Arial" w:hAnsi="Arial" w:cs="Arial"/>
          <w:sz w:val="24"/>
          <w:szCs w:val="24"/>
        </w:rPr>
      </w:pPr>
      <w:r w:rsidRPr="005B6B0B">
        <w:rPr>
          <w:rFonts w:ascii="Arial" w:hAnsi="Arial" w:cs="Arial"/>
          <w:sz w:val="24"/>
          <w:szCs w:val="24"/>
        </w:rPr>
        <w:t xml:space="preserve">The limitation on the right to liberty is proportionate to the legitimate purpose. </w:t>
      </w:r>
    </w:p>
    <w:p w14:paraId="69C0A2D9" w14:textId="62762E4D" w:rsidR="007E67F2" w:rsidRPr="005B6B0B" w:rsidRDefault="007E67F2" w:rsidP="007E67F2">
      <w:pPr>
        <w:rPr>
          <w:rFonts w:ascii="Arial" w:hAnsi="Arial" w:cs="Arial"/>
          <w:sz w:val="24"/>
          <w:szCs w:val="24"/>
        </w:rPr>
      </w:pPr>
      <w:r w:rsidRPr="005B6B0B">
        <w:rPr>
          <w:rFonts w:ascii="Arial" w:hAnsi="Arial" w:cs="Arial"/>
          <w:sz w:val="24"/>
          <w:szCs w:val="24"/>
        </w:rPr>
        <w:t>The maximum imprisonment term is only for 6 months, and it will be for the Court to determine whether imprisonment generally and the term of imprisonment is suitable based on the circumstances of an offence under section 29G</w:t>
      </w:r>
      <w:r w:rsidR="007402D8">
        <w:rPr>
          <w:rFonts w:ascii="Arial" w:hAnsi="Arial" w:cs="Arial"/>
          <w:sz w:val="24"/>
          <w:szCs w:val="24"/>
        </w:rPr>
        <w:t xml:space="preserve"> </w:t>
      </w:r>
      <w:r w:rsidRPr="005B6B0B">
        <w:rPr>
          <w:rFonts w:ascii="Arial" w:hAnsi="Arial" w:cs="Arial"/>
          <w:sz w:val="24"/>
          <w:szCs w:val="24"/>
        </w:rPr>
        <w:t>(10).</w:t>
      </w:r>
    </w:p>
    <w:p w14:paraId="3D46DC17" w14:textId="77777777" w:rsidR="007402D8" w:rsidRDefault="007E67F2" w:rsidP="007402D8">
      <w:pPr>
        <w:autoSpaceDE w:val="0"/>
        <w:autoSpaceDN w:val="0"/>
        <w:adjustRightInd w:val="0"/>
        <w:spacing w:before="240" w:after="120"/>
        <w:rPr>
          <w:rFonts w:ascii="Arial" w:hAnsi="Arial" w:cs="Arial"/>
          <w:sz w:val="24"/>
          <w:szCs w:val="24"/>
        </w:rPr>
      </w:pPr>
      <w:r w:rsidRPr="005B6B0B">
        <w:rPr>
          <w:rFonts w:ascii="Arial" w:hAnsi="Arial" w:cs="Arial"/>
          <w:sz w:val="24"/>
          <w:szCs w:val="24"/>
        </w:rPr>
        <w:t>There are also no less restrictive means available to achieve the legitimate purpose.</w:t>
      </w:r>
    </w:p>
    <w:p w14:paraId="2B0BD3AA" w14:textId="66F0C1C7" w:rsidR="00AB092E" w:rsidRPr="0022202A" w:rsidRDefault="00AB092E" w:rsidP="007402D8">
      <w:pPr>
        <w:autoSpaceDE w:val="0"/>
        <w:autoSpaceDN w:val="0"/>
        <w:adjustRightInd w:val="0"/>
        <w:spacing w:before="240" w:after="120"/>
        <w:rPr>
          <w:rFonts w:ascii="Arial" w:hAnsi="Arial" w:cs="Arial"/>
          <w:i/>
          <w:iCs/>
          <w:sz w:val="24"/>
          <w:szCs w:val="24"/>
        </w:rPr>
      </w:pPr>
      <w:r w:rsidRPr="0022202A">
        <w:rPr>
          <w:rFonts w:ascii="Arial" w:hAnsi="Arial" w:cs="Arial"/>
          <w:i/>
          <w:iCs/>
          <w:sz w:val="24"/>
          <w:szCs w:val="24"/>
        </w:rPr>
        <w:t>The rights to protection of the family, privacy and equality</w:t>
      </w:r>
    </w:p>
    <w:p w14:paraId="473E36E4" w14:textId="77777777" w:rsidR="00AB092E" w:rsidRPr="005B6B0B" w:rsidRDefault="00AB092E" w:rsidP="00AB092E">
      <w:pPr>
        <w:rPr>
          <w:rFonts w:ascii="Arial" w:hAnsi="Arial" w:cs="Arial"/>
          <w:sz w:val="24"/>
          <w:szCs w:val="24"/>
        </w:rPr>
      </w:pPr>
      <w:r w:rsidRPr="005B6B0B">
        <w:rPr>
          <w:rFonts w:ascii="Arial" w:hAnsi="Arial" w:cs="Arial"/>
          <w:sz w:val="24"/>
          <w:szCs w:val="24"/>
        </w:rPr>
        <w:t>The limitation on the rights to protection of family, privacy and equality is proportionate to the legitimate purpose.</w:t>
      </w:r>
    </w:p>
    <w:p w14:paraId="38CC9C60" w14:textId="77777777" w:rsidR="00AB092E" w:rsidRPr="005B6B0B" w:rsidRDefault="00AB092E" w:rsidP="00AB092E">
      <w:pPr>
        <w:rPr>
          <w:rFonts w:ascii="Arial" w:hAnsi="Arial" w:cs="Arial"/>
          <w:sz w:val="24"/>
          <w:szCs w:val="24"/>
        </w:rPr>
      </w:pPr>
      <w:r w:rsidRPr="005B6B0B">
        <w:rPr>
          <w:rFonts w:ascii="Arial" w:hAnsi="Arial" w:cs="Arial"/>
          <w:sz w:val="24"/>
          <w:szCs w:val="24"/>
        </w:rPr>
        <w:t>The amendment only applies to young people who have been granted an order for leave by ACAT under section 29H of the BDMR Act to apply to the Registrar-General to change their given name.</w:t>
      </w:r>
    </w:p>
    <w:p w14:paraId="1C97D6A9" w14:textId="77777777" w:rsidR="00AB092E" w:rsidRPr="005B6B0B" w:rsidRDefault="00AB092E" w:rsidP="00AB092E">
      <w:pPr>
        <w:rPr>
          <w:rFonts w:ascii="Arial" w:hAnsi="Arial" w:cs="Arial"/>
          <w:sz w:val="24"/>
          <w:szCs w:val="24"/>
        </w:rPr>
      </w:pPr>
      <w:r w:rsidRPr="005B6B0B">
        <w:rPr>
          <w:rFonts w:ascii="Arial" w:hAnsi="Arial" w:cs="Arial"/>
          <w:sz w:val="24"/>
          <w:szCs w:val="24"/>
        </w:rPr>
        <w:lastRenderedPageBreak/>
        <w:t>Further, young people who do not identify as transgender, intersex or gender diverse do not generally face the same difficulties and issues experienced by transgender, intersex and gender diverse young people in relation to their given names.</w:t>
      </w:r>
    </w:p>
    <w:p w14:paraId="0812C553" w14:textId="77777777" w:rsidR="00AB092E" w:rsidRPr="005B6B0B" w:rsidRDefault="00AB092E" w:rsidP="00AB092E">
      <w:pPr>
        <w:rPr>
          <w:rFonts w:ascii="Arial" w:hAnsi="Arial" w:cs="Arial"/>
          <w:sz w:val="24"/>
          <w:szCs w:val="24"/>
        </w:rPr>
      </w:pPr>
      <w:r w:rsidRPr="005B6B0B">
        <w:rPr>
          <w:rFonts w:ascii="Arial" w:hAnsi="Arial" w:cs="Arial"/>
          <w:sz w:val="24"/>
          <w:szCs w:val="24"/>
        </w:rPr>
        <w:t>There are also no less restrictive means available to achieve the legitimate purpose.</w:t>
      </w:r>
    </w:p>
    <w:p w14:paraId="58D8859D" w14:textId="77777777" w:rsidR="00D81CF5" w:rsidRDefault="00D81CF5" w:rsidP="00D81CF5">
      <w:pPr>
        <w:pStyle w:val="Heading3"/>
        <w:rPr>
          <w:rFonts w:cs="Arial"/>
          <w:i/>
          <w:iCs/>
        </w:rPr>
      </w:pPr>
      <w:r w:rsidRPr="008F5BED">
        <w:rPr>
          <w:rFonts w:cs="Arial"/>
          <w:i/>
          <w:iCs/>
        </w:rPr>
        <w:t>Legal Aid Act 19</w:t>
      </w:r>
      <w:r w:rsidRPr="00AE59AA">
        <w:rPr>
          <w:rFonts w:cs="Arial"/>
          <w:i/>
          <w:iCs/>
        </w:rPr>
        <w:t>7</w:t>
      </w:r>
      <w:r w:rsidRPr="008F5BED">
        <w:rPr>
          <w:rFonts w:cs="Arial"/>
          <w:i/>
          <w:iCs/>
        </w:rPr>
        <w:t>7</w:t>
      </w:r>
    </w:p>
    <w:p w14:paraId="34DC6FCA" w14:textId="77777777" w:rsidR="00D81CF5" w:rsidRPr="007402D8" w:rsidRDefault="00D81CF5" w:rsidP="00D81CF5">
      <w:pPr>
        <w:autoSpaceDE w:val="0"/>
        <w:autoSpaceDN w:val="0"/>
        <w:adjustRightInd w:val="0"/>
        <w:spacing w:before="240" w:after="120"/>
        <w:rPr>
          <w:rFonts w:ascii="Arial" w:hAnsi="Arial" w:cs="Arial"/>
          <w:sz w:val="24"/>
          <w:szCs w:val="24"/>
          <w:u w:val="single"/>
        </w:rPr>
      </w:pPr>
      <w:r w:rsidRPr="007402D8">
        <w:rPr>
          <w:rFonts w:ascii="Arial" w:hAnsi="Arial" w:cs="Arial"/>
          <w:sz w:val="24"/>
          <w:szCs w:val="24"/>
          <w:u w:val="single"/>
        </w:rPr>
        <w:t>The nature of the right affected and the limitation (s 28 (2) (a) and (c))</w:t>
      </w:r>
    </w:p>
    <w:p w14:paraId="6F9AA884" w14:textId="77777777" w:rsidR="00D81CF5" w:rsidRPr="005B6B0B" w:rsidRDefault="00D81CF5" w:rsidP="005B6B0B">
      <w:pPr>
        <w:rPr>
          <w:rFonts w:ascii="Arial" w:hAnsi="Arial" w:cs="Arial"/>
          <w:iCs/>
          <w:sz w:val="24"/>
          <w:szCs w:val="24"/>
        </w:rPr>
      </w:pPr>
      <w:r w:rsidRPr="005B6B0B">
        <w:rPr>
          <w:rFonts w:ascii="Arial" w:hAnsi="Arial" w:cs="Arial"/>
          <w:iCs/>
          <w:sz w:val="24"/>
          <w:szCs w:val="24"/>
        </w:rPr>
        <w:t xml:space="preserve">The amendment engages and may limit the right to privacy in section 12 of the HR Act which provides that everyone has the right to not have their privacy interfered with unlawfully or arbitrarily. The amendment may impact this right as it permits the disclosure of unit level data to the Commonwealth and other entities and due to the small population size of the Territory, persons may be identifiable from certain combinations of datasets.   </w:t>
      </w:r>
    </w:p>
    <w:p w14:paraId="776C9F84" w14:textId="6BEDF684" w:rsidR="00D81CF5" w:rsidRPr="005B6B0B" w:rsidRDefault="00D81CF5" w:rsidP="005B6B0B">
      <w:pPr>
        <w:rPr>
          <w:rFonts w:ascii="Arial" w:hAnsi="Arial" w:cs="Arial"/>
          <w:iCs/>
          <w:sz w:val="24"/>
          <w:szCs w:val="24"/>
        </w:rPr>
      </w:pPr>
      <w:r w:rsidRPr="005B6B0B">
        <w:rPr>
          <w:rFonts w:ascii="Arial" w:hAnsi="Arial" w:cs="Arial"/>
          <w:iCs/>
          <w:sz w:val="24"/>
          <w:szCs w:val="24"/>
        </w:rPr>
        <w:t xml:space="preserve">The amendment further engages this right as it permits under the new exceptions the disclosure of data or information collected from 1 July 2021. </w:t>
      </w:r>
    </w:p>
    <w:p w14:paraId="7326C7EF" w14:textId="77777777" w:rsidR="00D81CF5" w:rsidRPr="008F5BED" w:rsidRDefault="00D81CF5" w:rsidP="00D81CF5">
      <w:pPr>
        <w:shd w:val="clear" w:color="auto" w:fill="FFFFFF"/>
        <w:spacing w:before="240" w:after="120" w:line="240" w:lineRule="auto"/>
        <w:rPr>
          <w:rFonts w:ascii="Arial" w:hAnsi="Arial" w:cs="Arial"/>
          <w:color w:val="000000"/>
          <w:sz w:val="24"/>
          <w:szCs w:val="24"/>
          <w:u w:val="single"/>
          <w:lang w:eastAsia="en-AU"/>
        </w:rPr>
      </w:pPr>
      <w:r w:rsidRPr="007402D8">
        <w:rPr>
          <w:rFonts w:ascii="Arial" w:hAnsi="Arial" w:cs="Arial"/>
          <w:sz w:val="24"/>
          <w:szCs w:val="24"/>
          <w:u w:val="single"/>
        </w:rPr>
        <w:t>Legitimate purpose (s 28 (2) (b)) and rational connection between the limitation and</w:t>
      </w:r>
      <w:r w:rsidRPr="0022202A">
        <w:rPr>
          <w:rFonts w:ascii="Arial" w:hAnsi="Arial" w:cs="Arial"/>
          <w:color w:val="000000"/>
          <w:sz w:val="24"/>
          <w:szCs w:val="24"/>
          <w:u w:val="single"/>
          <w:lang w:eastAsia="en-AU"/>
        </w:rPr>
        <w:t xml:space="preserve"> the purpose (s 28 (2) (d))</w:t>
      </w:r>
    </w:p>
    <w:p w14:paraId="69534C12" w14:textId="77777777" w:rsidR="00D81CF5" w:rsidRPr="00D81CF5" w:rsidRDefault="00D81CF5" w:rsidP="00D81CF5">
      <w:pPr>
        <w:spacing w:after="0"/>
        <w:rPr>
          <w:rFonts w:ascii="Arial" w:hAnsi="Arial" w:cs="Arial"/>
          <w:iCs/>
          <w:sz w:val="24"/>
          <w:szCs w:val="24"/>
        </w:rPr>
      </w:pPr>
      <w:r w:rsidRPr="00D81CF5">
        <w:rPr>
          <w:rFonts w:ascii="Arial" w:hAnsi="Arial" w:cs="Arial"/>
          <w:iCs/>
          <w:sz w:val="24"/>
          <w:szCs w:val="24"/>
        </w:rPr>
        <w:t xml:space="preserve">The amendment seeks to achieve the legitimate purpose of improving access to justice outcomes for vulnerable members of the ACT community. For example, the amendment ensures the Legal Aid Commission (the Commission) can fulfil their reporting obligations under the </w:t>
      </w:r>
      <w:r w:rsidRPr="00D81CF5">
        <w:rPr>
          <w:rFonts w:ascii="Arial" w:hAnsi="Arial" w:cs="Arial"/>
          <w:i/>
          <w:sz w:val="24"/>
          <w:szCs w:val="24"/>
        </w:rPr>
        <w:t>National Legal Assistance Partnership 2020-2025</w:t>
      </w:r>
      <w:r w:rsidRPr="00D81CF5">
        <w:rPr>
          <w:rFonts w:ascii="Arial" w:hAnsi="Arial" w:cs="Arial"/>
          <w:iCs/>
          <w:sz w:val="24"/>
          <w:szCs w:val="24"/>
        </w:rPr>
        <w:t xml:space="preserve"> which provides significant legal assistance funding to the Commission. Similarly, enabling the Commission to actively engage in national research projects will support a more accurate understanding about the areas of greatest legal need in both the Territory and generally across Australia. By having a clearer understanding of the ACT community’s legal needs, both the Territory and Commonwealth Governments will be supported to make more informed evidence-based decisions about future legal assistance funding.  </w:t>
      </w:r>
    </w:p>
    <w:p w14:paraId="616ACA1C" w14:textId="42994F7F" w:rsidR="00D81CF5" w:rsidRDefault="00D81CF5" w:rsidP="00C750E2">
      <w:pPr>
        <w:spacing w:after="0"/>
        <w:rPr>
          <w:rFonts w:ascii="Arial" w:hAnsi="Arial" w:cs="Arial"/>
          <w:sz w:val="24"/>
          <w:szCs w:val="24"/>
        </w:rPr>
      </w:pPr>
    </w:p>
    <w:p w14:paraId="4FD96EE0" w14:textId="77777777" w:rsidR="00D81CF5" w:rsidRPr="00D81CF5" w:rsidRDefault="00D81CF5" w:rsidP="00D81CF5">
      <w:pPr>
        <w:spacing w:after="0"/>
        <w:rPr>
          <w:rFonts w:ascii="Arial" w:hAnsi="Arial" w:cs="Arial"/>
          <w:iCs/>
          <w:sz w:val="24"/>
          <w:szCs w:val="24"/>
        </w:rPr>
      </w:pPr>
      <w:r w:rsidRPr="00D81CF5">
        <w:rPr>
          <w:rFonts w:ascii="Arial" w:hAnsi="Arial" w:cs="Arial"/>
          <w:iCs/>
          <w:sz w:val="24"/>
          <w:szCs w:val="24"/>
        </w:rPr>
        <w:t xml:space="preserve">There is a clear connection between the limitation and legitimate purpose as the disclosure of data to Commonwealth under agreements and to other entities for the purposes of research facilitates evidenced based decision making about legal assistance funding. The disclosure of this information is important in improving access to justice outcomes as without accurate data regarding the Territory’s legal need, the Territory and Commonwealth’s ability to provide sufficient funding for targeted service delivery to the community is compromised. </w:t>
      </w:r>
    </w:p>
    <w:p w14:paraId="0E8B9FEC" w14:textId="5669DDD9" w:rsidR="00D81CF5" w:rsidRDefault="00D81CF5" w:rsidP="00C750E2">
      <w:pPr>
        <w:spacing w:after="0"/>
        <w:rPr>
          <w:rFonts w:ascii="Arial" w:hAnsi="Arial" w:cs="Arial"/>
          <w:sz w:val="24"/>
          <w:szCs w:val="24"/>
        </w:rPr>
      </w:pPr>
    </w:p>
    <w:p w14:paraId="1C7850AA" w14:textId="77777777" w:rsidR="00D81CF5" w:rsidRPr="008F5BED" w:rsidRDefault="00D81CF5" w:rsidP="00D81CF5">
      <w:pPr>
        <w:rPr>
          <w:rFonts w:ascii="Arial" w:hAnsi="Arial" w:cs="Arial"/>
          <w:color w:val="000000"/>
          <w:sz w:val="24"/>
          <w:szCs w:val="24"/>
          <w:u w:val="single"/>
          <w:shd w:val="clear" w:color="auto" w:fill="FFFFFF"/>
        </w:rPr>
      </w:pPr>
      <w:r w:rsidRPr="0022202A">
        <w:rPr>
          <w:rFonts w:ascii="Arial" w:hAnsi="Arial" w:cs="Arial"/>
          <w:color w:val="000000"/>
          <w:sz w:val="24"/>
          <w:szCs w:val="24"/>
          <w:u w:val="single"/>
          <w:shd w:val="clear" w:color="auto" w:fill="FFFFFF"/>
        </w:rPr>
        <w:t>Proportionality (s 28 (2) (e))</w:t>
      </w:r>
    </w:p>
    <w:p w14:paraId="5945F542" w14:textId="77777777" w:rsidR="00D81CF5" w:rsidRPr="00D81CF5" w:rsidRDefault="00D81CF5" w:rsidP="00D81CF5">
      <w:pPr>
        <w:spacing w:after="0"/>
        <w:rPr>
          <w:rFonts w:ascii="Arial" w:hAnsi="Arial" w:cs="Arial"/>
          <w:iCs/>
          <w:sz w:val="24"/>
          <w:szCs w:val="24"/>
        </w:rPr>
      </w:pPr>
      <w:r w:rsidRPr="00D81CF5">
        <w:rPr>
          <w:rFonts w:ascii="Arial" w:hAnsi="Arial" w:cs="Arial"/>
          <w:iCs/>
          <w:sz w:val="24"/>
          <w:szCs w:val="24"/>
        </w:rPr>
        <w:t xml:space="preserve">The amendment has been constructed to include safeguards to protect the Commission clients’ right to privacy. For example, it is intended that the guidelines made by disallowable instrument, as facilitated by this amendment, will provide </w:t>
      </w:r>
      <w:r w:rsidRPr="00D81CF5">
        <w:rPr>
          <w:rFonts w:ascii="Arial" w:hAnsi="Arial" w:cs="Arial"/>
          <w:iCs/>
          <w:sz w:val="24"/>
          <w:szCs w:val="24"/>
        </w:rPr>
        <w:lastRenderedPageBreak/>
        <w:t xml:space="preserve">transparency to the Canberra community on how disclosure decisions to both the Commonwealth and other entities are made. The guidelines recognise that persons accessing the Commission’s services often represent some of the most vulnerable members of the Canberra community and that these clients have a reasonable expectation that their privacy will be upheld. </w:t>
      </w:r>
    </w:p>
    <w:p w14:paraId="6BDEB825" w14:textId="77777777" w:rsidR="00D81CF5" w:rsidRPr="00D81CF5" w:rsidRDefault="00D81CF5" w:rsidP="00D81CF5">
      <w:pPr>
        <w:spacing w:after="0"/>
        <w:rPr>
          <w:rFonts w:ascii="Arial" w:hAnsi="Arial" w:cs="Arial"/>
          <w:iCs/>
          <w:sz w:val="24"/>
          <w:szCs w:val="24"/>
        </w:rPr>
      </w:pPr>
    </w:p>
    <w:p w14:paraId="5A4B551B" w14:textId="77777777" w:rsidR="00D81CF5" w:rsidRPr="00D81CF5" w:rsidRDefault="00D81CF5" w:rsidP="00D81CF5">
      <w:pPr>
        <w:spacing w:after="0"/>
        <w:rPr>
          <w:rFonts w:ascii="Arial" w:hAnsi="Arial" w:cs="Arial"/>
          <w:iCs/>
          <w:sz w:val="24"/>
          <w:szCs w:val="24"/>
        </w:rPr>
      </w:pPr>
      <w:r w:rsidRPr="00D81CF5">
        <w:rPr>
          <w:rFonts w:ascii="Arial" w:hAnsi="Arial" w:cs="Arial"/>
          <w:iCs/>
          <w:sz w:val="24"/>
          <w:szCs w:val="24"/>
        </w:rPr>
        <w:t xml:space="preserve">Consequently, the guidelines will be developed from an informed human rights perspective to mitigate the risk of a client being identifiable through disclosed data. Pursuant to the guidelines, the Chief Executive Officer may only authorise the disclosure of information or data in if satisfied that disclosure is in accordance with considerations under the guidelines and may refuse a request should data or information likely identify a person and impinge on their right to privacy. </w:t>
      </w:r>
    </w:p>
    <w:p w14:paraId="170CDBC8" w14:textId="77777777" w:rsidR="00D81CF5" w:rsidRPr="00D81CF5" w:rsidRDefault="00D81CF5" w:rsidP="00D81CF5">
      <w:pPr>
        <w:spacing w:after="0"/>
        <w:rPr>
          <w:rFonts w:ascii="Arial" w:hAnsi="Arial" w:cs="Arial"/>
          <w:iCs/>
          <w:sz w:val="24"/>
          <w:szCs w:val="24"/>
        </w:rPr>
      </w:pPr>
    </w:p>
    <w:p w14:paraId="63583B81" w14:textId="77777777" w:rsidR="00D81CF5" w:rsidRPr="00D81CF5" w:rsidRDefault="00D81CF5" w:rsidP="00D81CF5">
      <w:pPr>
        <w:spacing w:after="0"/>
        <w:rPr>
          <w:rFonts w:ascii="Arial" w:hAnsi="Arial" w:cs="Arial"/>
          <w:iCs/>
          <w:sz w:val="24"/>
          <w:szCs w:val="24"/>
        </w:rPr>
      </w:pPr>
      <w:r w:rsidRPr="00D81CF5">
        <w:rPr>
          <w:rFonts w:ascii="Arial" w:hAnsi="Arial" w:cs="Arial"/>
          <w:iCs/>
          <w:sz w:val="24"/>
          <w:szCs w:val="24"/>
        </w:rPr>
        <w:t xml:space="preserve">Specifically, it is intended that the guidelines will require the Commission to be satisfied that the external organisation requesting the data has a clear end project with a legitimate objective relating to increasing access to justice. The use and presentation of the data must have a rational connection to the objective and be proportionate to the limitation on the right to privacy. The Commission must further be satisfied that any sensitivities or potential breaches of privacy are addressed. The Commission must then be satisfied that the external organisation has appropriate data security safeguards and protocols in place to protect the data and consider any further limitations or conditions upon the disclosure of the data necessary to ensure its safe, proportionate, and appropriate use. </w:t>
      </w:r>
    </w:p>
    <w:p w14:paraId="4AEFB860" w14:textId="77777777" w:rsidR="00D81CF5" w:rsidRPr="00D81CF5" w:rsidRDefault="00D81CF5" w:rsidP="00D81CF5">
      <w:pPr>
        <w:spacing w:after="0"/>
        <w:rPr>
          <w:rFonts w:ascii="Arial" w:hAnsi="Arial" w:cs="Arial"/>
          <w:iCs/>
          <w:sz w:val="24"/>
          <w:szCs w:val="24"/>
        </w:rPr>
      </w:pPr>
    </w:p>
    <w:p w14:paraId="69812605" w14:textId="77777777" w:rsidR="00D81CF5" w:rsidRPr="00D81CF5" w:rsidRDefault="00D81CF5" w:rsidP="00D81CF5">
      <w:pPr>
        <w:spacing w:after="0"/>
        <w:rPr>
          <w:rFonts w:ascii="Arial" w:hAnsi="Arial" w:cs="Arial"/>
          <w:iCs/>
          <w:sz w:val="24"/>
          <w:szCs w:val="24"/>
        </w:rPr>
      </w:pPr>
      <w:r w:rsidRPr="00D81CF5">
        <w:rPr>
          <w:rFonts w:ascii="Arial" w:hAnsi="Arial" w:cs="Arial"/>
          <w:iCs/>
          <w:sz w:val="24"/>
          <w:szCs w:val="24"/>
        </w:rPr>
        <w:t>As a statutory authority, the Commission is also obliged to act and make decisions in accordance with the HR Act.</w:t>
      </w:r>
    </w:p>
    <w:p w14:paraId="1A9C8448" w14:textId="77777777" w:rsidR="00D81CF5" w:rsidRPr="00D81CF5" w:rsidRDefault="00D81CF5" w:rsidP="00D81CF5">
      <w:pPr>
        <w:spacing w:after="0"/>
        <w:rPr>
          <w:rFonts w:ascii="Arial" w:hAnsi="Arial" w:cs="Arial"/>
          <w:iCs/>
          <w:sz w:val="24"/>
          <w:szCs w:val="24"/>
        </w:rPr>
      </w:pPr>
    </w:p>
    <w:p w14:paraId="19657D54" w14:textId="23170F61" w:rsidR="00D81CF5" w:rsidRPr="005B6B0B" w:rsidRDefault="00D81CF5" w:rsidP="00C750E2">
      <w:pPr>
        <w:spacing w:after="0"/>
        <w:rPr>
          <w:rFonts w:ascii="Arial" w:hAnsi="Arial" w:cs="Arial"/>
          <w:sz w:val="24"/>
          <w:szCs w:val="24"/>
        </w:rPr>
      </w:pPr>
      <w:r w:rsidRPr="00D81CF5">
        <w:rPr>
          <w:rFonts w:ascii="Arial" w:hAnsi="Arial" w:cs="Arial"/>
          <w:iCs/>
          <w:sz w:val="24"/>
          <w:szCs w:val="24"/>
        </w:rPr>
        <w:t xml:space="preserve">Furthermore, all personal information collected by Commonwealth entities as a result of the amendment will also be handled and stored in accordance with the Australian Privacy Principles (APP) as provided for in the </w:t>
      </w:r>
      <w:r w:rsidRPr="00D81CF5">
        <w:rPr>
          <w:rFonts w:ascii="Arial" w:hAnsi="Arial" w:cs="Arial"/>
          <w:i/>
          <w:sz w:val="24"/>
          <w:szCs w:val="24"/>
        </w:rPr>
        <w:t>Privacy Act 1988</w:t>
      </w:r>
      <w:r w:rsidRPr="00D81CF5">
        <w:rPr>
          <w:rFonts w:ascii="Arial" w:hAnsi="Arial" w:cs="Arial"/>
          <w:iCs/>
          <w:sz w:val="24"/>
          <w:szCs w:val="24"/>
        </w:rPr>
        <w:t xml:space="preserve"> (Cth). Consequently, section 92AA explicitly provides that should a Commonwealth agency request data or information, the Chief Executive Officer must be satisfied that the data will be managed in accordance with the APP, including APP 6 which limits how sensitive personal information may be used.</w:t>
      </w:r>
    </w:p>
    <w:p w14:paraId="07DD8B41" w14:textId="77777777" w:rsidR="007E67F2" w:rsidRPr="0022202A" w:rsidRDefault="007E67F2" w:rsidP="007E67F2">
      <w:pPr>
        <w:spacing w:after="0"/>
        <w:rPr>
          <w:rFonts w:ascii="Arial" w:hAnsi="Arial" w:cs="Arial"/>
          <w:i/>
          <w:sz w:val="24"/>
          <w:szCs w:val="24"/>
        </w:rPr>
      </w:pPr>
    </w:p>
    <w:p w14:paraId="7339FBFF" w14:textId="01D0ED0B" w:rsidR="0022202A" w:rsidRPr="0022202A" w:rsidRDefault="007E67F2" w:rsidP="007E67F2">
      <w:pPr>
        <w:spacing w:after="0"/>
        <w:rPr>
          <w:rFonts w:ascii="Arial" w:hAnsi="Arial" w:cs="Arial"/>
          <w:b/>
          <w:i/>
          <w:iCs/>
          <w:sz w:val="24"/>
          <w:szCs w:val="24"/>
        </w:rPr>
      </w:pPr>
      <w:r w:rsidRPr="0022202A">
        <w:rPr>
          <w:rFonts w:ascii="Arial" w:hAnsi="Arial" w:cs="Arial"/>
          <w:b/>
          <w:i/>
          <w:iCs/>
          <w:sz w:val="24"/>
          <w:szCs w:val="24"/>
        </w:rPr>
        <w:t>Magistrates Court (Infringement Notices) Amendment Act 2020</w:t>
      </w:r>
    </w:p>
    <w:p w14:paraId="334ABD85" w14:textId="77777777" w:rsidR="0022202A" w:rsidRPr="0022202A" w:rsidRDefault="0022202A" w:rsidP="0022202A">
      <w:pPr>
        <w:autoSpaceDE w:val="0"/>
        <w:autoSpaceDN w:val="0"/>
        <w:adjustRightInd w:val="0"/>
        <w:spacing w:before="240" w:after="120"/>
        <w:rPr>
          <w:rFonts w:ascii="Arial" w:hAnsi="Arial" w:cs="Arial"/>
          <w:color w:val="000000"/>
          <w:sz w:val="24"/>
          <w:szCs w:val="24"/>
          <w:u w:val="single"/>
          <w:shd w:val="clear" w:color="auto" w:fill="FFFFFF"/>
        </w:rPr>
      </w:pPr>
      <w:r w:rsidRPr="0022202A">
        <w:rPr>
          <w:rFonts w:ascii="Arial" w:hAnsi="Arial" w:cs="Arial"/>
          <w:color w:val="000000"/>
          <w:sz w:val="24"/>
          <w:szCs w:val="24"/>
          <w:u w:val="single"/>
          <w:shd w:val="clear" w:color="auto" w:fill="FFFFFF"/>
        </w:rPr>
        <w:t>The nature of the right affected and the limitation (s 28 (2) (a) and (c))</w:t>
      </w:r>
    </w:p>
    <w:p w14:paraId="36806BB2" w14:textId="46B5C598" w:rsidR="007E67F2" w:rsidRPr="0022202A" w:rsidRDefault="007E67F2" w:rsidP="007E67F2">
      <w:pPr>
        <w:keepNext/>
        <w:autoSpaceDE w:val="0"/>
        <w:autoSpaceDN w:val="0"/>
        <w:adjustRightInd w:val="0"/>
        <w:spacing w:before="240" w:after="120"/>
        <w:rPr>
          <w:rFonts w:ascii="Arial" w:hAnsi="Arial" w:cs="Arial"/>
          <w:bCs/>
          <w:sz w:val="24"/>
          <w:szCs w:val="24"/>
        </w:rPr>
      </w:pPr>
      <w:r w:rsidRPr="005B6B0B">
        <w:rPr>
          <w:rFonts w:ascii="Arial" w:hAnsi="Arial" w:cs="Arial"/>
          <w:bCs/>
          <w:sz w:val="24"/>
          <w:szCs w:val="24"/>
        </w:rPr>
        <w:t xml:space="preserve">The amendments to the </w:t>
      </w:r>
      <w:r w:rsidRPr="005B6B0B">
        <w:rPr>
          <w:rFonts w:ascii="Arial" w:hAnsi="Arial" w:cs="Arial"/>
          <w:bCs/>
          <w:i/>
          <w:iCs/>
          <w:sz w:val="24"/>
          <w:szCs w:val="24"/>
        </w:rPr>
        <w:t>Magistrates Court (Infringement Notices) Amendment Act 2020</w:t>
      </w:r>
      <w:r w:rsidRPr="005B6B0B">
        <w:rPr>
          <w:rFonts w:ascii="Arial" w:hAnsi="Arial" w:cs="Arial"/>
          <w:bCs/>
          <w:sz w:val="24"/>
          <w:szCs w:val="24"/>
        </w:rPr>
        <w:t xml:space="preserve"> in the Bill may engage and limit the right to equality and non</w:t>
      </w:r>
      <w:r w:rsidRPr="005B6B0B">
        <w:rPr>
          <w:rFonts w:ascii="Arial" w:hAnsi="Arial" w:cs="Arial"/>
          <w:bCs/>
          <w:sz w:val="24"/>
          <w:szCs w:val="24"/>
        </w:rPr>
        <w:noBreakHyphen/>
        <w:t xml:space="preserve">discrimination as </w:t>
      </w:r>
      <w:r w:rsidRPr="005B6B0B">
        <w:rPr>
          <w:rFonts w:ascii="Arial" w:hAnsi="Arial" w:cs="Arial"/>
          <w:bCs/>
          <w:sz w:val="24"/>
          <w:szCs w:val="24"/>
        </w:rPr>
        <w:lastRenderedPageBreak/>
        <w:t xml:space="preserve">the Bill will delay the introduction of measures that would be available to individuals who are on low income or who are otherwise disadvantaged. </w:t>
      </w:r>
    </w:p>
    <w:p w14:paraId="54E57442" w14:textId="70FD75EB" w:rsidR="0022202A" w:rsidRPr="005B6B0B" w:rsidRDefault="0022202A" w:rsidP="005B6B0B">
      <w:pPr>
        <w:shd w:val="clear" w:color="auto" w:fill="FFFFFF"/>
        <w:spacing w:before="240" w:after="120" w:line="240" w:lineRule="auto"/>
        <w:rPr>
          <w:rFonts w:ascii="Arial" w:hAnsi="Arial" w:cs="Arial"/>
          <w:color w:val="000000"/>
          <w:sz w:val="24"/>
          <w:szCs w:val="24"/>
          <w:u w:val="single"/>
          <w:lang w:eastAsia="en-AU"/>
        </w:rPr>
      </w:pPr>
      <w:r w:rsidRPr="0022202A">
        <w:rPr>
          <w:rFonts w:ascii="Arial" w:hAnsi="Arial" w:cs="Arial"/>
          <w:color w:val="000000"/>
          <w:sz w:val="24"/>
          <w:szCs w:val="24"/>
          <w:u w:val="single"/>
          <w:lang w:eastAsia="en-AU"/>
        </w:rPr>
        <w:t>Legitimate purpose (s 28 (2) (b)) and rational connection between the limitation and the purpose (s 28 (2) (d))</w:t>
      </w:r>
    </w:p>
    <w:p w14:paraId="6CA4E9B8" w14:textId="428C5B36" w:rsidR="0022202A" w:rsidRPr="005B6B0B" w:rsidRDefault="007E67F2" w:rsidP="007E67F2">
      <w:pPr>
        <w:autoSpaceDE w:val="0"/>
        <w:autoSpaceDN w:val="0"/>
        <w:adjustRightInd w:val="0"/>
        <w:spacing w:before="240" w:after="120"/>
        <w:rPr>
          <w:rFonts w:ascii="Arial" w:hAnsi="Arial" w:cs="Arial"/>
          <w:sz w:val="24"/>
          <w:szCs w:val="24"/>
        </w:rPr>
      </w:pPr>
      <w:r w:rsidRPr="005B6B0B">
        <w:rPr>
          <w:rFonts w:ascii="Arial" w:hAnsi="Arial" w:cs="Arial"/>
          <w:bCs/>
          <w:sz w:val="24"/>
          <w:szCs w:val="24"/>
        </w:rPr>
        <w:t xml:space="preserve">The </w:t>
      </w:r>
      <w:r w:rsidRPr="005B6B0B">
        <w:rPr>
          <w:rFonts w:ascii="Arial" w:hAnsi="Arial" w:cs="Arial"/>
          <w:sz w:val="24"/>
          <w:szCs w:val="24"/>
        </w:rPr>
        <w:t xml:space="preserve">purpose of the limitation is to enable the ACT Government sufficient time to scope and resource implementation of the measures in the </w:t>
      </w:r>
      <w:r w:rsidRPr="005B6B0B">
        <w:rPr>
          <w:rFonts w:ascii="Arial" w:hAnsi="Arial" w:cs="Arial"/>
          <w:bCs/>
          <w:i/>
          <w:iCs/>
          <w:sz w:val="24"/>
          <w:szCs w:val="24"/>
        </w:rPr>
        <w:t>Magistrates Court (Infringement Notices) Amendment Act 2020</w:t>
      </w:r>
      <w:r w:rsidRPr="005B6B0B">
        <w:rPr>
          <w:rFonts w:ascii="Arial" w:hAnsi="Arial" w:cs="Arial"/>
          <w:sz w:val="24"/>
          <w:szCs w:val="24"/>
        </w:rPr>
        <w:t xml:space="preserve">, preferably in a centralised manner with appropriate ICT systems. Currently agencies that issue infringement notices under the Magistrates Court Act do so individually. In order to realise the full benefits of the Amendment Act, including the ability to add infringements to cross-agency infringement management plans, a centralised system is required. This would provide a more user-friendly experience for individuals and enable a whole of government approach to the issuance of infringement notices under the Magistrates Court Act. Further lead time and resourcing is required to realise this goal. </w:t>
      </w:r>
    </w:p>
    <w:p w14:paraId="432A8EF1" w14:textId="466A2B64" w:rsidR="007E67F2" w:rsidRPr="0022202A" w:rsidRDefault="007E67F2" w:rsidP="007E67F2">
      <w:pPr>
        <w:autoSpaceDE w:val="0"/>
        <w:autoSpaceDN w:val="0"/>
        <w:adjustRightInd w:val="0"/>
        <w:spacing w:before="240" w:after="120"/>
        <w:rPr>
          <w:rFonts w:ascii="Arial" w:hAnsi="Arial" w:cs="Arial"/>
          <w:sz w:val="24"/>
          <w:szCs w:val="24"/>
        </w:rPr>
      </w:pPr>
      <w:r w:rsidRPr="005B6B0B">
        <w:rPr>
          <w:rFonts w:ascii="Arial" w:hAnsi="Arial" w:cs="Arial"/>
          <w:sz w:val="24"/>
          <w:szCs w:val="24"/>
        </w:rPr>
        <w:t xml:space="preserve">There is a rational connection between the limitation and the purpose, as extending the commencement of the </w:t>
      </w:r>
      <w:r w:rsidRPr="005B6B0B">
        <w:rPr>
          <w:rFonts w:ascii="Arial" w:hAnsi="Arial" w:cs="Arial"/>
          <w:bCs/>
          <w:i/>
          <w:iCs/>
          <w:sz w:val="24"/>
          <w:szCs w:val="24"/>
        </w:rPr>
        <w:t>Magistrates Court (Infringement Notices) Amendment Act 2020</w:t>
      </w:r>
      <w:r w:rsidRPr="005B6B0B">
        <w:rPr>
          <w:rFonts w:ascii="Arial" w:hAnsi="Arial" w:cs="Arial"/>
          <w:bCs/>
          <w:sz w:val="24"/>
          <w:szCs w:val="24"/>
        </w:rPr>
        <w:t xml:space="preserve"> </w:t>
      </w:r>
      <w:r w:rsidRPr="005B6B0B">
        <w:rPr>
          <w:rFonts w:ascii="Arial" w:hAnsi="Arial" w:cs="Arial"/>
          <w:sz w:val="24"/>
          <w:szCs w:val="24"/>
        </w:rPr>
        <w:t xml:space="preserve">by a period of two-years will enable the required scoping work to be undertaken on a centralised infringement management system, to better position the ACT Government to implement the reforms. </w:t>
      </w:r>
    </w:p>
    <w:p w14:paraId="626D280E" w14:textId="5EBDDCA5" w:rsidR="0022202A" w:rsidRPr="005B6B0B" w:rsidRDefault="0022202A" w:rsidP="005B6B0B">
      <w:pPr>
        <w:rPr>
          <w:rFonts w:ascii="Arial" w:hAnsi="Arial" w:cs="Arial"/>
          <w:color w:val="000000"/>
          <w:sz w:val="24"/>
          <w:szCs w:val="24"/>
          <w:u w:val="single"/>
          <w:shd w:val="clear" w:color="auto" w:fill="FFFFFF"/>
        </w:rPr>
      </w:pPr>
      <w:r w:rsidRPr="0022202A">
        <w:rPr>
          <w:rFonts w:ascii="Arial" w:hAnsi="Arial" w:cs="Arial"/>
          <w:color w:val="000000"/>
          <w:sz w:val="24"/>
          <w:szCs w:val="24"/>
          <w:u w:val="single"/>
          <w:shd w:val="clear" w:color="auto" w:fill="FFFFFF"/>
        </w:rPr>
        <w:t>Proportionality (s 28 (2) (e))</w:t>
      </w:r>
    </w:p>
    <w:p w14:paraId="52BA9E06" w14:textId="53E11D62" w:rsidR="007E67F2" w:rsidRPr="005B6B0B" w:rsidRDefault="007E67F2" w:rsidP="007E67F2">
      <w:pPr>
        <w:widowControl w:val="0"/>
        <w:autoSpaceDE w:val="0"/>
        <w:autoSpaceDN w:val="0"/>
        <w:adjustRightInd w:val="0"/>
        <w:spacing w:before="240" w:after="120"/>
        <w:rPr>
          <w:rFonts w:ascii="Arial" w:hAnsi="Arial" w:cs="Arial"/>
          <w:sz w:val="24"/>
          <w:szCs w:val="24"/>
        </w:rPr>
      </w:pPr>
      <w:r w:rsidRPr="005B6B0B">
        <w:rPr>
          <w:rFonts w:ascii="Arial" w:hAnsi="Arial" w:cs="Arial"/>
          <w:bCs/>
          <w:sz w:val="24"/>
          <w:szCs w:val="24"/>
        </w:rPr>
        <w:t xml:space="preserve">The limitation is considered to be the </w:t>
      </w:r>
      <w:r w:rsidRPr="005B6B0B">
        <w:rPr>
          <w:rFonts w:ascii="Arial" w:hAnsi="Arial" w:cs="Arial"/>
          <w:sz w:val="24"/>
          <w:szCs w:val="24"/>
        </w:rPr>
        <w:t xml:space="preserve">least restrictive possible limitation to achieve the aim of developing a centralised system for managing infringements under the </w:t>
      </w:r>
      <w:r w:rsidRPr="005B6B0B">
        <w:rPr>
          <w:rFonts w:ascii="Arial" w:hAnsi="Arial" w:cs="Arial"/>
          <w:bCs/>
          <w:i/>
          <w:iCs/>
          <w:sz w:val="24"/>
          <w:szCs w:val="24"/>
        </w:rPr>
        <w:t>Magistrates Court (Infringement Notices) Amendment Act 2020</w:t>
      </w:r>
      <w:r w:rsidRPr="005B6B0B">
        <w:rPr>
          <w:rFonts w:ascii="Arial" w:hAnsi="Arial" w:cs="Arial"/>
          <w:sz w:val="24"/>
          <w:szCs w:val="24"/>
        </w:rPr>
        <w:t>.</w:t>
      </w:r>
      <w:r w:rsidRPr="005B6B0B">
        <w:rPr>
          <w:rFonts w:ascii="Arial" w:hAnsi="Arial" w:cs="Arial"/>
          <w:b/>
          <w:bCs/>
          <w:sz w:val="24"/>
          <w:szCs w:val="24"/>
        </w:rPr>
        <w:t xml:space="preserve"> </w:t>
      </w:r>
      <w:r w:rsidRPr="005B6B0B">
        <w:rPr>
          <w:rFonts w:ascii="Arial" w:hAnsi="Arial" w:cs="Arial"/>
          <w:sz w:val="24"/>
          <w:szCs w:val="24"/>
        </w:rPr>
        <w:t xml:space="preserve">The effect of the amendment is to extend the commencement of the Amendment Act by two years, which is considered the shortest appropriate time to undertake the required scoping work on the centralised system. The delayed commencement will have no impact on any existing means of discharging infringement notices and does not limit any existing options available to individuals. For example, an individual may still seek an extension of time to pay an </w:t>
      </w:r>
      <w:r w:rsidR="00C97F9C" w:rsidRPr="005B6B0B">
        <w:rPr>
          <w:rFonts w:ascii="Arial" w:hAnsi="Arial" w:cs="Arial"/>
          <w:sz w:val="24"/>
          <w:szCs w:val="24"/>
        </w:rPr>
        <w:t>infringement or</w:t>
      </w:r>
      <w:r w:rsidRPr="005B6B0B">
        <w:rPr>
          <w:rFonts w:ascii="Arial" w:hAnsi="Arial" w:cs="Arial"/>
          <w:sz w:val="24"/>
          <w:szCs w:val="24"/>
        </w:rPr>
        <w:t xml:space="preserve"> dispute an infringement. </w:t>
      </w:r>
    </w:p>
    <w:p w14:paraId="1B0AC969" w14:textId="5C4D2A4A" w:rsidR="007E67F2" w:rsidRPr="005B6B0B" w:rsidRDefault="007E67F2" w:rsidP="005B6B0B">
      <w:pPr>
        <w:spacing w:after="160" w:line="256" w:lineRule="auto"/>
        <w:contextualSpacing/>
        <w:rPr>
          <w:rFonts w:ascii="Arial" w:hAnsi="Arial" w:cs="Arial"/>
          <w:sz w:val="24"/>
          <w:szCs w:val="24"/>
        </w:rPr>
      </w:pPr>
      <w:r w:rsidRPr="005B6B0B">
        <w:rPr>
          <w:rFonts w:ascii="Arial" w:hAnsi="Arial" w:cs="Arial"/>
          <w:sz w:val="24"/>
          <w:szCs w:val="24"/>
          <w:lang w:eastAsia="en-AU"/>
        </w:rPr>
        <w:t>The potential limitations on human rights in the Bill are reasonable and demonstrably justified pursuant to section 28 of the HR Act, because they are the least restrictive means available to achieve the purpose of the amendments.</w:t>
      </w:r>
    </w:p>
    <w:p w14:paraId="1577E9E8" w14:textId="63AE7C41" w:rsidR="007E6701" w:rsidRPr="005B6B0B" w:rsidRDefault="007E6701" w:rsidP="007E6701">
      <w:pPr>
        <w:rPr>
          <w:rFonts w:ascii="Arial" w:hAnsi="Arial" w:cs="Arial"/>
          <w:sz w:val="24"/>
          <w:szCs w:val="24"/>
        </w:rPr>
      </w:pPr>
      <w:r>
        <w:rPr>
          <w:rFonts w:ascii="Arial" w:hAnsi="Arial" w:cs="Arial"/>
        </w:rPr>
        <w:br/>
      </w:r>
    </w:p>
    <w:p w14:paraId="370EA395" w14:textId="47227D7C" w:rsidR="007E6701" w:rsidRDefault="00400058" w:rsidP="007E6701">
      <w:pPr>
        <w:rPr>
          <w:rFonts w:ascii="Arial" w:hAnsi="Arial" w:cs="Arial"/>
        </w:rPr>
      </w:pPr>
      <w:bookmarkStart w:id="4" w:name="_ftnref1"/>
      <w:bookmarkEnd w:id="4"/>
      <w:r>
        <w:rPr>
          <w:rFonts w:ascii="Arial" w:hAnsi="Arial" w:cs="Arial"/>
        </w:rPr>
        <w:br/>
      </w:r>
    </w:p>
    <w:p w14:paraId="1134EAA0" w14:textId="3619A7CF" w:rsidR="00877913" w:rsidRDefault="00877913" w:rsidP="007E6701">
      <w:pPr>
        <w:rPr>
          <w:rFonts w:ascii="Arial" w:hAnsi="Arial" w:cs="Arial"/>
        </w:rPr>
      </w:pPr>
    </w:p>
    <w:p w14:paraId="11478612" w14:textId="7FEF1A28" w:rsidR="00877913" w:rsidRDefault="00877913" w:rsidP="007E6701">
      <w:pPr>
        <w:rPr>
          <w:rFonts w:ascii="Arial" w:hAnsi="Arial" w:cs="Arial"/>
        </w:rPr>
      </w:pPr>
    </w:p>
    <w:p w14:paraId="12CB6486" w14:textId="1FDC230D" w:rsidR="00877913" w:rsidRDefault="00877913" w:rsidP="007E6701">
      <w:pPr>
        <w:rPr>
          <w:rFonts w:ascii="Arial" w:hAnsi="Arial" w:cs="Arial"/>
        </w:rPr>
      </w:pPr>
    </w:p>
    <w:p w14:paraId="5B39704E" w14:textId="45963E39" w:rsidR="00877913" w:rsidRDefault="00877913" w:rsidP="007E6701">
      <w:pPr>
        <w:rPr>
          <w:rFonts w:ascii="Arial" w:hAnsi="Arial" w:cs="Arial"/>
        </w:rPr>
      </w:pPr>
    </w:p>
    <w:p w14:paraId="2FDDDB0A" w14:textId="6D28C94D" w:rsidR="00877913" w:rsidRDefault="00877913" w:rsidP="007E6701">
      <w:pPr>
        <w:rPr>
          <w:rFonts w:ascii="Arial" w:hAnsi="Arial" w:cs="Arial"/>
        </w:rPr>
      </w:pPr>
    </w:p>
    <w:p w14:paraId="50BF716E" w14:textId="5B6F5683" w:rsidR="00877913" w:rsidRDefault="00877913" w:rsidP="007E6701">
      <w:pPr>
        <w:rPr>
          <w:rFonts w:ascii="Arial" w:hAnsi="Arial" w:cs="Arial"/>
        </w:rPr>
      </w:pPr>
    </w:p>
    <w:p w14:paraId="79AD90A2" w14:textId="2B60611F" w:rsidR="00E574DD" w:rsidRPr="00943C7F" w:rsidRDefault="0023428F" w:rsidP="00E574DD">
      <w:pPr>
        <w:pStyle w:val="Heading2"/>
        <w:ind w:left="-108"/>
        <w:jc w:val="center"/>
        <w:rPr>
          <w:rFonts w:asciiTheme="minorHAnsi" w:hAnsiTheme="minorHAnsi" w:cs="Arial"/>
          <w:b w:val="0"/>
          <w:bCs/>
          <w:i/>
          <w:iCs/>
          <w:sz w:val="28"/>
          <w:szCs w:val="28"/>
        </w:rPr>
      </w:pPr>
      <w:bookmarkStart w:id="5" w:name="OLE_LINK1"/>
      <w:r>
        <w:rPr>
          <w:rFonts w:asciiTheme="minorHAnsi" w:hAnsiTheme="minorHAnsi" w:cs="Arial"/>
          <w:b w:val="0"/>
          <w:sz w:val="28"/>
          <w:szCs w:val="28"/>
          <w:lang w:eastAsia="en-AU"/>
        </w:rPr>
        <w:t>JUSTICE AND COMMUNITY SAFETY LEGISLATION AMENDMENT</w:t>
      </w:r>
      <w:r w:rsidR="00E574DD" w:rsidRPr="00943C7F">
        <w:rPr>
          <w:rFonts w:asciiTheme="minorHAnsi" w:hAnsiTheme="minorHAnsi" w:cs="Arial"/>
          <w:b w:val="0"/>
          <w:sz w:val="28"/>
          <w:szCs w:val="28"/>
          <w:lang w:eastAsia="en-AU"/>
        </w:rPr>
        <w:t xml:space="preserve"> B</w:t>
      </w:r>
      <w:r w:rsidR="001F404A">
        <w:rPr>
          <w:rFonts w:asciiTheme="minorHAnsi" w:hAnsiTheme="minorHAnsi" w:cs="Arial"/>
          <w:b w:val="0"/>
          <w:sz w:val="28"/>
          <w:szCs w:val="28"/>
          <w:lang w:eastAsia="en-AU"/>
        </w:rPr>
        <w:t>i</w:t>
      </w:r>
      <w:r w:rsidR="00E574DD" w:rsidRPr="00943C7F">
        <w:rPr>
          <w:rFonts w:asciiTheme="minorHAnsi" w:hAnsiTheme="minorHAnsi" w:cs="Arial"/>
          <w:b w:val="0"/>
          <w:sz w:val="28"/>
          <w:szCs w:val="28"/>
          <w:lang w:eastAsia="en-AU"/>
        </w:rPr>
        <w:t>ll 20</w:t>
      </w:r>
      <w:r w:rsidR="00774277">
        <w:rPr>
          <w:rFonts w:asciiTheme="minorHAnsi" w:hAnsiTheme="minorHAnsi" w:cs="Arial"/>
          <w:b w:val="0"/>
          <w:sz w:val="28"/>
          <w:szCs w:val="28"/>
          <w:lang w:eastAsia="en-AU"/>
        </w:rPr>
        <w:t>2</w:t>
      </w:r>
      <w:r w:rsidR="006D7F01">
        <w:rPr>
          <w:rFonts w:asciiTheme="minorHAnsi" w:hAnsiTheme="minorHAnsi" w:cs="Arial"/>
          <w:b w:val="0"/>
          <w:sz w:val="28"/>
          <w:szCs w:val="28"/>
          <w:lang w:eastAsia="en-AU"/>
        </w:rPr>
        <w:t>1</w:t>
      </w:r>
    </w:p>
    <w:bookmarkEnd w:id="5"/>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1E22C24B"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C97F9C">
        <w:rPr>
          <w:rFonts w:asciiTheme="minorHAnsi" w:hAnsiTheme="minorHAnsi"/>
          <w:b/>
        </w:rPr>
        <w:t>Justice and Community Safety Legislation</w:t>
      </w:r>
      <w:r>
        <w:rPr>
          <w:rFonts w:asciiTheme="minorHAnsi" w:hAnsiTheme="minorHAnsi"/>
          <w:b/>
        </w:rPr>
        <w:t> Amendment Bill</w:t>
      </w:r>
      <w:r w:rsidR="00A5201D">
        <w:rPr>
          <w:rFonts w:asciiTheme="minorHAnsi" w:hAnsiTheme="minorHAnsi"/>
          <w:b/>
        </w:rPr>
        <w:t xml:space="preserve"> </w:t>
      </w:r>
      <w:r>
        <w:rPr>
          <w:rFonts w:asciiTheme="minorHAnsi" w:hAnsiTheme="minorHAnsi"/>
          <w:b/>
        </w:rPr>
        <w:t>20</w:t>
      </w:r>
      <w:r w:rsidR="00774277">
        <w:rPr>
          <w:rFonts w:asciiTheme="minorHAnsi" w:hAnsiTheme="minorHAnsi"/>
          <w:b/>
        </w:rPr>
        <w:t>2</w:t>
      </w:r>
      <w:r w:rsidR="00C97F9C">
        <w:rPr>
          <w:rFonts w:asciiTheme="minorHAnsi" w:hAnsiTheme="minorHAnsi"/>
          <w:b/>
        </w:rPr>
        <w:t>1</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to the Legislative Assembly</w:t>
      </w:r>
      <w:r w:rsidR="00424FBB" w:rsidRPr="005B6B0B">
        <w:rPr>
          <w:rFonts w:asciiTheme="minorHAnsi" w:hAnsiTheme="minorHAnsi"/>
          <w:b/>
        </w:rPr>
        <w:t xml:space="preserve"> </w:t>
      </w:r>
      <w:r w:rsidR="00406CB3">
        <w:rPr>
          <w:rFonts w:asciiTheme="minorHAnsi" w:hAnsiTheme="minorHAnsi"/>
          <w:b/>
        </w:rPr>
        <w:t>is</w:t>
      </w:r>
      <w:r>
        <w:rPr>
          <w:rFonts w:asciiTheme="minorHAnsi" w:hAnsiTheme="minorHAnsi"/>
        </w:rPr>
        <w:t xml:space="preserve"> </w:t>
      </w:r>
      <w:r w:rsidRPr="00521950">
        <w:rPr>
          <w:rFonts w:asciiTheme="minorHAnsi" w:hAnsiTheme="minorHAnsi"/>
        </w:rPr>
        <w:t xml:space="preserve">consistent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6F2B0CF3" w:rsidR="00E574DD" w:rsidRDefault="00343402" w:rsidP="00E574DD">
      <w:pPr>
        <w:rPr>
          <w:rFonts w:asciiTheme="minorHAnsi" w:hAnsiTheme="minorHAnsi" w:cstheme="minorHAnsi"/>
        </w:rPr>
      </w:pPr>
      <w:r>
        <w:rPr>
          <w:rFonts w:asciiTheme="minorHAnsi" w:hAnsiTheme="minorHAnsi" w:cstheme="minorHAnsi"/>
        </w:rPr>
        <w:t>Shane Rattenbury</w:t>
      </w:r>
      <w:r w:rsidR="00E574DD">
        <w:rPr>
          <w:rFonts w:asciiTheme="minorHAnsi" w:hAnsiTheme="minorHAnsi" w:cstheme="minorHAnsi"/>
        </w:rPr>
        <w:t xml:space="preserve"> MLA</w:t>
      </w:r>
      <w:r w:rsidR="00E574DD">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6173867E" w14:textId="11ABFDA6" w:rsidR="008C76C4" w:rsidRDefault="008C76C4">
      <w:pPr>
        <w:pStyle w:val="Heading2"/>
        <w:pageBreakBefore/>
        <w:spacing w:before="240" w:after="240"/>
      </w:pPr>
      <w:r w:rsidRPr="008C225D">
        <w:lastRenderedPageBreak/>
        <w:t>CLAUSE NOTES</w:t>
      </w:r>
    </w:p>
    <w:p w14:paraId="0E2E8CBE" w14:textId="77777777" w:rsidR="00E76504" w:rsidRPr="00E76504" w:rsidRDefault="00E76504" w:rsidP="00E76504"/>
    <w:p w14:paraId="1ECB2BA9" w14:textId="52170245" w:rsidR="0004542C" w:rsidRDefault="0004542C" w:rsidP="0004542C">
      <w:pPr>
        <w:pStyle w:val="Heading2"/>
      </w:pPr>
      <w:r>
        <w:t>Part 1</w:t>
      </w:r>
      <w:r>
        <w:tab/>
      </w:r>
      <w:r>
        <w:tab/>
        <w:t xml:space="preserve">Preliminary </w:t>
      </w:r>
    </w:p>
    <w:p w14:paraId="27FB735B" w14:textId="6315BB1E" w:rsidR="00C61B07" w:rsidRDefault="00C61B07" w:rsidP="00C65E0C">
      <w:pPr>
        <w:pStyle w:val="Heading3"/>
      </w:pPr>
      <w:r w:rsidRPr="00ED3B77">
        <w:t>Clause 1</w:t>
      </w:r>
      <w:r w:rsidRPr="00ED3B77">
        <w:tab/>
        <w:t>Name of Act</w:t>
      </w:r>
    </w:p>
    <w:p w14:paraId="53B85081" w14:textId="34C86BC6" w:rsidR="0004542C" w:rsidRPr="005B6B0B" w:rsidRDefault="0004542C" w:rsidP="005B6B0B">
      <w:pPr>
        <w:jc w:val="both"/>
        <w:rPr>
          <w:rFonts w:cs="Arial"/>
          <w:b/>
        </w:rPr>
      </w:pPr>
      <w:r w:rsidRPr="0074496A">
        <w:rPr>
          <w:rFonts w:ascii="Arial" w:hAnsi="Arial" w:cs="Arial"/>
          <w:sz w:val="24"/>
          <w:szCs w:val="24"/>
        </w:rPr>
        <w:t xml:space="preserve">This clause is a formal provision setting out the name of the Act as the </w:t>
      </w:r>
      <w:r w:rsidRPr="0074496A">
        <w:rPr>
          <w:rFonts w:ascii="Arial" w:hAnsi="Arial" w:cs="Arial"/>
          <w:i/>
          <w:iCs/>
          <w:sz w:val="24"/>
          <w:szCs w:val="24"/>
        </w:rPr>
        <w:t xml:space="preserve">Justice </w:t>
      </w:r>
      <w:r>
        <w:rPr>
          <w:rFonts w:ascii="Arial" w:hAnsi="Arial" w:cs="Arial"/>
          <w:i/>
          <w:iCs/>
          <w:sz w:val="24"/>
          <w:szCs w:val="24"/>
        </w:rPr>
        <w:t xml:space="preserve">and Community Safety </w:t>
      </w:r>
      <w:r w:rsidRPr="007D69CA">
        <w:rPr>
          <w:rFonts w:ascii="Arial" w:hAnsi="Arial" w:cs="Arial"/>
          <w:i/>
          <w:iCs/>
          <w:sz w:val="24"/>
          <w:szCs w:val="24"/>
        </w:rPr>
        <w:t>Legislation Amendment Bill 202</w:t>
      </w:r>
      <w:r>
        <w:rPr>
          <w:rFonts w:ascii="Arial" w:hAnsi="Arial" w:cs="Arial"/>
          <w:i/>
          <w:iCs/>
          <w:sz w:val="24"/>
          <w:szCs w:val="24"/>
        </w:rPr>
        <w:t>1</w:t>
      </w:r>
      <w:r w:rsidRPr="007D69CA">
        <w:rPr>
          <w:rFonts w:ascii="Arial" w:hAnsi="Arial" w:cs="Arial"/>
          <w:i/>
          <w:iCs/>
          <w:sz w:val="24"/>
          <w:szCs w:val="24"/>
        </w:rPr>
        <w:t xml:space="preserve"> </w:t>
      </w:r>
      <w:r w:rsidRPr="007D69CA">
        <w:rPr>
          <w:rFonts w:ascii="Arial" w:hAnsi="Arial" w:cs="Arial"/>
          <w:sz w:val="24"/>
          <w:szCs w:val="24"/>
        </w:rPr>
        <w:t>(the Act).</w:t>
      </w:r>
    </w:p>
    <w:p w14:paraId="341827EE" w14:textId="07A160A3" w:rsidR="00C61B07" w:rsidRDefault="00C61B07" w:rsidP="008C225D">
      <w:pPr>
        <w:pStyle w:val="Heading3"/>
      </w:pPr>
      <w:r w:rsidRPr="00ED3B77">
        <w:t>Clause 2</w:t>
      </w:r>
      <w:r w:rsidRPr="00ED3B77">
        <w:tab/>
        <w:t>Commencement</w:t>
      </w:r>
    </w:p>
    <w:p w14:paraId="3D00CC13" w14:textId="77777777" w:rsidR="0004542C" w:rsidRPr="00937AC1" w:rsidRDefault="0004542C" w:rsidP="0004542C">
      <w:pPr>
        <w:jc w:val="both"/>
        <w:rPr>
          <w:rFonts w:ascii="Arial" w:hAnsi="Arial" w:cs="Arial"/>
          <w:sz w:val="24"/>
          <w:szCs w:val="24"/>
        </w:rPr>
      </w:pPr>
      <w:r w:rsidRPr="00937AC1">
        <w:rPr>
          <w:rFonts w:ascii="Arial" w:hAnsi="Arial" w:cs="Arial"/>
          <w:sz w:val="24"/>
          <w:szCs w:val="24"/>
        </w:rPr>
        <w:t>This clause provides for commencement of different provisions in the Act.</w:t>
      </w:r>
    </w:p>
    <w:p w14:paraId="2D8DA056" w14:textId="34CAF92A" w:rsidR="0004542C" w:rsidRPr="005B6B0B" w:rsidRDefault="0004542C" w:rsidP="0004542C">
      <w:pPr>
        <w:jc w:val="both"/>
        <w:rPr>
          <w:rFonts w:ascii="Arial" w:hAnsi="Arial" w:cs="Arial"/>
          <w:sz w:val="24"/>
          <w:szCs w:val="24"/>
        </w:rPr>
      </w:pPr>
      <w:r w:rsidRPr="00937AC1">
        <w:rPr>
          <w:rFonts w:ascii="Arial" w:hAnsi="Arial" w:cs="Arial"/>
          <w:sz w:val="24"/>
          <w:szCs w:val="24"/>
        </w:rPr>
        <w:t xml:space="preserve">The provisions in the Act, except for </w:t>
      </w:r>
      <w:r w:rsidR="009E7284">
        <w:rPr>
          <w:rFonts w:ascii="Arial" w:hAnsi="Arial" w:cs="Arial"/>
          <w:sz w:val="24"/>
          <w:szCs w:val="24"/>
        </w:rPr>
        <w:t>those outlined below</w:t>
      </w:r>
      <w:r w:rsidR="00EE437D">
        <w:rPr>
          <w:rFonts w:ascii="Arial" w:hAnsi="Arial" w:cs="Arial"/>
          <w:sz w:val="24"/>
          <w:szCs w:val="24"/>
        </w:rPr>
        <w:t xml:space="preserve">, </w:t>
      </w:r>
      <w:r w:rsidRPr="00937AC1">
        <w:rPr>
          <w:rFonts w:ascii="Arial" w:hAnsi="Arial" w:cs="Arial"/>
          <w:sz w:val="24"/>
          <w:szCs w:val="24"/>
        </w:rPr>
        <w:t>commence on the 7</w:t>
      </w:r>
      <w:r w:rsidRPr="00937AC1">
        <w:rPr>
          <w:rFonts w:ascii="Arial" w:hAnsi="Arial" w:cs="Arial"/>
          <w:sz w:val="24"/>
          <w:szCs w:val="24"/>
          <w:vertAlign w:val="superscript"/>
        </w:rPr>
        <w:t>th</w:t>
      </w:r>
      <w:r w:rsidRPr="00937AC1">
        <w:rPr>
          <w:rFonts w:ascii="Arial" w:hAnsi="Arial" w:cs="Arial"/>
          <w:sz w:val="24"/>
          <w:szCs w:val="24"/>
        </w:rPr>
        <w:t xml:space="preserve"> day after the Act’s notification day.</w:t>
      </w:r>
    </w:p>
    <w:p w14:paraId="7685541B" w14:textId="383F2E84" w:rsidR="00226B98" w:rsidRPr="00937AC1" w:rsidRDefault="00937AC1" w:rsidP="0004542C">
      <w:pPr>
        <w:jc w:val="both"/>
        <w:rPr>
          <w:rFonts w:ascii="Arial" w:hAnsi="Arial" w:cs="Arial"/>
          <w:sz w:val="24"/>
          <w:szCs w:val="24"/>
        </w:rPr>
      </w:pPr>
      <w:r w:rsidRPr="005B6B0B">
        <w:rPr>
          <w:rFonts w:ascii="Arial" w:hAnsi="Arial" w:cs="Arial"/>
          <w:sz w:val="24"/>
          <w:szCs w:val="24"/>
        </w:rPr>
        <w:t xml:space="preserve">Part </w:t>
      </w:r>
      <w:r w:rsidR="004065A7">
        <w:rPr>
          <w:rFonts w:ascii="Arial" w:hAnsi="Arial" w:cs="Arial"/>
          <w:sz w:val="24"/>
          <w:szCs w:val="24"/>
        </w:rPr>
        <w:t>2</w:t>
      </w:r>
      <w:r w:rsidRPr="005B6B0B">
        <w:rPr>
          <w:rFonts w:ascii="Arial" w:hAnsi="Arial" w:cs="Arial"/>
          <w:sz w:val="24"/>
          <w:szCs w:val="24"/>
        </w:rPr>
        <w:t xml:space="preserve"> which relates to the </w:t>
      </w:r>
      <w:r w:rsidRPr="005B6B0B">
        <w:rPr>
          <w:rFonts w:ascii="Arial" w:hAnsi="Arial" w:cs="Arial"/>
          <w:i/>
          <w:iCs/>
          <w:sz w:val="24"/>
          <w:szCs w:val="24"/>
        </w:rPr>
        <w:t xml:space="preserve">Births, Deaths and Marriages Registration Act 1997 </w:t>
      </w:r>
      <w:r w:rsidRPr="005B6B0B">
        <w:rPr>
          <w:rFonts w:ascii="Arial" w:hAnsi="Arial" w:cs="Arial"/>
          <w:sz w:val="24"/>
          <w:szCs w:val="24"/>
        </w:rPr>
        <w:t>will commence</w:t>
      </w:r>
      <w:r w:rsidR="009E7284">
        <w:rPr>
          <w:rFonts w:ascii="Arial" w:hAnsi="Arial" w:cs="Arial"/>
          <w:sz w:val="24"/>
          <w:szCs w:val="24"/>
        </w:rPr>
        <w:t xml:space="preserve"> on the</w:t>
      </w:r>
      <w:r w:rsidR="00226B98" w:rsidRPr="005B6B0B">
        <w:rPr>
          <w:rFonts w:ascii="Arial" w:hAnsi="Arial" w:cs="Arial"/>
          <w:sz w:val="24"/>
          <w:szCs w:val="24"/>
        </w:rPr>
        <w:t xml:space="preserve"> 21</w:t>
      </w:r>
      <w:r w:rsidR="009E7284" w:rsidRPr="009E7284">
        <w:rPr>
          <w:rFonts w:ascii="Arial" w:hAnsi="Arial" w:cs="Arial"/>
          <w:sz w:val="24"/>
          <w:szCs w:val="24"/>
          <w:vertAlign w:val="superscript"/>
        </w:rPr>
        <w:t>st</w:t>
      </w:r>
      <w:r w:rsidR="009E7284">
        <w:rPr>
          <w:rFonts w:ascii="Arial" w:hAnsi="Arial" w:cs="Arial"/>
          <w:sz w:val="24"/>
          <w:szCs w:val="24"/>
        </w:rPr>
        <w:t xml:space="preserve"> </w:t>
      </w:r>
      <w:r w:rsidR="00226B98" w:rsidRPr="005B6B0B">
        <w:rPr>
          <w:rFonts w:ascii="Arial" w:hAnsi="Arial" w:cs="Arial"/>
          <w:sz w:val="24"/>
          <w:szCs w:val="24"/>
        </w:rPr>
        <w:t xml:space="preserve">day after </w:t>
      </w:r>
      <w:r w:rsidR="007522D5">
        <w:rPr>
          <w:rFonts w:ascii="Arial" w:hAnsi="Arial" w:cs="Arial"/>
          <w:sz w:val="24"/>
          <w:szCs w:val="24"/>
        </w:rPr>
        <w:t xml:space="preserve">the Act’s </w:t>
      </w:r>
      <w:r w:rsidR="00226B98" w:rsidRPr="005B6B0B">
        <w:rPr>
          <w:rFonts w:ascii="Arial" w:hAnsi="Arial" w:cs="Arial"/>
          <w:sz w:val="24"/>
          <w:szCs w:val="24"/>
        </w:rPr>
        <w:t>notification day</w:t>
      </w:r>
      <w:r w:rsidR="007522D5">
        <w:rPr>
          <w:rFonts w:ascii="Arial" w:hAnsi="Arial" w:cs="Arial"/>
          <w:sz w:val="24"/>
          <w:szCs w:val="24"/>
        </w:rPr>
        <w:t xml:space="preserve"> to allow for an implementation period</w:t>
      </w:r>
      <w:r>
        <w:rPr>
          <w:rFonts w:ascii="Arial" w:hAnsi="Arial" w:cs="Arial"/>
          <w:sz w:val="24"/>
          <w:szCs w:val="24"/>
        </w:rPr>
        <w:t>.</w:t>
      </w:r>
      <w:r w:rsidR="00226B98" w:rsidRPr="005B6B0B">
        <w:rPr>
          <w:rFonts w:ascii="Arial" w:hAnsi="Arial" w:cs="Arial"/>
          <w:sz w:val="24"/>
          <w:szCs w:val="24"/>
        </w:rPr>
        <w:t xml:space="preserve"> </w:t>
      </w:r>
    </w:p>
    <w:p w14:paraId="1390FB04" w14:textId="3CAA9AD7" w:rsidR="001337A6" w:rsidRDefault="00937AC1" w:rsidP="0004542C">
      <w:pPr>
        <w:jc w:val="both"/>
        <w:rPr>
          <w:rFonts w:ascii="Arial" w:hAnsi="Arial" w:cs="Arial"/>
          <w:sz w:val="24"/>
          <w:szCs w:val="24"/>
        </w:rPr>
      </w:pPr>
      <w:r>
        <w:rPr>
          <w:rFonts w:ascii="Arial" w:hAnsi="Arial" w:cs="Arial"/>
          <w:sz w:val="24"/>
          <w:szCs w:val="24"/>
        </w:rPr>
        <w:t>Part</w:t>
      </w:r>
      <w:r w:rsidR="001337A6" w:rsidRPr="00937AC1">
        <w:rPr>
          <w:rFonts w:ascii="Arial" w:hAnsi="Arial" w:cs="Arial"/>
          <w:sz w:val="24"/>
          <w:szCs w:val="24"/>
        </w:rPr>
        <w:t xml:space="preserve"> </w:t>
      </w:r>
      <w:r w:rsidRPr="005B6B0B">
        <w:rPr>
          <w:rFonts w:ascii="Arial" w:hAnsi="Arial" w:cs="Arial"/>
          <w:sz w:val="24"/>
          <w:szCs w:val="24"/>
        </w:rPr>
        <w:t>9</w:t>
      </w:r>
      <w:r w:rsidR="001337A6" w:rsidRPr="00937AC1">
        <w:rPr>
          <w:rFonts w:ascii="Arial" w:hAnsi="Arial" w:cs="Arial"/>
          <w:sz w:val="24"/>
          <w:szCs w:val="24"/>
        </w:rPr>
        <w:t xml:space="preserve"> </w:t>
      </w:r>
      <w:r>
        <w:rPr>
          <w:rFonts w:ascii="Arial" w:hAnsi="Arial" w:cs="Arial"/>
          <w:sz w:val="24"/>
          <w:szCs w:val="24"/>
        </w:rPr>
        <w:t xml:space="preserve">which relates to the </w:t>
      </w:r>
      <w:r w:rsidRPr="005B6B0B">
        <w:rPr>
          <w:rFonts w:ascii="Arial" w:hAnsi="Arial" w:cs="Arial"/>
          <w:i/>
          <w:iCs/>
          <w:sz w:val="24"/>
          <w:szCs w:val="24"/>
        </w:rPr>
        <w:t>Freedom of Information Act 2016</w:t>
      </w:r>
      <w:r>
        <w:rPr>
          <w:rFonts w:ascii="Arial" w:hAnsi="Arial" w:cs="Arial"/>
          <w:sz w:val="24"/>
          <w:szCs w:val="24"/>
        </w:rPr>
        <w:t xml:space="preserve"> </w:t>
      </w:r>
      <w:r w:rsidR="001337A6" w:rsidRPr="00937AC1">
        <w:rPr>
          <w:rFonts w:ascii="Arial" w:hAnsi="Arial" w:cs="Arial"/>
          <w:sz w:val="24"/>
          <w:szCs w:val="24"/>
        </w:rPr>
        <w:t xml:space="preserve">commences on </w:t>
      </w:r>
      <w:r w:rsidRPr="005B6B0B">
        <w:rPr>
          <w:rFonts w:ascii="Arial" w:hAnsi="Arial" w:cs="Arial"/>
          <w:sz w:val="24"/>
          <w:szCs w:val="24"/>
        </w:rPr>
        <w:t xml:space="preserve">the </w:t>
      </w:r>
      <w:r w:rsidR="009E7284">
        <w:rPr>
          <w:rFonts w:ascii="Arial" w:hAnsi="Arial" w:cs="Arial"/>
          <w:sz w:val="24"/>
          <w:szCs w:val="24"/>
        </w:rPr>
        <w:t>lat</w:t>
      </w:r>
      <w:r w:rsidRPr="005B6B0B">
        <w:rPr>
          <w:rFonts w:ascii="Arial" w:hAnsi="Arial" w:cs="Arial"/>
          <w:sz w:val="24"/>
          <w:szCs w:val="24"/>
        </w:rPr>
        <w:t xml:space="preserve">er of </w:t>
      </w:r>
      <w:r w:rsidR="00095815">
        <w:rPr>
          <w:rFonts w:ascii="Arial" w:hAnsi="Arial" w:cs="Arial"/>
          <w:sz w:val="24"/>
          <w:szCs w:val="24"/>
        </w:rPr>
        <w:t xml:space="preserve">either </w:t>
      </w:r>
      <w:r w:rsidR="001337A6" w:rsidRPr="00937AC1">
        <w:rPr>
          <w:rFonts w:ascii="Arial" w:hAnsi="Arial" w:cs="Arial"/>
          <w:sz w:val="24"/>
          <w:szCs w:val="24"/>
        </w:rPr>
        <w:t>1 January 2022 or</w:t>
      </w:r>
      <w:r w:rsidR="001337A6">
        <w:rPr>
          <w:rFonts w:ascii="Arial" w:hAnsi="Arial" w:cs="Arial"/>
          <w:sz w:val="24"/>
          <w:szCs w:val="24"/>
        </w:rPr>
        <w:t xml:space="preserve"> </w:t>
      </w:r>
      <w:r>
        <w:rPr>
          <w:rFonts w:ascii="Arial" w:hAnsi="Arial" w:cs="Arial"/>
          <w:sz w:val="24"/>
          <w:szCs w:val="24"/>
        </w:rPr>
        <w:t xml:space="preserve">the </w:t>
      </w:r>
      <w:r w:rsidR="00C87CCA">
        <w:rPr>
          <w:rFonts w:ascii="Arial" w:hAnsi="Arial" w:cs="Arial"/>
          <w:sz w:val="24"/>
          <w:szCs w:val="24"/>
        </w:rPr>
        <w:t>commence</w:t>
      </w:r>
      <w:r w:rsidR="009E7284">
        <w:rPr>
          <w:rFonts w:ascii="Arial" w:hAnsi="Arial" w:cs="Arial"/>
          <w:sz w:val="24"/>
          <w:szCs w:val="24"/>
        </w:rPr>
        <w:t>ment of section 3 of the Act</w:t>
      </w:r>
      <w:r w:rsidR="00C87CCA">
        <w:rPr>
          <w:rFonts w:ascii="Arial" w:hAnsi="Arial" w:cs="Arial"/>
          <w:sz w:val="24"/>
          <w:szCs w:val="24"/>
        </w:rPr>
        <w:t xml:space="preserve">. </w:t>
      </w:r>
      <w:r>
        <w:rPr>
          <w:rFonts w:ascii="Arial" w:hAnsi="Arial" w:cs="Arial"/>
          <w:sz w:val="24"/>
          <w:szCs w:val="24"/>
        </w:rPr>
        <w:t xml:space="preserve"> </w:t>
      </w:r>
    </w:p>
    <w:p w14:paraId="332137A7" w14:textId="77777777" w:rsidR="00EE437D" w:rsidRDefault="00937AC1" w:rsidP="00EE437D">
      <w:pPr>
        <w:jc w:val="both"/>
        <w:rPr>
          <w:rFonts w:ascii="Arial" w:hAnsi="Arial" w:cs="Arial"/>
          <w:sz w:val="24"/>
          <w:szCs w:val="24"/>
        </w:rPr>
      </w:pPr>
      <w:r>
        <w:rPr>
          <w:rFonts w:ascii="Arial" w:hAnsi="Arial" w:cs="Arial"/>
          <w:sz w:val="24"/>
          <w:szCs w:val="24"/>
        </w:rPr>
        <w:t xml:space="preserve">Part 10 which relates to the </w:t>
      </w:r>
      <w:r w:rsidRPr="005B6B0B">
        <w:rPr>
          <w:rFonts w:ascii="Arial" w:hAnsi="Arial" w:cs="Arial"/>
          <w:i/>
          <w:iCs/>
          <w:sz w:val="24"/>
          <w:szCs w:val="24"/>
        </w:rPr>
        <w:t xml:space="preserve">Guardianship and Management of Property Act 1991 </w:t>
      </w:r>
      <w:r>
        <w:rPr>
          <w:rFonts w:ascii="Arial" w:hAnsi="Arial" w:cs="Arial"/>
          <w:sz w:val="24"/>
          <w:szCs w:val="24"/>
        </w:rPr>
        <w:t xml:space="preserve">commences 3 months after the Act’s notification day to allow for an implementation period. </w:t>
      </w:r>
    </w:p>
    <w:p w14:paraId="06D2F67A" w14:textId="76A2C854" w:rsidR="004E6F8D" w:rsidRPr="00937AC1" w:rsidRDefault="00937AC1" w:rsidP="009E7284">
      <w:pPr>
        <w:pStyle w:val="NormalWeb"/>
        <w:spacing w:before="0" w:beforeAutospacing="0" w:after="0" w:afterAutospacing="0" w:line="276" w:lineRule="auto"/>
        <w:rPr>
          <w:rFonts w:ascii="Arial" w:hAnsi="Arial" w:cs="Arial"/>
        </w:rPr>
      </w:pPr>
      <w:r>
        <w:rPr>
          <w:rFonts w:ascii="Arial" w:hAnsi="Arial" w:cs="Arial"/>
        </w:rPr>
        <w:t xml:space="preserve">Part 15 which relates to the </w:t>
      </w:r>
      <w:r w:rsidRPr="005B6B0B">
        <w:rPr>
          <w:rFonts w:ascii="Arial" w:hAnsi="Arial" w:cs="Arial"/>
          <w:i/>
          <w:iCs/>
        </w:rPr>
        <w:t>Public Trustee and Guardian Act 1985</w:t>
      </w:r>
      <w:r>
        <w:rPr>
          <w:rFonts w:ascii="Arial" w:hAnsi="Arial" w:cs="Arial"/>
          <w:i/>
          <w:iCs/>
        </w:rPr>
        <w:t xml:space="preserve"> </w:t>
      </w:r>
      <w:r>
        <w:rPr>
          <w:rFonts w:ascii="Arial" w:hAnsi="Arial" w:cs="Arial"/>
        </w:rPr>
        <w:t xml:space="preserve">will </w:t>
      </w:r>
      <w:r w:rsidR="009E7284">
        <w:rPr>
          <w:rFonts w:ascii="Arial" w:hAnsi="Arial" w:cs="Arial"/>
        </w:rPr>
        <w:t>commence on the later of</w:t>
      </w:r>
      <w:r>
        <w:rPr>
          <w:rFonts w:ascii="Arial" w:hAnsi="Arial" w:cs="Arial"/>
        </w:rPr>
        <w:t xml:space="preserve"> the commencement of the </w:t>
      </w:r>
      <w:r w:rsidRPr="005B6B0B">
        <w:rPr>
          <w:rFonts w:ascii="Arial" w:hAnsi="Arial" w:cs="Arial"/>
          <w:i/>
          <w:iCs/>
        </w:rPr>
        <w:t xml:space="preserve">Courts and </w:t>
      </w:r>
      <w:r w:rsidR="001F2B24" w:rsidRPr="005B6B0B">
        <w:rPr>
          <w:rFonts w:ascii="Arial" w:hAnsi="Arial" w:cs="Arial"/>
          <w:i/>
          <w:iCs/>
        </w:rPr>
        <w:t>Other Justice Legislation Amendment Act 2021</w:t>
      </w:r>
      <w:r w:rsidR="001F2B24">
        <w:rPr>
          <w:rFonts w:ascii="Arial" w:hAnsi="Arial" w:cs="Arial"/>
        </w:rPr>
        <w:t>, part 9</w:t>
      </w:r>
      <w:r w:rsidR="009E7284">
        <w:rPr>
          <w:rFonts w:ascii="Arial" w:hAnsi="Arial" w:cs="Arial"/>
        </w:rPr>
        <w:t>, or the commencement of section 3 of the Act</w:t>
      </w:r>
      <w:r w:rsidR="001F2B24">
        <w:rPr>
          <w:rFonts w:ascii="Arial" w:hAnsi="Arial" w:cs="Arial"/>
        </w:rPr>
        <w:t>.</w:t>
      </w:r>
    </w:p>
    <w:p w14:paraId="03E3F0B8" w14:textId="77777777" w:rsidR="00C61B07" w:rsidRPr="00ED3B77" w:rsidRDefault="00C61B07" w:rsidP="008C225D">
      <w:pPr>
        <w:pStyle w:val="Heading3"/>
        <w:rPr>
          <w:b w:val="0"/>
        </w:rPr>
      </w:pPr>
      <w:r w:rsidRPr="00ED3B77">
        <w:t>Clause 3</w:t>
      </w:r>
      <w:r w:rsidRPr="00ED3B77">
        <w:tab/>
        <w:t>Legislation amended</w:t>
      </w:r>
    </w:p>
    <w:p w14:paraId="5B5E5D2F" w14:textId="77777777" w:rsidR="0004542C" w:rsidRPr="0074496A" w:rsidRDefault="0004542C" w:rsidP="0004542C">
      <w:pPr>
        <w:jc w:val="both"/>
        <w:rPr>
          <w:rFonts w:ascii="Arial" w:hAnsi="Arial" w:cs="Arial"/>
          <w:sz w:val="24"/>
          <w:szCs w:val="24"/>
        </w:rPr>
      </w:pPr>
      <w:r w:rsidRPr="0074496A">
        <w:rPr>
          <w:rFonts w:ascii="Arial" w:hAnsi="Arial" w:cs="Arial"/>
          <w:sz w:val="24"/>
          <w:szCs w:val="24"/>
        </w:rPr>
        <w:t xml:space="preserve">This clause is a formal provision identifying that the Act amends the following legislation: </w:t>
      </w:r>
    </w:p>
    <w:p w14:paraId="7F774A4D" w14:textId="77777777" w:rsidR="0004542C" w:rsidRPr="00D31163" w:rsidRDefault="0004542C" w:rsidP="0004542C">
      <w:pPr>
        <w:pStyle w:val="ListParagraph"/>
        <w:numPr>
          <w:ilvl w:val="0"/>
          <w:numId w:val="50"/>
        </w:numPr>
        <w:spacing w:after="120"/>
        <w:ind w:right="-45"/>
        <w:jc w:val="both"/>
        <w:rPr>
          <w:rFonts w:ascii="Arial" w:hAnsi="Arial" w:cs="Arial"/>
          <w:iCs/>
          <w:sz w:val="24"/>
          <w:szCs w:val="24"/>
        </w:rPr>
      </w:pPr>
      <w:r w:rsidRPr="00D31163">
        <w:rPr>
          <w:rFonts w:ascii="Arial" w:hAnsi="Arial" w:cs="Arial"/>
          <w:i/>
          <w:sz w:val="24"/>
          <w:szCs w:val="24"/>
        </w:rPr>
        <w:t>Administration and Probate Act 1929;</w:t>
      </w:r>
    </w:p>
    <w:p w14:paraId="1E6A75FE" w14:textId="77777777" w:rsidR="0004542C" w:rsidRPr="00D31163" w:rsidRDefault="0004542C" w:rsidP="0004542C">
      <w:pPr>
        <w:pStyle w:val="ListParagraph"/>
        <w:numPr>
          <w:ilvl w:val="0"/>
          <w:numId w:val="50"/>
        </w:numPr>
        <w:spacing w:after="120"/>
        <w:ind w:right="-45"/>
        <w:jc w:val="both"/>
        <w:rPr>
          <w:rFonts w:ascii="Arial" w:hAnsi="Arial" w:cs="Arial"/>
          <w:iCs/>
          <w:sz w:val="24"/>
          <w:szCs w:val="24"/>
        </w:rPr>
      </w:pPr>
      <w:r w:rsidRPr="00D31163">
        <w:rPr>
          <w:rFonts w:ascii="Arial" w:hAnsi="Arial" w:cs="Arial"/>
          <w:i/>
          <w:sz w:val="24"/>
          <w:szCs w:val="24"/>
        </w:rPr>
        <w:t>Births, Deaths and Marriages Registration Act 1997;</w:t>
      </w:r>
    </w:p>
    <w:p w14:paraId="753D5B3A" w14:textId="77777777" w:rsidR="0004542C" w:rsidRPr="00D31163" w:rsidRDefault="0004542C" w:rsidP="0004542C">
      <w:pPr>
        <w:pStyle w:val="ListParagraph"/>
        <w:numPr>
          <w:ilvl w:val="0"/>
          <w:numId w:val="50"/>
        </w:numPr>
        <w:spacing w:after="120"/>
        <w:ind w:right="-45"/>
        <w:jc w:val="both"/>
        <w:rPr>
          <w:rFonts w:ascii="Arial" w:hAnsi="Arial" w:cs="Arial"/>
          <w:iCs/>
          <w:sz w:val="24"/>
          <w:szCs w:val="24"/>
        </w:rPr>
      </w:pPr>
      <w:r w:rsidRPr="00D31163">
        <w:rPr>
          <w:rFonts w:ascii="Arial" w:hAnsi="Arial" w:cs="Arial"/>
          <w:i/>
          <w:sz w:val="24"/>
          <w:szCs w:val="24"/>
        </w:rPr>
        <w:t>Crimes (Assumed Identities) Act 2009;</w:t>
      </w:r>
      <w:r w:rsidRPr="00D31163">
        <w:rPr>
          <w:rFonts w:ascii="Arial" w:hAnsi="Arial" w:cs="Arial"/>
          <w:sz w:val="24"/>
          <w:szCs w:val="24"/>
        </w:rPr>
        <w:t xml:space="preserve"> </w:t>
      </w:r>
    </w:p>
    <w:p w14:paraId="4DE1A4A0" w14:textId="77777777" w:rsidR="0004542C" w:rsidRPr="00D31163" w:rsidRDefault="0004542C" w:rsidP="0004542C">
      <w:pPr>
        <w:pStyle w:val="ListParagraph"/>
        <w:numPr>
          <w:ilvl w:val="0"/>
          <w:numId w:val="50"/>
        </w:numPr>
        <w:spacing w:after="120"/>
        <w:ind w:right="-45"/>
        <w:jc w:val="both"/>
        <w:rPr>
          <w:rFonts w:ascii="Arial" w:hAnsi="Arial" w:cs="Arial"/>
          <w:iCs/>
          <w:sz w:val="24"/>
          <w:szCs w:val="24"/>
        </w:rPr>
      </w:pPr>
      <w:r w:rsidRPr="00D31163">
        <w:rPr>
          <w:rFonts w:ascii="Arial" w:hAnsi="Arial" w:cs="Arial"/>
          <w:i/>
          <w:sz w:val="24"/>
          <w:szCs w:val="24"/>
        </w:rPr>
        <w:t>Crimes (Controlled Operations) Act 2008;</w:t>
      </w:r>
      <w:r w:rsidRPr="00D31163">
        <w:rPr>
          <w:rFonts w:ascii="Arial" w:hAnsi="Arial" w:cs="Arial"/>
          <w:sz w:val="24"/>
          <w:szCs w:val="24"/>
        </w:rPr>
        <w:t xml:space="preserve"> </w:t>
      </w:r>
    </w:p>
    <w:p w14:paraId="64755EF9" w14:textId="77777777" w:rsidR="0004542C" w:rsidRPr="00D31163" w:rsidRDefault="0004542C" w:rsidP="0004542C">
      <w:pPr>
        <w:pStyle w:val="ListParagraph"/>
        <w:numPr>
          <w:ilvl w:val="0"/>
          <w:numId w:val="50"/>
        </w:numPr>
        <w:spacing w:after="120"/>
        <w:ind w:right="-45"/>
        <w:jc w:val="both"/>
        <w:rPr>
          <w:rFonts w:ascii="Arial" w:hAnsi="Arial" w:cs="Arial"/>
          <w:iCs/>
          <w:sz w:val="24"/>
          <w:szCs w:val="24"/>
        </w:rPr>
      </w:pPr>
      <w:r w:rsidRPr="00D31163">
        <w:rPr>
          <w:rFonts w:ascii="Arial" w:hAnsi="Arial" w:cs="Arial"/>
          <w:i/>
          <w:sz w:val="24"/>
          <w:szCs w:val="24"/>
        </w:rPr>
        <w:t>Crimes (Protection of Witness Identity) Act 2011;</w:t>
      </w:r>
    </w:p>
    <w:p w14:paraId="05C94FED" w14:textId="77777777" w:rsidR="0004542C" w:rsidRPr="00D31163" w:rsidRDefault="0004542C" w:rsidP="0004542C">
      <w:pPr>
        <w:pStyle w:val="ListParagraph"/>
        <w:numPr>
          <w:ilvl w:val="0"/>
          <w:numId w:val="50"/>
        </w:numPr>
        <w:spacing w:after="120"/>
        <w:ind w:right="-45"/>
        <w:jc w:val="both"/>
        <w:rPr>
          <w:rFonts w:ascii="Arial" w:hAnsi="Arial" w:cs="Arial"/>
          <w:iCs/>
          <w:sz w:val="24"/>
          <w:szCs w:val="24"/>
        </w:rPr>
      </w:pPr>
      <w:r w:rsidRPr="00D31163">
        <w:rPr>
          <w:rFonts w:ascii="Arial" w:hAnsi="Arial" w:cs="Arial"/>
          <w:i/>
          <w:sz w:val="24"/>
          <w:szCs w:val="24"/>
        </w:rPr>
        <w:t>Crimes (Surveillance Devices) Act 2010;</w:t>
      </w:r>
    </w:p>
    <w:p w14:paraId="170BE5EE" w14:textId="51941B9D" w:rsidR="0004542C" w:rsidRPr="00D31163" w:rsidRDefault="0004542C" w:rsidP="0004542C">
      <w:pPr>
        <w:pStyle w:val="ListParagraph"/>
        <w:numPr>
          <w:ilvl w:val="0"/>
          <w:numId w:val="50"/>
        </w:numPr>
        <w:spacing w:after="120"/>
        <w:ind w:right="-45"/>
        <w:jc w:val="both"/>
        <w:rPr>
          <w:rFonts w:ascii="Arial" w:hAnsi="Arial" w:cs="Arial"/>
          <w:i/>
          <w:sz w:val="24"/>
          <w:szCs w:val="24"/>
        </w:rPr>
      </w:pPr>
      <w:r w:rsidRPr="00D31163">
        <w:rPr>
          <w:rFonts w:ascii="Arial" w:hAnsi="Arial" w:cs="Arial"/>
          <w:i/>
          <w:sz w:val="24"/>
          <w:szCs w:val="24"/>
        </w:rPr>
        <w:t>Family Provision Act 1969</w:t>
      </w:r>
      <w:r w:rsidR="00303751">
        <w:rPr>
          <w:rFonts w:ascii="Arial" w:hAnsi="Arial" w:cs="Arial"/>
          <w:i/>
          <w:sz w:val="24"/>
          <w:szCs w:val="24"/>
        </w:rPr>
        <w:t>;</w:t>
      </w:r>
    </w:p>
    <w:p w14:paraId="3E80A318" w14:textId="77777777" w:rsidR="0004542C" w:rsidRPr="00D31163" w:rsidRDefault="0004542C" w:rsidP="0004542C">
      <w:pPr>
        <w:pStyle w:val="ListParagraph"/>
        <w:numPr>
          <w:ilvl w:val="0"/>
          <w:numId w:val="50"/>
        </w:numPr>
        <w:spacing w:after="120"/>
        <w:ind w:right="-45"/>
        <w:jc w:val="both"/>
        <w:rPr>
          <w:rFonts w:ascii="Arial" w:hAnsi="Arial" w:cs="Arial"/>
          <w:iCs/>
          <w:sz w:val="24"/>
          <w:szCs w:val="24"/>
        </w:rPr>
      </w:pPr>
      <w:r w:rsidRPr="00D31163">
        <w:rPr>
          <w:rFonts w:ascii="Arial" w:hAnsi="Arial" w:cs="Arial"/>
          <w:i/>
          <w:sz w:val="24"/>
          <w:szCs w:val="24"/>
        </w:rPr>
        <w:t>Freedom of Information Act 2016;</w:t>
      </w:r>
    </w:p>
    <w:p w14:paraId="67FD9C12" w14:textId="77777777" w:rsidR="0004542C" w:rsidRPr="00D31163" w:rsidRDefault="0004542C" w:rsidP="0004542C">
      <w:pPr>
        <w:pStyle w:val="ListParagraph"/>
        <w:numPr>
          <w:ilvl w:val="0"/>
          <w:numId w:val="50"/>
        </w:numPr>
        <w:spacing w:after="120"/>
        <w:ind w:right="-45"/>
        <w:jc w:val="both"/>
        <w:rPr>
          <w:rFonts w:ascii="Arial" w:hAnsi="Arial" w:cs="Arial"/>
          <w:iCs/>
          <w:sz w:val="24"/>
          <w:szCs w:val="24"/>
        </w:rPr>
      </w:pPr>
      <w:r w:rsidRPr="00D31163">
        <w:rPr>
          <w:rFonts w:ascii="Arial" w:hAnsi="Arial" w:cs="Arial"/>
          <w:i/>
          <w:sz w:val="24"/>
          <w:szCs w:val="24"/>
        </w:rPr>
        <w:t>Guardianship and Management of Property Act 1991;</w:t>
      </w:r>
    </w:p>
    <w:p w14:paraId="07593BE7" w14:textId="77777777" w:rsidR="0004542C" w:rsidRPr="00D31163" w:rsidRDefault="0004542C" w:rsidP="0004542C">
      <w:pPr>
        <w:pStyle w:val="ListParagraph"/>
        <w:numPr>
          <w:ilvl w:val="0"/>
          <w:numId w:val="50"/>
        </w:numPr>
        <w:spacing w:after="120"/>
        <w:ind w:right="-45"/>
        <w:jc w:val="both"/>
        <w:rPr>
          <w:rFonts w:ascii="Arial" w:hAnsi="Arial" w:cs="Arial"/>
          <w:iCs/>
          <w:sz w:val="24"/>
          <w:szCs w:val="24"/>
        </w:rPr>
      </w:pPr>
      <w:r w:rsidRPr="00D31163">
        <w:rPr>
          <w:rFonts w:ascii="Arial" w:hAnsi="Arial" w:cs="Arial"/>
          <w:i/>
          <w:sz w:val="24"/>
          <w:szCs w:val="24"/>
        </w:rPr>
        <w:lastRenderedPageBreak/>
        <w:t>Land Titles Act 1925</w:t>
      </w:r>
      <w:r w:rsidRPr="00D31163">
        <w:rPr>
          <w:rFonts w:ascii="Arial" w:hAnsi="Arial" w:cs="Arial"/>
          <w:sz w:val="24"/>
          <w:szCs w:val="24"/>
        </w:rPr>
        <w:t>;</w:t>
      </w:r>
    </w:p>
    <w:p w14:paraId="055BCCD6" w14:textId="106C891C" w:rsidR="0004542C" w:rsidRPr="00D31163" w:rsidRDefault="0004542C" w:rsidP="0004542C">
      <w:pPr>
        <w:pStyle w:val="ListParagraph"/>
        <w:numPr>
          <w:ilvl w:val="0"/>
          <w:numId w:val="50"/>
        </w:numPr>
        <w:spacing w:after="120"/>
        <w:ind w:right="-45"/>
        <w:jc w:val="both"/>
        <w:rPr>
          <w:rFonts w:ascii="Arial" w:hAnsi="Arial" w:cs="Arial"/>
          <w:iCs/>
          <w:sz w:val="24"/>
          <w:szCs w:val="24"/>
        </w:rPr>
      </w:pPr>
      <w:r w:rsidRPr="00D31163">
        <w:rPr>
          <w:rFonts w:ascii="Arial" w:hAnsi="Arial" w:cs="Arial"/>
          <w:i/>
          <w:sz w:val="24"/>
          <w:szCs w:val="24"/>
        </w:rPr>
        <w:t>Legal Aid Act 19</w:t>
      </w:r>
      <w:r w:rsidR="00ED26D9">
        <w:rPr>
          <w:rFonts w:ascii="Arial" w:hAnsi="Arial" w:cs="Arial"/>
          <w:i/>
          <w:sz w:val="24"/>
          <w:szCs w:val="24"/>
        </w:rPr>
        <w:t>7</w:t>
      </w:r>
      <w:r w:rsidRPr="00D31163">
        <w:rPr>
          <w:rFonts w:ascii="Arial" w:hAnsi="Arial" w:cs="Arial"/>
          <w:i/>
          <w:sz w:val="24"/>
          <w:szCs w:val="24"/>
        </w:rPr>
        <w:t>7;</w:t>
      </w:r>
    </w:p>
    <w:p w14:paraId="2DCDDEE6" w14:textId="77777777" w:rsidR="0004542C" w:rsidRPr="00D31163" w:rsidRDefault="0004542C" w:rsidP="0004542C">
      <w:pPr>
        <w:pStyle w:val="ListParagraph"/>
        <w:numPr>
          <w:ilvl w:val="0"/>
          <w:numId w:val="50"/>
        </w:numPr>
        <w:spacing w:after="120"/>
        <w:ind w:right="-45"/>
        <w:jc w:val="both"/>
        <w:rPr>
          <w:rFonts w:ascii="Arial" w:hAnsi="Arial" w:cs="Arial"/>
          <w:iCs/>
          <w:sz w:val="24"/>
          <w:szCs w:val="24"/>
        </w:rPr>
      </w:pPr>
      <w:r w:rsidRPr="00D31163">
        <w:rPr>
          <w:rFonts w:ascii="Arial" w:hAnsi="Arial" w:cs="Arial"/>
          <w:i/>
          <w:sz w:val="24"/>
          <w:szCs w:val="24"/>
        </w:rPr>
        <w:t>Liquor Act 2010;</w:t>
      </w:r>
    </w:p>
    <w:p w14:paraId="4DECD706" w14:textId="77777777" w:rsidR="0004542C" w:rsidRPr="00D31163" w:rsidRDefault="0004542C" w:rsidP="0004542C">
      <w:pPr>
        <w:pStyle w:val="ListParagraph"/>
        <w:numPr>
          <w:ilvl w:val="0"/>
          <w:numId w:val="50"/>
        </w:numPr>
        <w:spacing w:after="120"/>
        <w:ind w:right="-45"/>
        <w:jc w:val="both"/>
        <w:rPr>
          <w:rFonts w:ascii="Arial" w:hAnsi="Arial" w:cs="Arial"/>
          <w:iCs/>
          <w:sz w:val="24"/>
          <w:szCs w:val="24"/>
        </w:rPr>
      </w:pPr>
      <w:r w:rsidRPr="00D31163">
        <w:rPr>
          <w:rFonts w:ascii="Arial" w:hAnsi="Arial" w:cs="Arial"/>
          <w:i/>
          <w:sz w:val="24"/>
          <w:szCs w:val="24"/>
        </w:rPr>
        <w:t>Magistrates Court (Infringement Notices) Amendment Act 2020;</w:t>
      </w:r>
    </w:p>
    <w:p w14:paraId="582C1B2A" w14:textId="672C7F87" w:rsidR="00AC3F8D" w:rsidRPr="00AC3F8D" w:rsidRDefault="0004542C">
      <w:pPr>
        <w:pStyle w:val="ListParagraph"/>
        <w:numPr>
          <w:ilvl w:val="0"/>
          <w:numId w:val="50"/>
        </w:numPr>
        <w:spacing w:after="120"/>
        <w:ind w:right="-45"/>
        <w:jc w:val="both"/>
        <w:rPr>
          <w:rFonts w:ascii="Arial" w:hAnsi="Arial" w:cs="Arial"/>
          <w:iCs/>
          <w:sz w:val="24"/>
          <w:szCs w:val="24"/>
        </w:rPr>
      </w:pPr>
      <w:r w:rsidRPr="00D31163">
        <w:rPr>
          <w:rFonts w:ascii="Arial" w:hAnsi="Arial" w:cs="Arial"/>
          <w:i/>
          <w:sz w:val="24"/>
          <w:szCs w:val="24"/>
        </w:rPr>
        <w:t>Public Trustee and Guardian Act 1985;</w:t>
      </w:r>
    </w:p>
    <w:p w14:paraId="6E10AB68" w14:textId="77777777" w:rsidR="0004542C" w:rsidRPr="00D31163" w:rsidRDefault="0004542C" w:rsidP="0004542C">
      <w:pPr>
        <w:pStyle w:val="ListParagraph"/>
        <w:numPr>
          <w:ilvl w:val="0"/>
          <w:numId w:val="50"/>
        </w:numPr>
        <w:spacing w:after="120"/>
        <w:ind w:right="-45"/>
        <w:jc w:val="both"/>
        <w:rPr>
          <w:rFonts w:ascii="Arial" w:hAnsi="Arial" w:cs="Arial"/>
          <w:iCs/>
        </w:rPr>
      </w:pPr>
      <w:r w:rsidRPr="00D31163">
        <w:rPr>
          <w:rFonts w:ascii="Arial" w:hAnsi="Arial" w:cs="Arial"/>
          <w:i/>
          <w:sz w:val="24"/>
          <w:szCs w:val="24"/>
        </w:rPr>
        <w:t xml:space="preserve">Trustee Act 1925; </w:t>
      </w:r>
      <w:r w:rsidRPr="00D31163">
        <w:rPr>
          <w:rFonts w:ascii="Arial" w:hAnsi="Arial" w:cs="Arial"/>
          <w:sz w:val="24"/>
          <w:szCs w:val="24"/>
        </w:rPr>
        <w:t>and</w:t>
      </w:r>
    </w:p>
    <w:p w14:paraId="7E20FA38" w14:textId="1696304F" w:rsidR="00D7062D" w:rsidRPr="00595C6D" w:rsidRDefault="0004542C" w:rsidP="00D3034B">
      <w:pPr>
        <w:numPr>
          <w:ilvl w:val="0"/>
          <w:numId w:val="50"/>
        </w:numPr>
        <w:spacing w:after="120"/>
        <w:ind w:right="-45"/>
        <w:rPr>
          <w:rFonts w:ascii="Arial" w:hAnsi="Arial" w:cs="Arial"/>
          <w:i/>
          <w:iCs/>
          <w:sz w:val="24"/>
          <w:szCs w:val="24"/>
        </w:rPr>
      </w:pPr>
      <w:r>
        <w:rPr>
          <w:rFonts w:ascii="Arial" w:hAnsi="Arial" w:cs="Arial"/>
          <w:i/>
          <w:iCs/>
          <w:sz w:val="24"/>
          <w:szCs w:val="24"/>
        </w:rPr>
        <w:t>Wills Act 1968</w:t>
      </w:r>
      <w:r>
        <w:rPr>
          <w:rFonts w:ascii="Arial" w:hAnsi="Arial" w:cs="Arial"/>
          <w:sz w:val="24"/>
          <w:szCs w:val="24"/>
        </w:rPr>
        <w:t>.</w:t>
      </w:r>
    </w:p>
    <w:p w14:paraId="18862E8F" w14:textId="51A9CC59" w:rsidR="0004542C" w:rsidRPr="00AE59AA" w:rsidRDefault="0004542C" w:rsidP="0004542C">
      <w:pPr>
        <w:pStyle w:val="Heading3"/>
        <w:rPr>
          <w:rFonts w:cs="Arial"/>
        </w:rPr>
      </w:pPr>
      <w:r w:rsidRPr="00AE59AA">
        <w:rPr>
          <w:rFonts w:cs="Arial"/>
        </w:rPr>
        <w:t xml:space="preserve">Part 2 </w:t>
      </w:r>
      <w:r w:rsidR="00BE7482" w:rsidRPr="00AE59AA">
        <w:rPr>
          <w:rFonts w:cs="Arial"/>
        </w:rPr>
        <w:tab/>
      </w:r>
      <w:r w:rsidRPr="005B6B0B">
        <w:rPr>
          <w:rFonts w:cs="Arial"/>
        </w:rPr>
        <w:t>Administration and Probate Act 1929</w:t>
      </w:r>
    </w:p>
    <w:p w14:paraId="7A115CCE" w14:textId="2C1F129A" w:rsidR="00C36CA4" w:rsidRPr="0045233D" w:rsidRDefault="00C36CA4">
      <w:pPr>
        <w:rPr>
          <w:rFonts w:ascii="Arial" w:hAnsi="Arial" w:cs="Arial"/>
          <w:b/>
          <w:bCs/>
          <w:sz w:val="24"/>
          <w:szCs w:val="24"/>
        </w:rPr>
      </w:pPr>
      <w:r w:rsidRPr="005B6B0B">
        <w:rPr>
          <w:rFonts w:ascii="Arial" w:hAnsi="Arial" w:cs="Arial"/>
          <w:b/>
          <w:bCs/>
          <w:sz w:val="24"/>
          <w:szCs w:val="24"/>
        </w:rPr>
        <w:t xml:space="preserve">Clause 1 </w:t>
      </w:r>
      <w:r w:rsidRPr="005B6B0B">
        <w:rPr>
          <w:rFonts w:ascii="Arial" w:hAnsi="Arial" w:cs="Arial"/>
          <w:b/>
          <w:bCs/>
          <w:sz w:val="24"/>
          <w:szCs w:val="24"/>
        </w:rPr>
        <w:tab/>
        <w:t>Section 64</w:t>
      </w:r>
    </w:p>
    <w:p w14:paraId="1079330B" w14:textId="21467B05" w:rsidR="00AA35A7" w:rsidRDefault="00AA35A7">
      <w:pPr>
        <w:rPr>
          <w:rFonts w:ascii="Arial" w:hAnsi="Arial" w:cs="Arial"/>
          <w:sz w:val="24"/>
          <w:szCs w:val="24"/>
        </w:rPr>
      </w:pPr>
      <w:r w:rsidRPr="0045233D">
        <w:rPr>
          <w:rFonts w:ascii="Arial" w:hAnsi="Arial" w:cs="Arial"/>
          <w:sz w:val="24"/>
          <w:szCs w:val="24"/>
        </w:rPr>
        <w:t>This clause substitutes the current section 64</w:t>
      </w:r>
      <w:r w:rsidR="009E7284">
        <w:rPr>
          <w:rFonts w:ascii="Arial" w:hAnsi="Arial" w:cs="Arial"/>
          <w:sz w:val="24"/>
          <w:szCs w:val="24"/>
        </w:rPr>
        <w:t xml:space="preserve"> </w:t>
      </w:r>
      <w:r w:rsidR="00CA56D3" w:rsidRPr="0045233D">
        <w:rPr>
          <w:rFonts w:ascii="Arial" w:hAnsi="Arial" w:cs="Arial"/>
          <w:sz w:val="24"/>
          <w:szCs w:val="24"/>
        </w:rPr>
        <w:t>(1)</w:t>
      </w:r>
      <w:r w:rsidR="009E7284">
        <w:rPr>
          <w:rFonts w:ascii="Arial" w:hAnsi="Arial" w:cs="Arial"/>
          <w:sz w:val="24"/>
          <w:szCs w:val="24"/>
        </w:rPr>
        <w:t xml:space="preserve"> </w:t>
      </w:r>
      <w:r w:rsidR="00CA56D3" w:rsidRPr="0045233D">
        <w:rPr>
          <w:rFonts w:ascii="Arial" w:hAnsi="Arial" w:cs="Arial"/>
          <w:sz w:val="24"/>
          <w:szCs w:val="24"/>
        </w:rPr>
        <w:t>(a)</w:t>
      </w:r>
      <w:r w:rsidRPr="0045233D">
        <w:rPr>
          <w:rFonts w:ascii="Arial" w:hAnsi="Arial" w:cs="Arial"/>
          <w:sz w:val="24"/>
          <w:szCs w:val="24"/>
        </w:rPr>
        <w:t xml:space="preserve"> and provides that </w:t>
      </w:r>
      <w:r w:rsidR="009E7284">
        <w:rPr>
          <w:rFonts w:ascii="Arial" w:hAnsi="Arial" w:cs="Arial"/>
          <w:sz w:val="24"/>
          <w:szCs w:val="24"/>
        </w:rPr>
        <w:t>an</w:t>
      </w:r>
      <w:r w:rsidR="00CA56D3" w:rsidRPr="0045233D">
        <w:rPr>
          <w:rFonts w:ascii="Arial" w:hAnsi="Arial" w:cs="Arial"/>
          <w:sz w:val="24"/>
          <w:szCs w:val="24"/>
        </w:rPr>
        <w:t xml:space="preserve"> executor or administrator of an estate o</w:t>
      </w:r>
      <w:r w:rsidR="009E7284">
        <w:rPr>
          <w:rFonts w:ascii="Arial" w:hAnsi="Arial" w:cs="Arial"/>
          <w:sz w:val="24"/>
          <w:szCs w:val="24"/>
        </w:rPr>
        <w:t>f</w:t>
      </w:r>
      <w:r w:rsidR="00CA56D3" w:rsidRPr="0045233D">
        <w:rPr>
          <w:rFonts w:ascii="Arial" w:hAnsi="Arial" w:cs="Arial"/>
          <w:sz w:val="24"/>
          <w:szCs w:val="24"/>
        </w:rPr>
        <w:t xml:space="preserve"> a testator or an intestate may distribute the estate only if they gave </w:t>
      </w:r>
      <w:r w:rsidR="009E7284">
        <w:rPr>
          <w:rFonts w:ascii="Arial" w:hAnsi="Arial" w:cs="Arial"/>
          <w:sz w:val="24"/>
          <w:szCs w:val="24"/>
        </w:rPr>
        <w:t xml:space="preserve">prior </w:t>
      </w:r>
      <w:r w:rsidR="00CA56D3" w:rsidRPr="0045233D">
        <w:rPr>
          <w:rFonts w:ascii="Arial" w:hAnsi="Arial" w:cs="Arial"/>
          <w:sz w:val="24"/>
          <w:szCs w:val="24"/>
        </w:rPr>
        <w:t>public notice</w:t>
      </w:r>
      <w:r w:rsidR="00595C6D">
        <w:rPr>
          <w:rFonts w:ascii="Arial" w:hAnsi="Arial" w:cs="Arial"/>
          <w:sz w:val="24"/>
          <w:szCs w:val="24"/>
        </w:rPr>
        <w:t>, as defined by the Legislation Act 2001,</w:t>
      </w:r>
      <w:r w:rsidR="009E7284">
        <w:rPr>
          <w:rFonts w:ascii="Arial" w:hAnsi="Arial" w:cs="Arial"/>
          <w:sz w:val="24"/>
          <w:szCs w:val="24"/>
        </w:rPr>
        <w:t xml:space="preserve"> in accordance with section </w:t>
      </w:r>
      <w:r w:rsidR="00595C6D">
        <w:rPr>
          <w:rFonts w:ascii="Arial" w:hAnsi="Arial" w:cs="Arial"/>
          <w:sz w:val="24"/>
          <w:szCs w:val="24"/>
        </w:rPr>
        <w:t xml:space="preserve">64 </w:t>
      </w:r>
      <w:r w:rsidR="009E7284">
        <w:rPr>
          <w:rFonts w:ascii="Arial" w:hAnsi="Arial" w:cs="Arial"/>
          <w:sz w:val="24"/>
          <w:szCs w:val="24"/>
        </w:rPr>
        <w:t>(2)</w:t>
      </w:r>
      <w:r w:rsidR="00595C6D">
        <w:rPr>
          <w:rFonts w:ascii="Arial" w:hAnsi="Arial" w:cs="Arial"/>
          <w:sz w:val="24"/>
          <w:szCs w:val="24"/>
        </w:rPr>
        <w:t>.</w:t>
      </w:r>
      <w:r w:rsidR="009E7284">
        <w:rPr>
          <w:rFonts w:ascii="Arial" w:hAnsi="Arial" w:cs="Arial"/>
          <w:sz w:val="24"/>
          <w:szCs w:val="24"/>
        </w:rPr>
        <w:t xml:space="preserve"> </w:t>
      </w:r>
    </w:p>
    <w:p w14:paraId="5BB75E69" w14:textId="77777777" w:rsidR="00595C6D" w:rsidRPr="005B6B0B" w:rsidRDefault="00595C6D" w:rsidP="00595C6D">
      <w:pPr>
        <w:rPr>
          <w:rFonts w:cs="Arial"/>
        </w:rPr>
      </w:pPr>
      <w:r w:rsidRPr="005B6B0B">
        <w:rPr>
          <w:rFonts w:ascii="Arial" w:hAnsi="Arial" w:cs="Arial"/>
          <w:sz w:val="24"/>
          <w:szCs w:val="24"/>
        </w:rPr>
        <w:t>The note following section 64</w:t>
      </w:r>
      <w:r>
        <w:rPr>
          <w:rFonts w:ascii="Arial" w:hAnsi="Arial" w:cs="Arial"/>
          <w:sz w:val="24"/>
          <w:szCs w:val="24"/>
        </w:rPr>
        <w:t xml:space="preserve"> </w:t>
      </w:r>
      <w:r w:rsidRPr="005B6B0B">
        <w:rPr>
          <w:rFonts w:ascii="Arial" w:hAnsi="Arial" w:cs="Arial"/>
          <w:sz w:val="24"/>
          <w:szCs w:val="24"/>
        </w:rPr>
        <w:t>(2)</w:t>
      </w:r>
      <w:r>
        <w:rPr>
          <w:rFonts w:ascii="Arial" w:hAnsi="Arial" w:cs="Arial"/>
          <w:sz w:val="24"/>
          <w:szCs w:val="24"/>
        </w:rPr>
        <w:t xml:space="preserve"> </w:t>
      </w:r>
      <w:r w:rsidRPr="005B6B0B">
        <w:rPr>
          <w:rFonts w:ascii="Arial" w:hAnsi="Arial" w:cs="Arial"/>
          <w:sz w:val="24"/>
          <w:szCs w:val="24"/>
        </w:rPr>
        <w:t xml:space="preserve">(b) makes clear that a public notice given under section </w:t>
      </w:r>
      <w:r>
        <w:rPr>
          <w:rFonts w:ascii="Arial" w:hAnsi="Arial" w:cs="Arial"/>
          <w:sz w:val="24"/>
          <w:szCs w:val="24"/>
        </w:rPr>
        <w:t xml:space="preserve">64 </w:t>
      </w:r>
      <w:r w:rsidRPr="005B6B0B">
        <w:rPr>
          <w:rFonts w:ascii="Arial" w:hAnsi="Arial" w:cs="Arial"/>
          <w:sz w:val="24"/>
          <w:szCs w:val="24"/>
        </w:rPr>
        <w:t>(1)</w:t>
      </w:r>
      <w:r>
        <w:rPr>
          <w:rFonts w:ascii="Arial" w:hAnsi="Arial" w:cs="Arial"/>
          <w:sz w:val="24"/>
          <w:szCs w:val="24"/>
        </w:rPr>
        <w:t xml:space="preserve"> </w:t>
      </w:r>
      <w:r w:rsidRPr="005B6B0B">
        <w:rPr>
          <w:rFonts w:ascii="Arial" w:hAnsi="Arial" w:cs="Arial"/>
          <w:sz w:val="24"/>
          <w:szCs w:val="24"/>
        </w:rPr>
        <w:t xml:space="preserve">(a) applies to distributions made under the section 21 of the </w:t>
      </w:r>
      <w:r w:rsidRPr="005B6B0B">
        <w:rPr>
          <w:rFonts w:ascii="Arial" w:hAnsi="Arial" w:cs="Arial"/>
          <w:i/>
          <w:iCs/>
          <w:sz w:val="24"/>
          <w:szCs w:val="24"/>
        </w:rPr>
        <w:t>Family Provision Act 1969</w:t>
      </w:r>
      <w:r w:rsidRPr="005B6B0B">
        <w:rPr>
          <w:rFonts w:ascii="Arial" w:hAnsi="Arial" w:cs="Arial"/>
          <w:sz w:val="24"/>
          <w:szCs w:val="24"/>
        </w:rPr>
        <w:t xml:space="preserve"> and section 60 of </w:t>
      </w:r>
      <w:r w:rsidRPr="005B6B0B">
        <w:rPr>
          <w:rFonts w:ascii="Arial" w:hAnsi="Arial" w:cs="Arial"/>
          <w:i/>
          <w:iCs/>
          <w:sz w:val="24"/>
          <w:szCs w:val="24"/>
        </w:rPr>
        <w:t>Trustee Act 1925</w:t>
      </w:r>
      <w:r w:rsidRPr="005B6B0B">
        <w:rPr>
          <w:rFonts w:ascii="Arial" w:hAnsi="Arial" w:cs="Arial"/>
          <w:sz w:val="24"/>
          <w:szCs w:val="24"/>
        </w:rPr>
        <w:t>.</w:t>
      </w:r>
    </w:p>
    <w:p w14:paraId="27EA25E4" w14:textId="292141A3" w:rsidR="00595C6D" w:rsidRPr="0045233D" w:rsidRDefault="00595C6D">
      <w:pPr>
        <w:rPr>
          <w:rFonts w:ascii="Arial" w:hAnsi="Arial" w:cs="Arial"/>
          <w:sz w:val="24"/>
          <w:szCs w:val="24"/>
        </w:rPr>
      </w:pPr>
      <w:r>
        <w:rPr>
          <w:rFonts w:ascii="Arial" w:hAnsi="Arial" w:cs="Arial"/>
          <w:sz w:val="24"/>
          <w:szCs w:val="24"/>
        </w:rPr>
        <w:t xml:space="preserve">Subsection (3) continues the protection from liability to an executor or administrator where they have complied with the requirement to search the Births, Deaths and Marriages register for information about parents or children of the deceased, or any other known person relevant to the distribution of the estate assets, and had taken into account any relevant information obtained from the </w:t>
      </w:r>
      <w:r w:rsidR="00363CED">
        <w:rPr>
          <w:rFonts w:ascii="Arial" w:hAnsi="Arial" w:cs="Arial"/>
          <w:sz w:val="24"/>
          <w:szCs w:val="24"/>
        </w:rPr>
        <w:t>R</w:t>
      </w:r>
      <w:r>
        <w:rPr>
          <w:rFonts w:ascii="Arial" w:hAnsi="Arial" w:cs="Arial"/>
          <w:sz w:val="24"/>
          <w:szCs w:val="24"/>
        </w:rPr>
        <w:t>egistrar-</w:t>
      </w:r>
      <w:r w:rsidR="00363CED">
        <w:rPr>
          <w:rFonts w:ascii="Arial" w:hAnsi="Arial" w:cs="Arial"/>
          <w:sz w:val="24"/>
          <w:szCs w:val="24"/>
        </w:rPr>
        <w:t>G</w:t>
      </w:r>
      <w:r>
        <w:rPr>
          <w:rFonts w:ascii="Arial" w:hAnsi="Arial" w:cs="Arial"/>
          <w:sz w:val="24"/>
          <w:szCs w:val="24"/>
        </w:rPr>
        <w:t>eneral as a result of the search.</w:t>
      </w:r>
    </w:p>
    <w:p w14:paraId="6EB4E0B7" w14:textId="33B2B751" w:rsidR="0004542C" w:rsidRPr="00AE59AA" w:rsidRDefault="00BE7482" w:rsidP="0004542C">
      <w:pPr>
        <w:pStyle w:val="Heading3"/>
        <w:rPr>
          <w:rFonts w:cs="Arial"/>
        </w:rPr>
      </w:pPr>
      <w:r w:rsidRPr="00AE59AA">
        <w:rPr>
          <w:rFonts w:cs="Arial"/>
        </w:rPr>
        <w:t>Part 3</w:t>
      </w:r>
      <w:r w:rsidRPr="00AE59AA">
        <w:rPr>
          <w:rFonts w:cs="Arial"/>
        </w:rPr>
        <w:tab/>
      </w:r>
      <w:r w:rsidRPr="00AE59AA">
        <w:rPr>
          <w:rFonts w:cs="Arial"/>
        </w:rPr>
        <w:tab/>
      </w:r>
      <w:r w:rsidR="0004542C" w:rsidRPr="005B6B0B">
        <w:rPr>
          <w:rFonts w:cs="Arial"/>
        </w:rPr>
        <w:t>Births, Deaths and Marriages Registration Act 1997</w:t>
      </w:r>
    </w:p>
    <w:p w14:paraId="17FDB2DF" w14:textId="77777777" w:rsidR="00611034" w:rsidRPr="0045233D" w:rsidRDefault="00C36CA4" w:rsidP="00C36CA4">
      <w:pPr>
        <w:rPr>
          <w:rFonts w:ascii="Arial" w:hAnsi="Arial" w:cs="Arial"/>
          <w:b/>
          <w:bCs/>
          <w:sz w:val="24"/>
          <w:szCs w:val="24"/>
        </w:rPr>
      </w:pPr>
      <w:r w:rsidRPr="005B6B0B">
        <w:rPr>
          <w:rFonts w:ascii="Arial" w:hAnsi="Arial" w:cs="Arial"/>
          <w:b/>
          <w:bCs/>
          <w:sz w:val="24"/>
          <w:szCs w:val="24"/>
        </w:rPr>
        <w:t>Clause 5</w:t>
      </w:r>
      <w:r w:rsidRPr="005B6B0B">
        <w:rPr>
          <w:rFonts w:ascii="Arial" w:hAnsi="Arial" w:cs="Arial"/>
          <w:b/>
          <w:bCs/>
          <w:sz w:val="24"/>
          <w:szCs w:val="24"/>
        </w:rPr>
        <w:tab/>
      </w:r>
      <w:r w:rsidR="00611034" w:rsidRPr="0045233D">
        <w:rPr>
          <w:rFonts w:ascii="Arial" w:hAnsi="Arial" w:cs="Arial"/>
          <w:b/>
          <w:bCs/>
          <w:sz w:val="24"/>
          <w:szCs w:val="24"/>
        </w:rPr>
        <w:t>Registration of change of name</w:t>
      </w:r>
    </w:p>
    <w:p w14:paraId="6A2F5DBD" w14:textId="3B13E18F" w:rsidR="00C36CA4" w:rsidRPr="0045233D" w:rsidRDefault="00C36CA4" w:rsidP="005B6B0B">
      <w:pPr>
        <w:ind w:left="720" w:firstLine="720"/>
        <w:rPr>
          <w:rFonts w:ascii="Arial" w:hAnsi="Arial" w:cs="Arial"/>
          <w:b/>
          <w:bCs/>
          <w:sz w:val="24"/>
          <w:szCs w:val="24"/>
        </w:rPr>
      </w:pPr>
      <w:r w:rsidRPr="005B6B0B">
        <w:rPr>
          <w:rFonts w:ascii="Arial" w:hAnsi="Arial" w:cs="Arial"/>
          <w:b/>
          <w:bCs/>
          <w:sz w:val="24"/>
          <w:szCs w:val="24"/>
        </w:rPr>
        <w:t>Section 20</w:t>
      </w:r>
      <w:r w:rsidR="00595C6D">
        <w:rPr>
          <w:rFonts w:ascii="Arial" w:hAnsi="Arial" w:cs="Arial"/>
          <w:b/>
          <w:bCs/>
          <w:sz w:val="24"/>
          <w:szCs w:val="24"/>
        </w:rPr>
        <w:t xml:space="preserve"> </w:t>
      </w:r>
      <w:r w:rsidRPr="005B6B0B">
        <w:rPr>
          <w:rFonts w:ascii="Arial" w:hAnsi="Arial" w:cs="Arial"/>
          <w:b/>
          <w:bCs/>
          <w:sz w:val="24"/>
          <w:szCs w:val="24"/>
        </w:rPr>
        <w:t>(2)</w:t>
      </w:r>
      <w:r w:rsidR="00595C6D">
        <w:rPr>
          <w:rFonts w:ascii="Arial" w:hAnsi="Arial" w:cs="Arial"/>
          <w:b/>
          <w:bCs/>
          <w:sz w:val="24"/>
          <w:szCs w:val="24"/>
        </w:rPr>
        <w:t xml:space="preserve"> </w:t>
      </w:r>
      <w:r w:rsidRPr="005B6B0B">
        <w:rPr>
          <w:rFonts w:ascii="Arial" w:hAnsi="Arial" w:cs="Arial"/>
          <w:b/>
          <w:bCs/>
          <w:sz w:val="24"/>
          <w:szCs w:val="24"/>
        </w:rPr>
        <w:t>(c)</w:t>
      </w:r>
    </w:p>
    <w:p w14:paraId="5FD713F0" w14:textId="77777777" w:rsidR="002A2575" w:rsidRDefault="002A2575" w:rsidP="002A2575">
      <w:pPr>
        <w:pStyle w:val="ListParagraph2"/>
        <w:tabs>
          <w:tab w:val="clear" w:pos="851"/>
          <w:tab w:val="left" w:pos="425"/>
          <w:tab w:val="left" w:pos="1276"/>
        </w:tabs>
        <w:rPr>
          <w:rFonts w:ascii="Arial" w:eastAsia="Times New Roman" w:hAnsi="Arial" w:cs="Arial"/>
        </w:rPr>
      </w:pPr>
      <w:r w:rsidRPr="002A2575">
        <w:rPr>
          <w:rFonts w:ascii="Arial" w:eastAsia="Times New Roman" w:hAnsi="Arial" w:cs="Arial"/>
        </w:rPr>
        <w:t xml:space="preserve">Section 20 (2) (c) of the BDMR Act </w:t>
      </w:r>
      <w:r>
        <w:rPr>
          <w:rFonts w:ascii="Arial" w:eastAsia="Times New Roman" w:hAnsi="Arial" w:cs="Arial"/>
        </w:rPr>
        <w:t>provides that</w:t>
      </w:r>
      <w:r w:rsidRPr="002A2575">
        <w:rPr>
          <w:rFonts w:ascii="Arial" w:eastAsia="Times New Roman" w:hAnsi="Arial" w:cs="Arial"/>
        </w:rPr>
        <w:t xml:space="preserve"> the Registrar-General </w:t>
      </w:r>
      <w:r>
        <w:rPr>
          <w:rFonts w:ascii="Arial" w:eastAsia="Times New Roman" w:hAnsi="Arial" w:cs="Arial"/>
        </w:rPr>
        <w:t>must not</w:t>
      </w:r>
      <w:r w:rsidRPr="002A2575">
        <w:rPr>
          <w:rFonts w:ascii="Arial" w:eastAsia="Times New Roman" w:hAnsi="Arial" w:cs="Arial"/>
        </w:rPr>
        <w:t xml:space="preserve"> register a change of name unless satisfied that, where a young person is at least 14 years old, the young person consents to the change of name or cannot understand the meaning or implications of the change of name.</w:t>
      </w:r>
    </w:p>
    <w:p w14:paraId="57D33785" w14:textId="5D05C554" w:rsidR="002A2575" w:rsidRDefault="00400058" w:rsidP="002A2575">
      <w:pPr>
        <w:pStyle w:val="ListParagraph2"/>
        <w:tabs>
          <w:tab w:val="clear" w:pos="851"/>
          <w:tab w:val="left" w:pos="425"/>
          <w:tab w:val="left" w:pos="1276"/>
        </w:tabs>
        <w:rPr>
          <w:rFonts w:ascii="Arial" w:hAnsi="Arial" w:cs="Arial"/>
        </w:rPr>
      </w:pPr>
      <w:r w:rsidRPr="005B6B0B">
        <w:rPr>
          <w:rFonts w:ascii="Arial" w:hAnsi="Arial" w:cs="Arial"/>
        </w:rPr>
        <w:t>This clause substitutes section 20</w:t>
      </w:r>
      <w:r w:rsidR="00595C6D">
        <w:rPr>
          <w:rFonts w:ascii="Arial" w:hAnsi="Arial" w:cs="Arial"/>
        </w:rPr>
        <w:t xml:space="preserve"> </w:t>
      </w:r>
      <w:r w:rsidRPr="005B6B0B">
        <w:rPr>
          <w:rFonts w:ascii="Arial" w:hAnsi="Arial" w:cs="Arial"/>
        </w:rPr>
        <w:t>(2)</w:t>
      </w:r>
      <w:r w:rsidR="00595C6D">
        <w:rPr>
          <w:rFonts w:ascii="Arial" w:hAnsi="Arial" w:cs="Arial"/>
        </w:rPr>
        <w:t xml:space="preserve"> </w:t>
      </w:r>
      <w:r w:rsidRPr="005B6B0B">
        <w:rPr>
          <w:rFonts w:ascii="Arial" w:hAnsi="Arial" w:cs="Arial"/>
        </w:rPr>
        <w:t>(c) of the BDMR Act to insert subsection 20</w:t>
      </w:r>
      <w:r w:rsidR="00595C6D">
        <w:rPr>
          <w:rFonts w:ascii="Arial" w:hAnsi="Arial" w:cs="Arial"/>
        </w:rPr>
        <w:t xml:space="preserve"> </w:t>
      </w:r>
      <w:r w:rsidRPr="005B6B0B">
        <w:rPr>
          <w:rFonts w:ascii="Arial" w:hAnsi="Arial" w:cs="Arial"/>
        </w:rPr>
        <w:t>(2)</w:t>
      </w:r>
      <w:r w:rsidR="00595C6D">
        <w:rPr>
          <w:rFonts w:ascii="Arial" w:hAnsi="Arial" w:cs="Arial"/>
        </w:rPr>
        <w:t xml:space="preserve"> </w:t>
      </w:r>
      <w:r w:rsidRPr="005B6B0B">
        <w:rPr>
          <w:rFonts w:ascii="Arial" w:hAnsi="Arial" w:cs="Arial"/>
        </w:rPr>
        <w:t>(d). Section 20</w:t>
      </w:r>
      <w:r w:rsidR="00595C6D">
        <w:rPr>
          <w:rFonts w:ascii="Arial" w:hAnsi="Arial" w:cs="Arial"/>
        </w:rPr>
        <w:t xml:space="preserve"> </w:t>
      </w:r>
      <w:r w:rsidRPr="005B6B0B">
        <w:rPr>
          <w:rFonts w:ascii="Arial" w:hAnsi="Arial" w:cs="Arial"/>
        </w:rPr>
        <w:t>(2)</w:t>
      </w:r>
      <w:r w:rsidR="00595C6D">
        <w:rPr>
          <w:rFonts w:ascii="Arial" w:hAnsi="Arial" w:cs="Arial"/>
        </w:rPr>
        <w:t xml:space="preserve"> </w:t>
      </w:r>
      <w:r w:rsidRPr="005B6B0B">
        <w:rPr>
          <w:rFonts w:ascii="Arial" w:hAnsi="Arial" w:cs="Arial"/>
        </w:rPr>
        <w:t xml:space="preserve">(d) </w:t>
      </w:r>
      <w:r w:rsidR="002A2575">
        <w:rPr>
          <w:rFonts w:ascii="Arial" w:hAnsi="Arial" w:cs="Arial"/>
        </w:rPr>
        <w:t>provides that</w:t>
      </w:r>
      <w:r w:rsidRPr="005B6B0B">
        <w:rPr>
          <w:rFonts w:ascii="Arial" w:hAnsi="Arial" w:cs="Arial"/>
        </w:rPr>
        <w:t xml:space="preserve"> the Registrar-General </w:t>
      </w:r>
      <w:r w:rsidR="002A2575">
        <w:rPr>
          <w:rFonts w:ascii="Arial" w:hAnsi="Arial" w:cs="Arial"/>
        </w:rPr>
        <w:t>must not</w:t>
      </w:r>
      <w:r w:rsidRPr="005B6B0B">
        <w:rPr>
          <w:rFonts w:ascii="Arial" w:hAnsi="Arial" w:cs="Arial"/>
        </w:rPr>
        <w:t xml:space="preserve"> register a change of given name of a young person who has been granted an order of leave by ACAT under section 29H</w:t>
      </w:r>
      <w:r w:rsidR="00595C6D">
        <w:rPr>
          <w:rFonts w:ascii="Arial" w:hAnsi="Arial" w:cs="Arial"/>
        </w:rPr>
        <w:t xml:space="preserve"> </w:t>
      </w:r>
      <w:r w:rsidRPr="005B6B0B">
        <w:rPr>
          <w:rFonts w:ascii="Arial" w:hAnsi="Arial" w:cs="Arial"/>
        </w:rPr>
        <w:t xml:space="preserve">(1) of the BDMR Act where a parent or person with parental responsibility for the young person has applied under section 19 to change the given name of the young person without the young person’s consent. The clause also </w:t>
      </w:r>
      <w:r w:rsidRPr="005B6B0B">
        <w:rPr>
          <w:rFonts w:ascii="Arial" w:hAnsi="Arial" w:cs="Arial"/>
        </w:rPr>
        <w:lastRenderedPageBreak/>
        <w:t>makes minor amendments to section 20</w:t>
      </w:r>
      <w:r w:rsidR="002A2575">
        <w:rPr>
          <w:rFonts w:ascii="Arial" w:hAnsi="Arial" w:cs="Arial"/>
        </w:rPr>
        <w:t xml:space="preserve"> </w:t>
      </w:r>
      <w:r w:rsidRPr="005B6B0B">
        <w:rPr>
          <w:rFonts w:ascii="Arial" w:hAnsi="Arial" w:cs="Arial"/>
        </w:rPr>
        <w:t>(2)</w:t>
      </w:r>
      <w:r w:rsidR="002A2575">
        <w:rPr>
          <w:rFonts w:ascii="Arial" w:hAnsi="Arial" w:cs="Arial"/>
        </w:rPr>
        <w:t xml:space="preserve"> </w:t>
      </w:r>
      <w:r w:rsidRPr="005B6B0B">
        <w:rPr>
          <w:rFonts w:ascii="Arial" w:hAnsi="Arial" w:cs="Arial"/>
        </w:rPr>
        <w:t xml:space="preserve">(c) as a result of </w:t>
      </w:r>
      <w:r w:rsidR="002A2575">
        <w:rPr>
          <w:rFonts w:ascii="Arial" w:hAnsi="Arial" w:cs="Arial"/>
        </w:rPr>
        <w:t xml:space="preserve">new </w:t>
      </w:r>
      <w:r w:rsidRPr="005B6B0B">
        <w:rPr>
          <w:rFonts w:ascii="Arial" w:hAnsi="Arial" w:cs="Arial"/>
        </w:rPr>
        <w:t>subsection 20</w:t>
      </w:r>
      <w:r w:rsidR="002A2575">
        <w:rPr>
          <w:rFonts w:ascii="Arial" w:hAnsi="Arial" w:cs="Arial"/>
        </w:rPr>
        <w:t xml:space="preserve"> </w:t>
      </w:r>
      <w:r w:rsidRPr="005B6B0B">
        <w:rPr>
          <w:rFonts w:ascii="Arial" w:hAnsi="Arial" w:cs="Arial"/>
        </w:rPr>
        <w:t>(2)</w:t>
      </w:r>
      <w:r w:rsidR="002A2575">
        <w:rPr>
          <w:rFonts w:ascii="Arial" w:hAnsi="Arial" w:cs="Arial"/>
        </w:rPr>
        <w:t xml:space="preserve"> </w:t>
      </w:r>
      <w:r w:rsidRPr="005B6B0B">
        <w:rPr>
          <w:rFonts w:ascii="Arial" w:hAnsi="Arial" w:cs="Arial"/>
        </w:rPr>
        <w:t>(d).</w:t>
      </w:r>
    </w:p>
    <w:p w14:paraId="5CC6200E" w14:textId="29945439" w:rsidR="002A2575" w:rsidRPr="002A2575" w:rsidRDefault="00400058" w:rsidP="002A2575">
      <w:pPr>
        <w:pStyle w:val="ListParagraph2"/>
        <w:tabs>
          <w:tab w:val="clear" w:pos="851"/>
          <w:tab w:val="left" w:pos="425"/>
          <w:tab w:val="left" w:pos="1276"/>
        </w:tabs>
        <w:rPr>
          <w:rFonts w:ascii="Arial" w:hAnsi="Arial" w:cs="Arial"/>
        </w:rPr>
      </w:pPr>
      <w:r w:rsidRPr="005B6B0B">
        <w:rPr>
          <w:rFonts w:ascii="Arial" w:hAnsi="Arial" w:cs="Arial"/>
        </w:rPr>
        <w:t>As a young person is recognised to have agency to understand the effect of a change of their given names where they are granted an order of leave by ACAT under section 29H</w:t>
      </w:r>
      <w:r w:rsidR="00363CED">
        <w:rPr>
          <w:rFonts w:ascii="Arial" w:hAnsi="Arial" w:cs="Arial"/>
        </w:rPr>
        <w:t xml:space="preserve"> </w:t>
      </w:r>
      <w:r w:rsidRPr="005B6B0B">
        <w:rPr>
          <w:rFonts w:ascii="Arial" w:hAnsi="Arial" w:cs="Arial"/>
        </w:rPr>
        <w:t>(1) of the BDMR Act to apply to the Registrar-General to change their given name under section 19A</w:t>
      </w:r>
      <w:r w:rsidR="00363CED">
        <w:rPr>
          <w:rFonts w:ascii="Arial" w:hAnsi="Arial" w:cs="Arial"/>
        </w:rPr>
        <w:t xml:space="preserve"> </w:t>
      </w:r>
      <w:r w:rsidRPr="005B6B0B">
        <w:rPr>
          <w:rFonts w:ascii="Arial" w:hAnsi="Arial" w:cs="Arial"/>
        </w:rPr>
        <w:t>(b)</w:t>
      </w:r>
      <w:r w:rsidR="00363CED">
        <w:rPr>
          <w:rFonts w:ascii="Arial" w:hAnsi="Arial" w:cs="Arial"/>
        </w:rPr>
        <w:t xml:space="preserve"> </w:t>
      </w:r>
      <w:r w:rsidRPr="005B6B0B">
        <w:rPr>
          <w:rFonts w:ascii="Arial" w:hAnsi="Arial" w:cs="Arial"/>
        </w:rPr>
        <w:t>(iii), the intent of the clause is to ensure that, where a parent or person with parental responsibility seeks to make a later application under section 19 to change the given name of the young person, they must have the consent of the young person to do so. This is particularly important as a young person between the ages of 12 and 15 years old will seek leave from ACAT to apply to the Registrar-General for a change of given names where they do not have the consent of parents or persons with parental responsibility in accordance with sections 19A</w:t>
      </w:r>
      <w:r w:rsidR="00363CED">
        <w:rPr>
          <w:rFonts w:ascii="Arial" w:hAnsi="Arial" w:cs="Arial"/>
        </w:rPr>
        <w:t xml:space="preserve"> </w:t>
      </w:r>
      <w:r w:rsidRPr="005B6B0B">
        <w:rPr>
          <w:rFonts w:ascii="Arial" w:hAnsi="Arial" w:cs="Arial"/>
        </w:rPr>
        <w:t>(b)</w:t>
      </w:r>
      <w:r w:rsidR="00363CED">
        <w:rPr>
          <w:rFonts w:ascii="Arial" w:hAnsi="Arial" w:cs="Arial"/>
        </w:rPr>
        <w:t xml:space="preserve"> </w:t>
      </w:r>
      <w:r w:rsidRPr="005B6B0B">
        <w:rPr>
          <w:rFonts w:ascii="Arial" w:hAnsi="Arial" w:cs="Arial"/>
        </w:rPr>
        <w:t>(ii)</w:t>
      </w:r>
      <w:r w:rsidR="00363CED">
        <w:rPr>
          <w:rFonts w:ascii="Arial" w:hAnsi="Arial" w:cs="Arial"/>
        </w:rPr>
        <w:t xml:space="preserve"> </w:t>
      </w:r>
      <w:r w:rsidRPr="005B6B0B">
        <w:rPr>
          <w:rFonts w:ascii="Arial" w:hAnsi="Arial" w:cs="Arial"/>
        </w:rPr>
        <w:t>(A)-(C) to make an application directly to the Registrar-General.</w:t>
      </w:r>
    </w:p>
    <w:p w14:paraId="2D7B5130" w14:textId="415E6143" w:rsidR="00611034" w:rsidRPr="0045233D" w:rsidRDefault="00C36CA4" w:rsidP="002A2575">
      <w:pPr>
        <w:spacing w:before="240"/>
        <w:ind w:left="1440" w:hanging="1440"/>
        <w:rPr>
          <w:rFonts w:ascii="Arial" w:hAnsi="Arial" w:cs="Arial"/>
          <w:b/>
          <w:bCs/>
          <w:sz w:val="24"/>
          <w:szCs w:val="24"/>
        </w:rPr>
      </w:pPr>
      <w:r w:rsidRPr="005B6B0B">
        <w:rPr>
          <w:rFonts w:ascii="Arial" w:hAnsi="Arial" w:cs="Arial"/>
          <w:b/>
          <w:bCs/>
          <w:sz w:val="24"/>
          <w:szCs w:val="24"/>
        </w:rPr>
        <w:t>Clause 6</w:t>
      </w:r>
      <w:r w:rsidRPr="005B6B0B">
        <w:rPr>
          <w:rFonts w:ascii="Arial" w:hAnsi="Arial" w:cs="Arial"/>
          <w:b/>
          <w:bCs/>
          <w:sz w:val="24"/>
          <w:szCs w:val="24"/>
        </w:rPr>
        <w:tab/>
      </w:r>
      <w:r w:rsidR="00611034" w:rsidRPr="0045233D">
        <w:rPr>
          <w:rFonts w:ascii="Arial" w:hAnsi="Arial" w:cs="Arial"/>
          <w:b/>
          <w:bCs/>
          <w:sz w:val="24"/>
          <w:szCs w:val="24"/>
        </w:rPr>
        <w:t>Application by young person for leave to apply for change of given name or sex etc</w:t>
      </w:r>
    </w:p>
    <w:p w14:paraId="3622193C" w14:textId="7BDFCFF8" w:rsidR="00C36CA4" w:rsidRPr="0045233D" w:rsidRDefault="00C36CA4" w:rsidP="005B6B0B">
      <w:pPr>
        <w:ind w:left="720" w:firstLine="720"/>
        <w:rPr>
          <w:rFonts w:ascii="Arial" w:hAnsi="Arial" w:cs="Arial"/>
          <w:b/>
          <w:bCs/>
          <w:sz w:val="24"/>
          <w:szCs w:val="24"/>
        </w:rPr>
      </w:pPr>
      <w:r w:rsidRPr="005B6B0B">
        <w:rPr>
          <w:rFonts w:ascii="Arial" w:hAnsi="Arial" w:cs="Arial"/>
          <w:b/>
          <w:bCs/>
          <w:sz w:val="24"/>
          <w:szCs w:val="24"/>
        </w:rPr>
        <w:t>Section 29E</w:t>
      </w:r>
      <w:r w:rsidR="00363CED">
        <w:rPr>
          <w:rFonts w:ascii="Arial" w:hAnsi="Arial" w:cs="Arial"/>
          <w:b/>
          <w:bCs/>
          <w:sz w:val="24"/>
          <w:szCs w:val="24"/>
        </w:rPr>
        <w:t xml:space="preserve"> </w:t>
      </w:r>
      <w:r w:rsidRPr="005B6B0B">
        <w:rPr>
          <w:rFonts w:ascii="Arial" w:hAnsi="Arial" w:cs="Arial"/>
          <w:b/>
          <w:bCs/>
          <w:sz w:val="24"/>
          <w:szCs w:val="24"/>
        </w:rPr>
        <w:t>(1)</w:t>
      </w:r>
      <w:r w:rsidR="00400058" w:rsidRPr="0045233D">
        <w:rPr>
          <w:rFonts w:ascii="Arial" w:hAnsi="Arial" w:cs="Arial"/>
          <w:b/>
          <w:bCs/>
          <w:sz w:val="24"/>
          <w:szCs w:val="24"/>
        </w:rPr>
        <w:t>,</w:t>
      </w:r>
      <w:r w:rsidRPr="005B6B0B">
        <w:rPr>
          <w:rFonts w:ascii="Arial" w:hAnsi="Arial" w:cs="Arial"/>
          <w:b/>
          <w:bCs/>
          <w:sz w:val="24"/>
          <w:szCs w:val="24"/>
        </w:rPr>
        <w:t xml:space="preserve"> new note</w:t>
      </w:r>
    </w:p>
    <w:p w14:paraId="7F599337" w14:textId="3A6FE566" w:rsidR="00400058" w:rsidRPr="005B6B0B" w:rsidRDefault="00400058" w:rsidP="00400058">
      <w:pPr>
        <w:rPr>
          <w:rFonts w:ascii="Arial" w:hAnsi="Arial" w:cs="Arial"/>
          <w:sz w:val="24"/>
          <w:szCs w:val="24"/>
        </w:rPr>
      </w:pPr>
      <w:r w:rsidRPr="005B6B0B">
        <w:rPr>
          <w:rFonts w:ascii="Arial" w:hAnsi="Arial" w:cs="Arial"/>
          <w:sz w:val="24"/>
          <w:szCs w:val="24"/>
        </w:rPr>
        <w:t>This clause inserts a note in section 29E</w:t>
      </w:r>
      <w:r w:rsidR="00363CED">
        <w:rPr>
          <w:rFonts w:ascii="Arial" w:hAnsi="Arial" w:cs="Arial"/>
          <w:sz w:val="24"/>
          <w:szCs w:val="24"/>
        </w:rPr>
        <w:t xml:space="preserve"> </w:t>
      </w:r>
      <w:r w:rsidRPr="005B6B0B">
        <w:rPr>
          <w:rFonts w:ascii="Arial" w:hAnsi="Arial" w:cs="Arial"/>
          <w:sz w:val="24"/>
          <w:szCs w:val="24"/>
        </w:rPr>
        <w:t>(1) that if leave is granted to a young person by ACAT under Part 4A of the BDMR Act, then no further leave is needed by the young person for any further application of the same kind.</w:t>
      </w:r>
    </w:p>
    <w:p w14:paraId="6D77BD2F" w14:textId="7B481F62" w:rsidR="00400058" w:rsidRPr="005B6B0B" w:rsidRDefault="00400058" w:rsidP="00C36CA4">
      <w:pPr>
        <w:rPr>
          <w:rFonts w:ascii="Arial" w:hAnsi="Arial" w:cs="Arial"/>
          <w:sz w:val="24"/>
          <w:szCs w:val="24"/>
        </w:rPr>
      </w:pPr>
      <w:r w:rsidRPr="005B6B0B">
        <w:rPr>
          <w:rFonts w:ascii="Arial" w:hAnsi="Arial" w:cs="Arial"/>
          <w:sz w:val="24"/>
          <w:szCs w:val="24"/>
        </w:rPr>
        <w:t>The intent of the clause is to indicate that section 29H</w:t>
      </w:r>
      <w:r w:rsidR="00363CED">
        <w:rPr>
          <w:rFonts w:ascii="Arial" w:hAnsi="Arial" w:cs="Arial"/>
          <w:sz w:val="24"/>
          <w:szCs w:val="24"/>
        </w:rPr>
        <w:t xml:space="preserve"> </w:t>
      </w:r>
      <w:r w:rsidRPr="005B6B0B">
        <w:rPr>
          <w:rFonts w:ascii="Arial" w:hAnsi="Arial" w:cs="Arial"/>
          <w:sz w:val="24"/>
          <w:szCs w:val="24"/>
        </w:rPr>
        <w:t>(3) provides how an order from ACAT granting leave under section 29H</w:t>
      </w:r>
      <w:r w:rsidR="00363CED">
        <w:rPr>
          <w:rFonts w:ascii="Arial" w:hAnsi="Arial" w:cs="Arial"/>
          <w:sz w:val="24"/>
          <w:szCs w:val="24"/>
        </w:rPr>
        <w:t xml:space="preserve"> </w:t>
      </w:r>
      <w:r w:rsidRPr="005B6B0B">
        <w:rPr>
          <w:rFonts w:ascii="Arial" w:hAnsi="Arial" w:cs="Arial"/>
          <w:sz w:val="24"/>
          <w:szCs w:val="24"/>
        </w:rPr>
        <w:t>(1) of the BDMR Act may be used for any subsequent applications a young person wishes to make to the Registrar-General to further change their given names and/or registered sex in the ACT Register of births or on a recognised details certificate.</w:t>
      </w:r>
    </w:p>
    <w:p w14:paraId="65842EB1" w14:textId="4E829249" w:rsidR="00C36CA4" w:rsidRPr="0045233D" w:rsidRDefault="00C36CA4" w:rsidP="00C36CA4">
      <w:pPr>
        <w:rPr>
          <w:rFonts w:ascii="Arial" w:hAnsi="Arial" w:cs="Arial"/>
          <w:b/>
          <w:bCs/>
          <w:sz w:val="24"/>
          <w:szCs w:val="24"/>
        </w:rPr>
      </w:pPr>
      <w:r w:rsidRPr="005B6B0B">
        <w:rPr>
          <w:rFonts w:ascii="Arial" w:hAnsi="Arial" w:cs="Arial"/>
          <w:b/>
          <w:bCs/>
          <w:sz w:val="24"/>
          <w:szCs w:val="24"/>
        </w:rPr>
        <w:t>Clause 7</w:t>
      </w:r>
      <w:r w:rsidRPr="005B6B0B">
        <w:rPr>
          <w:rFonts w:ascii="Arial" w:hAnsi="Arial" w:cs="Arial"/>
          <w:b/>
          <w:bCs/>
          <w:sz w:val="24"/>
          <w:szCs w:val="24"/>
        </w:rPr>
        <w:tab/>
      </w:r>
      <w:r w:rsidR="00611034" w:rsidRPr="0045233D">
        <w:rPr>
          <w:rFonts w:ascii="Arial" w:hAnsi="Arial" w:cs="Arial"/>
          <w:b/>
          <w:bCs/>
          <w:sz w:val="24"/>
          <w:szCs w:val="24"/>
        </w:rPr>
        <w:t xml:space="preserve">New section </w:t>
      </w:r>
      <w:r w:rsidRPr="005B6B0B">
        <w:rPr>
          <w:rFonts w:ascii="Arial" w:hAnsi="Arial" w:cs="Arial"/>
          <w:b/>
          <w:bCs/>
          <w:sz w:val="24"/>
          <w:szCs w:val="24"/>
        </w:rPr>
        <w:t>29EA</w:t>
      </w:r>
    </w:p>
    <w:p w14:paraId="7749270C" w14:textId="77777777" w:rsidR="00400058" w:rsidRPr="005B6B0B" w:rsidRDefault="00400058" w:rsidP="00400058">
      <w:pPr>
        <w:rPr>
          <w:rFonts w:ascii="Arial" w:hAnsi="Arial" w:cs="Arial"/>
          <w:sz w:val="24"/>
          <w:szCs w:val="24"/>
        </w:rPr>
      </w:pPr>
      <w:r w:rsidRPr="005B6B0B">
        <w:rPr>
          <w:rFonts w:ascii="Arial" w:hAnsi="Arial" w:cs="Arial"/>
          <w:sz w:val="24"/>
          <w:szCs w:val="24"/>
        </w:rPr>
        <w:t>This clause inserts a new section 29EA in the BDMR Act to provide ACAT the power to ask the Registrar-General for a copy of the birth certificate of the young person who has applied to ACAT for leave under section 29E of the BDMR Act. It also requires the Registrar-General to provide ACAT a copy of the birth certificate if asked.</w:t>
      </w:r>
    </w:p>
    <w:p w14:paraId="4C6BFE4E" w14:textId="77777777" w:rsidR="00400058" w:rsidRPr="005B6B0B" w:rsidRDefault="00400058" w:rsidP="00400058">
      <w:pPr>
        <w:rPr>
          <w:rFonts w:ascii="Arial" w:hAnsi="Arial" w:cs="Arial"/>
          <w:sz w:val="24"/>
          <w:szCs w:val="24"/>
        </w:rPr>
      </w:pPr>
      <w:r w:rsidRPr="005B6B0B">
        <w:rPr>
          <w:rFonts w:ascii="Arial" w:hAnsi="Arial" w:cs="Arial"/>
          <w:sz w:val="24"/>
          <w:szCs w:val="24"/>
        </w:rPr>
        <w:t>The intent of the clause is to allow ACAT to access information from the Registrar-General about a young person, which will assist ACAT to exercise its function to decide whether to grant leave to a young person to apply to the Registrar-General under section 29H of the BDMR Act. For example, it will assist where ACAT requires the birth certificate and a young person who has applied to ACAT for an order granting leave under section 29H does not possess or is unable to access a copy of their birth certificate to provide to ACAT.</w:t>
      </w:r>
    </w:p>
    <w:p w14:paraId="1DE454B3" w14:textId="7251AA41" w:rsidR="00400058" w:rsidRPr="0045233D" w:rsidRDefault="00C36CA4" w:rsidP="00C36CA4">
      <w:pPr>
        <w:rPr>
          <w:rFonts w:ascii="Arial" w:hAnsi="Arial" w:cs="Arial"/>
          <w:b/>
          <w:bCs/>
          <w:sz w:val="24"/>
          <w:szCs w:val="24"/>
        </w:rPr>
      </w:pPr>
      <w:r w:rsidRPr="005B6B0B">
        <w:rPr>
          <w:rFonts w:ascii="Arial" w:hAnsi="Arial" w:cs="Arial"/>
          <w:b/>
          <w:bCs/>
          <w:sz w:val="24"/>
          <w:szCs w:val="24"/>
        </w:rPr>
        <w:lastRenderedPageBreak/>
        <w:t>Clause 8</w:t>
      </w:r>
      <w:r w:rsidRPr="005B6B0B">
        <w:rPr>
          <w:rFonts w:ascii="Arial" w:hAnsi="Arial" w:cs="Arial"/>
          <w:b/>
          <w:bCs/>
          <w:sz w:val="24"/>
          <w:szCs w:val="24"/>
        </w:rPr>
        <w:tab/>
      </w:r>
      <w:r w:rsidR="00400058" w:rsidRPr="005B6B0B">
        <w:rPr>
          <w:rFonts w:ascii="Arial" w:hAnsi="Arial" w:cs="Arial"/>
          <w:b/>
          <w:bCs/>
          <w:sz w:val="24"/>
          <w:szCs w:val="24"/>
        </w:rPr>
        <w:t>Notification about application</w:t>
      </w:r>
    </w:p>
    <w:p w14:paraId="06018BFA" w14:textId="543A616B" w:rsidR="00C36CA4" w:rsidRPr="0045233D" w:rsidRDefault="00400058" w:rsidP="005B6B0B">
      <w:pPr>
        <w:ind w:left="720" w:firstLine="720"/>
        <w:rPr>
          <w:rFonts w:ascii="Arial" w:hAnsi="Arial" w:cs="Arial"/>
          <w:b/>
          <w:bCs/>
          <w:sz w:val="24"/>
          <w:szCs w:val="24"/>
        </w:rPr>
      </w:pPr>
      <w:r w:rsidRPr="0045233D">
        <w:rPr>
          <w:rFonts w:ascii="Arial" w:hAnsi="Arial" w:cs="Arial"/>
          <w:b/>
          <w:bCs/>
          <w:sz w:val="24"/>
          <w:szCs w:val="24"/>
        </w:rPr>
        <w:t>New s</w:t>
      </w:r>
      <w:r w:rsidR="00C36CA4" w:rsidRPr="005B6B0B">
        <w:rPr>
          <w:rFonts w:ascii="Arial" w:hAnsi="Arial" w:cs="Arial"/>
          <w:b/>
          <w:bCs/>
          <w:sz w:val="24"/>
          <w:szCs w:val="24"/>
        </w:rPr>
        <w:t>ection 29F</w:t>
      </w:r>
      <w:r w:rsidR="00363CED">
        <w:rPr>
          <w:rFonts w:ascii="Arial" w:hAnsi="Arial" w:cs="Arial"/>
          <w:b/>
          <w:bCs/>
          <w:sz w:val="24"/>
          <w:szCs w:val="24"/>
        </w:rPr>
        <w:t xml:space="preserve"> </w:t>
      </w:r>
      <w:r w:rsidR="00C36CA4" w:rsidRPr="005B6B0B">
        <w:rPr>
          <w:rFonts w:ascii="Arial" w:hAnsi="Arial" w:cs="Arial"/>
          <w:b/>
          <w:bCs/>
          <w:sz w:val="24"/>
          <w:szCs w:val="24"/>
        </w:rPr>
        <w:t>(4)</w:t>
      </w:r>
    </w:p>
    <w:p w14:paraId="6DD5F165" w14:textId="04CA32F6" w:rsidR="00400058" w:rsidRPr="005B6B0B" w:rsidRDefault="00400058" w:rsidP="00400058">
      <w:pPr>
        <w:rPr>
          <w:rFonts w:ascii="Arial" w:hAnsi="Arial" w:cs="Arial"/>
          <w:sz w:val="24"/>
          <w:szCs w:val="24"/>
        </w:rPr>
      </w:pPr>
      <w:r w:rsidRPr="005B6B0B">
        <w:rPr>
          <w:rFonts w:ascii="Arial" w:hAnsi="Arial" w:cs="Arial"/>
          <w:sz w:val="24"/>
          <w:szCs w:val="24"/>
        </w:rPr>
        <w:t>This clause inserts a new section 29F</w:t>
      </w:r>
      <w:r w:rsidR="00363CED">
        <w:rPr>
          <w:rFonts w:ascii="Arial" w:hAnsi="Arial" w:cs="Arial"/>
          <w:sz w:val="24"/>
          <w:szCs w:val="24"/>
        </w:rPr>
        <w:t xml:space="preserve"> </w:t>
      </w:r>
      <w:r w:rsidRPr="005B6B0B">
        <w:rPr>
          <w:rFonts w:ascii="Arial" w:hAnsi="Arial" w:cs="Arial"/>
          <w:sz w:val="24"/>
          <w:szCs w:val="24"/>
        </w:rPr>
        <w:t>(4) to provide which documents and information ACAT must or may respectively give the Public Advocate or a parent or person with parental responsibility for a young person who has made an application to ACAT under section 29E of the BDMR Act. The clause also inserts a note in section 29F</w:t>
      </w:r>
      <w:r w:rsidR="00363CED">
        <w:rPr>
          <w:rFonts w:ascii="Arial" w:hAnsi="Arial" w:cs="Arial"/>
          <w:sz w:val="24"/>
          <w:szCs w:val="24"/>
        </w:rPr>
        <w:t xml:space="preserve"> </w:t>
      </w:r>
      <w:r w:rsidRPr="005B6B0B">
        <w:rPr>
          <w:rFonts w:ascii="Arial" w:hAnsi="Arial" w:cs="Arial"/>
          <w:sz w:val="24"/>
          <w:szCs w:val="24"/>
        </w:rPr>
        <w:t>(4) that section 29F(4)</w:t>
      </w:r>
      <w:r w:rsidR="00363CED">
        <w:rPr>
          <w:rFonts w:ascii="Arial" w:hAnsi="Arial" w:cs="Arial"/>
          <w:sz w:val="24"/>
          <w:szCs w:val="24"/>
        </w:rPr>
        <w:t xml:space="preserve"> </w:t>
      </w:r>
      <w:r w:rsidRPr="005B6B0B">
        <w:rPr>
          <w:rFonts w:ascii="Arial" w:hAnsi="Arial" w:cs="Arial"/>
          <w:sz w:val="24"/>
          <w:szCs w:val="24"/>
        </w:rPr>
        <w:t>(b)</w:t>
      </w:r>
      <w:r w:rsidR="00363CED">
        <w:rPr>
          <w:rFonts w:ascii="Arial" w:hAnsi="Arial" w:cs="Arial"/>
          <w:sz w:val="24"/>
          <w:szCs w:val="24"/>
        </w:rPr>
        <w:t xml:space="preserve"> </w:t>
      </w:r>
      <w:r w:rsidRPr="005B6B0B">
        <w:rPr>
          <w:rFonts w:ascii="Arial" w:hAnsi="Arial" w:cs="Arial"/>
          <w:sz w:val="24"/>
          <w:szCs w:val="24"/>
        </w:rPr>
        <w:t>(i)-(ii) provides ACAT is to also give the Public Advocate other material in addition to the material under section 29F</w:t>
      </w:r>
      <w:r w:rsidR="00363CED">
        <w:rPr>
          <w:rFonts w:ascii="Arial" w:hAnsi="Arial" w:cs="Arial"/>
          <w:sz w:val="24"/>
          <w:szCs w:val="24"/>
        </w:rPr>
        <w:t xml:space="preserve"> </w:t>
      </w:r>
      <w:r w:rsidRPr="005B6B0B">
        <w:rPr>
          <w:rFonts w:ascii="Arial" w:hAnsi="Arial" w:cs="Arial"/>
          <w:sz w:val="24"/>
          <w:szCs w:val="24"/>
        </w:rPr>
        <w:t>(4).</w:t>
      </w:r>
    </w:p>
    <w:p w14:paraId="439A98F7" w14:textId="2E0BEFB9" w:rsidR="00400058" w:rsidRPr="005B6B0B" w:rsidRDefault="00400058" w:rsidP="00400058">
      <w:pPr>
        <w:rPr>
          <w:rFonts w:ascii="Arial" w:hAnsi="Arial" w:cs="Arial"/>
          <w:sz w:val="24"/>
          <w:szCs w:val="24"/>
        </w:rPr>
      </w:pPr>
      <w:r w:rsidRPr="005B6B0B">
        <w:rPr>
          <w:rFonts w:ascii="Arial" w:hAnsi="Arial" w:cs="Arial"/>
          <w:sz w:val="24"/>
          <w:szCs w:val="24"/>
        </w:rPr>
        <w:t>The intent of the clause is to clarify the documents and information ACAT is to give the Public Advocate and parents or persons with parental responsibility for a young person as part of a notification under section 29F(1)</w:t>
      </w:r>
      <w:r w:rsidR="00363CED">
        <w:rPr>
          <w:rFonts w:ascii="Arial" w:hAnsi="Arial" w:cs="Arial"/>
          <w:sz w:val="24"/>
          <w:szCs w:val="24"/>
        </w:rPr>
        <w:t xml:space="preserve"> </w:t>
      </w:r>
      <w:r w:rsidRPr="005B6B0B">
        <w:rPr>
          <w:rFonts w:ascii="Arial" w:hAnsi="Arial" w:cs="Arial"/>
          <w:sz w:val="24"/>
          <w:szCs w:val="24"/>
        </w:rPr>
        <w:t>(a)</w:t>
      </w:r>
      <w:r w:rsidR="00363CED">
        <w:rPr>
          <w:rFonts w:ascii="Arial" w:hAnsi="Arial" w:cs="Arial"/>
          <w:sz w:val="24"/>
          <w:szCs w:val="24"/>
        </w:rPr>
        <w:t xml:space="preserve"> </w:t>
      </w:r>
      <w:r w:rsidRPr="005B6B0B">
        <w:rPr>
          <w:rFonts w:ascii="Arial" w:hAnsi="Arial" w:cs="Arial"/>
          <w:sz w:val="24"/>
          <w:szCs w:val="24"/>
        </w:rPr>
        <w:t xml:space="preserve">(i)-(ii). </w:t>
      </w:r>
    </w:p>
    <w:p w14:paraId="1CEB1D84" w14:textId="77777777" w:rsidR="00400058" w:rsidRPr="005B6B0B" w:rsidRDefault="00400058" w:rsidP="00400058">
      <w:pPr>
        <w:rPr>
          <w:rFonts w:ascii="Arial" w:hAnsi="Arial" w:cs="Arial"/>
          <w:sz w:val="24"/>
          <w:szCs w:val="24"/>
        </w:rPr>
      </w:pPr>
      <w:r w:rsidRPr="005B6B0B">
        <w:rPr>
          <w:rFonts w:ascii="Arial" w:hAnsi="Arial" w:cs="Arial"/>
          <w:sz w:val="24"/>
          <w:szCs w:val="24"/>
        </w:rPr>
        <w:t>It also recognises the special role of the Public Advocate in an application before ACAT to advocate for the rights and interests of the young person and, in assuming this role, the Public Advocate should be provided with all documents and information for it to effectively perform its function.</w:t>
      </w:r>
    </w:p>
    <w:p w14:paraId="06EC62AD" w14:textId="3BC7ED03" w:rsidR="00400058" w:rsidRPr="005B6B0B" w:rsidRDefault="00400058" w:rsidP="00C36CA4">
      <w:pPr>
        <w:rPr>
          <w:rFonts w:ascii="Arial" w:hAnsi="Arial" w:cs="Arial"/>
          <w:sz w:val="24"/>
          <w:szCs w:val="24"/>
        </w:rPr>
      </w:pPr>
      <w:r w:rsidRPr="005B6B0B">
        <w:rPr>
          <w:rFonts w:ascii="Arial" w:hAnsi="Arial" w:cs="Arial"/>
          <w:sz w:val="24"/>
          <w:szCs w:val="24"/>
        </w:rPr>
        <w:t>The clause also recognises that, due to the sensitivities of a young person’s ACAT application and the young person’s relationship with their parents or persons with parental responsibility for them, ACAT should have a discretionary power to decide which documents and information is appropriate in the circumstances to give a parent or person with parental responsibility.</w:t>
      </w:r>
    </w:p>
    <w:p w14:paraId="076CEEAC" w14:textId="41922A51" w:rsidR="00C36CA4" w:rsidRPr="0045233D" w:rsidRDefault="00C36CA4" w:rsidP="00400058">
      <w:pPr>
        <w:tabs>
          <w:tab w:val="left" w:pos="720"/>
          <w:tab w:val="left" w:pos="1440"/>
          <w:tab w:val="left" w:pos="2160"/>
          <w:tab w:val="left" w:pos="2880"/>
          <w:tab w:val="left" w:pos="3312"/>
        </w:tabs>
        <w:rPr>
          <w:rFonts w:ascii="Arial" w:hAnsi="Arial" w:cs="Arial"/>
          <w:b/>
          <w:bCs/>
          <w:sz w:val="24"/>
          <w:szCs w:val="24"/>
        </w:rPr>
      </w:pPr>
      <w:r w:rsidRPr="005B6B0B">
        <w:rPr>
          <w:rFonts w:ascii="Arial" w:hAnsi="Arial" w:cs="Arial"/>
          <w:b/>
          <w:bCs/>
          <w:sz w:val="24"/>
          <w:szCs w:val="24"/>
        </w:rPr>
        <w:t xml:space="preserve">Clause </w:t>
      </w:r>
      <w:r w:rsidR="004065A7">
        <w:rPr>
          <w:rFonts w:ascii="Arial" w:hAnsi="Arial" w:cs="Arial"/>
          <w:b/>
          <w:bCs/>
          <w:sz w:val="24"/>
          <w:szCs w:val="24"/>
        </w:rPr>
        <w:t>9</w:t>
      </w:r>
      <w:r w:rsidR="004065A7">
        <w:rPr>
          <w:rFonts w:ascii="Arial" w:hAnsi="Arial" w:cs="Arial"/>
          <w:b/>
          <w:bCs/>
          <w:sz w:val="24"/>
          <w:szCs w:val="24"/>
        </w:rPr>
        <w:tab/>
      </w:r>
      <w:r w:rsidRPr="005B6B0B">
        <w:rPr>
          <w:rFonts w:ascii="Arial" w:hAnsi="Arial" w:cs="Arial"/>
          <w:b/>
          <w:bCs/>
          <w:sz w:val="24"/>
          <w:szCs w:val="24"/>
        </w:rPr>
        <w:t>Section 29G</w:t>
      </w:r>
      <w:r w:rsidR="00400058" w:rsidRPr="0045233D">
        <w:rPr>
          <w:rFonts w:ascii="Arial" w:hAnsi="Arial" w:cs="Arial"/>
          <w:b/>
          <w:bCs/>
          <w:sz w:val="24"/>
          <w:szCs w:val="24"/>
        </w:rPr>
        <w:tab/>
      </w:r>
      <w:r w:rsidR="00400058" w:rsidRPr="0045233D">
        <w:rPr>
          <w:rFonts w:ascii="Arial" w:hAnsi="Arial" w:cs="Arial"/>
          <w:b/>
          <w:bCs/>
          <w:sz w:val="24"/>
          <w:szCs w:val="24"/>
        </w:rPr>
        <w:tab/>
      </w:r>
    </w:p>
    <w:p w14:paraId="3F1712C4" w14:textId="77777777" w:rsidR="00400058" w:rsidRPr="005B6B0B" w:rsidRDefault="00400058" w:rsidP="00400058">
      <w:pPr>
        <w:rPr>
          <w:rFonts w:ascii="Arial" w:hAnsi="Arial" w:cs="Arial"/>
          <w:sz w:val="24"/>
          <w:szCs w:val="24"/>
        </w:rPr>
      </w:pPr>
      <w:r w:rsidRPr="005B6B0B">
        <w:rPr>
          <w:rFonts w:ascii="Arial" w:hAnsi="Arial" w:cs="Arial"/>
          <w:sz w:val="24"/>
          <w:szCs w:val="24"/>
        </w:rPr>
        <w:t>This clause substitutes section 29G in the BDMR Act to make several amendments in relation to an application made by a young person under section 29E of the BDMR Act proceeding before ACAT.</w:t>
      </w:r>
    </w:p>
    <w:p w14:paraId="7337D0E7" w14:textId="35D7F23A" w:rsidR="00400058" w:rsidRPr="005B6B0B" w:rsidRDefault="00400058" w:rsidP="00400058">
      <w:pPr>
        <w:rPr>
          <w:rFonts w:ascii="Arial" w:hAnsi="Arial" w:cs="Arial"/>
          <w:sz w:val="24"/>
          <w:szCs w:val="24"/>
          <w:u w:val="single"/>
        </w:rPr>
      </w:pPr>
      <w:r w:rsidRPr="005B6B0B">
        <w:rPr>
          <w:rFonts w:ascii="Arial" w:hAnsi="Arial" w:cs="Arial"/>
          <w:sz w:val="24"/>
          <w:szCs w:val="24"/>
          <w:u w:val="single"/>
        </w:rPr>
        <w:t>Section 29G</w:t>
      </w:r>
      <w:r w:rsidR="00363CED">
        <w:rPr>
          <w:rFonts w:ascii="Arial" w:hAnsi="Arial" w:cs="Arial"/>
          <w:sz w:val="24"/>
          <w:szCs w:val="24"/>
          <w:u w:val="single"/>
        </w:rPr>
        <w:t xml:space="preserve"> </w:t>
      </w:r>
      <w:r w:rsidRPr="005B6B0B">
        <w:rPr>
          <w:rFonts w:ascii="Arial" w:hAnsi="Arial" w:cs="Arial"/>
          <w:sz w:val="24"/>
          <w:szCs w:val="24"/>
          <w:u w:val="single"/>
        </w:rPr>
        <w:t>(1)</w:t>
      </w:r>
      <w:r w:rsidR="00363CED">
        <w:rPr>
          <w:rFonts w:ascii="Arial" w:hAnsi="Arial" w:cs="Arial"/>
          <w:sz w:val="24"/>
          <w:szCs w:val="24"/>
          <w:u w:val="single"/>
        </w:rPr>
        <w:t xml:space="preserve"> </w:t>
      </w:r>
      <w:r w:rsidRPr="005B6B0B">
        <w:rPr>
          <w:rFonts w:ascii="Arial" w:hAnsi="Arial" w:cs="Arial"/>
          <w:sz w:val="24"/>
          <w:szCs w:val="24"/>
          <w:u w:val="single"/>
        </w:rPr>
        <w:t>(b)</w:t>
      </w:r>
    </w:p>
    <w:p w14:paraId="3F5616BE" w14:textId="43DB1DCC" w:rsidR="00400058" w:rsidRPr="005B6B0B" w:rsidRDefault="00400058" w:rsidP="00400058">
      <w:pPr>
        <w:rPr>
          <w:rFonts w:ascii="Arial" w:hAnsi="Arial" w:cs="Arial"/>
          <w:sz w:val="24"/>
          <w:szCs w:val="24"/>
        </w:rPr>
      </w:pPr>
      <w:r w:rsidRPr="005B6B0B">
        <w:rPr>
          <w:rFonts w:ascii="Arial" w:hAnsi="Arial" w:cs="Arial"/>
          <w:sz w:val="24"/>
          <w:szCs w:val="24"/>
        </w:rPr>
        <w:t>The clause amends section 29G</w:t>
      </w:r>
      <w:r w:rsidR="00363CED">
        <w:rPr>
          <w:rFonts w:ascii="Arial" w:hAnsi="Arial" w:cs="Arial"/>
          <w:sz w:val="24"/>
          <w:szCs w:val="24"/>
        </w:rPr>
        <w:t xml:space="preserve"> </w:t>
      </w:r>
      <w:r w:rsidRPr="005B6B0B">
        <w:rPr>
          <w:rFonts w:ascii="Arial" w:hAnsi="Arial" w:cs="Arial"/>
          <w:sz w:val="24"/>
          <w:szCs w:val="24"/>
        </w:rPr>
        <w:t>(1)</w:t>
      </w:r>
      <w:r w:rsidR="00363CED">
        <w:rPr>
          <w:rFonts w:ascii="Arial" w:hAnsi="Arial" w:cs="Arial"/>
          <w:sz w:val="24"/>
          <w:szCs w:val="24"/>
        </w:rPr>
        <w:t xml:space="preserve"> </w:t>
      </w:r>
      <w:r w:rsidRPr="005B6B0B">
        <w:rPr>
          <w:rFonts w:ascii="Arial" w:hAnsi="Arial" w:cs="Arial"/>
          <w:sz w:val="24"/>
          <w:szCs w:val="24"/>
        </w:rPr>
        <w:t>(b) to provide that ACAT may proceed to a hearing of an application for leave under section 29E of the BDMR Act 14 days after the application is lodged, if a submission under section 29E</w:t>
      </w:r>
      <w:r w:rsidR="00363CED">
        <w:rPr>
          <w:rFonts w:ascii="Arial" w:hAnsi="Arial" w:cs="Arial"/>
          <w:sz w:val="24"/>
          <w:szCs w:val="24"/>
        </w:rPr>
        <w:t xml:space="preserve"> </w:t>
      </w:r>
      <w:r w:rsidRPr="005B6B0B">
        <w:rPr>
          <w:rFonts w:ascii="Arial" w:hAnsi="Arial" w:cs="Arial"/>
          <w:sz w:val="24"/>
          <w:szCs w:val="24"/>
        </w:rPr>
        <w:t>(4)</w:t>
      </w:r>
      <w:r w:rsidR="00363CED">
        <w:rPr>
          <w:rFonts w:ascii="Arial" w:hAnsi="Arial" w:cs="Arial"/>
          <w:sz w:val="24"/>
          <w:szCs w:val="24"/>
        </w:rPr>
        <w:t xml:space="preserve"> </w:t>
      </w:r>
      <w:r w:rsidRPr="005B6B0B">
        <w:rPr>
          <w:rFonts w:ascii="Arial" w:hAnsi="Arial" w:cs="Arial"/>
          <w:sz w:val="24"/>
          <w:szCs w:val="24"/>
        </w:rPr>
        <w:t>(b) is not made by the young person.</w:t>
      </w:r>
    </w:p>
    <w:p w14:paraId="64B3555B" w14:textId="1A9F3C34" w:rsidR="00400058" w:rsidRPr="005B6B0B" w:rsidRDefault="00400058" w:rsidP="00400058">
      <w:pPr>
        <w:rPr>
          <w:rFonts w:ascii="Arial" w:hAnsi="Arial" w:cs="Arial"/>
          <w:sz w:val="24"/>
          <w:szCs w:val="24"/>
        </w:rPr>
      </w:pPr>
      <w:r w:rsidRPr="005B6B0B">
        <w:rPr>
          <w:rFonts w:ascii="Arial" w:hAnsi="Arial" w:cs="Arial"/>
          <w:sz w:val="24"/>
          <w:szCs w:val="24"/>
        </w:rPr>
        <w:t>The intent of the amendment is to clarify when ACAT may proceed an application to a hearing where a submission under section 29E</w:t>
      </w:r>
      <w:r w:rsidR="00363CED">
        <w:rPr>
          <w:rFonts w:ascii="Arial" w:hAnsi="Arial" w:cs="Arial"/>
          <w:sz w:val="24"/>
          <w:szCs w:val="24"/>
        </w:rPr>
        <w:t xml:space="preserve"> </w:t>
      </w:r>
      <w:r w:rsidRPr="005B6B0B">
        <w:rPr>
          <w:rFonts w:ascii="Arial" w:hAnsi="Arial" w:cs="Arial"/>
          <w:sz w:val="24"/>
          <w:szCs w:val="24"/>
        </w:rPr>
        <w:t>(4)</w:t>
      </w:r>
      <w:r w:rsidR="00363CED">
        <w:rPr>
          <w:rFonts w:ascii="Arial" w:hAnsi="Arial" w:cs="Arial"/>
          <w:sz w:val="24"/>
          <w:szCs w:val="24"/>
        </w:rPr>
        <w:t xml:space="preserve"> </w:t>
      </w:r>
      <w:r w:rsidRPr="005B6B0B">
        <w:rPr>
          <w:rFonts w:ascii="Arial" w:hAnsi="Arial" w:cs="Arial"/>
          <w:sz w:val="24"/>
          <w:szCs w:val="24"/>
        </w:rPr>
        <w:t>(b) is not made by a young person in their application.</w:t>
      </w:r>
    </w:p>
    <w:p w14:paraId="4EDE7832" w14:textId="744B2874" w:rsidR="00400058" w:rsidRPr="005B6B0B" w:rsidRDefault="00400058" w:rsidP="00400058">
      <w:pPr>
        <w:rPr>
          <w:rFonts w:ascii="Arial" w:hAnsi="Arial" w:cs="Arial"/>
          <w:sz w:val="24"/>
          <w:szCs w:val="24"/>
        </w:rPr>
      </w:pPr>
      <w:r w:rsidRPr="005B6B0B">
        <w:rPr>
          <w:rFonts w:ascii="Arial" w:hAnsi="Arial" w:cs="Arial"/>
          <w:sz w:val="24"/>
          <w:szCs w:val="24"/>
          <w:u w:val="single"/>
        </w:rPr>
        <w:t>Sections 29G</w:t>
      </w:r>
      <w:r w:rsidR="00363CED">
        <w:rPr>
          <w:rFonts w:ascii="Arial" w:hAnsi="Arial" w:cs="Arial"/>
          <w:sz w:val="24"/>
          <w:szCs w:val="24"/>
          <w:u w:val="single"/>
        </w:rPr>
        <w:t xml:space="preserve"> </w:t>
      </w:r>
      <w:r w:rsidRPr="005B6B0B">
        <w:rPr>
          <w:rFonts w:ascii="Arial" w:hAnsi="Arial" w:cs="Arial"/>
          <w:sz w:val="24"/>
          <w:szCs w:val="24"/>
          <w:u w:val="single"/>
        </w:rPr>
        <w:t>(4) and 29G</w:t>
      </w:r>
      <w:r w:rsidR="00363CED">
        <w:rPr>
          <w:rFonts w:ascii="Arial" w:hAnsi="Arial" w:cs="Arial"/>
          <w:sz w:val="24"/>
          <w:szCs w:val="24"/>
          <w:u w:val="single"/>
        </w:rPr>
        <w:t xml:space="preserve"> </w:t>
      </w:r>
      <w:r w:rsidRPr="005B6B0B">
        <w:rPr>
          <w:rFonts w:ascii="Arial" w:hAnsi="Arial" w:cs="Arial"/>
          <w:sz w:val="24"/>
          <w:szCs w:val="24"/>
          <w:u w:val="single"/>
        </w:rPr>
        <w:t>(5)</w:t>
      </w:r>
      <w:r w:rsidR="00363CED">
        <w:rPr>
          <w:rFonts w:ascii="Arial" w:hAnsi="Arial" w:cs="Arial"/>
          <w:sz w:val="24"/>
          <w:szCs w:val="24"/>
          <w:u w:val="single"/>
        </w:rPr>
        <w:t xml:space="preserve"> </w:t>
      </w:r>
      <w:r w:rsidRPr="005B6B0B">
        <w:rPr>
          <w:rFonts w:ascii="Arial" w:hAnsi="Arial" w:cs="Arial"/>
          <w:sz w:val="24"/>
          <w:szCs w:val="24"/>
          <w:u w:val="single"/>
        </w:rPr>
        <w:t>(a)-(b)</w:t>
      </w:r>
    </w:p>
    <w:p w14:paraId="47B604D5" w14:textId="025BD91D" w:rsidR="00400058" w:rsidRPr="005B6B0B" w:rsidRDefault="00400058" w:rsidP="00400058">
      <w:pPr>
        <w:rPr>
          <w:rFonts w:ascii="Arial" w:hAnsi="Arial" w:cs="Arial"/>
          <w:sz w:val="24"/>
          <w:szCs w:val="24"/>
        </w:rPr>
      </w:pPr>
      <w:r w:rsidRPr="005B6B0B">
        <w:rPr>
          <w:rFonts w:ascii="Arial" w:hAnsi="Arial" w:cs="Arial"/>
          <w:sz w:val="24"/>
          <w:szCs w:val="24"/>
        </w:rPr>
        <w:t>The clause requires ACAT to give the Public Advocate under section 29G</w:t>
      </w:r>
      <w:r w:rsidR="00363CED">
        <w:rPr>
          <w:rFonts w:ascii="Arial" w:hAnsi="Arial" w:cs="Arial"/>
          <w:sz w:val="24"/>
          <w:szCs w:val="24"/>
        </w:rPr>
        <w:t xml:space="preserve"> </w:t>
      </w:r>
      <w:r w:rsidRPr="005B6B0B">
        <w:rPr>
          <w:rFonts w:ascii="Arial" w:hAnsi="Arial" w:cs="Arial"/>
          <w:sz w:val="24"/>
          <w:szCs w:val="24"/>
        </w:rPr>
        <w:t>(4) a copy of any document lodged with ACAT or received in evidence by ACAT for a hearing of an application made by a young person under section 29E.</w:t>
      </w:r>
    </w:p>
    <w:p w14:paraId="2CE44416" w14:textId="086A40FE" w:rsidR="00400058" w:rsidRPr="005B6B0B" w:rsidRDefault="00400058" w:rsidP="00400058">
      <w:pPr>
        <w:rPr>
          <w:rFonts w:ascii="Arial" w:hAnsi="Arial" w:cs="Arial"/>
          <w:sz w:val="24"/>
          <w:szCs w:val="24"/>
        </w:rPr>
      </w:pPr>
      <w:r w:rsidRPr="005B6B0B">
        <w:rPr>
          <w:rFonts w:ascii="Arial" w:hAnsi="Arial" w:cs="Arial"/>
          <w:sz w:val="24"/>
          <w:szCs w:val="24"/>
        </w:rPr>
        <w:lastRenderedPageBreak/>
        <w:t>The clause also provides the Public Advocate under section 29G</w:t>
      </w:r>
      <w:r w:rsidR="00363CED">
        <w:rPr>
          <w:rFonts w:ascii="Arial" w:hAnsi="Arial" w:cs="Arial"/>
          <w:sz w:val="24"/>
          <w:szCs w:val="24"/>
        </w:rPr>
        <w:t xml:space="preserve"> </w:t>
      </w:r>
      <w:r w:rsidRPr="005B6B0B">
        <w:rPr>
          <w:rFonts w:ascii="Arial" w:hAnsi="Arial" w:cs="Arial"/>
          <w:sz w:val="24"/>
          <w:szCs w:val="24"/>
        </w:rPr>
        <w:t>(5)</w:t>
      </w:r>
      <w:r w:rsidR="00363CED">
        <w:rPr>
          <w:rFonts w:ascii="Arial" w:hAnsi="Arial" w:cs="Arial"/>
          <w:sz w:val="24"/>
          <w:szCs w:val="24"/>
        </w:rPr>
        <w:t xml:space="preserve"> </w:t>
      </w:r>
      <w:r w:rsidRPr="005B6B0B">
        <w:rPr>
          <w:rFonts w:ascii="Arial" w:hAnsi="Arial" w:cs="Arial"/>
          <w:sz w:val="24"/>
          <w:szCs w:val="24"/>
        </w:rPr>
        <w:t>(a)-(b) the discretionary power to attend the hearing of an application by a young person under section 29E at any stage and in whole or in part, and to make submissions at the hearing about any matter relating to the application or the hearing.</w:t>
      </w:r>
    </w:p>
    <w:p w14:paraId="4C14B843" w14:textId="6F4C0193" w:rsidR="00400058" w:rsidRPr="005B6B0B" w:rsidRDefault="00400058" w:rsidP="00400058">
      <w:pPr>
        <w:rPr>
          <w:rFonts w:ascii="Arial" w:hAnsi="Arial" w:cs="Arial"/>
          <w:sz w:val="24"/>
          <w:szCs w:val="24"/>
        </w:rPr>
      </w:pPr>
      <w:r w:rsidRPr="005B6B0B">
        <w:rPr>
          <w:rFonts w:ascii="Arial" w:hAnsi="Arial" w:cs="Arial"/>
          <w:sz w:val="24"/>
          <w:szCs w:val="24"/>
        </w:rPr>
        <w:t>The clause further inserts a note in section 29G</w:t>
      </w:r>
      <w:r w:rsidR="00363CED">
        <w:rPr>
          <w:rFonts w:ascii="Arial" w:hAnsi="Arial" w:cs="Arial"/>
          <w:sz w:val="24"/>
          <w:szCs w:val="24"/>
        </w:rPr>
        <w:t xml:space="preserve"> </w:t>
      </w:r>
      <w:r w:rsidRPr="005B6B0B">
        <w:rPr>
          <w:rFonts w:ascii="Arial" w:hAnsi="Arial" w:cs="Arial"/>
          <w:sz w:val="24"/>
          <w:szCs w:val="24"/>
        </w:rPr>
        <w:t xml:space="preserve">(5) about the Public Advocate’s obligation to report to ACAT about a matter before ACAT if asked by ACAT under section 27BA of the </w:t>
      </w:r>
      <w:r w:rsidRPr="005B6B0B">
        <w:rPr>
          <w:rFonts w:ascii="Arial" w:hAnsi="Arial" w:cs="Arial"/>
          <w:i/>
          <w:iCs/>
          <w:sz w:val="24"/>
          <w:szCs w:val="24"/>
        </w:rPr>
        <w:t xml:space="preserve">Human Rights Commission Act 2005 </w:t>
      </w:r>
      <w:r w:rsidRPr="005B6B0B">
        <w:rPr>
          <w:rFonts w:ascii="Arial" w:hAnsi="Arial" w:cs="Arial"/>
          <w:sz w:val="24"/>
          <w:szCs w:val="24"/>
        </w:rPr>
        <w:t>(HRCA).</w:t>
      </w:r>
    </w:p>
    <w:p w14:paraId="51EDCBFD" w14:textId="77777777" w:rsidR="00400058" w:rsidRPr="005B6B0B" w:rsidRDefault="00400058" w:rsidP="00400058">
      <w:pPr>
        <w:rPr>
          <w:rFonts w:ascii="Arial" w:hAnsi="Arial" w:cs="Arial"/>
          <w:sz w:val="24"/>
          <w:szCs w:val="24"/>
        </w:rPr>
      </w:pPr>
      <w:r w:rsidRPr="005B6B0B">
        <w:rPr>
          <w:rFonts w:ascii="Arial" w:hAnsi="Arial" w:cs="Arial"/>
          <w:sz w:val="24"/>
          <w:szCs w:val="24"/>
        </w:rPr>
        <w:t>The intent of the amendments is to ensure the Public Advocate is provided with appropriate documents and powers to effectively perform its function to advocate for the rights and interests of a young person in an application before ACAT under section 29E of the BDMR Act, and to indicate the operation of section 27BA of the HRCA and its possible use by ACAT in a young person’s application before ACAT under section 29E of the BDMR Act.</w:t>
      </w:r>
    </w:p>
    <w:p w14:paraId="2AB78719" w14:textId="51E5522C" w:rsidR="00400058" w:rsidRPr="005B6B0B" w:rsidRDefault="00400058" w:rsidP="00400058">
      <w:pPr>
        <w:rPr>
          <w:rFonts w:ascii="Arial" w:hAnsi="Arial" w:cs="Arial"/>
          <w:sz w:val="24"/>
          <w:szCs w:val="24"/>
          <w:u w:val="single"/>
        </w:rPr>
      </w:pPr>
      <w:r w:rsidRPr="005B6B0B">
        <w:rPr>
          <w:rFonts w:ascii="Arial" w:hAnsi="Arial" w:cs="Arial"/>
          <w:sz w:val="24"/>
          <w:szCs w:val="24"/>
          <w:u w:val="single"/>
        </w:rPr>
        <w:t>Sections 29G</w:t>
      </w:r>
      <w:r w:rsidR="00363CED">
        <w:rPr>
          <w:rFonts w:ascii="Arial" w:hAnsi="Arial" w:cs="Arial"/>
          <w:sz w:val="24"/>
          <w:szCs w:val="24"/>
          <w:u w:val="single"/>
        </w:rPr>
        <w:t xml:space="preserve"> </w:t>
      </w:r>
      <w:r w:rsidRPr="005B6B0B">
        <w:rPr>
          <w:rFonts w:ascii="Arial" w:hAnsi="Arial" w:cs="Arial"/>
          <w:sz w:val="24"/>
          <w:szCs w:val="24"/>
          <w:u w:val="single"/>
        </w:rPr>
        <w:t>(8)-(10)</w:t>
      </w:r>
    </w:p>
    <w:p w14:paraId="5DC689EB" w14:textId="1D351858" w:rsidR="00400058" w:rsidRPr="005B6B0B" w:rsidRDefault="00400058" w:rsidP="00400058">
      <w:pPr>
        <w:rPr>
          <w:rFonts w:ascii="Arial" w:hAnsi="Arial" w:cs="Arial"/>
          <w:sz w:val="24"/>
          <w:szCs w:val="24"/>
        </w:rPr>
      </w:pPr>
      <w:r w:rsidRPr="005B6B0B">
        <w:rPr>
          <w:rFonts w:ascii="Arial" w:hAnsi="Arial" w:cs="Arial"/>
          <w:sz w:val="24"/>
          <w:szCs w:val="24"/>
        </w:rPr>
        <w:t>The clause gives ACAT the discretionary power under sections 29G</w:t>
      </w:r>
      <w:r w:rsidR="00363CED">
        <w:rPr>
          <w:rFonts w:ascii="Arial" w:hAnsi="Arial" w:cs="Arial"/>
          <w:sz w:val="24"/>
          <w:szCs w:val="24"/>
        </w:rPr>
        <w:t xml:space="preserve"> </w:t>
      </w:r>
      <w:r w:rsidRPr="005B6B0B">
        <w:rPr>
          <w:rFonts w:ascii="Arial" w:hAnsi="Arial" w:cs="Arial"/>
          <w:sz w:val="24"/>
          <w:szCs w:val="24"/>
        </w:rPr>
        <w:t>(8)-(9) to make non-disclosure orders on application by a young person or on its own initiative which are binding on non-parties who attend a hearing, or who make submissions under sections 29G</w:t>
      </w:r>
      <w:r w:rsidR="00363CED">
        <w:rPr>
          <w:rFonts w:ascii="Arial" w:hAnsi="Arial" w:cs="Arial"/>
          <w:sz w:val="24"/>
          <w:szCs w:val="24"/>
        </w:rPr>
        <w:t xml:space="preserve"> </w:t>
      </w:r>
      <w:r w:rsidRPr="005B6B0B">
        <w:rPr>
          <w:rFonts w:ascii="Arial" w:hAnsi="Arial" w:cs="Arial"/>
          <w:sz w:val="24"/>
          <w:szCs w:val="24"/>
        </w:rPr>
        <w:t>(5) and (6), of evidence given at the hearing, or of a matter contained in a document lodged with ACAT or received in evidence by ACAT for the hearing.</w:t>
      </w:r>
    </w:p>
    <w:p w14:paraId="24A5F349" w14:textId="555278E2" w:rsidR="00400058" w:rsidRPr="005B6B0B" w:rsidRDefault="00400058" w:rsidP="00400058">
      <w:pPr>
        <w:rPr>
          <w:rFonts w:ascii="Arial" w:hAnsi="Arial" w:cs="Arial"/>
          <w:sz w:val="24"/>
          <w:szCs w:val="24"/>
        </w:rPr>
      </w:pPr>
      <w:r w:rsidRPr="005B6B0B">
        <w:rPr>
          <w:rFonts w:ascii="Arial" w:hAnsi="Arial" w:cs="Arial"/>
          <w:sz w:val="24"/>
          <w:szCs w:val="24"/>
        </w:rPr>
        <w:t>Under section 29G</w:t>
      </w:r>
      <w:r w:rsidR="00363CED">
        <w:rPr>
          <w:rFonts w:ascii="Arial" w:hAnsi="Arial" w:cs="Arial"/>
          <w:sz w:val="24"/>
          <w:szCs w:val="24"/>
        </w:rPr>
        <w:t xml:space="preserve"> </w:t>
      </w:r>
      <w:r w:rsidRPr="005B6B0B">
        <w:rPr>
          <w:rFonts w:ascii="Arial" w:hAnsi="Arial" w:cs="Arial"/>
          <w:sz w:val="24"/>
          <w:szCs w:val="24"/>
        </w:rPr>
        <w:t>(1), an offence by a person against section 29G</w:t>
      </w:r>
      <w:r w:rsidR="00363CED">
        <w:rPr>
          <w:rFonts w:ascii="Arial" w:hAnsi="Arial" w:cs="Arial"/>
          <w:sz w:val="24"/>
          <w:szCs w:val="24"/>
        </w:rPr>
        <w:t xml:space="preserve"> </w:t>
      </w:r>
      <w:r w:rsidRPr="005B6B0B">
        <w:rPr>
          <w:rFonts w:ascii="Arial" w:hAnsi="Arial" w:cs="Arial"/>
          <w:sz w:val="24"/>
          <w:szCs w:val="24"/>
        </w:rPr>
        <w:t>(8) carries a maximum penalty under section 29G</w:t>
      </w:r>
      <w:r w:rsidR="00363CED">
        <w:rPr>
          <w:rFonts w:ascii="Arial" w:hAnsi="Arial" w:cs="Arial"/>
          <w:sz w:val="24"/>
          <w:szCs w:val="24"/>
        </w:rPr>
        <w:t xml:space="preserve"> </w:t>
      </w:r>
      <w:r w:rsidRPr="005B6B0B">
        <w:rPr>
          <w:rFonts w:ascii="Arial" w:hAnsi="Arial" w:cs="Arial"/>
          <w:sz w:val="24"/>
          <w:szCs w:val="24"/>
        </w:rPr>
        <w:t>(10) of 50 penalty units, imprisonment for 6 months, or both.</w:t>
      </w:r>
    </w:p>
    <w:p w14:paraId="2F37B1D7" w14:textId="25DFE3B7" w:rsidR="00400058" w:rsidRPr="00363CED" w:rsidRDefault="00400058" w:rsidP="00363CED">
      <w:pPr>
        <w:rPr>
          <w:rFonts w:ascii="Arial" w:hAnsi="Arial" w:cs="Arial"/>
          <w:sz w:val="24"/>
          <w:szCs w:val="24"/>
        </w:rPr>
      </w:pPr>
      <w:r w:rsidRPr="005B6B0B">
        <w:rPr>
          <w:rFonts w:ascii="Arial" w:hAnsi="Arial" w:cs="Arial"/>
          <w:sz w:val="24"/>
          <w:szCs w:val="24"/>
        </w:rPr>
        <w:t xml:space="preserve">The intent of the amendment is </w:t>
      </w:r>
      <w:r w:rsidR="00363CED">
        <w:rPr>
          <w:rFonts w:ascii="Arial" w:hAnsi="Arial" w:cs="Arial"/>
          <w:sz w:val="24"/>
          <w:szCs w:val="24"/>
        </w:rPr>
        <w:t xml:space="preserve">to </w:t>
      </w:r>
      <w:r w:rsidRPr="005B6B0B">
        <w:rPr>
          <w:rFonts w:ascii="Arial" w:hAnsi="Arial" w:cs="Arial"/>
          <w:sz w:val="24"/>
          <w:szCs w:val="24"/>
        </w:rPr>
        <w:t xml:space="preserve">protect any information from being disclosed in a young person’s application under section 29E and the integrity of the pathway for young people to apply to ACAT under section 29E for an order granting leave to apply to the Registrar-General to change their given names and/or registered sex in the ACT Register of births, or for a recognised details certificate. Highly personal and sensitive information about a young person may be given as evidence at a hearing or be in documents lodged at ACAT in an application by a young person under section 29E. ACAT also does not currently have such a power to make non-disclosure orders on non-parties under section 39 of the </w:t>
      </w:r>
      <w:r w:rsidRPr="005B6B0B">
        <w:rPr>
          <w:rFonts w:ascii="Arial" w:hAnsi="Arial" w:cs="Arial"/>
          <w:i/>
          <w:iCs/>
          <w:sz w:val="24"/>
          <w:szCs w:val="24"/>
        </w:rPr>
        <w:t>ACT Civil and Administrative Tribunal Act 2008</w:t>
      </w:r>
      <w:r w:rsidRPr="005B6B0B">
        <w:rPr>
          <w:rFonts w:ascii="Arial" w:hAnsi="Arial" w:cs="Arial"/>
          <w:sz w:val="24"/>
          <w:szCs w:val="24"/>
        </w:rPr>
        <w:t>.  If no legislative safeguards are in place to protect the information from by non-parties, young people may ultimately be deterred from accessing the ACAT pathway in order to change their given names and/or registered sex in the ACT Register of births or on a recognised details certificate.</w:t>
      </w:r>
    </w:p>
    <w:p w14:paraId="70E99922" w14:textId="1A8FFC61" w:rsidR="00400058" w:rsidRPr="0045233D" w:rsidRDefault="00C36CA4" w:rsidP="00363CED">
      <w:pPr>
        <w:keepNext/>
        <w:keepLines/>
        <w:rPr>
          <w:rFonts w:ascii="Arial" w:hAnsi="Arial" w:cs="Arial"/>
          <w:b/>
          <w:bCs/>
          <w:sz w:val="24"/>
          <w:szCs w:val="24"/>
        </w:rPr>
      </w:pPr>
      <w:r w:rsidRPr="005B6B0B">
        <w:rPr>
          <w:rFonts w:ascii="Arial" w:hAnsi="Arial" w:cs="Arial"/>
          <w:b/>
          <w:bCs/>
          <w:sz w:val="24"/>
          <w:szCs w:val="24"/>
        </w:rPr>
        <w:lastRenderedPageBreak/>
        <w:t>Clause 10</w:t>
      </w:r>
      <w:r w:rsidRPr="005B6B0B">
        <w:rPr>
          <w:rFonts w:ascii="Arial" w:hAnsi="Arial" w:cs="Arial"/>
          <w:b/>
          <w:bCs/>
          <w:sz w:val="24"/>
          <w:szCs w:val="24"/>
        </w:rPr>
        <w:tab/>
      </w:r>
      <w:r w:rsidR="00400058" w:rsidRPr="005B6B0B">
        <w:rPr>
          <w:rFonts w:ascii="Arial" w:hAnsi="Arial" w:cs="Arial"/>
          <w:b/>
          <w:bCs/>
          <w:sz w:val="24"/>
          <w:szCs w:val="24"/>
        </w:rPr>
        <w:t>ACAT deciding an application for leave</w:t>
      </w:r>
    </w:p>
    <w:p w14:paraId="16F2E17D" w14:textId="1395B04C" w:rsidR="00C36CA4" w:rsidRPr="0045233D" w:rsidRDefault="00611034" w:rsidP="00363CED">
      <w:pPr>
        <w:keepNext/>
        <w:keepLines/>
        <w:ind w:left="720" w:firstLine="720"/>
        <w:rPr>
          <w:rFonts w:ascii="Arial" w:hAnsi="Arial" w:cs="Arial"/>
          <w:b/>
          <w:bCs/>
          <w:sz w:val="24"/>
          <w:szCs w:val="24"/>
        </w:rPr>
      </w:pPr>
      <w:r w:rsidRPr="0045233D">
        <w:rPr>
          <w:rFonts w:ascii="Arial" w:hAnsi="Arial" w:cs="Arial"/>
          <w:b/>
          <w:bCs/>
          <w:sz w:val="24"/>
          <w:szCs w:val="24"/>
        </w:rPr>
        <w:t>New s</w:t>
      </w:r>
      <w:r w:rsidR="00C36CA4" w:rsidRPr="005B6B0B">
        <w:rPr>
          <w:rFonts w:ascii="Arial" w:hAnsi="Arial" w:cs="Arial"/>
          <w:b/>
          <w:bCs/>
          <w:sz w:val="24"/>
          <w:szCs w:val="24"/>
        </w:rPr>
        <w:t>ection 29H</w:t>
      </w:r>
      <w:r w:rsidR="00363CED">
        <w:rPr>
          <w:rFonts w:ascii="Arial" w:hAnsi="Arial" w:cs="Arial"/>
          <w:b/>
          <w:bCs/>
          <w:sz w:val="24"/>
          <w:szCs w:val="24"/>
        </w:rPr>
        <w:t xml:space="preserve"> </w:t>
      </w:r>
      <w:r w:rsidR="00C36CA4" w:rsidRPr="005B6B0B">
        <w:rPr>
          <w:rFonts w:ascii="Arial" w:hAnsi="Arial" w:cs="Arial"/>
          <w:b/>
          <w:bCs/>
          <w:sz w:val="24"/>
          <w:szCs w:val="24"/>
        </w:rPr>
        <w:t>(3)</w:t>
      </w:r>
    </w:p>
    <w:p w14:paraId="5FC8DF6C" w14:textId="15252788" w:rsidR="00400058" w:rsidRPr="005B6B0B" w:rsidRDefault="00400058" w:rsidP="00363CED">
      <w:pPr>
        <w:keepNext/>
        <w:keepLines/>
        <w:rPr>
          <w:rFonts w:ascii="Arial" w:hAnsi="Arial" w:cs="Arial"/>
          <w:sz w:val="24"/>
          <w:szCs w:val="24"/>
        </w:rPr>
      </w:pPr>
      <w:r w:rsidRPr="005B6B0B">
        <w:rPr>
          <w:rFonts w:ascii="Arial" w:hAnsi="Arial" w:cs="Arial"/>
          <w:sz w:val="24"/>
          <w:szCs w:val="24"/>
        </w:rPr>
        <w:t>This clause inserts a new section 29H</w:t>
      </w:r>
      <w:r w:rsidR="00363CED">
        <w:rPr>
          <w:rFonts w:ascii="Arial" w:hAnsi="Arial" w:cs="Arial"/>
          <w:sz w:val="24"/>
          <w:szCs w:val="24"/>
        </w:rPr>
        <w:t xml:space="preserve"> </w:t>
      </w:r>
      <w:r w:rsidRPr="005B6B0B">
        <w:rPr>
          <w:rFonts w:ascii="Arial" w:hAnsi="Arial" w:cs="Arial"/>
          <w:sz w:val="24"/>
          <w:szCs w:val="24"/>
        </w:rPr>
        <w:t>(3) in the BDMR Act to allow a young person to use an order made by ACAT under section 29H</w:t>
      </w:r>
      <w:r w:rsidR="00363CED">
        <w:rPr>
          <w:rFonts w:ascii="Arial" w:hAnsi="Arial" w:cs="Arial"/>
          <w:sz w:val="24"/>
          <w:szCs w:val="24"/>
        </w:rPr>
        <w:t xml:space="preserve"> </w:t>
      </w:r>
      <w:r w:rsidRPr="005B6B0B">
        <w:rPr>
          <w:rFonts w:ascii="Arial" w:hAnsi="Arial" w:cs="Arial"/>
          <w:sz w:val="24"/>
          <w:szCs w:val="24"/>
        </w:rPr>
        <w:t>(1) to make the same type of application to the Registrar-General for any subsequent change to their given names and/or registered sex in the ACT Register of births or on a recognised details certificate.</w:t>
      </w:r>
    </w:p>
    <w:p w14:paraId="38301EE2" w14:textId="3C94676E" w:rsidR="00400058" w:rsidRPr="005B6B0B" w:rsidRDefault="00400058" w:rsidP="00400058">
      <w:pPr>
        <w:rPr>
          <w:rFonts w:ascii="Arial" w:hAnsi="Arial" w:cs="Arial"/>
          <w:sz w:val="24"/>
          <w:szCs w:val="24"/>
        </w:rPr>
      </w:pPr>
      <w:r w:rsidRPr="005B6B0B">
        <w:rPr>
          <w:rFonts w:ascii="Arial" w:hAnsi="Arial" w:cs="Arial"/>
          <w:sz w:val="24"/>
          <w:szCs w:val="24"/>
        </w:rPr>
        <w:t>A young person’s gender identity is not fixed during adolescence, and under section 29H</w:t>
      </w:r>
      <w:r w:rsidR="00363CED">
        <w:rPr>
          <w:rFonts w:ascii="Arial" w:hAnsi="Arial" w:cs="Arial"/>
          <w:sz w:val="24"/>
          <w:szCs w:val="24"/>
        </w:rPr>
        <w:t xml:space="preserve"> </w:t>
      </w:r>
      <w:r w:rsidRPr="005B6B0B">
        <w:rPr>
          <w:rFonts w:ascii="Arial" w:hAnsi="Arial" w:cs="Arial"/>
          <w:sz w:val="24"/>
          <w:szCs w:val="24"/>
        </w:rPr>
        <w:t>(1) of the BDMR Act ACAT will already consider whether a young person has sufficient decision-making ability to understand the meaning and legal implication of the changes they are seeking and whether they believe the changes would better reflect their gender identity.</w:t>
      </w:r>
    </w:p>
    <w:p w14:paraId="291D861D" w14:textId="77777777" w:rsidR="00400058" w:rsidRPr="005B6B0B" w:rsidRDefault="00400058" w:rsidP="00400058">
      <w:pPr>
        <w:rPr>
          <w:rFonts w:ascii="Arial" w:hAnsi="Arial" w:cs="Arial"/>
          <w:sz w:val="24"/>
          <w:szCs w:val="24"/>
        </w:rPr>
      </w:pPr>
      <w:r w:rsidRPr="005B6B0B">
        <w:rPr>
          <w:rFonts w:ascii="Arial" w:hAnsi="Arial" w:cs="Arial"/>
          <w:sz w:val="24"/>
          <w:szCs w:val="24"/>
        </w:rPr>
        <w:t>Further, it is a barrier and burdensome on young people to require them to re-apply to ACAT for leave to apply to the Registrar-General for any subsequent application of the same type. This is exacerbated where an order granting leave specifies the given names and/or registered sex to which the young person may use in an application to the Registrar-General.</w:t>
      </w:r>
    </w:p>
    <w:p w14:paraId="6CAEE159" w14:textId="329B9162" w:rsidR="00400058" w:rsidRPr="005B6B0B" w:rsidRDefault="00400058" w:rsidP="00400058">
      <w:pPr>
        <w:rPr>
          <w:rFonts w:ascii="Arial" w:hAnsi="Arial" w:cs="Arial"/>
          <w:sz w:val="24"/>
          <w:szCs w:val="24"/>
        </w:rPr>
      </w:pPr>
      <w:r w:rsidRPr="005B6B0B">
        <w:rPr>
          <w:rFonts w:ascii="Arial" w:hAnsi="Arial" w:cs="Arial"/>
          <w:sz w:val="24"/>
          <w:szCs w:val="24"/>
        </w:rPr>
        <w:t>The intent of the clause is to therefore remove any barriers and permit young people who have an ACAT order granting under section 29H</w:t>
      </w:r>
      <w:r w:rsidR="00363CED">
        <w:rPr>
          <w:rFonts w:ascii="Arial" w:hAnsi="Arial" w:cs="Arial"/>
          <w:sz w:val="24"/>
          <w:szCs w:val="24"/>
        </w:rPr>
        <w:t xml:space="preserve"> </w:t>
      </w:r>
      <w:r w:rsidRPr="005B6B0B">
        <w:rPr>
          <w:rFonts w:ascii="Arial" w:hAnsi="Arial" w:cs="Arial"/>
          <w:sz w:val="24"/>
          <w:szCs w:val="24"/>
        </w:rPr>
        <w:t>(1) to use the order for any subsequent application of the same type to the Registrar-General, without the requirement to obtain an additional ACAT order granting leave.</w:t>
      </w:r>
      <w:r w:rsidR="00363CED">
        <w:rPr>
          <w:rFonts w:ascii="Arial" w:hAnsi="Arial" w:cs="Arial"/>
          <w:sz w:val="24"/>
          <w:szCs w:val="24"/>
        </w:rPr>
        <w:t xml:space="preserve"> </w:t>
      </w:r>
      <w:r w:rsidRPr="005B6B0B">
        <w:rPr>
          <w:rFonts w:ascii="Arial" w:hAnsi="Arial" w:cs="Arial"/>
          <w:sz w:val="24"/>
          <w:szCs w:val="24"/>
        </w:rPr>
        <w:t>They will be able to use the order notwithstanding any given names and/or registered sex specified in the ACAT order.</w:t>
      </w:r>
    </w:p>
    <w:p w14:paraId="37D176C3" w14:textId="77B4C292" w:rsidR="00400058" w:rsidRPr="0045233D" w:rsidRDefault="00C36CA4" w:rsidP="00C36CA4">
      <w:pPr>
        <w:rPr>
          <w:rFonts w:ascii="Arial" w:hAnsi="Arial" w:cs="Arial"/>
          <w:b/>
          <w:bCs/>
          <w:sz w:val="24"/>
          <w:szCs w:val="24"/>
        </w:rPr>
      </w:pPr>
      <w:r w:rsidRPr="005B6B0B">
        <w:rPr>
          <w:rFonts w:ascii="Arial" w:hAnsi="Arial" w:cs="Arial"/>
          <w:b/>
          <w:bCs/>
          <w:sz w:val="24"/>
          <w:szCs w:val="24"/>
        </w:rPr>
        <w:t>Clause 11</w:t>
      </w:r>
      <w:r w:rsidR="00400058" w:rsidRPr="0045233D">
        <w:rPr>
          <w:rFonts w:ascii="Arial" w:hAnsi="Arial" w:cs="Arial"/>
          <w:b/>
          <w:bCs/>
          <w:sz w:val="24"/>
          <w:szCs w:val="24"/>
        </w:rPr>
        <w:tab/>
        <w:t>Issue of certificates</w:t>
      </w:r>
      <w:r w:rsidRPr="005B6B0B">
        <w:rPr>
          <w:rFonts w:ascii="Arial" w:hAnsi="Arial" w:cs="Arial"/>
          <w:b/>
          <w:bCs/>
          <w:sz w:val="24"/>
          <w:szCs w:val="24"/>
        </w:rPr>
        <w:tab/>
      </w:r>
    </w:p>
    <w:p w14:paraId="513EE5A4" w14:textId="2EE58FFC" w:rsidR="00C36CA4" w:rsidRPr="005B6B0B" w:rsidRDefault="00C36CA4" w:rsidP="005B6B0B">
      <w:pPr>
        <w:ind w:left="1440"/>
        <w:rPr>
          <w:rFonts w:ascii="Arial" w:hAnsi="Arial" w:cs="Arial"/>
          <w:b/>
          <w:bCs/>
          <w:sz w:val="24"/>
          <w:szCs w:val="24"/>
        </w:rPr>
      </w:pPr>
      <w:r w:rsidRPr="005B6B0B">
        <w:rPr>
          <w:rFonts w:ascii="Arial" w:hAnsi="Arial" w:cs="Arial"/>
          <w:b/>
          <w:bCs/>
          <w:sz w:val="24"/>
          <w:szCs w:val="24"/>
        </w:rPr>
        <w:t>Section 45(4)</w:t>
      </w:r>
    </w:p>
    <w:p w14:paraId="1F3108FE" w14:textId="679F3DF3" w:rsidR="00400058" w:rsidRPr="005B6B0B" w:rsidRDefault="00400058" w:rsidP="00400058">
      <w:pPr>
        <w:rPr>
          <w:rFonts w:ascii="Arial" w:hAnsi="Arial" w:cs="Arial"/>
          <w:sz w:val="24"/>
          <w:szCs w:val="24"/>
        </w:rPr>
      </w:pPr>
      <w:r w:rsidRPr="005B6B0B">
        <w:rPr>
          <w:rFonts w:ascii="Arial" w:hAnsi="Arial" w:cs="Arial"/>
          <w:sz w:val="24"/>
          <w:szCs w:val="24"/>
        </w:rPr>
        <w:t>This clause amends the definition of an IBC in section 45</w:t>
      </w:r>
      <w:r w:rsidR="009369D9">
        <w:rPr>
          <w:rFonts w:ascii="Arial" w:hAnsi="Arial" w:cs="Arial"/>
          <w:sz w:val="24"/>
          <w:szCs w:val="24"/>
        </w:rPr>
        <w:t xml:space="preserve"> </w:t>
      </w:r>
      <w:r w:rsidRPr="005B6B0B">
        <w:rPr>
          <w:rFonts w:ascii="Arial" w:hAnsi="Arial" w:cs="Arial"/>
          <w:sz w:val="24"/>
          <w:szCs w:val="24"/>
        </w:rPr>
        <w:t>(4) of the BDMR Act to allow the Registrar-General to include information on an IBC about an adopted person’s date of adoption, and their biological and adoptive siblings as at the date of the adopted person’s birth and adoption, respectively. The clause also inserts a provision to allow any other information to be included on an IBC to be prescribed by regulation.</w:t>
      </w:r>
    </w:p>
    <w:p w14:paraId="3732AA07" w14:textId="77777777" w:rsidR="00400058" w:rsidRPr="005B6B0B" w:rsidRDefault="00400058" w:rsidP="00400058">
      <w:pPr>
        <w:rPr>
          <w:rFonts w:ascii="Arial" w:hAnsi="Arial" w:cs="Arial"/>
          <w:sz w:val="24"/>
          <w:szCs w:val="24"/>
        </w:rPr>
      </w:pPr>
      <w:r w:rsidRPr="005B6B0B">
        <w:rPr>
          <w:rFonts w:ascii="Arial" w:hAnsi="Arial" w:cs="Arial"/>
          <w:sz w:val="24"/>
          <w:szCs w:val="24"/>
        </w:rPr>
        <w:t>The intent of this clause is to ensure information important to an adopted person is recorded on an IBC, and accurately reflects the information held on the ACT Register of births and adoptions about an adopted person.</w:t>
      </w:r>
    </w:p>
    <w:p w14:paraId="2C1DB23C" w14:textId="1F204EE0" w:rsidR="0004542C" w:rsidRPr="00AE59AA" w:rsidRDefault="006D12CC" w:rsidP="009369D9">
      <w:pPr>
        <w:pStyle w:val="Heading3"/>
        <w:rPr>
          <w:rFonts w:cs="Arial"/>
        </w:rPr>
      </w:pPr>
      <w:r w:rsidRPr="00AE59AA">
        <w:rPr>
          <w:rFonts w:cs="Arial"/>
        </w:rPr>
        <w:lastRenderedPageBreak/>
        <w:t xml:space="preserve">Part 4 </w:t>
      </w:r>
      <w:r w:rsidRPr="00AE59AA">
        <w:rPr>
          <w:rFonts w:cs="Arial"/>
        </w:rPr>
        <w:tab/>
      </w:r>
      <w:r w:rsidR="0004542C" w:rsidRPr="005B6B0B">
        <w:rPr>
          <w:rFonts w:cs="Arial"/>
        </w:rPr>
        <w:t>Crimes (Assumed Identities) Act 2009</w:t>
      </w:r>
    </w:p>
    <w:p w14:paraId="0807A311" w14:textId="77777777" w:rsidR="00611034" w:rsidRPr="0045233D" w:rsidRDefault="00C36CA4" w:rsidP="009369D9">
      <w:pPr>
        <w:keepNext/>
        <w:keepLines/>
        <w:rPr>
          <w:rFonts w:ascii="Arial" w:hAnsi="Arial" w:cs="Arial"/>
          <w:b/>
          <w:bCs/>
          <w:sz w:val="24"/>
          <w:szCs w:val="24"/>
        </w:rPr>
      </w:pPr>
      <w:r w:rsidRPr="005B6B0B">
        <w:rPr>
          <w:rFonts w:ascii="Arial" w:hAnsi="Arial" w:cs="Arial"/>
          <w:b/>
          <w:bCs/>
          <w:sz w:val="24"/>
          <w:szCs w:val="24"/>
        </w:rPr>
        <w:t>Clause 12</w:t>
      </w:r>
      <w:r w:rsidRPr="005B6B0B">
        <w:rPr>
          <w:rFonts w:ascii="Arial" w:hAnsi="Arial" w:cs="Arial"/>
          <w:b/>
          <w:bCs/>
          <w:sz w:val="24"/>
          <w:szCs w:val="24"/>
        </w:rPr>
        <w:tab/>
      </w:r>
      <w:r w:rsidR="00611034" w:rsidRPr="0045233D">
        <w:rPr>
          <w:rFonts w:ascii="Arial" w:hAnsi="Arial" w:cs="Arial"/>
          <w:b/>
          <w:bCs/>
          <w:sz w:val="24"/>
          <w:szCs w:val="24"/>
        </w:rPr>
        <w:t xml:space="preserve">Delegation </w:t>
      </w:r>
    </w:p>
    <w:p w14:paraId="357EAE2F" w14:textId="31763BEA" w:rsidR="00C36CA4" w:rsidRPr="0045233D" w:rsidRDefault="00C36CA4" w:rsidP="005B6B0B">
      <w:pPr>
        <w:ind w:left="720" w:firstLine="720"/>
        <w:rPr>
          <w:rFonts w:ascii="Arial" w:hAnsi="Arial" w:cs="Arial"/>
          <w:b/>
          <w:bCs/>
          <w:sz w:val="24"/>
          <w:szCs w:val="24"/>
        </w:rPr>
      </w:pPr>
      <w:r w:rsidRPr="005B6B0B">
        <w:rPr>
          <w:rFonts w:ascii="Arial" w:hAnsi="Arial" w:cs="Arial"/>
          <w:b/>
          <w:bCs/>
          <w:sz w:val="24"/>
          <w:szCs w:val="24"/>
        </w:rPr>
        <w:t>Section 42(4)</w:t>
      </w:r>
      <w:r w:rsidR="00611034" w:rsidRPr="0045233D">
        <w:rPr>
          <w:rFonts w:ascii="Arial" w:hAnsi="Arial" w:cs="Arial"/>
          <w:b/>
          <w:bCs/>
          <w:sz w:val="24"/>
          <w:szCs w:val="24"/>
        </w:rPr>
        <w:t xml:space="preserve">, definition of </w:t>
      </w:r>
      <w:r w:rsidR="00611034" w:rsidRPr="005B6B0B">
        <w:rPr>
          <w:rFonts w:ascii="Arial" w:hAnsi="Arial" w:cs="Arial"/>
          <w:b/>
          <w:bCs/>
          <w:i/>
          <w:iCs/>
          <w:sz w:val="24"/>
          <w:szCs w:val="24"/>
        </w:rPr>
        <w:t>senior officer</w:t>
      </w:r>
      <w:r w:rsidR="00611034" w:rsidRPr="0045233D">
        <w:rPr>
          <w:rFonts w:ascii="Arial" w:hAnsi="Arial" w:cs="Arial"/>
          <w:b/>
          <w:bCs/>
          <w:sz w:val="24"/>
          <w:szCs w:val="24"/>
        </w:rPr>
        <w:t xml:space="preserve">, paragraph </w:t>
      </w:r>
      <w:r w:rsidRPr="005B6B0B">
        <w:rPr>
          <w:rFonts w:ascii="Arial" w:hAnsi="Arial" w:cs="Arial"/>
          <w:b/>
          <w:bCs/>
          <w:sz w:val="24"/>
          <w:szCs w:val="24"/>
        </w:rPr>
        <w:t>(a)</w:t>
      </w:r>
    </w:p>
    <w:p w14:paraId="13DB58FA" w14:textId="79B1B393" w:rsidR="007432C7" w:rsidRPr="005B6B0B" w:rsidRDefault="007432C7" w:rsidP="005B6B0B">
      <w:pPr>
        <w:keepNext/>
        <w:autoSpaceDE w:val="0"/>
        <w:autoSpaceDN w:val="0"/>
        <w:adjustRightInd w:val="0"/>
        <w:spacing w:before="240" w:after="120"/>
        <w:rPr>
          <w:rFonts w:cs="Arial"/>
          <w:lang w:eastAsia="en-AU"/>
        </w:rPr>
      </w:pPr>
      <w:r w:rsidRPr="005B6B0B">
        <w:rPr>
          <w:rFonts w:ascii="Arial" w:hAnsi="Arial" w:cs="Arial"/>
          <w:sz w:val="24"/>
          <w:szCs w:val="24"/>
          <w:lang w:eastAsia="en-AU"/>
        </w:rPr>
        <w:t>This clause substitutes the previous meaning of ‘senior officer’ for a new definition: ‘in relation to the Australian Federal Police—a police officer of the rank of commander (or a more senior rank)’, for the purposes of delegating the chief officer’s functions under this Act.</w:t>
      </w:r>
    </w:p>
    <w:p w14:paraId="795CE574" w14:textId="3D81CF93" w:rsidR="006D12CC" w:rsidRPr="00E0167E" w:rsidRDefault="006D12CC">
      <w:pPr>
        <w:pStyle w:val="Heading3"/>
        <w:rPr>
          <w:rFonts w:cs="Arial"/>
        </w:rPr>
      </w:pPr>
      <w:r w:rsidRPr="00AE59AA">
        <w:rPr>
          <w:rFonts w:cs="Arial"/>
        </w:rPr>
        <w:t xml:space="preserve">Part 5 </w:t>
      </w:r>
      <w:r w:rsidRPr="00AE59AA">
        <w:rPr>
          <w:rFonts w:cs="Arial"/>
        </w:rPr>
        <w:tab/>
        <w:t>Crimes (Controlled Operations) Act 2008</w:t>
      </w:r>
    </w:p>
    <w:p w14:paraId="7E0F0E1E" w14:textId="77777777" w:rsidR="00611034" w:rsidRPr="0045233D" w:rsidRDefault="003C260A">
      <w:pPr>
        <w:rPr>
          <w:rFonts w:ascii="Arial" w:hAnsi="Arial" w:cs="Arial"/>
          <w:b/>
          <w:bCs/>
          <w:sz w:val="24"/>
          <w:szCs w:val="24"/>
        </w:rPr>
      </w:pPr>
      <w:r w:rsidRPr="005B6B0B">
        <w:rPr>
          <w:rFonts w:ascii="Arial" w:hAnsi="Arial" w:cs="Arial"/>
          <w:b/>
          <w:bCs/>
          <w:sz w:val="24"/>
          <w:szCs w:val="24"/>
        </w:rPr>
        <w:t>Clause 13</w:t>
      </w:r>
      <w:r w:rsidRPr="005B6B0B">
        <w:rPr>
          <w:rFonts w:ascii="Arial" w:hAnsi="Arial" w:cs="Arial"/>
          <w:b/>
          <w:bCs/>
          <w:sz w:val="24"/>
          <w:szCs w:val="24"/>
        </w:rPr>
        <w:tab/>
      </w:r>
      <w:r w:rsidR="00611034" w:rsidRPr="0045233D">
        <w:rPr>
          <w:rFonts w:ascii="Arial" w:hAnsi="Arial" w:cs="Arial"/>
          <w:b/>
          <w:bCs/>
          <w:sz w:val="24"/>
          <w:szCs w:val="24"/>
        </w:rPr>
        <w:t>Delegation</w:t>
      </w:r>
    </w:p>
    <w:p w14:paraId="6927A71F" w14:textId="467EA887" w:rsidR="009F6F49" w:rsidRPr="0045233D" w:rsidRDefault="003C260A" w:rsidP="005B6B0B">
      <w:pPr>
        <w:ind w:left="720" w:firstLine="720"/>
        <w:rPr>
          <w:rFonts w:ascii="Arial" w:hAnsi="Arial" w:cs="Arial"/>
          <w:b/>
          <w:bCs/>
          <w:sz w:val="24"/>
          <w:szCs w:val="24"/>
        </w:rPr>
      </w:pPr>
      <w:r w:rsidRPr="005B6B0B">
        <w:rPr>
          <w:rFonts w:ascii="Arial" w:hAnsi="Arial" w:cs="Arial"/>
          <w:b/>
          <w:bCs/>
          <w:sz w:val="24"/>
          <w:szCs w:val="24"/>
        </w:rPr>
        <w:t>Section 33</w:t>
      </w:r>
      <w:r w:rsidR="009369D9">
        <w:rPr>
          <w:rFonts w:ascii="Arial" w:hAnsi="Arial" w:cs="Arial"/>
          <w:b/>
          <w:bCs/>
          <w:sz w:val="24"/>
          <w:szCs w:val="24"/>
        </w:rPr>
        <w:t xml:space="preserve"> </w:t>
      </w:r>
      <w:r w:rsidRPr="005B6B0B">
        <w:rPr>
          <w:rFonts w:ascii="Arial" w:hAnsi="Arial" w:cs="Arial"/>
          <w:b/>
          <w:bCs/>
          <w:sz w:val="24"/>
          <w:szCs w:val="24"/>
        </w:rPr>
        <w:t>(3)</w:t>
      </w:r>
      <w:r w:rsidR="00611034" w:rsidRPr="0045233D">
        <w:rPr>
          <w:rFonts w:ascii="Arial" w:hAnsi="Arial" w:cs="Arial"/>
          <w:b/>
          <w:bCs/>
          <w:sz w:val="24"/>
          <w:szCs w:val="24"/>
        </w:rPr>
        <w:t xml:space="preserve">, definition of </w:t>
      </w:r>
      <w:r w:rsidR="00611034" w:rsidRPr="005B6B0B">
        <w:rPr>
          <w:rFonts w:ascii="Arial" w:hAnsi="Arial" w:cs="Arial"/>
          <w:b/>
          <w:bCs/>
          <w:i/>
          <w:iCs/>
          <w:sz w:val="24"/>
          <w:szCs w:val="24"/>
        </w:rPr>
        <w:t>senior officer</w:t>
      </w:r>
      <w:r w:rsidR="00611034" w:rsidRPr="0045233D">
        <w:rPr>
          <w:rFonts w:ascii="Arial" w:hAnsi="Arial" w:cs="Arial"/>
          <w:b/>
          <w:bCs/>
          <w:sz w:val="24"/>
          <w:szCs w:val="24"/>
        </w:rPr>
        <w:t xml:space="preserve">, paragraph </w:t>
      </w:r>
      <w:r w:rsidRPr="005B6B0B">
        <w:rPr>
          <w:rFonts w:ascii="Arial" w:hAnsi="Arial" w:cs="Arial"/>
          <w:b/>
          <w:bCs/>
          <w:sz w:val="24"/>
          <w:szCs w:val="24"/>
        </w:rPr>
        <w:t>(a)</w:t>
      </w:r>
    </w:p>
    <w:p w14:paraId="720D506B" w14:textId="572B2B73" w:rsidR="007432C7" w:rsidRPr="005B6B0B" w:rsidRDefault="007432C7" w:rsidP="005B6B0B">
      <w:pPr>
        <w:keepNext/>
        <w:autoSpaceDE w:val="0"/>
        <w:autoSpaceDN w:val="0"/>
        <w:adjustRightInd w:val="0"/>
        <w:spacing w:before="240" w:after="120"/>
        <w:rPr>
          <w:rFonts w:cs="Arial"/>
          <w:lang w:eastAsia="en-AU"/>
        </w:rPr>
      </w:pPr>
      <w:r w:rsidRPr="005B6B0B">
        <w:rPr>
          <w:rFonts w:ascii="Arial" w:hAnsi="Arial" w:cs="Arial"/>
          <w:sz w:val="24"/>
          <w:szCs w:val="24"/>
          <w:lang w:eastAsia="en-AU"/>
        </w:rPr>
        <w:t>This clause substitutes the previous meaning of ‘senior officer’ for a new definition: ‘in relation to the Australian Federal Police—a police officer of the rank of commander (or a more senior rank)’, for the purposes of delegating the chief officer’s functions under this Act relating to the authorisation of controlled operations.</w:t>
      </w:r>
    </w:p>
    <w:p w14:paraId="7BDB9DC1" w14:textId="084824D0" w:rsidR="006D12CC" w:rsidRPr="005B6B0B" w:rsidRDefault="006D12CC">
      <w:pPr>
        <w:pStyle w:val="Heading3"/>
        <w:rPr>
          <w:rFonts w:cs="Arial"/>
        </w:rPr>
      </w:pPr>
      <w:r w:rsidRPr="005B6B0B">
        <w:rPr>
          <w:rFonts w:cs="Arial"/>
        </w:rPr>
        <w:t>Part 6</w:t>
      </w:r>
      <w:r w:rsidRPr="005B6B0B">
        <w:rPr>
          <w:rFonts w:cs="Arial"/>
        </w:rPr>
        <w:tab/>
      </w:r>
      <w:r w:rsidRPr="005B6B0B">
        <w:rPr>
          <w:rFonts w:cs="Arial"/>
        </w:rPr>
        <w:tab/>
        <w:t>Crimes (Protection of Witness Identity) Act 2011</w:t>
      </w:r>
    </w:p>
    <w:p w14:paraId="0A5B06C8" w14:textId="77777777" w:rsidR="00611034" w:rsidRPr="0045233D" w:rsidRDefault="009F6F49">
      <w:pPr>
        <w:rPr>
          <w:rFonts w:ascii="Arial" w:hAnsi="Arial" w:cs="Arial"/>
          <w:b/>
          <w:bCs/>
          <w:sz w:val="24"/>
          <w:szCs w:val="24"/>
        </w:rPr>
      </w:pPr>
      <w:r w:rsidRPr="005B6B0B">
        <w:rPr>
          <w:rFonts w:ascii="Arial" w:hAnsi="Arial" w:cs="Arial"/>
          <w:b/>
          <w:bCs/>
          <w:sz w:val="24"/>
          <w:szCs w:val="24"/>
        </w:rPr>
        <w:t>Clause 14</w:t>
      </w:r>
      <w:r w:rsidRPr="005B6B0B">
        <w:rPr>
          <w:rFonts w:ascii="Arial" w:hAnsi="Arial" w:cs="Arial"/>
          <w:b/>
          <w:bCs/>
          <w:sz w:val="24"/>
          <w:szCs w:val="24"/>
        </w:rPr>
        <w:tab/>
      </w:r>
      <w:r w:rsidR="00611034" w:rsidRPr="0045233D">
        <w:rPr>
          <w:rFonts w:ascii="Arial" w:hAnsi="Arial" w:cs="Arial"/>
          <w:b/>
          <w:bCs/>
          <w:sz w:val="24"/>
          <w:szCs w:val="24"/>
        </w:rPr>
        <w:t>Delegation</w:t>
      </w:r>
    </w:p>
    <w:p w14:paraId="52B8FD01" w14:textId="0414122C" w:rsidR="009F6F49" w:rsidRPr="0045233D" w:rsidRDefault="009F6F49" w:rsidP="005B6B0B">
      <w:pPr>
        <w:ind w:left="720" w:firstLine="720"/>
        <w:rPr>
          <w:rFonts w:ascii="Arial" w:hAnsi="Arial" w:cs="Arial"/>
          <w:b/>
          <w:bCs/>
          <w:sz w:val="24"/>
          <w:szCs w:val="24"/>
        </w:rPr>
      </w:pPr>
      <w:r w:rsidRPr="005B6B0B">
        <w:rPr>
          <w:rFonts w:ascii="Arial" w:hAnsi="Arial" w:cs="Arial"/>
          <w:b/>
          <w:bCs/>
          <w:sz w:val="24"/>
          <w:szCs w:val="24"/>
        </w:rPr>
        <w:t>Section 23</w:t>
      </w:r>
      <w:r w:rsidR="009369D9">
        <w:rPr>
          <w:rFonts w:ascii="Arial" w:hAnsi="Arial" w:cs="Arial"/>
          <w:b/>
          <w:bCs/>
          <w:sz w:val="24"/>
          <w:szCs w:val="24"/>
        </w:rPr>
        <w:t xml:space="preserve"> </w:t>
      </w:r>
      <w:r w:rsidRPr="005B6B0B">
        <w:rPr>
          <w:rFonts w:ascii="Arial" w:hAnsi="Arial" w:cs="Arial"/>
          <w:b/>
          <w:bCs/>
          <w:sz w:val="24"/>
          <w:szCs w:val="24"/>
        </w:rPr>
        <w:t>(3)</w:t>
      </w:r>
      <w:r w:rsidR="00611034" w:rsidRPr="0045233D">
        <w:rPr>
          <w:rFonts w:ascii="Arial" w:hAnsi="Arial" w:cs="Arial"/>
          <w:b/>
          <w:bCs/>
          <w:sz w:val="24"/>
          <w:szCs w:val="24"/>
        </w:rPr>
        <w:t xml:space="preserve">, definition of </w:t>
      </w:r>
      <w:r w:rsidR="00611034" w:rsidRPr="005B6B0B">
        <w:rPr>
          <w:rFonts w:ascii="Arial" w:hAnsi="Arial" w:cs="Arial"/>
          <w:b/>
          <w:bCs/>
          <w:i/>
          <w:iCs/>
          <w:sz w:val="24"/>
          <w:szCs w:val="24"/>
        </w:rPr>
        <w:t>senior officer</w:t>
      </w:r>
      <w:r w:rsidR="00611034" w:rsidRPr="0045233D">
        <w:rPr>
          <w:rFonts w:ascii="Arial" w:hAnsi="Arial" w:cs="Arial"/>
          <w:b/>
          <w:bCs/>
          <w:sz w:val="24"/>
          <w:szCs w:val="24"/>
        </w:rPr>
        <w:t xml:space="preserve">, paragraph </w:t>
      </w:r>
      <w:r w:rsidRPr="005B6B0B">
        <w:rPr>
          <w:rFonts w:ascii="Arial" w:hAnsi="Arial" w:cs="Arial"/>
          <w:b/>
          <w:bCs/>
          <w:sz w:val="24"/>
          <w:szCs w:val="24"/>
        </w:rPr>
        <w:t>(a)</w:t>
      </w:r>
    </w:p>
    <w:p w14:paraId="54631A13" w14:textId="68383047" w:rsidR="007432C7" w:rsidRPr="00AE59AA" w:rsidRDefault="007432C7" w:rsidP="005B6B0B">
      <w:pPr>
        <w:rPr>
          <w:rFonts w:cs="Arial"/>
          <w:bCs/>
        </w:rPr>
      </w:pPr>
      <w:r w:rsidRPr="005B6B0B">
        <w:rPr>
          <w:rFonts w:ascii="Arial" w:hAnsi="Arial" w:cs="Arial"/>
          <w:bCs/>
          <w:sz w:val="24"/>
          <w:szCs w:val="24"/>
          <w:lang w:eastAsia="en-AU"/>
        </w:rPr>
        <w:t xml:space="preserve">This clause substitutes the previous meaning of ‘senior officer’ for a new definition: ‘in relation to the Australian Federal Police—a police officer of the rank of commander (or a more senior rank)’, for the purposes of delegating the chief officer’s functions under this Act. </w:t>
      </w:r>
    </w:p>
    <w:p w14:paraId="333FF6D1" w14:textId="08228946" w:rsidR="006D12CC" w:rsidRPr="00E0167E" w:rsidRDefault="006D12CC">
      <w:pPr>
        <w:pStyle w:val="Heading3"/>
        <w:rPr>
          <w:rFonts w:cs="Arial"/>
        </w:rPr>
      </w:pPr>
      <w:r w:rsidRPr="00E0167E">
        <w:rPr>
          <w:rFonts w:cs="Arial"/>
        </w:rPr>
        <w:t>Part 7</w:t>
      </w:r>
      <w:r w:rsidRPr="00E0167E">
        <w:rPr>
          <w:rFonts w:cs="Arial"/>
        </w:rPr>
        <w:tab/>
      </w:r>
      <w:r w:rsidRPr="00E0167E">
        <w:rPr>
          <w:rFonts w:cs="Arial"/>
        </w:rPr>
        <w:tab/>
        <w:t>Crimes (Surveillance Devices) Act 2010</w:t>
      </w:r>
    </w:p>
    <w:p w14:paraId="0229CB2F" w14:textId="77777777" w:rsidR="00611034" w:rsidRPr="0045233D" w:rsidRDefault="009F6F49">
      <w:pPr>
        <w:rPr>
          <w:rFonts w:ascii="Arial" w:hAnsi="Arial" w:cs="Arial"/>
          <w:b/>
          <w:bCs/>
          <w:sz w:val="24"/>
          <w:szCs w:val="24"/>
        </w:rPr>
      </w:pPr>
      <w:r w:rsidRPr="005B6B0B">
        <w:rPr>
          <w:rFonts w:ascii="Arial" w:hAnsi="Arial" w:cs="Arial"/>
          <w:b/>
          <w:bCs/>
          <w:sz w:val="24"/>
          <w:szCs w:val="24"/>
        </w:rPr>
        <w:t>Clause 15</w:t>
      </w:r>
      <w:r w:rsidRPr="005B6B0B">
        <w:rPr>
          <w:rFonts w:ascii="Arial" w:hAnsi="Arial" w:cs="Arial"/>
          <w:b/>
          <w:bCs/>
          <w:sz w:val="24"/>
          <w:szCs w:val="24"/>
        </w:rPr>
        <w:tab/>
      </w:r>
      <w:r w:rsidR="00611034" w:rsidRPr="0045233D">
        <w:rPr>
          <w:rFonts w:ascii="Arial" w:hAnsi="Arial" w:cs="Arial"/>
          <w:b/>
          <w:bCs/>
          <w:sz w:val="24"/>
          <w:szCs w:val="24"/>
        </w:rPr>
        <w:t>Delegation</w:t>
      </w:r>
    </w:p>
    <w:p w14:paraId="2FF8F8E7" w14:textId="1109CE45" w:rsidR="009F6F49" w:rsidRPr="0045233D" w:rsidRDefault="009F6F49" w:rsidP="005B6B0B">
      <w:pPr>
        <w:ind w:left="720" w:firstLine="720"/>
        <w:rPr>
          <w:rFonts w:ascii="Arial" w:hAnsi="Arial" w:cs="Arial"/>
          <w:b/>
          <w:bCs/>
          <w:sz w:val="24"/>
          <w:szCs w:val="24"/>
        </w:rPr>
      </w:pPr>
      <w:r w:rsidRPr="005B6B0B">
        <w:rPr>
          <w:rFonts w:ascii="Arial" w:hAnsi="Arial" w:cs="Arial"/>
          <w:b/>
          <w:bCs/>
          <w:sz w:val="24"/>
          <w:szCs w:val="24"/>
        </w:rPr>
        <w:t>Section 44</w:t>
      </w:r>
      <w:r w:rsidR="009369D9">
        <w:rPr>
          <w:rFonts w:ascii="Arial" w:hAnsi="Arial" w:cs="Arial"/>
          <w:b/>
          <w:bCs/>
          <w:sz w:val="24"/>
          <w:szCs w:val="24"/>
        </w:rPr>
        <w:t xml:space="preserve"> </w:t>
      </w:r>
      <w:r w:rsidRPr="005B6B0B">
        <w:rPr>
          <w:rFonts w:ascii="Arial" w:hAnsi="Arial" w:cs="Arial"/>
          <w:b/>
          <w:bCs/>
          <w:sz w:val="24"/>
          <w:szCs w:val="24"/>
        </w:rPr>
        <w:t>(3)</w:t>
      </w:r>
      <w:r w:rsidR="00611034" w:rsidRPr="0045233D">
        <w:rPr>
          <w:rFonts w:ascii="Arial" w:hAnsi="Arial" w:cs="Arial"/>
          <w:b/>
          <w:bCs/>
          <w:sz w:val="24"/>
          <w:szCs w:val="24"/>
        </w:rPr>
        <w:t xml:space="preserve">, definition of </w:t>
      </w:r>
      <w:r w:rsidR="00611034" w:rsidRPr="005B6B0B">
        <w:rPr>
          <w:rFonts w:ascii="Arial" w:hAnsi="Arial" w:cs="Arial"/>
          <w:b/>
          <w:bCs/>
          <w:i/>
          <w:iCs/>
          <w:sz w:val="24"/>
          <w:szCs w:val="24"/>
        </w:rPr>
        <w:t>senior officer</w:t>
      </w:r>
      <w:r w:rsidR="00611034" w:rsidRPr="0045233D">
        <w:rPr>
          <w:rFonts w:ascii="Arial" w:hAnsi="Arial" w:cs="Arial"/>
          <w:b/>
          <w:bCs/>
          <w:sz w:val="24"/>
          <w:szCs w:val="24"/>
        </w:rPr>
        <w:t xml:space="preserve">, paragraph </w:t>
      </w:r>
      <w:r w:rsidRPr="005B6B0B">
        <w:rPr>
          <w:rFonts w:ascii="Arial" w:hAnsi="Arial" w:cs="Arial"/>
          <w:b/>
          <w:bCs/>
          <w:sz w:val="24"/>
          <w:szCs w:val="24"/>
        </w:rPr>
        <w:t>(a)</w:t>
      </w:r>
    </w:p>
    <w:p w14:paraId="1E9C38B0" w14:textId="202A6263" w:rsidR="007432C7" w:rsidRPr="005B6B0B" w:rsidRDefault="007432C7" w:rsidP="005B6B0B">
      <w:pPr>
        <w:keepNext/>
        <w:autoSpaceDE w:val="0"/>
        <w:autoSpaceDN w:val="0"/>
        <w:adjustRightInd w:val="0"/>
        <w:spacing w:before="240" w:after="120"/>
        <w:rPr>
          <w:rFonts w:cs="Arial"/>
          <w:lang w:eastAsia="en-AU"/>
        </w:rPr>
      </w:pPr>
      <w:r w:rsidRPr="005B6B0B">
        <w:rPr>
          <w:rFonts w:ascii="Arial" w:hAnsi="Arial" w:cs="Arial"/>
          <w:sz w:val="24"/>
          <w:szCs w:val="24"/>
          <w:lang w:eastAsia="en-AU"/>
        </w:rPr>
        <w:t xml:space="preserve">This clause substitutes the previous meaning of ‘senior officer’ for a new definition: ‘in relation to the Australian Federal Police—a police officer of the rank of </w:t>
      </w:r>
      <w:r w:rsidRPr="005B6B0B">
        <w:rPr>
          <w:rFonts w:ascii="Arial" w:hAnsi="Arial" w:cs="Arial"/>
          <w:sz w:val="24"/>
          <w:szCs w:val="24"/>
          <w:lang w:eastAsia="en-AU"/>
        </w:rPr>
        <w:lastRenderedPageBreak/>
        <w:t>commander (or a more senior rank)’, for the purposes of delegating the chief officer’s functions under this Act.</w:t>
      </w:r>
    </w:p>
    <w:p w14:paraId="0A4B750D" w14:textId="6B00F2F4" w:rsidR="0004542C" w:rsidRPr="00AE59AA" w:rsidRDefault="006D12CC" w:rsidP="009369D9">
      <w:pPr>
        <w:pStyle w:val="Heading3"/>
        <w:rPr>
          <w:rFonts w:cs="Arial"/>
        </w:rPr>
      </w:pPr>
      <w:r w:rsidRPr="005B6B0B">
        <w:rPr>
          <w:rFonts w:cs="Arial"/>
        </w:rPr>
        <w:t xml:space="preserve">Part 8 </w:t>
      </w:r>
      <w:r w:rsidRPr="005B6B0B">
        <w:rPr>
          <w:rFonts w:cs="Arial"/>
        </w:rPr>
        <w:tab/>
      </w:r>
      <w:r w:rsidR="0004542C" w:rsidRPr="005B6B0B">
        <w:rPr>
          <w:rFonts w:cs="Arial"/>
        </w:rPr>
        <w:t>Family Provision Act 1969</w:t>
      </w:r>
    </w:p>
    <w:p w14:paraId="597E7EC7" w14:textId="20742B6C" w:rsidR="00611034" w:rsidRPr="0045233D" w:rsidRDefault="00FC1808" w:rsidP="009369D9">
      <w:pPr>
        <w:keepNext/>
        <w:keepLines/>
        <w:rPr>
          <w:rFonts w:ascii="Arial" w:hAnsi="Arial" w:cs="Arial"/>
          <w:b/>
          <w:bCs/>
          <w:sz w:val="24"/>
          <w:szCs w:val="24"/>
        </w:rPr>
      </w:pPr>
      <w:r w:rsidRPr="005B6B0B">
        <w:rPr>
          <w:rFonts w:ascii="Arial" w:hAnsi="Arial" w:cs="Arial"/>
          <w:b/>
          <w:bCs/>
          <w:sz w:val="24"/>
          <w:szCs w:val="24"/>
        </w:rPr>
        <w:t xml:space="preserve">Clause </w:t>
      </w:r>
      <w:r w:rsidR="00030E11">
        <w:rPr>
          <w:rFonts w:ascii="Arial" w:hAnsi="Arial" w:cs="Arial"/>
          <w:b/>
          <w:bCs/>
          <w:sz w:val="24"/>
          <w:szCs w:val="24"/>
        </w:rPr>
        <w:t>16</w:t>
      </w:r>
      <w:r w:rsidRPr="005B6B0B">
        <w:rPr>
          <w:rFonts w:ascii="Arial" w:hAnsi="Arial" w:cs="Arial"/>
          <w:b/>
          <w:bCs/>
          <w:sz w:val="24"/>
          <w:szCs w:val="24"/>
        </w:rPr>
        <w:tab/>
      </w:r>
      <w:r w:rsidR="00611034" w:rsidRPr="0045233D">
        <w:rPr>
          <w:rFonts w:ascii="Arial" w:hAnsi="Arial" w:cs="Arial"/>
          <w:b/>
          <w:bCs/>
          <w:sz w:val="24"/>
          <w:szCs w:val="24"/>
        </w:rPr>
        <w:t xml:space="preserve">Protection of administrator </w:t>
      </w:r>
    </w:p>
    <w:p w14:paraId="55865412" w14:textId="4214243B" w:rsidR="00FC1808" w:rsidRPr="0045233D" w:rsidRDefault="00FC1808" w:rsidP="009369D9">
      <w:pPr>
        <w:keepNext/>
        <w:keepLines/>
        <w:ind w:left="720" w:firstLine="720"/>
        <w:rPr>
          <w:rFonts w:ascii="Arial" w:hAnsi="Arial" w:cs="Arial"/>
          <w:b/>
          <w:bCs/>
          <w:sz w:val="24"/>
          <w:szCs w:val="24"/>
        </w:rPr>
      </w:pPr>
      <w:r w:rsidRPr="005B6B0B">
        <w:rPr>
          <w:rFonts w:ascii="Arial" w:hAnsi="Arial" w:cs="Arial"/>
          <w:b/>
          <w:bCs/>
          <w:sz w:val="24"/>
          <w:szCs w:val="24"/>
        </w:rPr>
        <w:t>Section 21</w:t>
      </w:r>
      <w:r w:rsidR="009369D9">
        <w:rPr>
          <w:rFonts w:ascii="Arial" w:hAnsi="Arial" w:cs="Arial"/>
          <w:b/>
          <w:bCs/>
          <w:sz w:val="24"/>
          <w:szCs w:val="24"/>
        </w:rPr>
        <w:t xml:space="preserve"> </w:t>
      </w:r>
      <w:r w:rsidRPr="005B6B0B">
        <w:rPr>
          <w:rFonts w:ascii="Arial" w:hAnsi="Arial" w:cs="Arial"/>
          <w:b/>
          <w:bCs/>
          <w:sz w:val="24"/>
          <w:szCs w:val="24"/>
        </w:rPr>
        <w:t>(b)</w:t>
      </w:r>
    </w:p>
    <w:p w14:paraId="6784458A" w14:textId="538F3156" w:rsidR="009369D9" w:rsidRPr="009369D9" w:rsidRDefault="009369D9" w:rsidP="009369D9">
      <w:pPr>
        <w:pStyle w:val="CS-Paragraphnumbering"/>
        <w:ind w:left="0" w:firstLine="0"/>
        <w:rPr>
          <w:rFonts w:ascii="Arial" w:hAnsi="Arial" w:cs="Arial"/>
        </w:rPr>
      </w:pPr>
      <w:r w:rsidRPr="009369D9">
        <w:rPr>
          <w:rFonts w:ascii="Arial" w:hAnsi="Arial" w:cs="Arial"/>
        </w:rPr>
        <w:t xml:space="preserve">Section 21 of the </w:t>
      </w:r>
      <w:r w:rsidRPr="009369D9">
        <w:rPr>
          <w:rFonts w:ascii="Arial" w:hAnsi="Arial" w:cs="Arial"/>
          <w:i/>
          <w:iCs/>
        </w:rPr>
        <w:t>Family Provision Act 1969</w:t>
      </w:r>
      <w:r w:rsidRPr="009369D9">
        <w:rPr>
          <w:rFonts w:ascii="Arial" w:hAnsi="Arial" w:cs="Arial"/>
        </w:rPr>
        <w:t xml:space="preserve"> provides protection from liability to an administrator where the distribution of an estate is done in accordance with a Supreme Court order under the Act</w:t>
      </w:r>
      <w:r>
        <w:rPr>
          <w:rFonts w:ascii="Arial" w:hAnsi="Arial" w:cs="Arial"/>
        </w:rPr>
        <w:t xml:space="preserve"> or</w:t>
      </w:r>
      <w:r w:rsidRPr="009369D9">
        <w:rPr>
          <w:rFonts w:ascii="Arial" w:hAnsi="Arial" w:cs="Arial"/>
        </w:rPr>
        <w:t xml:space="preserve"> was done before notice of an application for a Supreme Court order and the notice requirements under the AP Act ha</w:t>
      </w:r>
      <w:r>
        <w:rPr>
          <w:rFonts w:ascii="Arial" w:hAnsi="Arial" w:cs="Arial"/>
        </w:rPr>
        <w:t>d</w:t>
      </w:r>
      <w:r w:rsidRPr="009369D9">
        <w:rPr>
          <w:rFonts w:ascii="Arial" w:hAnsi="Arial" w:cs="Arial"/>
        </w:rPr>
        <w:t xml:space="preserve"> been met. </w:t>
      </w:r>
    </w:p>
    <w:p w14:paraId="2141DC45" w14:textId="62ECF42F" w:rsidR="00611034" w:rsidRPr="005B6B0B" w:rsidRDefault="00611034" w:rsidP="005B6B0B">
      <w:pPr>
        <w:pStyle w:val="CS-Paragraphnumbering"/>
        <w:ind w:left="0" w:firstLine="0"/>
        <w:rPr>
          <w:rFonts w:cs="Arial"/>
        </w:rPr>
      </w:pPr>
      <w:r w:rsidRPr="005B6B0B">
        <w:rPr>
          <w:rFonts w:ascii="Arial" w:hAnsi="Arial" w:cs="Arial"/>
        </w:rPr>
        <w:t xml:space="preserve">This </w:t>
      </w:r>
      <w:r w:rsidR="009369D9">
        <w:rPr>
          <w:rFonts w:ascii="Arial" w:hAnsi="Arial" w:cs="Arial"/>
        </w:rPr>
        <w:t>clause</w:t>
      </w:r>
      <w:r w:rsidRPr="005B6B0B">
        <w:rPr>
          <w:rFonts w:ascii="Arial" w:hAnsi="Arial" w:cs="Arial"/>
        </w:rPr>
        <w:t xml:space="preserve"> substitutes the current section 21</w:t>
      </w:r>
      <w:r w:rsidR="009369D9">
        <w:rPr>
          <w:rFonts w:ascii="Arial" w:hAnsi="Arial" w:cs="Arial"/>
        </w:rPr>
        <w:t xml:space="preserve"> (b)</w:t>
      </w:r>
      <w:r w:rsidRPr="005B6B0B">
        <w:rPr>
          <w:rFonts w:ascii="Arial" w:hAnsi="Arial" w:cs="Arial"/>
        </w:rPr>
        <w:t xml:space="preserve"> </w:t>
      </w:r>
      <w:r w:rsidR="009369D9">
        <w:rPr>
          <w:rFonts w:ascii="Arial" w:hAnsi="Arial" w:cs="Arial"/>
        </w:rPr>
        <w:t xml:space="preserve">in consequence to the amendment made to section 64 of the Administration and Probate Act </w:t>
      </w:r>
      <w:r w:rsidRPr="005B6B0B">
        <w:rPr>
          <w:rFonts w:ascii="Arial" w:hAnsi="Arial" w:cs="Arial"/>
        </w:rPr>
        <w:t xml:space="preserve">to </w:t>
      </w:r>
      <w:r w:rsidR="009369D9">
        <w:rPr>
          <w:rFonts w:ascii="Arial" w:hAnsi="Arial" w:cs="Arial"/>
        </w:rPr>
        <w:t>update the reference</w:t>
      </w:r>
      <w:r w:rsidRPr="005B6B0B">
        <w:rPr>
          <w:rFonts w:ascii="Arial" w:hAnsi="Arial" w:cs="Arial"/>
        </w:rPr>
        <w:t xml:space="preserve"> </w:t>
      </w:r>
      <w:r w:rsidR="009369D9">
        <w:rPr>
          <w:rFonts w:ascii="Arial" w:hAnsi="Arial" w:cs="Arial"/>
        </w:rPr>
        <w:t xml:space="preserve">to </w:t>
      </w:r>
      <w:r w:rsidRPr="005B6B0B">
        <w:rPr>
          <w:rFonts w:ascii="Arial" w:hAnsi="Arial" w:cs="Arial"/>
        </w:rPr>
        <w:t>public notice</w:t>
      </w:r>
      <w:r w:rsidR="009369D9">
        <w:rPr>
          <w:rFonts w:ascii="Arial" w:hAnsi="Arial" w:cs="Arial"/>
        </w:rPr>
        <w:t xml:space="preserve"> requirements under that </w:t>
      </w:r>
      <w:r w:rsidRPr="005B6B0B">
        <w:rPr>
          <w:rFonts w:ascii="Arial" w:hAnsi="Arial" w:cs="Arial"/>
        </w:rPr>
        <w:t>Act</w:t>
      </w:r>
      <w:r w:rsidR="009369D9">
        <w:rPr>
          <w:rFonts w:ascii="Arial" w:hAnsi="Arial" w:cs="Arial"/>
        </w:rPr>
        <w:t xml:space="preserve">. </w:t>
      </w:r>
    </w:p>
    <w:p w14:paraId="0BD6319E" w14:textId="1A8AC862" w:rsidR="0004542C" w:rsidRPr="00AE59AA" w:rsidRDefault="006D12CC" w:rsidP="0004542C">
      <w:pPr>
        <w:pStyle w:val="Heading3"/>
        <w:rPr>
          <w:rFonts w:cs="Arial"/>
        </w:rPr>
      </w:pPr>
      <w:r w:rsidRPr="00AE59AA">
        <w:rPr>
          <w:rFonts w:cs="Arial"/>
        </w:rPr>
        <w:t>Part 9</w:t>
      </w:r>
      <w:r w:rsidRPr="00AE59AA">
        <w:rPr>
          <w:rFonts w:cs="Arial"/>
        </w:rPr>
        <w:tab/>
      </w:r>
      <w:r w:rsidRPr="00AE59AA">
        <w:rPr>
          <w:rFonts w:cs="Arial"/>
        </w:rPr>
        <w:tab/>
      </w:r>
      <w:r w:rsidR="0004542C" w:rsidRPr="005B6B0B">
        <w:rPr>
          <w:rFonts w:cs="Arial"/>
        </w:rPr>
        <w:t>Freedom of Information Act 2016</w:t>
      </w:r>
    </w:p>
    <w:p w14:paraId="42308FD8" w14:textId="27B37F83" w:rsidR="00611034" w:rsidRPr="0045233D" w:rsidRDefault="00FC1808">
      <w:pPr>
        <w:rPr>
          <w:rFonts w:ascii="Arial" w:hAnsi="Arial" w:cs="Arial"/>
          <w:b/>
          <w:bCs/>
          <w:sz w:val="24"/>
          <w:szCs w:val="24"/>
        </w:rPr>
      </w:pPr>
      <w:r w:rsidRPr="005B6B0B">
        <w:rPr>
          <w:rFonts w:ascii="Arial" w:hAnsi="Arial" w:cs="Arial"/>
          <w:b/>
          <w:bCs/>
          <w:sz w:val="24"/>
          <w:szCs w:val="24"/>
        </w:rPr>
        <w:t xml:space="preserve">Clause </w:t>
      </w:r>
      <w:r w:rsidR="00030E11">
        <w:rPr>
          <w:rFonts w:ascii="Arial" w:hAnsi="Arial" w:cs="Arial"/>
          <w:b/>
          <w:bCs/>
          <w:sz w:val="24"/>
          <w:szCs w:val="24"/>
        </w:rPr>
        <w:t>17</w:t>
      </w:r>
      <w:r w:rsidRPr="005B6B0B">
        <w:rPr>
          <w:rFonts w:ascii="Arial" w:hAnsi="Arial" w:cs="Arial"/>
          <w:b/>
          <w:bCs/>
          <w:sz w:val="24"/>
          <w:szCs w:val="24"/>
        </w:rPr>
        <w:tab/>
      </w:r>
      <w:r w:rsidR="00611034" w:rsidRPr="0045233D">
        <w:rPr>
          <w:rFonts w:ascii="Arial" w:hAnsi="Arial" w:cs="Arial"/>
          <w:b/>
          <w:bCs/>
          <w:sz w:val="24"/>
          <w:szCs w:val="24"/>
        </w:rPr>
        <w:t xml:space="preserve">What is </w:t>
      </w:r>
      <w:r w:rsidR="00611034" w:rsidRPr="009369D9">
        <w:rPr>
          <w:rFonts w:ascii="Arial" w:hAnsi="Arial" w:cs="Arial"/>
          <w:b/>
          <w:bCs/>
          <w:i/>
          <w:iCs/>
          <w:sz w:val="24"/>
          <w:szCs w:val="24"/>
        </w:rPr>
        <w:t>open access information</w:t>
      </w:r>
      <w:r w:rsidR="00611034" w:rsidRPr="0045233D">
        <w:rPr>
          <w:rFonts w:ascii="Arial" w:hAnsi="Arial" w:cs="Arial"/>
          <w:b/>
          <w:bCs/>
          <w:sz w:val="24"/>
          <w:szCs w:val="24"/>
        </w:rPr>
        <w:t>?</w:t>
      </w:r>
    </w:p>
    <w:p w14:paraId="59361677" w14:textId="43F09606" w:rsidR="00FC1808" w:rsidRPr="0045233D" w:rsidRDefault="00FC1808" w:rsidP="005B6B0B">
      <w:pPr>
        <w:ind w:left="1440"/>
        <w:rPr>
          <w:rFonts w:ascii="Arial" w:hAnsi="Arial" w:cs="Arial"/>
          <w:b/>
          <w:bCs/>
          <w:sz w:val="24"/>
          <w:szCs w:val="24"/>
        </w:rPr>
      </w:pPr>
      <w:r w:rsidRPr="005B6B0B">
        <w:rPr>
          <w:rFonts w:ascii="Arial" w:hAnsi="Arial" w:cs="Arial"/>
          <w:b/>
          <w:bCs/>
          <w:sz w:val="24"/>
          <w:szCs w:val="24"/>
        </w:rPr>
        <w:t>Section 23</w:t>
      </w:r>
      <w:r w:rsidR="009369D9">
        <w:rPr>
          <w:rFonts w:ascii="Arial" w:hAnsi="Arial" w:cs="Arial"/>
          <w:b/>
          <w:bCs/>
          <w:sz w:val="24"/>
          <w:szCs w:val="24"/>
        </w:rPr>
        <w:t xml:space="preserve"> </w:t>
      </w:r>
      <w:r w:rsidRPr="005B6B0B">
        <w:rPr>
          <w:rFonts w:ascii="Arial" w:hAnsi="Arial" w:cs="Arial"/>
          <w:b/>
          <w:bCs/>
          <w:sz w:val="24"/>
          <w:szCs w:val="24"/>
        </w:rPr>
        <w:t>(1)</w:t>
      </w:r>
      <w:r w:rsidR="00611034" w:rsidRPr="0045233D">
        <w:rPr>
          <w:rFonts w:ascii="Arial" w:hAnsi="Arial" w:cs="Arial"/>
          <w:b/>
          <w:bCs/>
          <w:sz w:val="24"/>
          <w:szCs w:val="24"/>
        </w:rPr>
        <w:t xml:space="preserve">, definition of </w:t>
      </w:r>
      <w:r w:rsidR="00611034" w:rsidRPr="005B6B0B">
        <w:rPr>
          <w:rFonts w:ascii="Arial" w:hAnsi="Arial" w:cs="Arial"/>
          <w:b/>
          <w:bCs/>
          <w:i/>
          <w:iCs/>
          <w:sz w:val="24"/>
          <w:szCs w:val="24"/>
        </w:rPr>
        <w:t>open access information</w:t>
      </w:r>
      <w:r w:rsidR="00611034" w:rsidRPr="0045233D">
        <w:rPr>
          <w:rFonts w:ascii="Arial" w:hAnsi="Arial" w:cs="Arial"/>
          <w:b/>
          <w:bCs/>
          <w:sz w:val="24"/>
          <w:szCs w:val="24"/>
        </w:rPr>
        <w:t xml:space="preserve">, of a Minister, paragraph </w:t>
      </w:r>
      <w:r w:rsidRPr="005B6B0B">
        <w:rPr>
          <w:rFonts w:ascii="Arial" w:hAnsi="Arial" w:cs="Arial"/>
          <w:b/>
          <w:bCs/>
          <w:sz w:val="24"/>
          <w:szCs w:val="24"/>
        </w:rPr>
        <w:t>(b)</w:t>
      </w:r>
      <w:r w:rsidR="009369D9">
        <w:rPr>
          <w:rFonts w:ascii="Arial" w:hAnsi="Arial" w:cs="Arial"/>
          <w:b/>
          <w:bCs/>
          <w:sz w:val="24"/>
          <w:szCs w:val="24"/>
        </w:rPr>
        <w:t xml:space="preserve"> </w:t>
      </w:r>
      <w:r w:rsidRPr="005B6B0B">
        <w:rPr>
          <w:rFonts w:ascii="Arial" w:hAnsi="Arial" w:cs="Arial"/>
          <w:b/>
          <w:bCs/>
          <w:sz w:val="24"/>
          <w:szCs w:val="24"/>
        </w:rPr>
        <w:t>(i)</w:t>
      </w:r>
      <w:r w:rsidR="009369D9">
        <w:rPr>
          <w:rFonts w:ascii="Arial" w:hAnsi="Arial" w:cs="Arial"/>
          <w:b/>
          <w:bCs/>
          <w:sz w:val="24"/>
          <w:szCs w:val="24"/>
        </w:rPr>
        <w:t xml:space="preserve"> </w:t>
      </w:r>
      <w:r w:rsidRPr="005B6B0B">
        <w:rPr>
          <w:rFonts w:ascii="Arial" w:hAnsi="Arial" w:cs="Arial"/>
          <w:b/>
          <w:bCs/>
          <w:sz w:val="24"/>
          <w:szCs w:val="24"/>
        </w:rPr>
        <w:t>(D)</w:t>
      </w:r>
    </w:p>
    <w:p w14:paraId="12DC4C23" w14:textId="3837FF01" w:rsidR="00FA4F9C" w:rsidRPr="005B6B0B" w:rsidRDefault="001F7336" w:rsidP="005B6B0B">
      <w:pPr>
        <w:rPr>
          <w:rFonts w:cs="Arial"/>
        </w:rPr>
      </w:pPr>
      <w:r w:rsidRPr="005B6B0B">
        <w:rPr>
          <w:rFonts w:ascii="Arial" w:hAnsi="Arial" w:cs="Arial"/>
          <w:sz w:val="24"/>
          <w:szCs w:val="24"/>
        </w:rPr>
        <w:t>This clause substitutes the current section 23</w:t>
      </w:r>
      <w:r w:rsidR="009369D9">
        <w:rPr>
          <w:rFonts w:ascii="Arial" w:hAnsi="Arial" w:cs="Arial"/>
          <w:sz w:val="24"/>
          <w:szCs w:val="24"/>
        </w:rPr>
        <w:t xml:space="preserve"> </w:t>
      </w:r>
      <w:r w:rsidRPr="005B6B0B">
        <w:rPr>
          <w:rFonts w:ascii="Arial" w:hAnsi="Arial" w:cs="Arial"/>
          <w:sz w:val="24"/>
          <w:szCs w:val="24"/>
        </w:rPr>
        <w:t>(1)</w:t>
      </w:r>
      <w:r w:rsidR="009369D9">
        <w:rPr>
          <w:rFonts w:ascii="Arial" w:hAnsi="Arial" w:cs="Arial"/>
          <w:sz w:val="24"/>
          <w:szCs w:val="24"/>
        </w:rPr>
        <w:t xml:space="preserve"> </w:t>
      </w:r>
      <w:r w:rsidRPr="005B6B0B">
        <w:rPr>
          <w:rFonts w:ascii="Arial" w:hAnsi="Arial" w:cs="Arial"/>
          <w:sz w:val="24"/>
          <w:szCs w:val="24"/>
        </w:rPr>
        <w:t>(b)</w:t>
      </w:r>
      <w:r w:rsidR="009369D9">
        <w:rPr>
          <w:rFonts w:ascii="Arial" w:hAnsi="Arial" w:cs="Arial"/>
          <w:sz w:val="24"/>
          <w:szCs w:val="24"/>
        </w:rPr>
        <w:t xml:space="preserve"> </w:t>
      </w:r>
      <w:r w:rsidRPr="005B6B0B">
        <w:rPr>
          <w:rFonts w:ascii="Arial" w:hAnsi="Arial" w:cs="Arial"/>
          <w:sz w:val="24"/>
          <w:szCs w:val="24"/>
        </w:rPr>
        <w:t>(i)</w:t>
      </w:r>
      <w:r w:rsidR="009369D9">
        <w:rPr>
          <w:rFonts w:ascii="Arial" w:hAnsi="Arial" w:cs="Arial"/>
          <w:sz w:val="24"/>
          <w:szCs w:val="24"/>
        </w:rPr>
        <w:t xml:space="preserve"> </w:t>
      </w:r>
      <w:r w:rsidRPr="005B6B0B">
        <w:rPr>
          <w:rFonts w:ascii="Arial" w:hAnsi="Arial" w:cs="Arial"/>
          <w:sz w:val="24"/>
          <w:szCs w:val="24"/>
        </w:rPr>
        <w:t xml:space="preserve">(D) </w:t>
      </w:r>
      <w:r w:rsidR="009369D9">
        <w:rPr>
          <w:rFonts w:ascii="Arial" w:hAnsi="Arial" w:cs="Arial"/>
          <w:sz w:val="24"/>
          <w:szCs w:val="24"/>
        </w:rPr>
        <w:t xml:space="preserve">to remove reference to Triple Bottom Line Assessments in </w:t>
      </w:r>
      <w:r w:rsidR="009369D9" w:rsidRPr="005B6B0B">
        <w:rPr>
          <w:rFonts w:ascii="Arial" w:hAnsi="Arial" w:cs="Arial"/>
          <w:sz w:val="24"/>
          <w:szCs w:val="24"/>
        </w:rPr>
        <w:t xml:space="preserve">the definition of </w:t>
      </w:r>
      <w:r w:rsidR="009369D9" w:rsidRPr="005B6B0B">
        <w:rPr>
          <w:rFonts w:ascii="Arial" w:hAnsi="Arial" w:cs="Arial"/>
          <w:i/>
          <w:iCs/>
          <w:sz w:val="24"/>
          <w:szCs w:val="24"/>
        </w:rPr>
        <w:t>open access information</w:t>
      </w:r>
      <w:r w:rsidR="009369D9" w:rsidRPr="005B6B0B">
        <w:rPr>
          <w:rFonts w:ascii="Arial" w:hAnsi="Arial" w:cs="Arial"/>
          <w:sz w:val="24"/>
          <w:szCs w:val="24"/>
        </w:rPr>
        <w:t xml:space="preserve"> of a Minister</w:t>
      </w:r>
      <w:r w:rsidR="009369D9">
        <w:rPr>
          <w:rFonts w:ascii="Arial" w:hAnsi="Arial" w:cs="Arial"/>
          <w:sz w:val="24"/>
          <w:szCs w:val="24"/>
        </w:rPr>
        <w:t xml:space="preserve"> and replace it with reference to</w:t>
      </w:r>
      <w:r w:rsidR="00FA4F9C" w:rsidRPr="005B6B0B">
        <w:rPr>
          <w:rFonts w:ascii="Arial" w:hAnsi="Arial" w:cs="Arial"/>
          <w:sz w:val="24"/>
          <w:szCs w:val="24"/>
        </w:rPr>
        <w:t xml:space="preserve"> Wellbeing Impact Assessment </w:t>
      </w:r>
      <w:r w:rsidR="009369D9">
        <w:rPr>
          <w:rFonts w:ascii="Arial" w:hAnsi="Arial" w:cs="Arial"/>
          <w:sz w:val="24"/>
          <w:szCs w:val="24"/>
        </w:rPr>
        <w:t>for the decision on ACT Government priorities and emerging issues</w:t>
      </w:r>
      <w:r w:rsidR="00FA4F9C" w:rsidRPr="005B6B0B">
        <w:rPr>
          <w:rFonts w:ascii="Arial" w:hAnsi="Arial" w:cs="Arial"/>
          <w:sz w:val="24"/>
          <w:szCs w:val="24"/>
        </w:rPr>
        <w:t>.</w:t>
      </w:r>
    </w:p>
    <w:p w14:paraId="333A2F39" w14:textId="4E0E0942" w:rsidR="0004542C" w:rsidRPr="00AE59AA" w:rsidRDefault="006D12CC" w:rsidP="0004542C">
      <w:pPr>
        <w:pStyle w:val="Heading3"/>
        <w:rPr>
          <w:rFonts w:cs="Arial"/>
        </w:rPr>
      </w:pPr>
      <w:r w:rsidRPr="000A0AEE">
        <w:rPr>
          <w:rFonts w:cs="Arial"/>
        </w:rPr>
        <w:t xml:space="preserve">Part 10 </w:t>
      </w:r>
      <w:r w:rsidRPr="000A0AEE">
        <w:rPr>
          <w:rFonts w:cs="Arial"/>
        </w:rPr>
        <w:tab/>
      </w:r>
      <w:r w:rsidR="0004542C" w:rsidRPr="005B6B0B">
        <w:rPr>
          <w:rFonts w:cs="Arial"/>
        </w:rPr>
        <w:t>Guardianship and Management of Property Act 1991</w:t>
      </w:r>
    </w:p>
    <w:p w14:paraId="0B8607B0" w14:textId="4A09CF07" w:rsidR="00FC1808" w:rsidRPr="0045233D" w:rsidRDefault="00FC1808" w:rsidP="00FC1808">
      <w:pPr>
        <w:rPr>
          <w:rFonts w:ascii="Arial" w:hAnsi="Arial" w:cs="Arial"/>
          <w:b/>
          <w:bCs/>
          <w:sz w:val="24"/>
          <w:szCs w:val="24"/>
        </w:rPr>
      </w:pPr>
      <w:bookmarkStart w:id="6" w:name="_Hlk85189511"/>
      <w:r w:rsidRPr="005B6B0B">
        <w:rPr>
          <w:rFonts w:ascii="Arial" w:hAnsi="Arial" w:cs="Arial"/>
          <w:b/>
          <w:bCs/>
          <w:sz w:val="24"/>
          <w:szCs w:val="24"/>
        </w:rPr>
        <w:t xml:space="preserve">Clause </w:t>
      </w:r>
      <w:r w:rsidR="00030E11">
        <w:rPr>
          <w:rFonts w:ascii="Arial" w:hAnsi="Arial" w:cs="Arial"/>
          <w:b/>
          <w:bCs/>
          <w:sz w:val="24"/>
          <w:szCs w:val="24"/>
        </w:rPr>
        <w:t>18</w:t>
      </w:r>
      <w:r w:rsidRPr="005B6B0B">
        <w:rPr>
          <w:rFonts w:ascii="Arial" w:hAnsi="Arial" w:cs="Arial"/>
          <w:b/>
          <w:bCs/>
          <w:sz w:val="24"/>
          <w:szCs w:val="24"/>
        </w:rPr>
        <w:tab/>
        <w:t>Section 15</w:t>
      </w:r>
    </w:p>
    <w:p w14:paraId="0DC144A5" w14:textId="478E28C1" w:rsidR="00F23551" w:rsidRPr="005B6B0B" w:rsidRDefault="00F23551" w:rsidP="00F23551">
      <w:pPr>
        <w:rPr>
          <w:rFonts w:ascii="Arial" w:hAnsi="Arial" w:cs="Arial"/>
          <w:sz w:val="24"/>
          <w:szCs w:val="24"/>
        </w:rPr>
      </w:pPr>
      <w:r w:rsidRPr="0045233D">
        <w:rPr>
          <w:rFonts w:ascii="Arial" w:hAnsi="Arial" w:cs="Arial"/>
          <w:sz w:val="24"/>
          <w:szCs w:val="24"/>
        </w:rPr>
        <w:t xml:space="preserve">This clause substitutes section 15 of the GMP Act to </w:t>
      </w:r>
      <w:r w:rsidRPr="005B6B0B">
        <w:rPr>
          <w:rFonts w:ascii="Arial" w:hAnsi="Arial" w:cs="Arial"/>
          <w:sz w:val="24"/>
          <w:szCs w:val="24"/>
        </w:rPr>
        <w:t>clarify that guardians are not entitled to any fees for performance of their role as guardian.</w:t>
      </w:r>
      <w:r w:rsidRPr="0045233D">
        <w:rPr>
          <w:rFonts w:ascii="Arial" w:hAnsi="Arial" w:cs="Arial"/>
          <w:sz w:val="24"/>
          <w:szCs w:val="24"/>
        </w:rPr>
        <w:t xml:space="preserve"> A guardian is still entitled to reimbursement of the reasonable expenses incurred in acting as a guardian such as</w:t>
      </w:r>
      <w:r w:rsidR="00226B98" w:rsidRPr="0045233D">
        <w:rPr>
          <w:rFonts w:ascii="Arial" w:hAnsi="Arial" w:cs="Arial"/>
          <w:sz w:val="24"/>
          <w:szCs w:val="24"/>
        </w:rPr>
        <w:t xml:space="preserve"> the costs associated with a decision-making role</w:t>
      </w:r>
      <w:r w:rsidR="00E0167E">
        <w:rPr>
          <w:rFonts w:ascii="Arial" w:hAnsi="Arial" w:cs="Arial"/>
          <w:sz w:val="24"/>
          <w:szCs w:val="24"/>
        </w:rPr>
        <w:t>.</w:t>
      </w:r>
    </w:p>
    <w:p w14:paraId="31CEC032" w14:textId="573E88D4" w:rsidR="00FC1808" w:rsidRPr="0045233D" w:rsidRDefault="00FC1808" w:rsidP="00F23551">
      <w:pPr>
        <w:ind w:left="1440" w:hanging="1440"/>
        <w:rPr>
          <w:rFonts w:ascii="Arial" w:hAnsi="Arial" w:cs="Arial"/>
          <w:b/>
          <w:bCs/>
          <w:sz w:val="24"/>
          <w:szCs w:val="24"/>
        </w:rPr>
      </w:pPr>
      <w:r w:rsidRPr="005B6B0B">
        <w:rPr>
          <w:rFonts w:ascii="Arial" w:hAnsi="Arial" w:cs="Arial"/>
          <w:b/>
          <w:bCs/>
          <w:sz w:val="24"/>
          <w:szCs w:val="24"/>
        </w:rPr>
        <w:t xml:space="preserve">Clause </w:t>
      </w:r>
      <w:r w:rsidR="00030E11">
        <w:rPr>
          <w:rFonts w:ascii="Arial" w:hAnsi="Arial" w:cs="Arial"/>
          <w:b/>
          <w:bCs/>
          <w:sz w:val="24"/>
          <w:szCs w:val="24"/>
        </w:rPr>
        <w:t>19</w:t>
      </w:r>
      <w:r w:rsidRPr="005B6B0B">
        <w:rPr>
          <w:rFonts w:ascii="Arial" w:hAnsi="Arial" w:cs="Arial"/>
          <w:b/>
          <w:bCs/>
          <w:sz w:val="24"/>
          <w:szCs w:val="24"/>
        </w:rPr>
        <w:tab/>
      </w:r>
      <w:r w:rsidR="00F23551" w:rsidRPr="0045233D">
        <w:rPr>
          <w:rFonts w:ascii="Arial" w:hAnsi="Arial" w:cs="Arial"/>
          <w:b/>
          <w:bCs/>
          <w:sz w:val="24"/>
          <w:szCs w:val="24"/>
        </w:rPr>
        <w:t xml:space="preserve">Determination of fees </w:t>
      </w:r>
      <w:r w:rsidR="00F23551" w:rsidRPr="0045233D">
        <w:rPr>
          <w:rFonts w:ascii="Arial" w:hAnsi="Arial" w:cs="Arial"/>
          <w:b/>
          <w:bCs/>
          <w:sz w:val="24"/>
          <w:szCs w:val="24"/>
        </w:rPr>
        <w:br/>
      </w:r>
      <w:r w:rsidRPr="005B6B0B">
        <w:rPr>
          <w:rFonts w:ascii="Arial" w:hAnsi="Arial" w:cs="Arial"/>
          <w:b/>
          <w:bCs/>
          <w:sz w:val="24"/>
          <w:szCs w:val="24"/>
        </w:rPr>
        <w:t>Section 75</w:t>
      </w:r>
      <w:r w:rsidR="009369D9">
        <w:rPr>
          <w:rFonts w:ascii="Arial" w:hAnsi="Arial" w:cs="Arial"/>
          <w:b/>
          <w:bCs/>
          <w:sz w:val="24"/>
          <w:szCs w:val="24"/>
        </w:rPr>
        <w:t xml:space="preserve"> </w:t>
      </w:r>
      <w:r w:rsidRPr="005B6B0B">
        <w:rPr>
          <w:rFonts w:ascii="Arial" w:hAnsi="Arial" w:cs="Arial"/>
          <w:b/>
          <w:bCs/>
          <w:sz w:val="24"/>
          <w:szCs w:val="24"/>
        </w:rPr>
        <w:t>(1) and note</w:t>
      </w:r>
      <w:r w:rsidR="00F23551" w:rsidRPr="0045233D">
        <w:rPr>
          <w:rFonts w:ascii="Arial" w:hAnsi="Arial" w:cs="Arial"/>
          <w:b/>
          <w:bCs/>
          <w:sz w:val="24"/>
          <w:szCs w:val="24"/>
        </w:rPr>
        <w:t xml:space="preserve"> </w:t>
      </w:r>
    </w:p>
    <w:bookmarkEnd w:id="6"/>
    <w:p w14:paraId="52DB82EC" w14:textId="15140117" w:rsidR="00F23551" w:rsidRPr="005B6B0B" w:rsidRDefault="00DB3814" w:rsidP="005B6B0B">
      <w:pPr>
        <w:rPr>
          <w:rFonts w:cs="Arial"/>
        </w:rPr>
      </w:pPr>
      <w:r w:rsidRPr="005B6B0B">
        <w:rPr>
          <w:rFonts w:ascii="Arial" w:hAnsi="Arial" w:cs="Arial"/>
          <w:sz w:val="24"/>
          <w:szCs w:val="24"/>
        </w:rPr>
        <w:t>This clause substitutes section 75(1) and note and removes reference to fees payable to guardians. This is in light of the amendment to section 15.</w:t>
      </w:r>
    </w:p>
    <w:p w14:paraId="4AB49C14" w14:textId="28E5348F" w:rsidR="00657A31" w:rsidRPr="00AE59AA" w:rsidRDefault="00A43269" w:rsidP="009369D9">
      <w:pPr>
        <w:pStyle w:val="Heading3"/>
        <w:rPr>
          <w:rFonts w:cs="Arial"/>
        </w:rPr>
      </w:pPr>
      <w:r w:rsidRPr="00AE59AA">
        <w:rPr>
          <w:rFonts w:cs="Arial"/>
        </w:rPr>
        <w:lastRenderedPageBreak/>
        <w:t>Part 1</w:t>
      </w:r>
      <w:r w:rsidR="006D12CC" w:rsidRPr="00AE59AA">
        <w:rPr>
          <w:rFonts w:cs="Arial"/>
        </w:rPr>
        <w:t>1</w:t>
      </w:r>
      <w:r w:rsidRPr="00E0167E">
        <w:rPr>
          <w:rFonts w:cs="Arial"/>
        </w:rPr>
        <w:tab/>
      </w:r>
      <w:r w:rsidR="0004542C" w:rsidRPr="005B6B0B">
        <w:rPr>
          <w:rFonts w:cs="Arial"/>
        </w:rPr>
        <w:t>Land Titles Act 1925</w:t>
      </w:r>
    </w:p>
    <w:p w14:paraId="6D944CE5" w14:textId="4206F530" w:rsidR="00611034" w:rsidRPr="0045233D" w:rsidRDefault="00A43269" w:rsidP="009369D9">
      <w:pPr>
        <w:keepNext/>
        <w:keepLines/>
        <w:ind w:left="1440" w:hanging="1440"/>
        <w:rPr>
          <w:rFonts w:ascii="Arial" w:hAnsi="Arial" w:cs="Arial"/>
          <w:b/>
          <w:bCs/>
          <w:sz w:val="24"/>
          <w:szCs w:val="24"/>
        </w:rPr>
      </w:pPr>
      <w:r w:rsidRPr="005B6B0B">
        <w:rPr>
          <w:rFonts w:ascii="Arial" w:hAnsi="Arial" w:cs="Arial"/>
          <w:b/>
          <w:bCs/>
          <w:sz w:val="24"/>
          <w:szCs w:val="24"/>
        </w:rPr>
        <w:t>Clause 2</w:t>
      </w:r>
      <w:r w:rsidR="00030E11">
        <w:rPr>
          <w:rFonts w:ascii="Arial" w:hAnsi="Arial" w:cs="Arial"/>
          <w:b/>
          <w:bCs/>
          <w:sz w:val="24"/>
          <w:szCs w:val="24"/>
        </w:rPr>
        <w:t>0</w:t>
      </w:r>
      <w:r w:rsidRPr="005B6B0B">
        <w:rPr>
          <w:rFonts w:ascii="Arial" w:hAnsi="Arial" w:cs="Arial"/>
          <w:b/>
          <w:bCs/>
          <w:sz w:val="24"/>
          <w:szCs w:val="24"/>
        </w:rPr>
        <w:t xml:space="preserve"> </w:t>
      </w:r>
      <w:r w:rsidRPr="005B6B0B">
        <w:rPr>
          <w:rFonts w:ascii="Arial" w:hAnsi="Arial" w:cs="Arial"/>
          <w:b/>
          <w:bCs/>
          <w:sz w:val="24"/>
          <w:szCs w:val="24"/>
        </w:rPr>
        <w:tab/>
      </w:r>
      <w:r w:rsidR="00611034" w:rsidRPr="0045233D">
        <w:rPr>
          <w:rFonts w:ascii="Arial" w:hAnsi="Arial" w:cs="Arial"/>
          <w:b/>
          <w:bCs/>
          <w:sz w:val="24"/>
          <w:szCs w:val="24"/>
        </w:rPr>
        <w:t>Lodgement of instruments by self-represented parties – verification of identity and authority</w:t>
      </w:r>
    </w:p>
    <w:p w14:paraId="3A334105" w14:textId="0EE2D7BE" w:rsidR="00A43269" w:rsidRPr="00AE59AA" w:rsidRDefault="00A43269" w:rsidP="005B6B0B">
      <w:pPr>
        <w:ind w:left="720" w:firstLine="720"/>
        <w:rPr>
          <w:rFonts w:cs="Arial"/>
          <w:bCs/>
        </w:rPr>
      </w:pPr>
      <w:r w:rsidRPr="005B6B0B">
        <w:rPr>
          <w:rFonts w:ascii="Arial" w:hAnsi="Arial" w:cs="Arial"/>
          <w:b/>
          <w:bCs/>
          <w:sz w:val="24"/>
          <w:szCs w:val="24"/>
        </w:rPr>
        <w:t>Section 48BC</w:t>
      </w:r>
      <w:r w:rsidR="009369D9">
        <w:rPr>
          <w:rFonts w:ascii="Arial" w:hAnsi="Arial" w:cs="Arial"/>
          <w:b/>
          <w:bCs/>
          <w:sz w:val="24"/>
          <w:szCs w:val="24"/>
        </w:rPr>
        <w:t xml:space="preserve"> </w:t>
      </w:r>
      <w:r w:rsidRPr="005B6B0B">
        <w:rPr>
          <w:rFonts w:ascii="Arial" w:hAnsi="Arial" w:cs="Arial"/>
          <w:b/>
          <w:bCs/>
          <w:sz w:val="24"/>
          <w:szCs w:val="24"/>
        </w:rPr>
        <w:t>(2)</w:t>
      </w:r>
      <w:r w:rsidR="009369D9">
        <w:rPr>
          <w:rFonts w:ascii="Arial" w:hAnsi="Arial" w:cs="Arial"/>
          <w:b/>
          <w:bCs/>
          <w:sz w:val="24"/>
          <w:szCs w:val="24"/>
        </w:rPr>
        <w:t xml:space="preserve"> </w:t>
      </w:r>
      <w:r w:rsidR="0070330C" w:rsidRPr="005B6B0B">
        <w:rPr>
          <w:rFonts w:ascii="Arial" w:hAnsi="Arial" w:cs="Arial"/>
          <w:b/>
          <w:bCs/>
          <w:sz w:val="24"/>
          <w:szCs w:val="24"/>
        </w:rPr>
        <w:t>(a)</w:t>
      </w:r>
    </w:p>
    <w:p w14:paraId="4E5FB59A" w14:textId="5332CAB8" w:rsidR="00A43269" w:rsidRPr="005B6B0B" w:rsidRDefault="00A43269" w:rsidP="009369D9">
      <w:pPr>
        <w:spacing w:after="120"/>
        <w:rPr>
          <w:rFonts w:ascii="Arial" w:hAnsi="Arial" w:cs="Arial"/>
          <w:sz w:val="24"/>
          <w:szCs w:val="24"/>
        </w:rPr>
      </w:pPr>
      <w:r w:rsidRPr="005B6B0B">
        <w:rPr>
          <w:rFonts w:ascii="Arial" w:hAnsi="Arial" w:cs="Arial"/>
          <w:sz w:val="24"/>
          <w:szCs w:val="24"/>
        </w:rPr>
        <w:t xml:space="preserve">This </w:t>
      </w:r>
      <w:r w:rsidR="0070330C" w:rsidRPr="005B6B0B">
        <w:rPr>
          <w:rFonts w:ascii="Arial" w:hAnsi="Arial" w:cs="Arial"/>
          <w:sz w:val="24"/>
          <w:szCs w:val="24"/>
        </w:rPr>
        <w:t>clause substitutes the current section 48BC</w:t>
      </w:r>
      <w:r w:rsidR="009369D9">
        <w:rPr>
          <w:rFonts w:ascii="Arial" w:hAnsi="Arial" w:cs="Arial"/>
          <w:sz w:val="24"/>
          <w:szCs w:val="24"/>
        </w:rPr>
        <w:t xml:space="preserve"> </w:t>
      </w:r>
      <w:r w:rsidR="0070330C" w:rsidRPr="005B6B0B">
        <w:rPr>
          <w:rFonts w:ascii="Arial" w:hAnsi="Arial" w:cs="Arial"/>
          <w:sz w:val="24"/>
          <w:szCs w:val="24"/>
        </w:rPr>
        <w:t>(2)</w:t>
      </w:r>
      <w:r w:rsidR="009369D9">
        <w:rPr>
          <w:rFonts w:ascii="Arial" w:hAnsi="Arial" w:cs="Arial"/>
          <w:sz w:val="24"/>
          <w:szCs w:val="24"/>
        </w:rPr>
        <w:t xml:space="preserve"> </w:t>
      </w:r>
      <w:r w:rsidR="0070330C" w:rsidRPr="0045233D">
        <w:rPr>
          <w:rFonts w:ascii="Arial" w:hAnsi="Arial" w:cs="Arial"/>
          <w:sz w:val="24"/>
          <w:szCs w:val="24"/>
        </w:rPr>
        <w:t>(a)</w:t>
      </w:r>
      <w:r w:rsidR="00170B27" w:rsidRPr="0045233D">
        <w:rPr>
          <w:rFonts w:ascii="Arial" w:hAnsi="Arial" w:cs="Arial"/>
          <w:sz w:val="24"/>
          <w:szCs w:val="24"/>
        </w:rPr>
        <w:t xml:space="preserve"> and creates</w:t>
      </w:r>
      <w:r w:rsidR="00170B27" w:rsidRPr="005B6B0B">
        <w:rPr>
          <w:rFonts w:ascii="Arial" w:hAnsi="Arial" w:cs="Arial"/>
          <w:iCs/>
          <w:sz w:val="24"/>
          <w:szCs w:val="24"/>
        </w:rPr>
        <w:t xml:space="preserve"> a reasonable threshold on which basis the Register-General </w:t>
      </w:r>
      <w:r w:rsidR="009369D9">
        <w:rPr>
          <w:rFonts w:ascii="Arial" w:hAnsi="Arial" w:cs="Arial"/>
          <w:iCs/>
          <w:sz w:val="24"/>
          <w:szCs w:val="24"/>
        </w:rPr>
        <w:t>must</w:t>
      </w:r>
      <w:r w:rsidR="00170B27" w:rsidRPr="005B6B0B">
        <w:rPr>
          <w:rFonts w:ascii="Arial" w:hAnsi="Arial" w:cs="Arial"/>
          <w:iCs/>
          <w:sz w:val="24"/>
          <w:szCs w:val="24"/>
        </w:rPr>
        <w:t xml:space="preserve"> be satisfied of a person’s identification</w:t>
      </w:r>
      <w:r w:rsidR="009369D9">
        <w:rPr>
          <w:rFonts w:ascii="Arial" w:hAnsi="Arial" w:cs="Arial"/>
          <w:iCs/>
          <w:sz w:val="24"/>
          <w:szCs w:val="24"/>
        </w:rPr>
        <w:t xml:space="preserve"> prior to registering an instrument purporting to</w:t>
      </w:r>
      <w:r w:rsidR="009369D9" w:rsidRPr="009369D9">
        <w:rPr>
          <w:rFonts w:ascii="Arial" w:hAnsi="Arial" w:cs="Arial"/>
          <w:iCs/>
          <w:sz w:val="24"/>
          <w:szCs w:val="24"/>
        </w:rPr>
        <w:t xml:space="preserve"> transfer, deal with, or affect an interest in land</w:t>
      </w:r>
      <w:r w:rsidR="009369D9">
        <w:rPr>
          <w:rFonts w:ascii="Arial" w:hAnsi="Arial" w:cs="Arial"/>
          <w:iCs/>
          <w:sz w:val="24"/>
          <w:szCs w:val="24"/>
        </w:rPr>
        <w:t>. This amendment</w:t>
      </w:r>
      <w:r w:rsidR="00170B27" w:rsidRPr="005B6B0B">
        <w:rPr>
          <w:rFonts w:ascii="Arial" w:hAnsi="Arial" w:cs="Arial"/>
          <w:iCs/>
          <w:sz w:val="24"/>
          <w:szCs w:val="24"/>
        </w:rPr>
        <w:t xml:space="preserve"> will allow for certified identity agents to undertake the scanning and record keeping process and provide an authorised and recognised form for the party to present to Land Titles Office.</w:t>
      </w:r>
    </w:p>
    <w:p w14:paraId="5D7463C7" w14:textId="097635D0" w:rsidR="0004542C" w:rsidRPr="00AE59AA" w:rsidRDefault="006D12CC" w:rsidP="0004542C">
      <w:pPr>
        <w:pStyle w:val="Heading3"/>
        <w:rPr>
          <w:rFonts w:cs="Arial"/>
        </w:rPr>
      </w:pPr>
      <w:r w:rsidRPr="00AE59AA">
        <w:rPr>
          <w:rFonts w:cs="Arial"/>
        </w:rPr>
        <w:t xml:space="preserve">Part 12 </w:t>
      </w:r>
      <w:r w:rsidRPr="00AE59AA">
        <w:rPr>
          <w:rFonts w:cs="Arial"/>
        </w:rPr>
        <w:tab/>
      </w:r>
      <w:r w:rsidR="0004542C" w:rsidRPr="005B6B0B">
        <w:rPr>
          <w:rFonts w:cs="Arial"/>
        </w:rPr>
        <w:t>Legal Aid Act 19</w:t>
      </w:r>
      <w:r w:rsidR="00290794" w:rsidRPr="00AE59AA">
        <w:rPr>
          <w:rFonts w:cs="Arial"/>
        </w:rPr>
        <w:t>7</w:t>
      </w:r>
      <w:r w:rsidR="0004542C" w:rsidRPr="005B6B0B">
        <w:rPr>
          <w:rFonts w:cs="Arial"/>
        </w:rPr>
        <w:t>7</w:t>
      </w:r>
    </w:p>
    <w:p w14:paraId="5EEE7FA2" w14:textId="691A074F" w:rsidR="00FC1808" w:rsidRDefault="00FC1808">
      <w:pPr>
        <w:rPr>
          <w:rFonts w:ascii="Arial" w:hAnsi="Arial" w:cs="Arial"/>
          <w:b/>
          <w:bCs/>
          <w:sz w:val="24"/>
          <w:szCs w:val="24"/>
        </w:rPr>
      </w:pPr>
      <w:r w:rsidRPr="005B6B0B">
        <w:rPr>
          <w:rFonts w:ascii="Arial" w:hAnsi="Arial" w:cs="Arial"/>
          <w:b/>
          <w:bCs/>
          <w:sz w:val="24"/>
          <w:szCs w:val="24"/>
        </w:rPr>
        <w:t>Clause 2</w:t>
      </w:r>
      <w:r w:rsidR="00030E11" w:rsidRPr="005B6B0B">
        <w:rPr>
          <w:rFonts w:ascii="Arial" w:hAnsi="Arial" w:cs="Arial"/>
          <w:b/>
          <w:bCs/>
          <w:sz w:val="24"/>
          <w:szCs w:val="24"/>
        </w:rPr>
        <w:t>1</w:t>
      </w:r>
      <w:r w:rsidRPr="005B6B0B">
        <w:rPr>
          <w:rFonts w:ascii="Arial" w:hAnsi="Arial" w:cs="Arial"/>
          <w:b/>
          <w:bCs/>
          <w:sz w:val="24"/>
          <w:szCs w:val="24"/>
        </w:rPr>
        <w:tab/>
        <w:t>Section 92AA</w:t>
      </w:r>
    </w:p>
    <w:p w14:paraId="28A1A89C" w14:textId="77777777" w:rsidR="00121DE7" w:rsidRPr="005B6B0B" w:rsidRDefault="00121DE7" w:rsidP="00121DE7">
      <w:pPr>
        <w:rPr>
          <w:rFonts w:ascii="Arial" w:hAnsi="Arial" w:cs="Arial"/>
          <w:sz w:val="24"/>
          <w:szCs w:val="24"/>
        </w:rPr>
      </w:pPr>
      <w:r w:rsidRPr="005B6B0B">
        <w:rPr>
          <w:rFonts w:ascii="Arial" w:hAnsi="Arial" w:cs="Arial"/>
          <w:sz w:val="24"/>
          <w:szCs w:val="24"/>
        </w:rPr>
        <w:t xml:space="preserve">The clause substitutes section 92AA to clarify and expand the exceptions to the secrecy provisions in the Act. </w:t>
      </w:r>
    </w:p>
    <w:p w14:paraId="5CCE3300" w14:textId="77777777" w:rsidR="00121DE7" w:rsidRPr="005B6B0B" w:rsidRDefault="00121DE7" w:rsidP="00121DE7">
      <w:pPr>
        <w:rPr>
          <w:rFonts w:ascii="Arial" w:hAnsi="Arial" w:cs="Arial"/>
          <w:sz w:val="24"/>
          <w:szCs w:val="24"/>
        </w:rPr>
      </w:pPr>
      <w:r w:rsidRPr="005B6B0B">
        <w:rPr>
          <w:rFonts w:ascii="Arial" w:hAnsi="Arial" w:cs="Arial"/>
          <w:sz w:val="24"/>
          <w:szCs w:val="24"/>
        </w:rPr>
        <w:t xml:space="preserve">The clause maintains the existing exceptions to sections 13 and 92 to permit disclosure of information concerning the affairs of a person: </w:t>
      </w:r>
    </w:p>
    <w:p w14:paraId="6D876808" w14:textId="77777777" w:rsidR="00121DE7" w:rsidRPr="005B6B0B" w:rsidRDefault="00121DE7" w:rsidP="00121DE7">
      <w:pPr>
        <w:pStyle w:val="ListParagraph"/>
        <w:numPr>
          <w:ilvl w:val="0"/>
          <w:numId w:val="50"/>
        </w:numPr>
        <w:rPr>
          <w:rFonts w:ascii="Arial" w:hAnsi="Arial" w:cs="Arial"/>
          <w:sz w:val="24"/>
          <w:szCs w:val="24"/>
        </w:rPr>
      </w:pPr>
      <w:r w:rsidRPr="005B6B0B">
        <w:rPr>
          <w:rFonts w:ascii="Arial" w:hAnsi="Arial" w:cs="Arial"/>
          <w:sz w:val="24"/>
          <w:szCs w:val="24"/>
        </w:rPr>
        <w:t xml:space="preserve">For the purposes of facilitating the investigation or prosecution of an offence against the Act; or  </w:t>
      </w:r>
    </w:p>
    <w:p w14:paraId="7EAEDD5C" w14:textId="77777777" w:rsidR="00121DE7" w:rsidRPr="005B6B0B" w:rsidRDefault="00121DE7" w:rsidP="00121DE7">
      <w:pPr>
        <w:pStyle w:val="ListParagraph"/>
        <w:numPr>
          <w:ilvl w:val="0"/>
          <w:numId w:val="50"/>
        </w:numPr>
        <w:rPr>
          <w:rFonts w:ascii="Arial" w:hAnsi="Arial" w:cs="Arial"/>
          <w:sz w:val="24"/>
          <w:szCs w:val="24"/>
        </w:rPr>
      </w:pPr>
      <w:r w:rsidRPr="005B6B0B">
        <w:rPr>
          <w:rFonts w:ascii="Arial" w:hAnsi="Arial" w:cs="Arial"/>
          <w:sz w:val="24"/>
          <w:szCs w:val="24"/>
        </w:rPr>
        <w:t xml:space="preserve">with the express or implied consent of the person; or </w:t>
      </w:r>
    </w:p>
    <w:p w14:paraId="156F0657" w14:textId="77777777" w:rsidR="00121DE7" w:rsidRPr="005B6B0B" w:rsidRDefault="00121DE7" w:rsidP="00121DE7">
      <w:pPr>
        <w:pStyle w:val="ListParagraph"/>
        <w:numPr>
          <w:ilvl w:val="0"/>
          <w:numId w:val="50"/>
        </w:numPr>
        <w:rPr>
          <w:rFonts w:ascii="Arial" w:hAnsi="Arial" w:cs="Arial"/>
          <w:sz w:val="24"/>
          <w:szCs w:val="24"/>
        </w:rPr>
      </w:pPr>
      <w:r w:rsidRPr="005B6B0B">
        <w:rPr>
          <w:rFonts w:ascii="Arial" w:hAnsi="Arial" w:cs="Arial"/>
          <w:sz w:val="24"/>
          <w:szCs w:val="24"/>
        </w:rPr>
        <w:t xml:space="preserve">in response to a subpoena in relation to an application to the ACAT under the </w:t>
      </w:r>
      <w:r w:rsidRPr="005B6B0B">
        <w:rPr>
          <w:rFonts w:ascii="Arial" w:hAnsi="Arial" w:cs="Arial"/>
          <w:i/>
          <w:iCs/>
          <w:sz w:val="24"/>
          <w:szCs w:val="24"/>
        </w:rPr>
        <w:t>Legal Profession Act 2006</w:t>
      </w:r>
      <w:r w:rsidRPr="005B6B0B">
        <w:rPr>
          <w:rFonts w:ascii="Arial" w:hAnsi="Arial" w:cs="Arial"/>
          <w:sz w:val="24"/>
          <w:szCs w:val="24"/>
        </w:rPr>
        <w:t xml:space="preserve">. </w:t>
      </w:r>
    </w:p>
    <w:p w14:paraId="5F52EB14" w14:textId="77777777" w:rsidR="00121DE7" w:rsidRPr="005B6B0B" w:rsidRDefault="00121DE7" w:rsidP="00121DE7">
      <w:pPr>
        <w:spacing w:after="0"/>
        <w:rPr>
          <w:rFonts w:ascii="Arial" w:hAnsi="Arial" w:cs="Arial"/>
          <w:sz w:val="24"/>
          <w:szCs w:val="24"/>
        </w:rPr>
      </w:pPr>
    </w:p>
    <w:p w14:paraId="5780FA1E" w14:textId="5CCAD25A" w:rsidR="00BC20BD" w:rsidRDefault="00BC20BD" w:rsidP="00BC20BD">
      <w:pPr>
        <w:spacing w:after="0"/>
        <w:rPr>
          <w:rFonts w:ascii="Arial" w:hAnsi="Arial" w:cs="Arial"/>
          <w:sz w:val="24"/>
          <w:szCs w:val="24"/>
        </w:rPr>
      </w:pPr>
      <w:r w:rsidRPr="00BC20BD">
        <w:rPr>
          <w:rFonts w:ascii="Arial" w:hAnsi="Arial" w:cs="Arial"/>
          <w:sz w:val="24"/>
          <w:szCs w:val="24"/>
        </w:rPr>
        <w:t>Subsection 92AA</w:t>
      </w:r>
      <w:r w:rsidR="009369D9">
        <w:rPr>
          <w:rFonts w:ascii="Arial" w:hAnsi="Arial" w:cs="Arial"/>
          <w:sz w:val="24"/>
          <w:szCs w:val="24"/>
        </w:rPr>
        <w:t xml:space="preserve"> </w:t>
      </w:r>
      <w:r w:rsidRPr="00BC20BD">
        <w:rPr>
          <w:rFonts w:ascii="Arial" w:hAnsi="Arial" w:cs="Arial"/>
          <w:sz w:val="24"/>
          <w:szCs w:val="24"/>
        </w:rPr>
        <w:t xml:space="preserve">(2) provides a new exception to the section 92 to permit the chief executive officer to authorise, in accordance with considerations under the disclosure guidelines, the disclosure of data or information to Commonwealth entities for the purposes of complying with a national agreement regarding the provision of legal assistance services. In order for the chief executive officer to authorise disclosure they must also be satisfied that </w:t>
      </w:r>
      <w:r w:rsidR="0003354E" w:rsidRPr="0003354E">
        <w:rPr>
          <w:rFonts w:ascii="Arial" w:hAnsi="Arial" w:cs="Arial"/>
          <w:sz w:val="24"/>
          <w:szCs w:val="24"/>
        </w:rPr>
        <w:t xml:space="preserve">the Commonwealth entity to which the disclosure is made is required to apply the Australian Privacy Principles in relation to the disclosed material.  </w:t>
      </w:r>
    </w:p>
    <w:p w14:paraId="11DB1D60" w14:textId="77777777" w:rsidR="00BC20BD" w:rsidRPr="00BC20BD" w:rsidRDefault="00BC20BD" w:rsidP="00BC20BD">
      <w:pPr>
        <w:spacing w:after="0"/>
        <w:rPr>
          <w:rFonts w:ascii="Arial" w:hAnsi="Arial" w:cs="Arial"/>
          <w:sz w:val="24"/>
          <w:szCs w:val="24"/>
        </w:rPr>
      </w:pPr>
    </w:p>
    <w:p w14:paraId="0A082E30" w14:textId="70EBCF35" w:rsidR="00BC20BD" w:rsidRDefault="00BC20BD" w:rsidP="00BC20BD">
      <w:pPr>
        <w:spacing w:after="0"/>
        <w:rPr>
          <w:rFonts w:ascii="Arial" w:hAnsi="Arial" w:cs="Arial"/>
          <w:sz w:val="24"/>
          <w:szCs w:val="24"/>
        </w:rPr>
      </w:pPr>
      <w:r w:rsidRPr="00BC20BD">
        <w:rPr>
          <w:rFonts w:ascii="Arial" w:hAnsi="Arial" w:cs="Arial"/>
          <w:sz w:val="24"/>
          <w:szCs w:val="24"/>
        </w:rPr>
        <w:t>Similarly, subsection 92AA</w:t>
      </w:r>
      <w:r w:rsidR="009369D9">
        <w:rPr>
          <w:rFonts w:ascii="Arial" w:hAnsi="Arial" w:cs="Arial"/>
          <w:sz w:val="24"/>
          <w:szCs w:val="24"/>
        </w:rPr>
        <w:t xml:space="preserve"> </w:t>
      </w:r>
      <w:r w:rsidRPr="00BC20BD">
        <w:rPr>
          <w:rFonts w:ascii="Arial" w:hAnsi="Arial" w:cs="Arial"/>
          <w:sz w:val="24"/>
          <w:szCs w:val="24"/>
        </w:rPr>
        <w:t xml:space="preserve">(3) specifies that the section 92 secrecy provisions do not apply where the chief executive officer has authorised, pursuant to the disclosure guidelines, the disclosure of information or data to a third party entity for the purposes of conducting research in relation to improving access to justice outcomes or the provision of legal assistance services. </w:t>
      </w:r>
      <w:r w:rsidR="0003354E" w:rsidRPr="0003354E">
        <w:rPr>
          <w:rFonts w:ascii="Arial" w:hAnsi="Arial" w:cs="Arial"/>
          <w:sz w:val="24"/>
          <w:szCs w:val="24"/>
        </w:rPr>
        <w:t xml:space="preserve">This provision explicitly provides that if a Commonwealth entity makes a request under this subsection, the information must only be disclosed if the chief executive officer is satisfied that the Commonwealth </w:t>
      </w:r>
      <w:r w:rsidR="0003354E" w:rsidRPr="0003354E">
        <w:rPr>
          <w:rFonts w:ascii="Arial" w:hAnsi="Arial" w:cs="Arial"/>
          <w:sz w:val="24"/>
          <w:szCs w:val="24"/>
        </w:rPr>
        <w:lastRenderedPageBreak/>
        <w:t xml:space="preserve">entity to which the disclosure is made is required to apply the Australian Privacy Principles in relation to the disclosed material.  </w:t>
      </w:r>
    </w:p>
    <w:p w14:paraId="682354C9" w14:textId="77777777" w:rsidR="00BC20BD" w:rsidRPr="00BC20BD" w:rsidRDefault="00BC20BD" w:rsidP="00BC20BD">
      <w:pPr>
        <w:spacing w:after="0"/>
        <w:rPr>
          <w:rFonts w:ascii="Arial" w:hAnsi="Arial" w:cs="Arial"/>
          <w:sz w:val="24"/>
          <w:szCs w:val="24"/>
        </w:rPr>
      </w:pPr>
    </w:p>
    <w:p w14:paraId="76E0A061" w14:textId="057B5F1B" w:rsidR="00BC20BD" w:rsidRPr="00CC6589" w:rsidRDefault="00BC20BD" w:rsidP="00BC20BD">
      <w:pPr>
        <w:spacing w:after="0"/>
        <w:rPr>
          <w:rFonts w:ascii="Arial" w:hAnsi="Arial" w:cs="Arial"/>
          <w:sz w:val="24"/>
          <w:szCs w:val="24"/>
        </w:rPr>
      </w:pPr>
      <w:r w:rsidRPr="00CC6589">
        <w:rPr>
          <w:rFonts w:ascii="Arial" w:hAnsi="Arial" w:cs="Arial"/>
          <w:sz w:val="24"/>
          <w:szCs w:val="24"/>
        </w:rPr>
        <w:t>Both subsections 92AA</w:t>
      </w:r>
      <w:r w:rsidR="009369D9" w:rsidRPr="00CC6589">
        <w:rPr>
          <w:rFonts w:ascii="Arial" w:hAnsi="Arial" w:cs="Arial"/>
          <w:sz w:val="24"/>
          <w:szCs w:val="24"/>
        </w:rPr>
        <w:t xml:space="preserve"> </w:t>
      </w:r>
      <w:r w:rsidRPr="00CC6589">
        <w:rPr>
          <w:rFonts w:ascii="Arial" w:hAnsi="Arial" w:cs="Arial"/>
          <w:sz w:val="24"/>
          <w:szCs w:val="24"/>
        </w:rPr>
        <w:t xml:space="preserve">(2) and (3) provide that disclosure is limited to documents produced and information collected on or after 1 July 2021. </w:t>
      </w:r>
    </w:p>
    <w:p w14:paraId="427328A2" w14:textId="77777777" w:rsidR="00BC20BD" w:rsidRPr="00CC6589" w:rsidRDefault="00BC20BD" w:rsidP="00BC20BD">
      <w:pPr>
        <w:spacing w:after="0"/>
        <w:rPr>
          <w:rFonts w:ascii="Arial" w:hAnsi="Arial" w:cs="Arial"/>
          <w:sz w:val="24"/>
          <w:szCs w:val="24"/>
        </w:rPr>
      </w:pPr>
    </w:p>
    <w:p w14:paraId="2275AB3E" w14:textId="304B5EE9" w:rsidR="00BC20BD" w:rsidRPr="00CC6589" w:rsidRDefault="00BC20BD" w:rsidP="00BC20BD">
      <w:pPr>
        <w:spacing w:after="0"/>
        <w:rPr>
          <w:rFonts w:ascii="Arial" w:hAnsi="Arial" w:cs="Arial"/>
          <w:sz w:val="24"/>
          <w:szCs w:val="24"/>
        </w:rPr>
      </w:pPr>
      <w:r w:rsidRPr="00CC6589">
        <w:rPr>
          <w:rFonts w:ascii="Arial" w:hAnsi="Arial" w:cs="Arial"/>
          <w:sz w:val="24"/>
          <w:szCs w:val="24"/>
        </w:rPr>
        <w:t>Subsections 92AA</w:t>
      </w:r>
      <w:r w:rsidR="009369D9" w:rsidRPr="00CC6589">
        <w:rPr>
          <w:rFonts w:ascii="Arial" w:hAnsi="Arial" w:cs="Arial"/>
          <w:sz w:val="24"/>
          <w:szCs w:val="24"/>
        </w:rPr>
        <w:t xml:space="preserve"> </w:t>
      </w:r>
      <w:r w:rsidRPr="00CC6589">
        <w:rPr>
          <w:rFonts w:ascii="Arial" w:hAnsi="Arial" w:cs="Arial"/>
          <w:sz w:val="24"/>
          <w:szCs w:val="24"/>
        </w:rPr>
        <w:t>(4) and (5) provide the Minister with the power to make disclosure guidelines in the form of a disallowable instrument about the matters the chief executive officer must consider before authorising the disclosure of information or data pursuant to section 92AA</w:t>
      </w:r>
      <w:r w:rsidR="009369D9" w:rsidRPr="00CC6589">
        <w:rPr>
          <w:rFonts w:ascii="Arial" w:hAnsi="Arial" w:cs="Arial"/>
          <w:sz w:val="24"/>
          <w:szCs w:val="24"/>
        </w:rPr>
        <w:t xml:space="preserve"> </w:t>
      </w:r>
      <w:r w:rsidRPr="00CC6589">
        <w:rPr>
          <w:rFonts w:ascii="Arial" w:hAnsi="Arial" w:cs="Arial"/>
          <w:sz w:val="24"/>
          <w:szCs w:val="24"/>
        </w:rPr>
        <w:t xml:space="preserve">(2) and (3). </w:t>
      </w:r>
    </w:p>
    <w:p w14:paraId="60C7E52B" w14:textId="77777777" w:rsidR="00BC20BD" w:rsidRPr="00CC6589" w:rsidRDefault="00BC20BD" w:rsidP="00BC20BD">
      <w:pPr>
        <w:spacing w:after="0"/>
        <w:rPr>
          <w:rFonts w:ascii="Arial" w:hAnsi="Arial" w:cs="Arial"/>
          <w:sz w:val="24"/>
          <w:szCs w:val="24"/>
        </w:rPr>
      </w:pPr>
    </w:p>
    <w:p w14:paraId="173722B2" w14:textId="6FAF89B8" w:rsidR="00BC20BD" w:rsidRPr="00CC6589" w:rsidRDefault="00BC20BD" w:rsidP="00BC20BD">
      <w:pPr>
        <w:spacing w:after="0"/>
        <w:rPr>
          <w:rFonts w:ascii="Arial" w:hAnsi="Arial" w:cs="Arial"/>
          <w:sz w:val="24"/>
          <w:szCs w:val="24"/>
        </w:rPr>
      </w:pPr>
      <w:r w:rsidRPr="00CC6589">
        <w:rPr>
          <w:rFonts w:ascii="Arial" w:hAnsi="Arial" w:cs="Arial"/>
          <w:sz w:val="24"/>
          <w:szCs w:val="24"/>
        </w:rPr>
        <w:t xml:space="preserve">It is intended that the guidelines will provide further safeguards to minimise any impacts on the right to privacy and provide a transparent process for how disclosure requests will be assessed.  The guidelines will be developed from a human rights perspective and require the chief executive officer to consider the full life cycle of the data including being satisfied that the requesting entity has a clear and legitimate purpose for requesting the data, any limitations on the right to privacy are proportionate, any sensitivities or risks are addressed, and the requesting agency has appropriate data security and management practices. </w:t>
      </w:r>
    </w:p>
    <w:p w14:paraId="3C4355A6" w14:textId="77777777" w:rsidR="00BC20BD" w:rsidRPr="00CC6589" w:rsidRDefault="00BC20BD" w:rsidP="00BC20BD">
      <w:pPr>
        <w:spacing w:after="0"/>
        <w:rPr>
          <w:rFonts w:ascii="Arial" w:hAnsi="Arial" w:cs="Arial"/>
          <w:sz w:val="24"/>
          <w:szCs w:val="24"/>
        </w:rPr>
      </w:pPr>
    </w:p>
    <w:p w14:paraId="393AD0D8" w14:textId="5684CD7C" w:rsidR="00BC20BD" w:rsidRDefault="00BC20BD" w:rsidP="00BC20BD">
      <w:pPr>
        <w:spacing w:after="0"/>
        <w:rPr>
          <w:rFonts w:ascii="Arial" w:hAnsi="Arial" w:cs="Arial"/>
          <w:sz w:val="24"/>
          <w:szCs w:val="24"/>
        </w:rPr>
      </w:pPr>
      <w:r w:rsidRPr="00CC6589">
        <w:rPr>
          <w:rFonts w:ascii="Arial" w:hAnsi="Arial" w:cs="Arial"/>
          <w:sz w:val="24"/>
          <w:szCs w:val="24"/>
        </w:rPr>
        <w:t>Subsection 92AA</w:t>
      </w:r>
      <w:r w:rsidR="009369D9" w:rsidRPr="00CC6589">
        <w:rPr>
          <w:rFonts w:ascii="Arial" w:hAnsi="Arial" w:cs="Arial"/>
          <w:sz w:val="24"/>
          <w:szCs w:val="24"/>
        </w:rPr>
        <w:t xml:space="preserve"> </w:t>
      </w:r>
      <w:r w:rsidRPr="00CC6589">
        <w:rPr>
          <w:rFonts w:ascii="Arial" w:hAnsi="Arial" w:cs="Arial"/>
          <w:sz w:val="24"/>
          <w:szCs w:val="24"/>
        </w:rPr>
        <w:t>(6) clarifies the definition of Australian privacy principles, Commonwealth entity, disclosure guidelines.</w:t>
      </w:r>
      <w:r w:rsidRPr="00BC20BD">
        <w:rPr>
          <w:rFonts w:ascii="Arial" w:hAnsi="Arial" w:cs="Arial"/>
          <w:sz w:val="24"/>
          <w:szCs w:val="24"/>
        </w:rPr>
        <w:t xml:space="preserve">  </w:t>
      </w:r>
    </w:p>
    <w:p w14:paraId="02DF2DAB" w14:textId="77777777" w:rsidR="00BC20BD" w:rsidRPr="00BC20BD" w:rsidRDefault="00BC20BD" w:rsidP="00BC20BD">
      <w:pPr>
        <w:spacing w:after="0"/>
        <w:rPr>
          <w:rFonts w:ascii="Arial" w:hAnsi="Arial" w:cs="Arial"/>
          <w:sz w:val="24"/>
          <w:szCs w:val="24"/>
        </w:rPr>
      </w:pPr>
    </w:p>
    <w:p w14:paraId="269745BB" w14:textId="63F9C5F6" w:rsidR="00121DE7" w:rsidRPr="005B6B0B" w:rsidRDefault="00121DE7" w:rsidP="005B6B0B">
      <w:pPr>
        <w:rPr>
          <w:rFonts w:cs="Arial"/>
        </w:rPr>
      </w:pPr>
      <w:r w:rsidRPr="005B6B0B">
        <w:rPr>
          <w:rFonts w:ascii="Arial" w:hAnsi="Arial" w:cs="Arial"/>
          <w:sz w:val="24"/>
          <w:szCs w:val="24"/>
        </w:rPr>
        <w:t xml:space="preserve">This amendment is considered necessary to support the improvement of access to justice outcomes for vulnerable and disadvantaged Canberrans who rely on the Commission’s services to assert and understand their legal rights.  Notably, the amendment will allow the Commission to comply with their reporting requirements under the NLAP. Without the introduction of this clause, the Commission risks exposing their officers to penalties or compromising their Commonwealth assistance funding and in turn their capacity to assist vulnerable members of the Canberra community with their legal needs. Similarly, the amendment will also facilitate greater engagement in national research projects to support more informed understandings of legal need in the Territory. </w:t>
      </w:r>
    </w:p>
    <w:p w14:paraId="5524C4A0" w14:textId="37AA2DB4" w:rsidR="0004542C" w:rsidRPr="00AE59AA" w:rsidRDefault="006D12CC" w:rsidP="0004542C">
      <w:pPr>
        <w:pStyle w:val="Heading3"/>
        <w:rPr>
          <w:rFonts w:cs="Arial"/>
        </w:rPr>
      </w:pPr>
      <w:r w:rsidRPr="00AE59AA">
        <w:rPr>
          <w:rFonts w:cs="Arial"/>
        </w:rPr>
        <w:t xml:space="preserve">Part 13 </w:t>
      </w:r>
      <w:r w:rsidRPr="00AE59AA">
        <w:rPr>
          <w:rFonts w:cs="Arial"/>
        </w:rPr>
        <w:tab/>
      </w:r>
      <w:r w:rsidR="0004542C" w:rsidRPr="005B6B0B">
        <w:rPr>
          <w:rFonts w:cs="Arial"/>
        </w:rPr>
        <w:t>Liquor Act 2010</w:t>
      </w:r>
    </w:p>
    <w:p w14:paraId="16A82A5C" w14:textId="54EF8EAF" w:rsidR="00611034" w:rsidRPr="005B6B0B" w:rsidRDefault="00611034" w:rsidP="00611034">
      <w:pPr>
        <w:rPr>
          <w:rFonts w:ascii="Arial" w:hAnsi="Arial" w:cs="Arial"/>
          <w:b/>
          <w:bCs/>
          <w:sz w:val="24"/>
          <w:szCs w:val="24"/>
        </w:rPr>
      </w:pPr>
      <w:r w:rsidRPr="005B6B0B">
        <w:rPr>
          <w:rFonts w:ascii="Arial" w:hAnsi="Arial" w:cs="Arial"/>
          <w:b/>
          <w:bCs/>
          <w:sz w:val="24"/>
          <w:szCs w:val="24"/>
        </w:rPr>
        <w:t>Clause 2</w:t>
      </w:r>
      <w:r w:rsidR="00030E11">
        <w:rPr>
          <w:rFonts w:ascii="Arial" w:hAnsi="Arial" w:cs="Arial"/>
          <w:b/>
          <w:bCs/>
          <w:sz w:val="24"/>
          <w:szCs w:val="24"/>
        </w:rPr>
        <w:t>2</w:t>
      </w:r>
      <w:r w:rsidRPr="005B6B0B">
        <w:rPr>
          <w:rFonts w:ascii="Arial" w:hAnsi="Arial" w:cs="Arial"/>
          <w:b/>
          <w:bCs/>
          <w:sz w:val="24"/>
          <w:szCs w:val="24"/>
        </w:rPr>
        <w:tab/>
        <w:t xml:space="preserve">What is an </w:t>
      </w:r>
      <w:r w:rsidRPr="005B6B0B">
        <w:rPr>
          <w:rFonts w:ascii="Arial" w:hAnsi="Arial" w:cs="Arial"/>
          <w:b/>
          <w:bCs/>
          <w:i/>
          <w:iCs/>
          <w:sz w:val="24"/>
          <w:szCs w:val="24"/>
        </w:rPr>
        <w:t>RSA certificate</w:t>
      </w:r>
      <w:r w:rsidRPr="005B6B0B">
        <w:rPr>
          <w:rFonts w:ascii="Arial" w:hAnsi="Arial" w:cs="Arial"/>
          <w:b/>
          <w:bCs/>
          <w:sz w:val="24"/>
          <w:szCs w:val="24"/>
        </w:rPr>
        <w:t>?</w:t>
      </w:r>
    </w:p>
    <w:p w14:paraId="740C1646" w14:textId="002C5639" w:rsidR="00611034" w:rsidRPr="0045233D" w:rsidRDefault="00611034" w:rsidP="00611034">
      <w:pPr>
        <w:rPr>
          <w:rFonts w:ascii="Arial" w:hAnsi="Arial" w:cs="Arial"/>
          <w:b/>
          <w:bCs/>
          <w:sz w:val="24"/>
          <w:szCs w:val="24"/>
        </w:rPr>
      </w:pPr>
      <w:r w:rsidRPr="005B6B0B">
        <w:rPr>
          <w:rFonts w:ascii="Arial" w:hAnsi="Arial" w:cs="Arial"/>
          <w:b/>
          <w:bCs/>
          <w:sz w:val="24"/>
          <w:szCs w:val="24"/>
        </w:rPr>
        <w:tab/>
      </w:r>
      <w:r w:rsidRPr="005B6B0B">
        <w:rPr>
          <w:rFonts w:ascii="Arial" w:hAnsi="Arial" w:cs="Arial"/>
          <w:b/>
          <w:bCs/>
          <w:sz w:val="24"/>
          <w:szCs w:val="24"/>
        </w:rPr>
        <w:tab/>
        <w:t>Section 193</w:t>
      </w:r>
      <w:r w:rsidR="00720F52">
        <w:rPr>
          <w:rFonts w:ascii="Arial" w:hAnsi="Arial" w:cs="Arial"/>
          <w:b/>
          <w:bCs/>
          <w:sz w:val="24"/>
          <w:szCs w:val="24"/>
        </w:rPr>
        <w:t xml:space="preserve"> </w:t>
      </w:r>
      <w:r w:rsidRPr="005B6B0B">
        <w:rPr>
          <w:rFonts w:ascii="Arial" w:hAnsi="Arial" w:cs="Arial"/>
          <w:b/>
          <w:bCs/>
          <w:sz w:val="24"/>
          <w:szCs w:val="24"/>
        </w:rPr>
        <w:t xml:space="preserve">(1), definition of </w:t>
      </w:r>
      <w:r w:rsidRPr="005B6B0B">
        <w:rPr>
          <w:rFonts w:ascii="Arial" w:hAnsi="Arial" w:cs="Arial"/>
          <w:b/>
          <w:bCs/>
          <w:i/>
          <w:iCs/>
          <w:sz w:val="24"/>
          <w:szCs w:val="24"/>
        </w:rPr>
        <w:t>RSA certificate</w:t>
      </w:r>
      <w:r w:rsidRPr="005B6B0B">
        <w:rPr>
          <w:rFonts w:ascii="Arial" w:hAnsi="Arial" w:cs="Arial"/>
          <w:b/>
          <w:bCs/>
          <w:sz w:val="24"/>
          <w:szCs w:val="24"/>
        </w:rPr>
        <w:t>, paragraph (a)</w:t>
      </w:r>
    </w:p>
    <w:p w14:paraId="19F719EC" w14:textId="067D94DF" w:rsidR="00611034" w:rsidRPr="00AE59AA" w:rsidRDefault="00611034" w:rsidP="005B6B0B">
      <w:pPr>
        <w:rPr>
          <w:rFonts w:cs="Arial"/>
        </w:rPr>
      </w:pPr>
      <w:r w:rsidRPr="005B6B0B">
        <w:rPr>
          <w:rFonts w:ascii="Arial" w:hAnsi="Arial" w:cs="Arial"/>
          <w:sz w:val="24"/>
          <w:szCs w:val="24"/>
        </w:rPr>
        <w:t xml:space="preserve">This clause amends the definition of an RSA certificate at section 193(1)(a) of the Liquor Act. The clause omits the phrase ‘a certificate by’ and substitutes ‘a certificate issued by’. This editorial amendment makes the wording of the definition consistent with the wording of the amendment to the definition of an ‘interstate RSA certificate’ in clause 27 below. </w:t>
      </w:r>
    </w:p>
    <w:p w14:paraId="0CC24733" w14:textId="2BEA0496" w:rsidR="006545DB" w:rsidRPr="0045233D" w:rsidRDefault="006545DB" w:rsidP="00720F52">
      <w:pPr>
        <w:keepNext/>
        <w:keepLines/>
        <w:rPr>
          <w:rFonts w:ascii="Arial" w:hAnsi="Arial" w:cs="Arial"/>
          <w:sz w:val="24"/>
          <w:szCs w:val="24"/>
        </w:rPr>
      </w:pPr>
      <w:r w:rsidRPr="0045233D">
        <w:rPr>
          <w:rFonts w:ascii="Arial" w:hAnsi="Arial" w:cs="Arial"/>
          <w:b/>
          <w:bCs/>
          <w:sz w:val="24"/>
          <w:szCs w:val="24"/>
        </w:rPr>
        <w:lastRenderedPageBreak/>
        <w:t>Clause 2</w:t>
      </w:r>
      <w:r w:rsidR="00030E11">
        <w:rPr>
          <w:rFonts w:ascii="Arial" w:hAnsi="Arial" w:cs="Arial"/>
          <w:b/>
          <w:bCs/>
          <w:sz w:val="24"/>
          <w:szCs w:val="24"/>
        </w:rPr>
        <w:t>3</w:t>
      </w:r>
      <w:r w:rsidRPr="0045233D">
        <w:rPr>
          <w:rFonts w:ascii="Arial" w:hAnsi="Arial" w:cs="Arial"/>
          <w:b/>
          <w:bCs/>
          <w:sz w:val="24"/>
          <w:szCs w:val="24"/>
        </w:rPr>
        <w:tab/>
        <w:t>Section 193</w:t>
      </w:r>
      <w:r w:rsidR="00720F52">
        <w:rPr>
          <w:rFonts w:ascii="Arial" w:hAnsi="Arial" w:cs="Arial"/>
          <w:b/>
          <w:bCs/>
          <w:sz w:val="24"/>
          <w:szCs w:val="24"/>
        </w:rPr>
        <w:t xml:space="preserve"> </w:t>
      </w:r>
      <w:r w:rsidRPr="0045233D">
        <w:rPr>
          <w:rFonts w:ascii="Arial" w:hAnsi="Arial" w:cs="Arial"/>
          <w:b/>
          <w:bCs/>
          <w:sz w:val="24"/>
          <w:szCs w:val="24"/>
        </w:rPr>
        <w:t>(2)</w:t>
      </w:r>
      <w:r w:rsidR="00611034" w:rsidRPr="0045233D">
        <w:rPr>
          <w:rFonts w:ascii="Arial" w:hAnsi="Arial" w:cs="Arial"/>
          <w:b/>
          <w:bCs/>
          <w:sz w:val="24"/>
          <w:szCs w:val="24"/>
        </w:rPr>
        <w:t>,</w:t>
      </w:r>
      <w:r w:rsidRPr="0045233D">
        <w:rPr>
          <w:rFonts w:ascii="Arial" w:hAnsi="Arial" w:cs="Arial"/>
          <w:b/>
          <w:bCs/>
          <w:sz w:val="24"/>
          <w:szCs w:val="24"/>
        </w:rPr>
        <w:t xml:space="preserve"> definition of </w:t>
      </w:r>
      <w:r w:rsidRPr="005B6B0B">
        <w:rPr>
          <w:rFonts w:ascii="Arial" w:hAnsi="Arial" w:cs="Arial"/>
          <w:b/>
          <w:bCs/>
          <w:i/>
          <w:iCs/>
          <w:sz w:val="24"/>
          <w:szCs w:val="24"/>
        </w:rPr>
        <w:t>interstate RSA certificate</w:t>
      </w:r>
    </w:p>
    <w:p w14:paraId="4FD02B42" w14:textId="2818ACB4" w:rsidR="006545DB" w:rsidRPr="005B6B0B" w:rsidRDefault="006545DB" w:rsidP="00720F52">
      <w:pPr>
        <w:keepNext/>
        <w:keepLines/>
        <w:rPr>
          <w:rFonts w:ascii="Arial" w:hAnsi="Arial" w:cs="Arial"/>
          <w:sz w:val="24"/>
          <w:szCs w:val="24"/>
        </w:rPr>
      </w:pPr>
      <w:r w:rsidRPr="005B6B0B">
        <w:rPr>
          <w:rFonts w:ascii="Arial" w:hAnsi="Arial" w:cs="Arial"/>
          <w:sz w:val="24"/>
          <w:szCs w:val="24"/>
        </w:rPr>
        <w:t>This clause substitutes the definition of ‘interstate RSA certificate’ in section 193</w:t>
      </w:r>
      <w:r w:rsidR="00720F52">
        <w:rPr>
          <w:rFonts w:ascii="Arial" w:hAnsi="Arial" w:cs="Arial"/>
          <w:sz w:val="24"/>
          <w:szCs w:val="24"/>
        </w:rPr>
        <w:t xml:space="preserve"> </w:t>
      </w:r>
      <w:r w:rsidRPr="005B6B0B">
        <w:rPr>
          <w:rFonts w:ascii="Arial" w:hAnsi="Arial" w:cs="Arial"/>
          <w:sz w:val="24"/>
          <w:szCs w:val="24"/>
        </w:rPr>
        <w:t>(2) of the Liquor Act. The new section 193</w:t>
      </w:r>
      <w:r w:rsidR="00720F52">
        <w:rPr>
          <w:rFonts w:ascii="Arial" w:hAnsi="Arial" w:cs="Arial"/>
          <w:sz w:val="24"/>
          <w:szCs w:val="24"/>
        </w:rPr>
        <w:t xml:space="preserve"> </w:t>
      </w:r>
      <w:r w:rsidRPr="005B6B0B">
        <w:rPr>
          <w:rFonts w:ascii="Arial" w:hAnsi="Arial" w:cs="Arial"/>
          <w:sz w:val="24"/>
          <w:szCs w:val="24"/>
        </w:rPr>
        <w:t>(2)</w:t>
      </w:r>
      <w:r w:rsidR="00720F52">
        <w:rPr>
          <w:rFonts w:ascii="Arial" w:hAnsi="Arial" w:cs="Arial"/>
          <w:sz w:val="24"/>
          <w:szCs w:val="24"/>
        </w:rPr>
        <w:t xml:space="preserve"> </w:t>
      </w:r>
      <w:r w:rsidRPr="005B6B0B">
        <w:rPr>
          <w:rFonts w:ascii="Arial" w:hAnsi="Arial" w:cs="Arial"/>
          <w:sz w:val="24"/>
          <w:szCs w:val="24"/>
        </w:rPr>
        <w:t>(a) provides that an interstate RSA certificate for a person means a certificate issued by an interstate RSA training provider, or under a law in force in Australia, relating to the supply or consumption of liquor certifying that the person satisfactorily completed, on a stated day, a course about the responsible service of alcohol. The new section 193</w:t>
      </w:r>
      <w:r w:rsidR="00720F52">
        <w:rPr>
          <w:rFonts w:ascii="Arial" w:hAnsi="Arial" w:cs="Arial"/>
          <w:sz w:val="24"/>
          <w:szCs w:val="24"/>
        </w:rPr>
        <w:t xml:space="preserve"> </w:t>
      </w:r>
      <w:r w:rsidRPr="005B6B0B">
        <w:rPr>
          <w:rFonts w:ascii="Arial" w:hAnsi="Arial" w:cs="Arial"/>
          <w:sz w:val="24"/>
          <w:szCs w:val="24"/>
        </w:rPr>
        <w:t>(2)</w:t>
      </w:r>
      <w:r w:rsidR="00720F52">
        <w:rPr>
          <w:rFonts w:ascii="Arial" w:hAnsi="Arial" w:cs="Arial"/>
          <w:sz w:val="24"/>
          <w:szCs w:val="24"/>
        </w:rPr>
        <w:t xml:space="preserve"> </w:t>
      </w:r>
      <w:r w:rsidRPr="005B6B0B">
        <w:rPr>
          <w:rFonts w:ascii="Arial" w:hAnsi="Arial" w:cs="Arial"/>
          <w:sz w:val="24"/>
          <w:szCs w:val="24"/>
        </w:rPr>
        <w:t xml:space="preserve">(b) provides that an interstate RSA certificate includes a digital version of the certificate, provided that the Commissioner for Fair Trading verifies the certificate’s validity and currency. </w:t>
      </w:r>
    </w:p>
    <w:p w14:paraId="58BF9D4D" w14:textId="66D7BF77" w:rsidR="006545DB" w:rsidRPr="00AE59AA" w:rsidRDefault="006545DB" w:rsidP="005B6B0B">
      <w:pPr>
        <w:rPr>
          <w:rFonts w:cs="Arial"/>
        </w:rPr>
      </w:pPr>
      <w:r w:rsidRPr="005B6B0B">
        <w:rPr>
          <w:rFonts w:ascii="Arial" w:hAnsi="Arial" w:cs="Arial"/>
          <w:sz w:val="24"/>
          <w:szCs w:val="24"/>
        </w:rPr>
        <w:t xml:space="preserve">The purpose of this amendment is to remove the requirement for an RSA certificate to include an expiry date, as other jurisdictions do not require this, and to recognise certificates in digital form. </w:t>
      </w:r>
    </w:p>
    <w:p w14:paraId="7E980736" w14:textId="48019705" w:rsidR="0004542C" w:rsidRPr="00AE59AA" w:rsidRDefault="00BE7482" w:rsidP="0004542C">
      <w:pPr>
        <w:pStyle w:val="Heading3"/>
        <w:rPr>
          <w:rFonts w:cs="Arial"/>
        </w:rPr>
      </w:pPr>
      <w:r w:rsidRPr="00AE59AA">
        <w:rPr>
          <w:rFonts w:cs="Arial"/>
        </w:rPr>
        <w:t>Part 1</w:t>
      </w:r>
      <w:r w:rsidR="006D12CC" w:rsidRPr="00E0167E">
        <w:rPr>
          <w:rFonts w:cs="Arial"/>
        </w:rPr>
        <w:t>4</w:t>
      </w:r>
      <w:r w:rsidRPr="00E0167E">
        <w:rPr>
          <w:rFonts w:cs="Arial"/>
        </w:rPr>
        <w:t xml:space="preserve"> </w:t>
      </w:r>
      <w:r w:rsidRPr="00E0167E">
        <w:rPr>
          <w:rFonts w:cs="Arial"/>
        </w:rPr>
        <w:tab/>
      </w:r>
      <w:r w:rsidR="0004542C" w:rsidRPr="005B6B0B">
        <w:rPr>
          <w:rFonts w:cs="Arial"/>
        </w:rPr>
        <w:t>Magistrates Court (Infringement Notices) Amendment Act 2020</w:t>
      </w:r>
    </w:p>
    <w:p w14:paraId="5C033F9F" w14:textId="598401A3" w:rsidR="00611034" w:rsidRPr="0045233D" w:rsidRDefault="00BE7482" w:rsidP="00BE7482">
      <w:pPr>
        <w:rPr>
          <w:rFonts w:ascii="Arial" w:hAnsi="Arial" w:cs="Arial"/>
          <w:b/>
          <w:bCs/>
          <w:sz w:val="24"/>
          <w:szCs w:val="24"/>
        </w:rPr>
      </w:pPr>
      <w:r w:rsidRPr="005B6B0B">
        <w:rPr>
          <w:rFonts w:ascii="Arial" w:hAnsi="Arial" w:cs="Arial"/>
          <w:b/>
          <w:bCs/>
          <w:sz w:val="24"/>
          <w:szCs w:val="24"/>
        </w:rPr>
        <w:t>Clause 2</w:t>
      </w:r>
      <w:r w:rsidR="00030E11">
        <w:rPr>
          <w:rFonts w:ascii="Arial" w:hAnsi="Arial" w:cs="Arial"/>
          <w:b/>
          <w:bCs/>
          <w:sz w:val="24"/>
          <w:szCs w:val="24"/>
        </w:rPr>
        <w:t>4</w:t>
      </w:r>
      <w:r w:rsidRPr="005B6B0B">
        <w:rPr>
          <w:rFonts w:ascii="Arial" w:hAnsi="Arial" w:cs="Arial"/>
          <w:b/>
          <w:bCs/>
          <w:sz w:val="24"/>
          <w:szCs w:val="24"/>
        </w:rPr>
        <w:tab/>
      </w:r>
      <w:r w:rsidR="00611034" w:rsidRPr="0045233D">
        <w:rPr>
          <w:rFonts w:ascii="Arial" w:hAnsi="Arial" w:cs="Arial"/>
          <w:b/>
          <w:bCs/>
          <w:sz w:val="24"/>
          <w:szCs w:val="24"/>
        </w:rPr>
        <w:t>Commencement</w:t>
      </w:r>
    </w:p>
    <w:p w14:paraId="7F568345" w14:textId="55A6354E" w:rsidR="00BE7482" w:rsidRPr="0045233D" w:rsidRDefault="00BE7482" w:rsidP="005B6B0B">
      <w:pPr>
        <w:ind w:left="720" w:firstLine="720"/>
        <w:rPr>
          <w:rFonts w:ascii="Arial" w:hAnsi="Arial" w:cs="Arial"/>
          <w:b/>
          <w:bCs/>
          <w:sz w:val="24"/>
          <w:szCs w:val="24"/>
        </w:rPr>
      </w:pPr>
      <w:r w:rsidRPr="005B6B0B">
        <w:rPr>
          <w:rFonts w:ascii="Arial" w:hAnsi="Arial" w:cs="Arial"/>
          <w:b/>
          <w:bCs/>
          <w:sz w:val="24"/>
          <w:szCs w:val="24"/>
        </w:rPr>
        <w:t>Section 2</w:t>
      </w:r>
      <w:r w:rsidR="00720F52">
        <w:rPr>
          <w:rFonts w:ascii="Arial" w:hAnsi="Arial" w:cs="Arial"/>
          <w:b/>
          <w:bCs/>
          <w:sz w:val="24"/>
          <w:szCs w:val="24"/>
        </w:rPr>
        <w:t xml:space="preserve"> </w:t>
      </w:r>
      <w:r w:rsidRPr="005B6B0B">
        <w:rPr>
          <w:rFonts w:ascii="Arial" w:hAnsi="Arial" w:cs="Arial"/>
          <w:b/>
          <w:bCs/>
          <w:sz w:val="24"/>
          <w:szCs w:val="24"/>
        </w:rPr>
        <w:t>(2)</w:t>
      </w:r>
    </w:p>
    <w:p w14:paraId="1AE2E182" w14:textId="6457C8DA" w:rsidR="004528E9" w:rsidRPr="005B6B0B" w:rsidRDefault="004528E9" w:rsidP="005B6B0B">
      <w:pPr>
        <w:pStyle w:val="BodyText"/>
        <w:rPr>
          <w:rFonts w:cs="Arial"/>
          <w:iCs/>
        </w:rPr>
      </w:pPr>
      <w:r w:rsidRPr="005B6B0B">
        <w:rPr>
          <w:rFonts w:ascii="Arial" w:hAnsi="Arial" w:cs="Arial"/>
        </w:rPr>
        <w:t>This clause states that section 2</w:t>
      </w:r>
      <w:r w:rsidR="00720F52">
        <w:rPr>
          <w:rFonts w:ascii="Arial" w:hAnsi="Arial" w:cs="Arial"/>
        </w:rPr>
        <w:t xml:space="preserve"> </w:t>
      </w:r>
      <w:r w:rsidRPr="005B6B0B">
        <w:rPr>
          <w:rFonts w:ascii="Arial" w:hAnsi="Arial" w:cs="Arial"/>
        </w:rPr>
        <w:t xml:space="preserve">(2) of the </w:t>
      </w:r>
      <w:r w:rsidRPr="005B6B0B">
        <w:rPr>
          <w:rFonts w:ascii="Arial" w:hAnsi="Arial" w:cs="Arial"/>
          <w:i/>
        </w:rPr>
        <w:t xml:space="preserve">Magistrates Court (Infringement Notices) Amendment Act 2020 </w:t>
      </w:r>
      <w:r w:rsidRPr="005B6B0B">
        <w:rPr>
          <w:rFonts w:ascii="Arial" w:hAnsi="Arial" w:cs="Arial"/>
          <w:iCs/>
        </w:rPr>
        <w:t xml:space="preserve">will be amended to substitute reference to commencement occurring in 2 years, to 4 years. </w:t>
      </w:r>
    </w:p>
    <w:p w14:paraId="2959A1B3" w14:textId="31253A35" w:rsidR="0004542C" w:rsidRPr="00AE59AA" w:rsidRDefault="006D12CC" w:rsidP="0004542C">
      <w:pPr>
        <w:pStyle w:val="Heading3"/>
        <w:rPr>
          <w:rFonts w:cs="Arial"/>
        </w:rPr>
      </w:pPr>
      <w:r w:rsidRPr="00AE59AA">
        <w:rPr>
          <w:rFonts w:cs="Arial"/>
        </w:rPr>
        <w:t>Part 15</w:t>
      </w:r>
      <w:r w:rsidRPr="00AE59AA">
        <w:rPr>
          <w:rFonts w:cs="Arial"/>
        </w:rPr>
        <w:tab/>
      </w:r>
      <w:r w:rsidR="0004542C" w:rsidRPr="005B6B0B">
        <w:rPr>
          <w:rFonts w:cs="Arial"/>
        </w:rPr>
        <w:t>Public Trustee and Guardian Act 1985</w:t>
      </w:r>
    </w:p>
    <w:p w14:paraId="34AD6579" w14:textId="0CCF7999" w:rsidR="0045233D" w:rsidRPr="0045233D" w:rsidRDefault="00AC3F8D" w:rsidP="005B6B0B">
      <w:pPr>
        <w:ind w:left="1440" w:hanging="1440"/>
        <w:rPr>
          <w:rFonts w:ascii="Arial" w:hAnsi="Arial" w:cs="Arial"/>
          <w:b/>
          <w:bCs/>
          <w:sz w:val="24"/>
          <w:szCs w:val="24"/>
        </w:rPr>
      </w:pPr>
      <w:r w:rsidRPr="005B6B0B">
        <w:rPr>
          <w:rFonts w:ascii="Arial" w:hAnsi="Arial" w:cs="Arial"/>
          <w:b/>
          <w:bCs/>
          <w:sz w:val="24"/>
          <w:szCs w:val="24"/>
        </w:rPr>
        <w:t>Clause 2</w:t>
      </w:r>
      <w:r w:rsidR="00030E11">
        <w:rPr>
          <w:rFonts w:ascii="Arial" w:hAnsi="Arial" w:cs="Arial"/>
          <w:b/>
          <w:bCs/>
          <w:sz w:val="24"/>
          <w:szCs w:val="24"/>
        </w:rPr>
        <w:t>5</w:t>
      </w:r>
      <w:r w:rsidRPr="005B6B0B">
        <w:rPr>
          <w:rFonts w:ascii="Arial" w:hAnsi="Arial" w:cs="Arial"/>
          <w:b/>
          <w:bCs/>
          <w:sz w:val="24"/>
          <w:szCs w:val="24"/>
        </w:rPr>
        <w:tab/>
      </w:r>
      <w:r w:rsidR="0045233D" w:rsidRPr="0045233D">
        <w:rPr>
          <w:rFonts w:ascii="Arial" w:hAnsi="Arial" w:cs="Arial"/>
          <w:b/>
          <w:bCs/>
          <w:sz w:val="24"/>
          <w:szCs w:val="24"/>
        </w:rPr>
        <w:t>Appointment as a person responsible for disposal of unclaim</w:t>
      </w:r>
      <w:r w:rsidR="00720F52">
        <w:rPr>
          <w:rFonts w:ascii="Arial" w:hAnsi="Arial" w:cs="Arial"/>
          <w:b/>
          <w:bCs/>
          <w:sz w:val="24"/>
          <w:szCs w:val="24"/>
        </w:rPr>
        <w:t>ed</w:t>
      </w:r>
      <w:r w:rsidR="0045233D" w:rsidRPr="0045233D">
        <w:rPr>
          <w:rFonts w:ascii="Arial" w:hAnsi="Arial" w:cs="Arial"/>
          <w:b/>
          <w:bCs/>
          <w:sz w:val="24"/>
          <w:szCs w:val="24"/>
        </w:rPr>
        <w:t xml:space="preserve"> deceased person</w:t>
      </w:r>
    </w:p>
    <w:p w14:paraId="7C36C6C3" w14:textId="09395FED" w:rsidR="00AC3F8D" w:rsidRPr="005B6B0B" w:rsidRDefault="00AC3F8D" w:rsidP="00720F52">
      <w:pPr>
        <w:ind w:left="1440"/>
        <w:rPr>
          <w:rFonts w:ascii="Arial" w:hAnsi="Arial" w:cs="Arial"/>
          <w:b/>
          <w:bCs/>
          <w:sz w:val="24"/>
          <w:szCs w:val="24"/>
        </w:rPr>
      </w:pPr>
      <w:r w:rsidRPr="005B6B0B">
        <w:rPr>
          <w:rFonts w:ascii="Arial" w:hAnsi="Arial" w:cs="Arial"/>
          <w:b/>
          <w:bCs/>
          <w:sz w:val="24"/>
          <w:szCs w:val="24"/>
        </w:rPr>
        <w:t>Section 13A (5)</w:t>
      </w:r>
      <w:r w:rsidR="0045233D" w:rsidRPr="0045233D">
        <w:rPr>
          <w:rFonts w:ascii="Arial" w:hAnsi="Arial" w:cs="Arial"/>
          <w:b/>
          <w:bCs/>
          <w:sz w:val="24"/>
          <w:szCs w:val="24"/>
        </w:rPr>
        <w:t xml:space="preserve">, definition of </w:t>
      </w:r>
      <w:r w:rsidR="0045233D" w:rsidRPr="005B6B0B">
        <w:rPr>
          <w:rFonts w:ascii="Arial" w:hAnsi="Arial" w:cs="Arial"/>
          <w:b/>
          <w:bCs/>
          <w:i/>
          <w:iCs/>
          <w:sz w:val="24"/>
          <w:szCs w:val="24"/>
        </w:rPr>
        <w:t>unclaimed deceased person</w:t>
      </w:r>
      <w:r w:rsidR="0045233D" w:rsidRPr="0045233D">
        <w:rPr>
          <w:rFonts w:ascii="Arial" w:hAnsi="Arial" w:cs="Arial"/>
          <w:b/>
          <w:bCs/>
          <w:sz w:val="24"/>
          <w:szCs w:val="24"/>
        </w:rPr>
        <w:t xml:space="preserve">, </w:t>
      </w:r>
      <w:r w:rsidR="00720F52">
        <w:rPr>
          <w:rFonts w:ascii="Arial" w:hAnsi="Arial" w:cs="Arial"/>
          <w:b/>
          <w:bCs/>
          <w:sz w:val="24"/>
          <w:szCs w:val="24"/>
        </w:rPr>
        <w:t xml:space="preserve">paragraph </w:t>
      </w:r>
      <w:r w:rsidR="00B64A75" w:rsidRPr="005B6B0B">
        <w:rPr>
          <w:rFonts w:ascii="Arial" w:hAnsi="Arial" w:cs="Arial"/>
          <w:b/>
          <w:bCs/>
          <w:sz w:val="24"/>
          <w:szCs w:val="24"/>
        </w:rPr>
        <w:t>(a)</w:t>
      </w:r>
    </w:p>
    <w:p w14:paraId="3CD605B7" w14:textId="2DAF8AF1" w:rsidR="00B64A75" w:rsidRPr="005B6B0B" w:rsidRDefault="00B64A75" w:rsidP="005B6B0B">
      <w:pPr>
        <w:pStyle w:val="CSNumbering"/>
        <w:tabs>
          <w:tab w:val="clear" w:pos="360"/>
        </w:tabs>
        <w:spacing w:after="120"/>
        <w:rPr>
          <w:rFonts w:cs="Arial"/>
          <w:iCs w:val="0"/>
        </w:rPr>
      </w:pPr>
      <w:r w:rsidRPr="005B6B0B">
        <w:rPr>
          <w:rFonts w:ascii="Arial" w:hAnsi="Arial" w:cs="Arial"/>
        </w:rPr>
        <w:t>This clause omits the word ‘registered’ and substitutes it with ‘registerable’ in section 13A (5)</w:t>
      </w:r>
      <w:r w:rsidR="00720F52">
        <w:rPr>
          <w:rFonts w:ascii="Arial" w:hAnsi="Arial" w:cs="Arial"/>
        </w:rPr>
        <w:t xml:space="preserve"> </w:t>
      </w:r>
      <w:r w:rsidRPr="005B6B0B">
        <w:rPr>
          <w:rFonts w:ascii="Arial" w:hAnsi="Arial" w:cs="Arial"/>
        </w:rPr>
        <w:t xml:space="preserve">(a) of the </w:t>
      </w:r>
      <w:r w:rsidRPr="005B6B0B">
        <w:rPr>
          <w:rFonts w:ascii="Arial" w:hAnsi="Arial" w:cs="Arial"/>
          <w:i/>
        </w:rPr>
        <w:t>Public Trustee and Guardian Act 1985</w:t>
      </w:r>
      <w:r w:rsidRPr="005B6B0B">
        <w:rPr>
          <w:rFonts w:ascii="Arial" w:hAnsi="Arial" w:cs="Arial"/>
        </w:rPr>
        <w:t xml:space="preserve">. </w:t>
      </w:r>
      <w:r w:rsidR="00720F52">
        <w:rPr>
          <w:rFonts w:ascii="Arial" w:hAnsi="Arial" w:cs="Arial"/>
        </w:rPr>
        <w:t xml:space="preserve">As the </w:t>
      </w:r>
      <w:r w:rsidR="00720F52" w:rsidRPr="00720F52">
        <w:rPr>
          <w:rFonts w:ascii="Arial" w:hAnsi="Arial" w:cs="Arial"/>
          <w:i/>
          <w:iCs w:val="0"/>
        </w:rPr>
        <w:t>Births, Deaths and Marriages Registration Act 1997</w:t>
      </w:r>
      <w:r w:rsidR="00720F52">
        <w:rPr>
          <w:rFonts w:ascii="Arial" w:hAnsi="Arial" w:cs="Arial"/>
        </w:rPr>
        <w:t xml:space="preserve"> provides that prior to </w:t>
      </w:r>
      <w:r w:rsidR="00720F52" w:rsidRPr="00720F52">
        <w:rPr>
          <w:rFonts w:ascii="Arial" w:hAnsi="Arial" w:cs="Arial"/>
        </w:rPr>
        <w:t>registering a death, certain particulars must be provided including place and manner of disposal of remains, t</w:t>
      </w:r>
      <w:r w:rsidRPr="005B6B0B">
        <w:rPr>
          <w:rFonts w:ascii="Arial" w:hAnsi="Arial" w:cs="Arial"/>
        </w:rPr>
        <w:t xml:space="preserve">he </w:t>
      </w:r>
      <w:r w:rsidR="00720F52">
        <w:rPr>
          <w:rFonts w:ascii="Arial" w:hAnsi="Arial" w:cs="Arial"/>
        </w:rPr>
        <w:t>provision will</w:t>
      </w:r>
      <w:r w:rsidRPr="005B6B0B">
        <w:rPr>
          <w:rFonts w:ascii="Arial" w:hAnsi="Arial" w:cs="Arial"/>
        </w:rPr>
        <w:t xml:space="preserve"> </w:t>
      </w:r>
      <w:r w:rsidRPr="00720F52">
        <w:rPr>
          <w:rFonts w:ascii="Arial" w:hAnsi="Arial" w:cs="Arial"/>
        </w:rPr>
        <w:t>clarif</w:t>
      </w:r>
      <w:r w:rsidR="00720F52" w:rsidRPr="00720F52">
        <w:rPr>
          <w:rFonts w:ascii="Arial" w:hAnsi="Arial" w:cs="Arial"/>
        </w:rPr>
        <w:t xml:space="preserve">y that an </w:t>
      </w:r>
      <w:r w:rsidRPr="00720F52">
        <w:rPr>
          <w:rFonts w:ascii="Arial" w:hAnsi="Arial" w:cs="Arial"/>
        </w:rPr>
        <w:t>unclaimed deceased person</w:t>
      </w:r>
      <w:r w:rsidR="00720F52" w:rsidRPr="00720F52">
        <w:rPr>
          <w:rFonts w:ascii="Arial" w:hAnsi="Arial" w:cs="Arial"/>
        </w:rPr>
        <w:t>’s body may</w:t>
      </w:r>
      <w:r w:rsidR="00720F52">
        <w:rPr>
          <w:rFonts w:ascii="Arial" w:hAnsi="Arial" w:cs="Arial"/>
          <w:lang w:val="en-AU"/>
        </w:rPr>
        <w:t xml:space="preserve"> be disposed of</w:t>
      </w:r>
      <w:r w:rsidRPr="005B6B0B">
        <w:rPr>
          <w:rFonts w:ascii="Arial" w:hAnsi="Arial" w:cs="Arial"/>
          <w:lang w:val="en-AU"/>
        </w:rPr>
        <w:t xml:space="preserve"> by </w:t>
      </w:r>
      <w:r w:rsidR="00720F52">
        <w:rPr>
          <w:rFonts w:ascii="Arial" w:hAnsi="Arial" w:cs="Arial"/>
          <w:lang w:val="en-AU"/>
        </w:rPr>
        <w:t>the Public Trustee and Guardian where</w:t>
      </w:r>
      <w:r w:rsidRPr="005B6B0B">
        <w:rPr>
          <w:rFonts w:ascii="Arial" w:hAnsi="Arial" w:cs="Arial"/>
          <w:lang w:val="en-AU"/>
        </w:rPr>
        <w:t xml:space="preserve"> the death of a deceased person is ‘registerable’</w:t>
      </w:r>
      <w:r w:rsidR="00720F52">
        <w:rPr>
          <w:rFonts w:ascii="Arial" w:hAnsi="Arial" w:cs="Arial"/>
          <w:lang w:val="en-AU"/>
        </w:rPr>
        <w:t>, ie prior to disposal,</w:t>
      </w:r>
      <w:r w:rsidRPr="005B6B0B">
        <w:rPr>
          <w:rFonts w:ascii="Arial" w:hAnsi="Arial" w:cs="Arial"/>
          <w:lang w:val="en-AU"/>
        </w:rPr>
        <w:t xml:space="preserve"> rather than ‘registered’. </w:t>
      </w:r>
    </w:p>
    <w:p w14:paraId="36C0DC31" w14:textId="1AFCDE13" w:rsidR="00437006" w:rsidRPr="00AE59AA" w:rsidRDefault="00A43269" w:rsidP="0004542C">
      <w:pPr>
        <w:pStyle w:val="Heading3"/>
        <w:rPr>
          <w:rFonts w:cs="Arial"/>
        </w:rPr>
      </w:pPr>
      <w:r w:rsidRPr="00AE59AA">
        <w:rPr>
          <w:rFonts w:cs="Arial"/>
        </w:rPr>
        <w:t>Part 1</w:t>
      </w:r>
      <w:r w:rsidR="006D12CC" w:rsidRPr="00E0167E">
        <w:rPr>
          <w:rFonts w:cs="Arial"/>
        </w:rPr>
        <w:t>6</w:t>
      </w:r>
      <w:r w:rsidRPr="000A0AEE">
        <w:rPr>
          <w:rFonts w:cs="Arial"/>
        </w:rPr>
        <w:tab/>
      </w:r>
      <w:r w:rsidR="0004542C" w:rsidRPr="005B6B0B">
        <w:rPr>
          <w:rFonts w:cs="Arial"/>
        </w:rPr>
        <w:t>Trustee Act 1925</w:t>
      </w:r>
    </w:p>
    <w:p w14:paraId="3D1C1018" w14:textId="219AF5B8" w:rsidR="0045233D" w:rsidRPr="0045233D" w:rsidRDefault="00A43269" w:rsidP="00A43269">
      <w:pPr>
        <w:rPr>
          <w:rFonts w:ascii="Arial" w:hAnsi="Arial" w:cs="Arial"/>
          <w:b/>
          <w:bCs/>
          <w:sz w:val="24"/>
          <w:szCs w:val="24"/>
        </w:rPr>
      </w:pPr>
      <w:r w:rsidRPr="005B6B0B">
        <w:rPr>
          <w:rFonts w:ascii="Arial" w:hAnsi="Arial" w:cs="Arial"/>
          <w:b/>
          <w:bCs/>
          <w:sz w:val="24"/>
          <w:szCs w:val="24"/>
        </w:rPr>
        <w:t xml:space="preserve">Clause </w:t>
      </w:r>
      <w:r w:rsidR="00030E11">
        <w:rPr>
          <w:rFonts w:ascii="Arial" w:hAnsi="Arial" w:cs="Arial"/>
          <w:b/>
          <w:bCs/>
          <w:sz w:val="24"/>
          <w:szCs w:val="24"/>
        </w:rPr>
        <w:t>26</w:t>
      </w:r>
      <w:r w:rsidRPr="005B6B0B">
        <w:rPr>
          <w:rFonts w:ascii="Arial" w:hAnsi="Arial" w:cs="Arial"/>
          <w:b/>
          <w:bCs/>
          <w:sz w:val="24"/>
          <w:szCs w:val="24"/>
        </w:rPr>
        <w:tab/>
      </w:r>
      <w:r w:rsidR="0045233D" w:rsidRPr="0045233D">
        <w:rPr>
          <w:rFonts w:ascii="Arial" w:hAnsi="Arial" w:cs="Arial"/>
          <w:b/>
          <w:bCs/>
          <w:sz w:val="24"/>
          <w:szCs w:val="24"/>
        </w:rPr>
        <w:t>Distribution after notice</w:t>
      </w:r>
    </w:p>
    <w:p w14:paraId="060F6FAB" w14:textId="42721113" w:rsidR="00A43269" w:rsidRPr="0045233D" w:rsidRDefault="00A43269" w:rsidP="005B6B0B">
      <w:pPr>
        <w:ind w:left="720" w:firstLine="720"/>
        <w:rPr>
          <w:rFonts w:ascii="Arial" w:hAnsi="Arial" w:cs="Arial"/>
          <w:b/>
          <w:bCs/>
          <w:sz w:val="24"/>
          <w:szCs w:val="24"/>
        </w:rPr>
      </w:pPr>
      <w:r w:rsidRPr="005B6B0B">
        <w:rPr>
          <w:rFonts w:ascii="Arial" w:hAnsi="Arial" w:cs="Arial"/>
          <w:b/>
          <w:bCs/>
          <w:sz w:val="24"/>
          <w:szCs w:val="24"/>
        </w:rPr>
        <w:t>Section 60</w:t>
      </w:r>
      <w:r w:rsidR="00720F52">
        <w:rPr>
          <w:rFonts w:ascii="Arial" w:hAnsi="Arial" w:cs="Arial"/>
          <w:b/>
          <w:bCs/>
          <w:sz w:val="24"/>
          <w:szCs w:val="24"/>
        </w:rPr>
        <w:t xml:space="preserve"> </w:t>
      </w:r>
      <w:r w:rsidRPr="005B6B0B">
        <w:rPr>
          <w:rFonts w:ascii="Arial" w:hAnsi="Arial" w:cs="Arial"/>
          <w:b/>
          <w:bCs/>
          <w:sz w:val="24"/>
          <w:szCs w:val="24"/>
        </w:rPr>
        <w:t>(3)</w:t>
      </w:r>
    </w:p>
    <w:p w14:paraId="4350AFE7" w14:textId="2D05D15B" w:rsidR="00A43269" w:rsidRPr="00AE59AA" w:rsidRDefault="00A43269" w:rsidP="005B6B0B">
      <w:pPr>
        <w:rPr>
          <w:rFonts w:cs="Arial"/>
        </w:rPr>
      </w:pPr>
      <w:r w:rsidRPr="005B6B0B">
        <w:rPr>
          <w:rFonts w:ascii="Arial" w:hAnsi="Arial" w:cs="Arial"/>
          <w:sz w:val="24"/>
          <w:szCs w:val="24"/>
        </w:rPr>
        <w:t xml:space="preserve">This amendment changes the notice requirements </w:t>
      </w:r>
      <w:r w:rsidR="00631AF5" w:rsidRPr="005B6B0B">
        <w:rPr>
          <w:rFonts w:ascii="Arial" w:hAnsi="Arial" w:cs="Arial"/>
          <w:sz w:val="24"/>
          <w:szCs w:val="24"/>
        </w:rPr>
        <w:t>under section 60</w:t>
      </w:r>
      <w:r w:rsidR="00720F52">
        <w:rPr>
          <w:rFonts w:ascii="Arial" w:hAnsi="Arial" w:cs="Arial"/>
          <w:sz w:val="24"/>
          <w:szCs w:val="24"/>
        </w:rPr>
        <w:t xml:space="preserve"> </w:t>
      </w:r>
      <w:r w:rsidR="007F73F2" w:rsidRPr="005B6B0B">
        <w:rPr>
          <w:rFonts w:ascii="Arial" w:hAnsi="Arial" w:cs="Arial"/>
          <w:sz w:val="24"/>
          <w:szCs w:val="24"/>
        </w:rPr>
        <w:t>(</w:t>
      </w:r>
      <w:r w:rsidR="00631AF5" w:rsidRPr="005B6B0B">
        <w:rPr>
          <w:rFonts w:ascii="Arial" w:hAnsi="Arial" w:cs="Arial"/>
          <w:sz w:val="24"/>
          <w:szCs w:val="24"/>
        </w:rPr>
        <w:t xml:space="preserve">3) of the </w:t>
      </w:r>
      <w:r w:rsidR="00631AF5" w:rsidRPr="005B6B0B">
        <w:rPr>
          <w:rFonts w:ascii="Arial" w:hAnsi="Arial" w:cs="Arial"/>
          <w:i/>
          <w:iCs/>
          <w:sz w:val="24"/>
          <w:szCs w:val="24"/>
        </w:rPr>
        <w:t>Trustee Act 1925</w:t>
      </w:r>
      <w:r w:rsidR="00631AF5" w:rsidRPr="005B6B0B">
        <w:rPr>
          <w:rFonts w:ascii="Arial" w:hAnsi="Arial" w:cs="Arial"/>
          <w:sz w:val="24"/>
          <w:szCs w:val="24"/>
        </w:rPr>
        <w:t xml:space="preserve"> </w:t>
      </w:r>
      <w:r w:rsidRPr="005B6B0B">
        <w:rPr>
          <w:rFonts w:ascii="Arial" w:hAnsi="Arial" w:cs="Arial"/>
          <w:sz w:val="24"/>
          <w:szCs w:val="24"/>
        </w:rPr>
        <w:t xml:space="preserve">from 2 months to 1 month. </w:t>
      </w:r>
    </w:p>
    <w:p w14:paraId="0C54C29B" w14:textId="457FF0CB" w:rsidR="00437006" w:rsidRPr="005B6B0B" w:rsidRDefault="00A43269">
      <w:pPr>
        <w:pStyle w:val="Heading3"/>
        <w:rPr>
          <w:rFonts w:cs="Arial"/>
        </w:rPr>
      </w:pPr>
      <w:r w:rsidRPr="00E0167E">
        <w:rPr>
          <w:rFonts w:cs="Arial"/>
        </w:rPr>
        <w:lastRenderedPageBreak/>
        <w:t>Part 1</w:t>
      </w:r>
      <w:r w:rsidR="006D12CC" w:rsidRPr="000A0AEE">
        <w:rPr>
          <w:rFonts w:cs="Arial"/>
        </w:rPr>
        <w:t>7</w:t>
      </w:r>
      <w:r w:rsidRPr="005B6B0B">
        <w:rPr>
          <w:rFonts w:cs="Arial"/>
        </w:rPr>
        <w:tab/>
      </w:r>
      <w:r w:rsidR="00437006" w:rsidRPr="005B6B0B">
        <w:rPr>
          <w:rFonts w:cs="Arial"/>
        </w:rPr>
        <w:t>Wills Act 1968</w:t>
      </w:r>
    </w:p>
    <w:p w14:paraId="039FB1CD" w14:textId="424C9253" w:rsidR="0045233D" w:rsidRPr="0045233D" w:rsidRDefault="00A43269">
      <w:pPr>
        <w:rPr>
          <w:rFonts w:ascii="Arial" w:hAnsi="Arial" w:cs="Arial"/>
          <w:b/>
          <w:bCs/>
          <w:sz w:val="24"/>
          <w:szCs w:val="24"/>
        </w:rPr>
      </w:pPr>
      <w:r w:rsidRPr="005B6B0B">
        <w:rPr>
          <w:rFonts w:ascii="Arial" w:hAnsi="Arial" w:cs="Arial"/>
          <w:b/>
          <w:bCs/>
          <w:sz w:val="24"/>
          <w:szCs w:val="24"/>
        </w:rPr>
        <w:t xml:space="preserve">Clause </w:t>
      </w:r>
      <w:r w:rsidR="00030E11">
        <w:rPr>
          <w:rFonts w:ascii="Arial" w:hAnsi="Arial" w:cs="Arial"/>
          <w:b/>
          <w:bCs/>
          <w:sz w:val="24"/>
          <w:szCs w:val="24"/>
        </w:rPr>
        <w:t>27</w:t>
      </w:r>
      <w:r w:rsidRPr="005B6B0B">
        <w:rPr>
          <w:rFonts w:ascii="Arial" w:hAnsi="Arial" w:cs="Arial"/>
          <w:b/>
          <w:bCs/>
          <w:sz w:val="24"/>
          <w:szCs w:val="24"/>
        </w:rPr>
        <w:tab/>
      </w:r>
      <w:r w:rsidR="0045233D" w:rsidRPr="0045233D">
        <w:rPr>
          <w:rFonts w:ascii="Arial" w:hAnsi="Arial" w:cs="Arial"/>
          <w:b/>
          <w:bCs/>
          <w:sz w:val="24"/>
          <w:szCs w:val="24"/>
        </w:rPr>
        <w:t xml:space="preserve">Rectification </w:t>
      </w:r>
    </w:p>
    <w:p w14:paraId="544E4FF0" w14:textId="6D43E3F7" w:rsidR="00A43269" w:rsidRPr="00AE59AA" w:rsidRDefault="00A43269" w:rsidP="005B6B0B">
      <w:pPr>
        <w:ind w:left="720" w:firstLine="720"/>
        <w:rPr>
          <w:rFonts w:cs="Arial"/>
          <w:bCs/>
        </w:rPr>
      </w:pPr>
      <w:r w:rsidRPr="005B6B0B">
        <w:rPr>
          <w:rFonts w:ascii="Arial" w:hAnsi="Arial" w:cs="Arial"/>
          <w:b/>
          <w:bCs/>
          <w:sz w:val="24"/>
          <w:szCs w:val="24"/>
        </w:rPr>
        <w:t>Section 12A</w:t>
      </w:r>
      <w:r w:rsidR="00720F52">
        <w:rPr>
          <w:rFonts w:ascii="Arial" w:hAnsi="Arial" w:cs="Arial"/>
          <w:b/>
          <w:bCs/>
          <w:sz w:val="24"/>
          <w:szCs w:val="24"/>
        </w:rPr>
        <w:t xml:space="preserve"> </w:t>
      </w:r>
      <w:r w:rsidRPr="005B6B0B">
        <w:rPr>
          <w:rFonts w:ascii="Arial" w:hAnsi="Arial" w:cs="Arial"/>
          <w:b/>
          <w:bCs/>
          <w:sz w:val="24"/>
          <w:szCs w:val="24"/>
        </w:rPr>
        <w:t>(4) and (5)</w:t>
      </w:r>
      <w:r w:rsidR="00720F52">
        <w:rPr>
          <w:rFonts w:ascii="Arial" w:hAnsi="Arial" w:cs="Arial"/>
          <w:b/>
          <w:bCs/>
          <w:sz w:val="24"/>
          <w:szCs w:val="24"/>
        </w:rPr>
        <w:t xml:space="preserve"> </w:t>
      </w:r>
      <w:r w:rsidRPr="005B6B0B">
        <w:rPr>
          <w:rFonts w:ascii="Arial" w:hAnsi="Arial" w:cs="Arial"/>
          <w:b/>
          <w:bCs/>
          <w:sz w:val="24"/>
          <w:szCs w:val="24"/>
        </w:rPr>
        <w:t>(a)</w:t>
      </w:r>
    </w:p>
    <w:p w14:paraId="13CA94A8" w14:textId="2D56244C" w:rsidR="0004542C" w:rsidRPr="00AE59AA" w:rsidRDefault="00A43269" w:rsidP="005B6B0B">
      <w:pPr>
        <w:rPr>
          <w:rFonts w:cs="Arial"/>
          <w:szCs w:val="24"/>
        </w:rPr>
      </w:pPr>
      <w:r w:rsidRPr="005B6B0B">
        <w:rPr>
          <w:rFonts w:ascii="Arial" w:hAnsi="Arial" w:cs="Arial"/>
          <w:sz w:val="24"/>
          <w:szCs w:val="24"/>
        </w:rPr>
        <w:t xml:space="preserve">This amendment changes the notice requirements </w:t>
      </w:r>
      <w:r w:rsidR="00631AF5" w:rsidRPr="005B6B0B">
        <w:rPr>
          <w:rFonts w:ascii="Arial" w:hAnsi="Arial" w:cs="Arial"/>
          <w:sz w:val="24"/>
          <w:szCs w:val="24"/>
        </w:rPr>
        <w:t>under section 12A</w:t>
      </w:r>
      <w:r w:rsidR="00720F52">
        <w:rPr>
          <w:rFonts w:ascii="Arial" w:hAnsi="Arial" w:cs="Arial"/>
          <w:sz w:val="24"/>
          <w:szCs w:val="24"/>
        </w:rPr>
        <w:t xml:space="preserve"> </w:t>
      </w:r>
      <w:r w:rsidR="00631AF5" w:rsidRPr="005B6B0B">
        <w:rPr>
          <w:rFonts w:ascii="Arial" w:hAnsi="Arial" w:cs="Arial"/>
          <w:sz w:val="24"/>
          <w:szCs w:val="24"/>
        </w:rPr>
        <w:t>(4) and (5)</w:t>
      </w:r>
      <w:r w:rsidR="00720F52">
        <w:rPr>
          <w:rFonts w:ascii="Arial" w:hAnsi="Arial" w:cs="Arial"/>
          <w:sz w:val="24"/>
          <w:szCs w:val="24"/>
        </w:rPr>
        <w:t xml:space="preserve"> </w:t>
      </w:r>
      <w:r w:rsidR="00631AF5" w:rsidRPr="005B6B0B">
        <w:rPr>
          <w:rFonts w:ascii="Arial" w:hAnsi="Arial" w:cs="Arial"/>
          <w:sz w:val="24"/>
          <w:szCs w:val="24"/>
        </w:rPr>
        <w:t xml:space="preserve">(a) of the </w:t>
      </w:r>
      <w:r w:rsidR="00631AF5" w:rsidRPr="005B6B0B">
        <w:rPr>
          <w:rFonts w:ascii="Arial" w:hAnsi="Arial" w:cs="Arial"/>
          <w:i/>
          <w:iCs/>
          <w:sz w:val="24"/>
          <w:szCs w:val="24"/>
        </w:rPr>
        <w:t>Wills Act 1968</w:t>
      </w:r>
      <w:r w:rsidR="00631AF5" w:rsidRPr="005B6B0B">
        <w:rPr>
          <w:rFonts w:ascii="Arial" w:hAnsi="Arial" w:cs="Arial"/>
          <w:sz w:val="24"/>
          <w:szCs w:val="24"/>
        </w:rPr>
        <w:t xml:space="preserve"> </w:t>
      </w:r>
      <w:r w:rsidRPr="005B6B0B">
        <w:rPr>
          <w:rFonts w:ascii="Arial" w:hAnsi="Arial" w:cs="Arial"/>
          <w:sz w:val="24"/>
          <w:szCs w:val="24"/>
        </w:rPr>
        <w:t xml:space="preserve">from 2 months to 1 month. </w:t>
      </w:r>
    </w:p>
    <w:sectPr w:rsidR="0004542C" w:rsidRPr="00AE59AA" w:rsidSect="00F41A2F">
      <w:footerReference w:type="default" r:id="rId16"/>
      <w:footerReference w:type="first" r:id="rId17"/>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83142" w14:textId="77777777" w:rsidR="00EC347B" w:rsidRDefault="00EC347B">
      <w:pPr>
        <w:spacing w:after="0" w:line="240" w:lineRule="auto"/>
      </w:pPr>
      <w:r>
        <w:separator/>
      </w:r>
    </w:p>
  </w:endnote>
  <w:endnote w:type="continuationSeparator" w:id="0">
    <w:p w14:paraId="42937E9D" w14:textId="77777777" w:rsidR="00EC347B" w:rsidRDefault="00EC347B">
      <w:pPr>
        <w:spacing w:after="0" w:line="240" w:lineRule="auto"/>
      </w:pPr>
      <w:r>
        <w:continuationSeparator/>
      </w:r>
    </w:p>
  </w:endnote>
  <w:endnote w:type="continuationNotice" w:id="1">
    <w:p w14:paraId="0A8D24A3" w14:textId="77777777" w:rsidR="00EC347B" w:rsidRDefault="00EC34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885A" w14:textId="77777777" w:rsidR="00D00173" w:rsidRDefault="00D00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4CD8C" w14:textId="1A7DEC1C" w:rsidR="00D00173" w:rsidRPr="0047253F" w:rsidRDefault="0047253F" w:rsidP="0047253F">
    <w:pPr>
      <w:pStyle w:val="Footer"/>
      <w:jc w:val="center"/>
      <w:rPr>
        <w:rFonts w:cs="Arial"/>
        <w:sz w:val="14"/>
      </w:rPr>
    </w:pPr>
    <w:r w:rsidRPr="0047253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369D9" w:rsidRDefault="009369D9">
    <w:pPr>
      <w:pStyle w:val="Footer"/>
      <w:jc w:val="right"/>
    </w:pPr>
  </w:p>
  <w:p w14:paraId="1B19A0D3" w14:textId="77777777" w:rsidR="009369D9" w:rsidRPr="00DC5912" w:rsidRDefault="009369D9"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434DF95F" w:rsidR="009369D9" w:rsidRDefault="009369D9"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2164934C" w14:textId="2A737FA9" w:rsidR="0047253F" w:rsidRPr="0047253F" w:rsidRDefault="0047253F" w:rsidP="0047253F">
    <w:pPr>
      <w:pStyle w:val="Footer"/>
      <w:spacing w:before="60" w:line="240" w:lineRule="auto"/>
      <w:jc w:val="center"/>
      <w:rPr>
        <w:rFonts w:cs="Arial"/>
        <w:sz w:val="14"/>
      </w:rPr>
    </w:pPr>
    <w:r w:rsidRPr="0047253F">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6BD79DD3" w:rsidR="009369D9" w:rsidRDefault="009369D9">
    <w:pPr>
      <w:pStyle w:val="Footer"/>
      <w:jc w:val="right"/>
    </w:pPr>
    <w:r>
      <w:fldChar w:fldCharType="begin"/>
    </w:r>
    <w:r>
      <w:instrText xml:space="preserve"> PAGE   \* MERGEFORMAT </w:instrText>
    </w:r>
    <w:r>
      <w:fldChar w:fldCharType="separate"/>
    </w:r>
    <w:r>
      <w:rPr>
        <w:noProof/>
      </w:rPr>
      <w:t>1</w:t>
    </w:r>
    <w:r>
      <w:fldChar w:fldCharType="end"/>
    </w:r>
  </w:p>
  <w:p w14:paraId="49CE9592" w14:textId="154CEDDD" w:rsidR="0047253F" w:rsidRPr="0047253F" w:rsidRDefault="0047253F" w:rsidP="0047253F">
    <w:pPr>
      <w:pStyle w:val="Footer"/>
      <w:jc w:val="center"/>
      <w:rPr>
        <w:rFonts w:cs="Arial"/>
        <w:sz w:val="14"/>
      </w:rPr>
    </w:pPr>
    <w:r w:rsidRPr="0047253F">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741B4" w14:textId="77777777" w:rsidR="00EC347B" w:rsidRDefault="00EC347B">
      <w:pPr>
        <w:spacing w:after="0" w:line="240" w:lineRule="auto"/>
      </w:pPr>
      <w:r>
        <w:separator/>
      </w:r>
    </w:p>
  </w:footnote>
  <w:footnote w:type="continuationSeparator" w:id="0">
    <w:p w14:paraId="37A3A8C5" w14:textId="77777777" w:rsidR="00EC347B" w:rsidRDefault="00EC347B">
      <w:pPr>
        <w:spacing w:after="0" w:line="240" w:lineRule="auto"/>
      </w:pPr>
      <w:r>
        <w:continuationSeparator/>
      </w:r>
    </w:p>
  </w:footnote>
  <w:footnote w:type="continuationNotice" w:id="1">
    <w:p w14:paraId="1F0D87DA" w14:textId="77777777" w:rsidR="00EC347B" w:rsidRDefault="00EC347B">
      <w:pPr>
        <w:spacing w:after="0" w:line="240" w:lineRule="auto"/>
      </w:pPr>
    </w:p>
  </w:footnote>
  <w:footnote w:id="2">
    <w:p w14:paraId="78F9EED2" w14:textId="77777777" w:rsidR="009369D9" w:rsidRDefault="009369D9" w:rsidP="00AB092E">
      <w:pPr>
        <w:pStyle w:val="FootnoteText"/>
        <w:rPr>
          <w:rFonts w:asciiTheme="minorHAnsi" w:hAnsiTheme="minorHAnsi" w:cstheme="minorBidi"/>
        </w:rPr>
      </w:pPr>
      <w:r>
        <w:rPr>
          <w:rStyle w:val="FootnoteReference"/>
        </w:rPr>
        <w:footnoteRef/>
      </w:r>
      <w:r>
        <w:t xml:space="preserve"> </w:t>
      </w:r>
      <w:r>
        <w:rPr>
          <w:color w:val="000000"/>
          <w:shd w:val="clear" w:color="auto" w:fill="FFFFFF"/>
        </w:rPr>
        <w:t>Human Rights Committee, </w:t>
      </w:r>
      <w:r>
        <w:rPr>
          <w:i/>
          <w:iCs/>
          <w:color w:val="000000"/>
          <w:shd w:val="clear" w:color="auto" w:fill="FFFFFF"/>
        </w:rPr>
        <w:t>General Comment No. 18: Non-discrimination</w:t>
      </w:r>
      <w:r>
        <w:rPr>
          <w:color w:val="000000"/>
          <w:shd w:val="clear" w:color="auto" w:fill="FFFFFF"/>
        </w:rPr>
        <w:t>, 37</w:t>
      </w:r>
      <w:r>
        <w:rPr>
          <w:color w:val="000000"/>
          <w:sz w:val="13"/>
          <w:szCs w:val="13"/>
          <w:shd w:val="clear" w:color="auto" w:fill="FFFFFF"/>
          <w:vertAlign w:val="superscript"/>
        </w:rPr>
        <w:t>th</w:t>
      </w:r>
      <w:r>
        <w:rPr>
          <w:color w:val="000000"/>
          <w:shd w:val="clear" w:color="auto" w:fill="FFFFFF"/>
        </w:rPr>
        <w:t> session (1989), at para.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D4FF" w14:textId="77777777" w:rsidR="00D00173" w:rsidRDefault="00D00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8359" w14:textId="3E16F536" w:rsidR="00606A7E" w:rsidRPr="00D00173" w:rsidRDefault="00606A7E" w:rsidP="00D001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0E86" w14:textId="77777777" w:rsidR="00D00173" w:rsidRDefault="00D00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B97"/>
    <w:multiLevelType w:val="hybridMultilevel"/>
    <w:tmpl w:val="F84E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07712"/>
    <w:multiLevelType w:val="hybridMultilevel"/>
    <w:tmpl w:val="A780492C"/>
    <w:lvl w:ilvl="0" w:tplc="1C82033E">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6EF396A"/>
    <w:multiLevelType w:val="hybridMultilevel"/>
    <w:tmpl w:val="AE94D540"/>
    <w:lvl w:ilvl="0" w:tplc="19AC42E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0DC97EA3"/>
    <w:multiLevelType w:val="hybridMultilevel"/>
    <w:tmpl w:val="0A22F440"/>
    <w:lvl w:ilvl="0" w:tplc="7F20644A">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DEC4756"/>
    <w:multiLevelType w:val="hybridMultilevel"/>
    <w:tmpl w:val="A2AC0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8F4208"/>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3A538E"/>
    <w:multiLevelType w:val="hybridMultilevel"/>
    <w:tmpl w:val="7EF29670"/>
    <w:lvl w:ilvl="0" w:tplc="FAF2D2D0">
      <w:start w:val="1"/>
      <w:numFmt w:val="decimal"/>
      <w:lvlText w:val="(%1)"/>
      <w:lvlJc w:val="left"/>
      <w:pPr>
        <w:ind w:left="1440" w:hanging="360"/>
      </w:pPr>
      <w:rPr>
        <w:rFonts w:cs="Times New Roman"/>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8" w15:restartNumberingAfterBreak="0">
    <w:nsid w:val="18CE5148"/>
    <w:multiLevelType w:val="multilevel"/>
    <w:tmpl w:val="0924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D55E15"/>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CB7E9F"/>
    <w:multiLevelType w:val="hybridMultilevel"/>
    <w:tmpl w:val="C10C9D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CDE1873"/>
    <w:multiLevelType w:val="multilevel"/>
    <w:tmpl w:val="993E5588"/>
    <w:lvl w:ilvl="0">
      <w:start w:val="1"/>
      <w:numFmt w:val="decimal"/>
      <w:lvlText w:val="%1)"/>
      <w:lvlJc w:val="left"/>
      <w:pPr>
        <w:tabs>
          <w:tab w:val="num" w:pos="425"/>
        </w:tabs>
        <w:ind w:left="425" w:hanging="425"/>
      </w:pPr>
      <w:rPr>
        <w:rFonts w:ascii="Calibri" w:hAnsi="Calibri" w:hint="default"/>
        <w:b w:val="0"/>
        <w:i w:val="0"/>
        <w:sz w:val="24"/>
      </w:rPr>
    </w:lvl>
    <w:lvl w:ilvl="1">
      <w:start w:val="1"/>
      <w:numFmt w:val="lowerLetter"/>
      <w:lvlText w:val="%2."/>
      <w:lvlJc w:val="left"/>
      <w:pPr>
        <w:tabs>
          <w:tab w:val="num" w:pos="851"/>
        </w:tabs>
        <w:ind w:left="851" w:hanging="426"/>
      </w:pPr>
      <w:rPr>
        <w:rFonts w:ascii="Calibri" w:hAnsi="Calibri" w:hint="default"/>
        <w:b w:val="0"/>
        <w:i w:val="0"/>
        <w:sz w:val="24"/>
      </w:rPr>
    </w:lvl>
    <w:lvl w:ilvl="2">
      <w:start w:val="1"/>
      <w:numFmt w:val="lowerRoman"/>
      <w:lvlText w:val="%3."/>
      <w:lvlJc w:val="left"/>
      <w:pPr>
        <w:tabs>
          <w:tab w:val="num" w:pos="1276"/>
        </w:tabs>
        <w:ind w:left="1276" w:hanging="425"/>
      </w:pPr>
      <w:rPr>
        <w:rFonts w:ascii="Calibri" w:hAnsi="Calibri" w:hint="default"/>
        <w:b w:val="0"/>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CE00525"/>
    <w:multiLevelType w:val="hybridMultilevel"/>
    <w:tmpl w:val="4FCE081C"/>
    <w:lvl w:ilvl="0" w:tplc="EF08C5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E1142F"/>
    <w:multiLevelType w:val="multilevel"/>
    <w:tmpl w:val="226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2D4E21"/>
    <w:multiLevelType w:val="hybridMultilevel"/>
    <w:tmpl w:val="284666BA"/>
    <w:lvl w:ilvl="0" w:tplc="0C090001">
      <w:start w:val="1"/>
      <w:numFmt w:val="bullet"/>
      <w:lvlText w:val=""/>
      <w:lvlJc w:val="left"/>
      <w:pPr>
        <w:ind w:left="720" w:hanging="360"/>
      </w:pPr>
      <w:rPr>
        <w:rFonts w:ascii="Symbol" w:hAnsi="Symbol" w:hint="default"/>
        <w:i w:val="0"/>
        <w:iCs w:val="0"/>
        <w:sz w:val="24"/>
        <w:szCs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747465"/>
    <w:multiLevelType w:val="multilevel"/>
    <w:tmpl w:val="44EE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423EC2"/>
    <w:multiLevelType w:val="hybridMultilevel"/>
    <w:tmpl w:val="93C21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005FE3"/>
    <w:multiLevelType w:val="hybridMultilevel"/>
    <w:tmpl w:val="B04E3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5872B8"/>
    <w:multiLevelType w:val="hybridMultilevel"/>
    <w:tmpl w:val="8A54599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33D6461B"/>
    <w:multiLevelType w:val="hybridMultilevel"/>
    <w:tmpl w:val="576A1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21" w15:restartNumberingAfterBreak="0">
    <w:nsid w:val="372D7AAD"/>
    <w:multiLevelType w:val="hybridMultilevel"/>
    <w:tmpl w:val="D2C46A76"/>
    <w:lvl w:ilvl="0" w:tplc="5E3695A4">
      <w:start w:val="1"/>
      <w:numFmt w:val="decimal"/>
      <w:pStyle w:val="CS-RecommendationList"/>
      <w:lvlText w:val="%1."/>
      <w:lvlJc w:val="left"/>
      <w:pPr>
        <w:ind w:left="1080" w:hanging="360"/>
      </w:pPr>
      <w:rPr>
        <w:rFonts w:hint="default"/>
      </w:rPr>
    </w:lvl>
    <w:lvl w:ilvl="1" w:tplc="97C4C3A8">
      <w:start w:val="1"/>
      <w:numFmt w:val="lowerLetter"/>
      <w:lvlText w:val="%2."/>
      <w:lvlJc w:val="left"/>
      <w:pPr>
        <w:ind w:left="1800" w:hanging="360"/>
      </w:pPr>
      <w:rPr>
        <w:i w:val="0"/>
        <w:iCs/>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7D93B96"/>
    <w:multiLevelType w:val="multilevel"/>
    <w:tmpl w:val="4E601648"/>
    <w:lvl w:ilvl="0">
      <w:start w:val="1"/>
      <w:numFmt w:val="lowerLetter"/>
      <w:lvlText w:val="%1)"/>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A54708"/>
    <w:multiLevelType w:val="hybridMultilevel"/>
    <w:tmpl w:val="632C0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2E1712"/>
    <w:multiLevelType w:val="hybridMultilevel"/>
    <w:tmpl w:val="9380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6715E2"/>
    <w:multiLevelType w:val="hybridMultilevel"/>
    <w:tmpl w:val="45A2A7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3BCE083A"/>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214DE1"/>
    <w:multiLevelType w:val="hybridMultilevel"/>
    <w:tmpl w:val="F9002B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40B17930"/>
    <w:multiLevelType w:val="hybridMultilevel"/>
    <w:tmpl w:val="FFC4AD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523" w:hanging="360"/>
      </w:pPr>
      <w:rPr>
        <w:rFonts w:ascii="Symbol" w:hAnsi="Symbol" w:hint="default"/>
      </w:rPr>
    </w:lvl>
    <w:lvl w:ilvl="2" w:tplc="0C09001B" w:tentative="1">
      <w:start w:val="1"/>
      <w:numFmt w:val="lowerRoman"/>
      <w:lvlText w:val="%3."/>
      <w:lvlJc w:val="right"/>
      <w:pPr>
        <w:ind w:left="1243" w:hanging="180"/>
      </w:pPr>
      <w:rPr>
        <w:rFonts w:cs="Times New Roman"/>
      </w:rPr>
    </w:lvl>
    <w:lvl w:ilvl="3" w:tplc="0C09000F" w:tentative="1">
      <w:start w:val="1"/>
      <w:numFmt w:val="decimal"/>
      <w:lvlText w:val="%4."/>
      <w:lvlJc w:val="left"/>
      <w:pPr>
        <w:ind w:left="1963" w:hanging="360"/>
      </w:pPr>
      <w:rPr>
        <w:rFonts w:cs="Times New Roman"/>
      </w:rPr>
    </w:lvl>
    <w:lvl w:ilvl="4" w:tplc="0C090019" w:tentative="1">
      <w:start w:val="1"/>
      <w:numFmt w:val="lowerLetter"/>
      <w:lvlText w:val="%5."/>
      <w:lvlJc w:val="left"/>
      <w:pPr>
        <w:ind w:left="2683" w:hanging="360"/>
      </w:pPr>
      <w:rPr>
        <w:rFonts w:cs="Times New Roman"/>
      </w:rPr>
    </w:lvl>
    <w:lvl w:ilvl="5" w:tplc="0C09001B" w:tentative="1">
      <w:start w:val="1"/>
      <w:numFmt w:val="lowerRoman"/>
      <w:lvlText w:val="%6."/>
      <w:lvlJc w:val="right"/>
      <w:pPr>
        <w:ind w:left="3403" w:hanging="180"/>
      </w:pPr>
      <w:rPr>
        <w:rFonts w:cs="Times New Roman"/>
      </w:rPr>
    </w:lvl>
    <w:lvl w:ilvl="6" w:tplc="0C09000F" w:tentative="1">
      <w:start w:val="1"/>
      <w:numFmt w:val="decimal"/>
      <w:lvlText w:val="%7."/>
      <w:lvlJc w:val="left"/>
      <w:pPr>
        <w:ind w:left="4123" w:hanging="360"/>
      </w:pPr>
      <w:rPr>
        <w:rFonts w:cs="Times New Roman"/>
      </w:rPr>
    </w:lvl>
    <w:lvl w:ilvl="7" w:tplc="0C090019" w:tentative="1">
      <w:start w:val="1"/>
      <w:numFmt w:val="lowerLetter"/>
      <w:lvlText w:val="%8."/>
      <w:lvlJc w:val="left"/>
      <w:pPr>
        <w:ind w:left="4843" w:hanging="360"/>
      </w:pPr>
      <w:rPr>
        <w:rFonts w:cs="Times New Roman"/>
      </w:rPr>
    </w:lvl>
    <w:lvl w:ilvl="8" w:tplc="0C09001B" w:tentative="1">
      <w:start w:val="1"/>
      <w:numFmt w:val="lowerRoman"/>
      <w:lvlText w:val="%9."/>
      <w:lvlJc w:val="right"/>
      <w:pPr>
        <w:ind w:left="5563" w:hanging="180"/>
      </w:pPr>
      <w:rPr>
        <w:rFonts w:cs="Times New Roman"/>
      </w:rPr>
    </w:lvl>
  </w:abstractNum>
  <w:abstractNum w:abstractNumId="29" w15:restartNumberingAfterBreak="0">
    <w:nsid w:val="43566988"/>
    <w:multiLevelType w:val="hybridMultilevel"/>
    <w:tmpl w:val="0C9E627E"/>
    <w:lvl w:ilvl="0" w:tplc="8278DB7E">
      <w:start w:val="1"/>
      <w:numFmt w:val="decimal"/>
      <w:lvlText w:val="%1."/>
      <w:lvlJc w:val="left"/>
      <w:pPr>
        <w:ind w:left="1080" w:hanging="360"/>
      </w:pPr>
      <w:rPr>
        <w:rFonts w:ascii="Calibri" w:hAnsi="Calibri" w:cs="Times New Roman"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0" w15:restartNumberingAfterBreak="0">
    <w:nsid w:val="49045268"/>
    <w:multiLevelType w:val="hybridMultilevel"/>
    <w:tmpl w:val="29E21D1C"/>
    <w:lvl w:ilvl="0" w:tplc="8020F084">
      <w:start w:val="29"/>
      <w:numFmt w:val="decimal"/>
      <w:lvlText w:val="%1."/>
      <w:lvlJc w:val="left"/>
      <w:pPr>
        <w:ind w:left="720" w:hanging="360"/>
      </w:pPr>
      <w:rPr>
        <w:rFonts w:hint="default"/>
        <w:b w:val="0"/>
        <w:bCs w:val="0"/>
        <w:i w:val="0"/>
        <w:i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C0235DD"/>
    <w:multiLevelType w:val="hybridMultilevel"/>
    <w:tmpl w:val="567C6ED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4EE90491"/>
    <w:multiLevelType w:val="hybridMultilevel"/>
    <w:tmpl w:val="DB4458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15:restartNumberingAfterBreak="0">
    <w:nsid w:val="4FB9357E"/>
    <w:multiLevelType w:val="hybridMultilevel"/>
    <w:tmpl w:val="D94E2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781CBE"/>
    <w:multiLevelType w:val="hybridMultilevel"/>
    <w:tmpl w:val="BF523CC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520A00F6"/>
    <w:multiLevelType w:val="hybridMultilevel"/>
    <w:tmpl w:val="30663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3C15EE"/>
    <w:multiLevelType w:val="hybridMultilevel"/>
    <w:tmpl w:val="0C78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8" w15:restartNumberingAfterBreak="0">
    <w:nsid w:val="62F80FF5"/>
    <w:multiLevelType w:val="hybridMultilevel"/>
    <w:tmpl w:val="A14EA5C6"/>
    <w:lvl w:ilvl="0" w:tplc="3BA8FEDA">
      <w:start w:val="1"/>
      <w:numFmt w:val="decimal"/>
      <w:lvlText w:val="%1."/>
      <w:lvlJc w:val="left"/>
      <w:pPr>
        <w:ind w:left="720" w:hanging="360"/>
      </w:pPr>
      <w:rPr>
        <w:b w:val="0"/>
        <w:bCs/>
        <w:i w:val="0"/>
        <w:i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64A266F4"/>
    <w:multiLevelType w:val="hybridMultilevel"/>
    <w:tmpl w:val="D6086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1C2A9A"/>
    <w:multiLevelType w:val="hybridMultilevel"/>
    <w:tmpl w:val="28862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66657E5B"/>
    <w:multiLevelType w:val="hybridMultilevel"/>
    <w:tmpl w:val="7BF4C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6B74375"/>
    <w:multiLevelType w:val="hybridMultilevel"/>
    <w:tmpl w:val="5762C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7FF6EB1"/>
    <w:multiLevelType w:val="hybridMultilevel"/>
    <w:tmpl w:val="5E3CB30C"/>
    <w:lvl w:ilvl="0" w:tplc="782A3FE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5" w15:restartNumberingAfterBreak="0">
    <w:nsid w:val="6B2C4DC5"/>
    <w:multiLevelType w:val="hybridMultilevel"/>
    <w:tmpl w:val="7278E9F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6" w15:restartNumberingAfterBreak="0">
    <w:nsid w:val="6B7F2E1E"/>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CB41734"/>
    <w:multiLevelType w:val="multilevel"/>
    <w:tmpl w:val="B5F0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F1F541F"/>
    <w:multiLevelType w:val="hybridMultilevel"/>
    <w:tmpl w:val="CD060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03A2613"/>
    <w:multiLevelType w:val="hybridMultilevel"/>
    <w:tmpl w:val="AD426F3C"/>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0" w15:restartNumberingAfterBreak="0">
    <w:nsid w:val="7059650A"/>
    <w:multiLevelType w:val="hybridMultilevel"/>
    <w:tmpl w:val="F18A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1F87C30"/>
    <w:multiLevelType w:val="hybridMultilevel"/>
    <w:tmpl w:val="35F2CCF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15:restartNumberingAfterBreak="0">
    <w:nsid w:val="750103E4"/>
    <w:multiLevelType w:val="hybridMultilevel"/>
    <w:tmpl w:val="FE8CE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54" w15:restartNumberingAfterBreak="0">
    <w:nsid w:val="7CE368D8"/>
    <w:multiLevelType w:val="hybridMultilevel"/>
    <w:tmpl w:val="D5D0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E5F4F8D"/>
    <w:multiLevelType w:val="hybridMultilevel"/>
    <w:tmpl w:val="CD78225C"/>
    <w:lvl w:ilvl="0" w:tplc="D80AB2D2">
      <w:start w:val="1"/>
      <w:numFmt w:val="decimal"/>
      <w:lvlText w:val="%1)"/>
      <w:lvlJc w:val="left"/>
      <w:pPr>
        <w:ind w:left="720"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6" w15:restartNumberingAfterBreak="0">
    <w:nsid w:val="7F6D4AF7"/>
    <w:multiLevelType w:val="hybridMultilevel"/>
    <w:tmpl w:val="4C5E0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F786C55"/>
    <w:multiLevelType w:val="hybridMultilevel"/>
    <w:tmpl w:val="006472EC"/>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FE43344"/>
    <w:multiLevelType w:val="hybridMultilevel"/>
    <w:tmpl w:val="C884F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53"/>
  </w:num>
  <w:num w:numId="3">
    <w:abstractNumId w:val="23"/>
  </w:num>
  <w:num w:numId="4">
    <w:abstractNumId w:val="0"/>
  </w:num>
  <w:num w:numId="5">
    <w:abstractNumId w:val="9"/>
  </w:num>
  <w:num w:numId="6">
    <w:abstractNumId w:val="13"/>
  </w:num>
  <w:num w:numId="7">
    <w:abstractNumId w:val="47"/>
  </w:num>
  <w:num w:numId="8">
    <w:abstractNumId w:val="6"/>
  </w:num>
  <w:num w:numId="9">
    <w:abstractNumId w:val="26"/>
  </w:num>
  <w:num w:numId="10">
    <w:abstractNumId w:val="46"/>
  </w:num>
  <w:num w:numId="11">
    <w:abstractNumId w:val="22"/>
  </w:num>
  <w:num w:numId="12">
    <w:abstractNumId w:val="17"/>
  </w:num>
  <w:num w:numId="13">
    <w:abstractNumId w:val="16"/>
  </w:num>
  <w:num w:numId="14">
    <w:abstractNumId w:val="33"/>
  </w:num>
  <w:num w:numId="15">
    <w:abstractNumId w:val="32"/>
  </w:num>
  <w:num w:numId="16">
    <w:abstractNumId w:val="48"/>
  </w:num>
  <w:num w:numId="17">
    <w:abstractNumId w:val="40"/>
  </w:num>
  <w:num w:numId="18">
    <w:abstractNumId w:val="54"/>
  </w:num>
  <w:num w:numId="19">
    <w:abstractNumId w:val="3"/>
  </w:num>
  <w:num w:numId="20">
    <w:abstractNumId w:val="18"/>
  </w:num>
  <w:num w:numId="21">
    <w:abstractNumId w:val="27"/>
  </w:num>
  <w:num w:numId="22">
    <w:abstractNumId w:val="28"/>
  </w:num>
  <w:num w:numId="23">
    <w:abstractNumId w:val="49"/>
  </w:num>
  <w:num w:numId="24">
    <w:abstractNumId w:val="56"/>
  </w:num>
  <w:num w:numId="25">
    <w:abstractNumId w:val="39"/>
  </w:num>
  <w:num w:numId="26">
    <w:abstractNumId w:val="24"/>
  </w:num>
  <w:num w:numId="27">
    <w:abstractNumId w:val="52"/>
  </w:num>
  <w:num w:numId="28">
    <w:abstractNumId w:val="42"/>
  </w:num>
  <w:num w:numId="29">
    <w:abstractNumId w:val="43"/>
  </w:num>
  <w:num w:numId="30">
    <w:abstractNumId w:val="50"/>
  </w:num>
  <w:num w:numId="31">
    <w:abstractNumId w:val="58"/>
  </w:num>
  <w:num w:numId="32">
    <w:abstractNumId w:val="36"/>
  </w:num>
  <w:num w:numId="33">
    <w:abstractNumId w:val="15"/>
  </w:num>
  <w:num w:numId="34">
    <w:abstractNumId w:val="20"/>
  </w:num>
  <w:num w:numId="35">
    <w:abstractNumId w:val="19"/>
  </w:num>
  <w:num w:numId="36">
    <w:abstractNumId w:val="19"/>
  </w:num>
  <w:num w:numId="37">
    <w:abstractNumId w:val="44"/>
  </w:num>
  <w:num w:numId="38">
    <w:abstractNumId w:val="35"/>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num>
  <w:num w:numId="41">
    <w:abstractNumId w:val="12"/>
  </w:num>
  <w:num w:numId="42">
    <w:abstractNumId w:val="8"/>
  </w:num>
  <w:num w:numId="43">
    <w:abstractNumId w:val="5"/>
  </w:num>
  <w:num w:numId="44">
    <w:abstractNumId w:val="25"/>
  </w:num>
  <w:num w:numId="45">
    <w:abstractNumId w:val="10"/>
  </w:num>
  <w:num w:numId="46">
    <w:abstractNumId w:val="51"/>
  </w:num>
  <w:num w:numId="47">
    <w:abstractNumId w:val="2"/>
  </w:num>
  <w:num w:numId="48">
    <w:abstractNumId w:val="34"/>
  </w:num>
  <w:num w:numId="49">
    <w:abstractNumId w:val="31"/>
  </w:num>
  <w:num w:numId="50">
    <w:abstractNumId w:val="14"/>
  </w:num>
  <w:num w:numId="51">
    <w:abstractNumId w:val="21"/>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num>
  <w:num w:numId="61">
    <w:abstractNumId w:val="30"/>
  </w:num>
  <w:num w:numId="6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6A"/>
    <w:rsid w:val="000010F4"/>
    <w:rsid w:val="000017F2"/>
    <w:rsid w:val="00002898"/>
    <w:rsid w:val="00003193"/>
    <w:rsid w:val="000031D2"/>
    <w:rsid w:val="000037CA"/>
    <w:rsid w:val="00003B06"/>
    <w:rsid w:val="00003E8C"/>
    <w:rsid w:val="00003E9C"/>
    <w:rsid w:val="000044DF"/>
    <w:rsid w:val="00005792"/>
    <w:rsid w:val="000065F2"/>
    <w:rsid w:val="000067B7"/>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0E11"/>
    <w:rsid w:val="00032126"/>
    <w:rsid w:val="0003311C"/>
    <w:rsid w:val="0003354E"/>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B4B"/>
    <w:rsid w:val="00042C2E"/>
    <w:rsid w:val="00043A31"/>
    <w:rsid w:val="0004542C"/>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46A9"/>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67D8"/>
    <w:rsid w:val="00077549"/>
    <w:rsid w:val="00077D2E"/>
    <w:rsid w:val="00081B40"/>
    <w:rsid w:val="00081E18"/>
    <w:rsid w:val="00082BF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B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15"/>
    <w:rsid w:val="000958D7"/>
    <w:rsid w:val="00095A67"/>
    <w:rsid w:val="00096A8C"/>
    <w:rsid w:val="00096EAE"/>
    <w:rsid w:val="000971A4"/>
    <w:rsid w:val="00097617"/>
    <w:rsid w:val="00097749"/>
    <w:rsid w:val="000977FD"/>
    <w:rsid w:val="000A02E3"/>
    <w:rsid w:val="000A09FC"/>
    <w:rsid w:val="000A0AEE"/>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0F56"/>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283"/>
    <w:rsid w:val="00117596"/>
    <w:rsid w:val="001179F7"/>
    <w:rsid w:val="00121855"/>
    <w:rsid w:val="00121DDC"/>
    <w:rsid w:val="00121DE7"/>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14CE"/>
    <w:rsid w:val="001320C7"/>
    <w:rsid w:val="00132486"/>
    <w:rsid w:val="0013280D"/>
    <w:rsid w:val="00132868"/>
    <w:rsid w:val="00133389"/>
    <w:rsid w:val="001337A6"/>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18EB"/>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0B27"/>
    <w:rsid w:val="00171533"/>
    <w:rsid w:val="001720BD"/>
    <w:rsid w:val="0017277A"/>
    <w:rsid w:val="00172AA2"/>
    <w:rsid w:val="001756D8"/>
    <w:rsid w:val="0017626F"/>
    <w:rsid w:val="001773B7"/>
    <w:rsid w:val="00177EEA"/>
    <w:rsid w:val="00180319"/>
    <w:rsid w:val="00180A76"/>
    <w:rsid w:val="00181F6C"/>
    <w:rsid w:val="001834A4"/>
    <w:rsid w:val="00183532"/>
    <w:rsid w:val="00183666"/>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1D70"/>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2B24"/>
    <w:rsid w:val="001F363F"/>
    <w:rsid w:val="001F404A"/>
    <w:rsid w:val="001F428F"/>
    <w:rsid w:val="001F4A4B"/>
    <w:rsid w:val="001F4CBC"/>
    <w:rsid w:val="001F5012"/>
    <w:rsid w:val="001F54F6"/>
    <w:rsid w:val="001F5B9E"/>
    <w:rsid w:val="001F5C70"/>
    <w:rsid w:val="001F608D"/>
    <w:rsid w:val="001F6098"/>
    <w:rsid w:val="001F6C4C"/>
    <w:rsid w:val="001F7336"/>
    <w:rsid w:val="001F7441"/>
    <w:rsid w:val="002006B8"/>
    <w:rsid w:val="00200B02"/>
    <w:rsid w:val="002015C8"/>
    <w:rsid w:val="002017DC"/>
    <w:rsid w:val="00201BE2"/>
    <w:rsid w:val="00201F16"/>
    <w:rsid w:val="00202215"/>
    <w:rsid w:val="002022D2"/>
    <w:rsid w:val="002028E3"/>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93F"/>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5E7"/>
    <w:rsid w:val="002208F0"/>
    <w:rsid w:val="00221BFA"/>
    <w:rsid w:val="0022202A"/>
    <w:rsid w:val="002220FE"/>
    <w:rsid w:val="0022225E"/>
    <w:rsid w:val="002222B7"/>
    <w:rsid w:val="00222E7B"/>
    <w:rsid w:val="00223187"/>
    <w:rsid w:val="00223360"/>
    <w:rsid w:val="00223FAE"/>
    <w:rsid w:val="00224320"/>
    <w:rsid w:val="002250E9"/>
    <w:rsid w:val="0022586C"/>
    <w:rsid w:val="00225E8D"/>
    <w:rsid w:val="00226B98"/>
    <w:rsid w:val="00230C82"/>
    <w:rsid w:val="00230F6B"/>
    <w:rsid w:val="00231962"/>
    <w:rsid w:val="00232952"/>
    <w:rsid w:val="00232D47"/>
    <w:rsid w:val="00233EF5"/>
    <w:rsid w:val="0023428F"/>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2E1"/>
    <w:rsid w:val="00271B05"/>
    <w:rsid w:val="0027205B"/>
    <w:rsid w:val="00272F05"/>
    <w:rsid w:val="0027303E"/>
    <w:rsid w:val="002736D7"/>
    <w:rsid w:val="0027423C"/>
    <w:rsid w:val="00274F51"/>
    <w:rsid w:val="0027734B"/>
    <w:rsid w:val="002774DB"/>
    <w:rsid w:val="00277A64"/>
    <w:rsid w:val="00277A77"/>
    <w:rsid w:val="00277CA0"/>
    <w:rsid w:val="00277CB9"/>
    <w:rsid w:val="0028000F"/>
    <w:rsid w:val="00280425"/>
    <w:rsid w:val="0028089A"/>
    <w:rsid w:val="00280C5C"/>
    <w:rsid w:val="00281563"/>
    <w:rsid w:val="0028217C"/>
    <w:rsid w:val="00282400"/>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0794"/>
    <w:rsid w:val="002910A1"/>
    <w:rsid w:val="00291A96"/>
    <w:rsid w:val="00291DB6"/>
    <w:rsid w:val="00292395"/>
    <w:rsid w:val="00295448"/>
    <w:rsid w:val="00295802"/>
    <w:rsid w:val="0029592E"/>
    <w:rsid w:val="0029628E"/>
    <w:rsid w:val="00296566"/>
    <w:rsid w:val="0029681B"/>
    <w:rsid w:val="002974AE"/>
    <w:rsid w:val="00297A3D"/>
    <w:rsid w:val="002A0ADA"/>
    <w:rsid w:val="002A11EA"/>
    <w:rsid w:val="002A1375"/>
    <w:rsid w:val="002A1957"/>
    <w:rsid w:val="002A1CEE"/>
    <w:rsid w:val="002A203B"/>
    <w:rsid w:val="002A2575"/>
    <w:rsid w:val="002A31BF"/>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D7DC1"/>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3751"/>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C92"/>
    <w:rsid w:val="00341D6E"/>
    <w:rsid w:val="0034205F"/>
    <w:rsid w:val="003423BA"/>
    <w:rsid w:val="0034280B"/>
    <w:rsid w:val="00342C36"/>
    <w:rsid w:val="003430AD"/>
    <w:rsid w:val="00343402"/>
    <w:rsid w:val="003442D5"/>
    <w:rsid w:val="003447CE"/>
    <w:rsid w:val="00344CA5"/>
    <w:rsid w:val="0034506A"/>
    <w:rsid w:val="003455C9"/>
    <w:rsid w:val="00345B11"/>
    <w:rsid w:val="00346013"/>
    <w:rsid w:val="003461C3"/>
    <w:rsid w:val="00346546"/>
    <w:rsid w:val="00346D13"/>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3CED"/>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351"/>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2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60A"/>
    <w:rsid w:val="003C2868"/>
    <w:rsid w:val="003C2891"/>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58B"/>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3E2"/>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58"/>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5A7"/>
    <w:rsid w:val="004067A1"/>
    <w:rsid w:val="00406CB3"/>
    <w:rsid w:val="00407676"/>
    <w:rsid w:val="00407F0F"/>
    <w:rsid w:val="004108E5"/>
    <w:rsid w:val="00411053"/>
    <w:rsid w:val="004124B3"/>
    <w:rsid w:val="004126F8"/>
    <w:rsid w:val="004131EB"/>
    <w:rsid w:val="004135D5"/>
    <w:rsid w:val="00414534"/>
    <w:rsid w:val="00414921"/>
    <w:rsid w:val="004149E8"/>
    <w:rsid w:val="00414BA9"/>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1982"/>
    <w:rsid w:val="00433B49"/>
    <w:rsid w:val="0043422C"/>
    <w:rsid w:val="004343AE"/>
    <w:rsid w:val="00434929"/>
    <w:rsid w:val="00434E9C"/>
    <w:rsid w:val="0043575C"/>
    <w:rsid w:val="00435777"/>
    <w:rsid w:val="004366F6"/>
    <w:rsid w:val="00436B13"/>
    <w:rsid w:val="00437006"/>
    <w:rsid w:val="00437EB3"/>
    <w:rsid w:val="004407F0"/>
    <w:rsid w:val="00440C11"/>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33D"/>
    <w:rsid w:val="004528E9"/>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360"/>
    <w:rsid w:val="0046185D"/>
    <w:rsid w:val="00461B27"/>
    <w:rsid w:val="00461DF2"/>
    <w:rsid w:val="00464591"/>
    <w:rsid w:val="00464B28"/>
    <w:rsid w:val="004654EA"/>
    <w:rsid w:val="0046558A"/>
    <w:rsid w:val="004660FA"/>
    <w:rsid w:val="00466308"/>
    <w:rsid w:val="00466772"/>
    <w:rsid w:val="004667B4"/>
    <w:rsid w:val="00466B7A"/>
    <w:rsid w:val="004670CC"/>
    <w:rsid w:val="00467EA1"/>
    <w:rsid w:val="004700DF"/>
    <w:rsid w:val="00470162"/>
    <w:rsid w:val="0047043B"/>
    <w:rsid w:val="00470DD4"/>
    <w:rsid w:val="0047106F"/>
    <w:rsid w:val="004713F6"/>
    <w:rsid w:val="0047253F"/>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3D16"/>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6F8D"/>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5DEB"/>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73"/>
    <w:rsid w:val="005566EF"/>
    <w:rsid w:val="005568AA"/>
    <w:rsid w:val="00557CAC"/>
    <w:rsid w:val="0056007E"/>
    <w:rsid w:val="0056027E"/>
    <w:rsid w:val="005607CD"/>
    <w:rsid w:val="00560959"/>
    <w:rsid w:val="0056160E"/>
    <w:rsid w:val="00561A1A"/>
    <w:rsid w:val="00562216"/>
    <w:rsid w:val="00562402"/>
    <w:rsid w:val="005626C8"/>
    <w:rsid w:val="00563907"/>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CAF"/>
    <w:rsid w:val="00577DD2"/>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5C6D"/>
    <w:rsid w:val="0059657B"/>
    <w:rsid w:val="00596AF6"/>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9C6"/>
    <w:rsid w:val="005A7AC7"/>
    <w:rsid w:val="005B0FB6"/>
    <w:rsid w:val="005B23A3"/>
    <w:rsid w:val="005B2C3F"/>
    <w:rsid w:val="005B36E3"/>
    <w:rsid w:val="005B3751"/>
    <w:rsid w:val="005B38F2"/>
    <w:rsid w:val="005B3FCE"/>
    <w:rsid w:val="005B452D"/>
    <w:rsid w:val="005B6270"/>
    <w:rsid w:val="005B6457"/>
    <w:rsid w:val="005B6A08"/>
    <w:rsid w:val="005B6B0B"/>
    <w:rsid w:val="005B6C48"/>
    <w:rsid w:val="005B6E2F"/>
    <w:rsid w:val="005B7158"/>
    <w:rsid w:val="005B77A2"/>
    <w:rsid w:val="005B7C06"/>
    <w:rsid w:val="005B7F41"/>
    <w:rsid w:val="005C13CA"/>
    <w:rsid w:val="005C18A0"/>
    <w:rsid w:val="005C3491"/>
    <w:rsid w:val="005C36E0"/>
    <w:rsid w:val="005C4071"/>
    <w:rsid w:val="005C43F0"/>
    <w:rsid w:val="005C4693"/>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3B8"/>
    <w:rsid w:val="005D6672"/>
    <w:rsid w:val="005D686D"/>
    <w:rsid w:val="005D7819"/>
    <w:rsid w:val="005D79BE"/>
    <w:rsid w:val="005D7B56"/>
    <w:rsid w:val="005E09A7"/>
    <w:rsid w:val="005E0B8D"/>
    <w:rsid w:val="005E209D"/>
    <w:rsid w:val="005E2196"/>
    <w:rsid w:val="005E21C0"/>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2D56"/>
    <w:rsid w:val="00603A99"/>
    <w:rsid w:val="0060434E"/>
    <w:rsid w:val="0060478F"/>
    <w:rsid w:val="00605637"/>
    <w:rsid w:val="006056B0"/>
    <w:rsid w:val="00605FBD"/>
    <w:rsid w:val="006060E6"/>
    <w:rsid w:val="00606277"/>
    <w:rsid w:val="0060687D"/>
    <w:rsid w:val="00606A7E"/>
    <w:rsid w:val="00606E39"/>
    <w:rsid w:val="00607A9E"/>
    <w:rsid w:val="00607ADD"/>
    <w:rsid w:val="00607C67"/>
    <w:rsid w:val="00611034"/>
    <w:rsid w:val="006116AE"/>
    <w:rsid w:val="00613333"/>
    <w:rsid w:val="00613925"/>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1AF5"/>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45DB"/>
    <w:rsid w:val="00655279"/>
    <w:rsid w:val="006555E3"/>
    <w:rsid w:val="00655874"/>
    <w:rsid w:val="006560A9"/>
    <w:rsid w:val="006566FF"/>
    <w:rsid w:val="00657271"/>
    <w:rsid w:val="00657A3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385"/>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09A"/>
    <w:rsid w:val="006926FE"/>
    <w:rsid w:val="00692D59"/>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2CC"/>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D7F01"/>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0C"/>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330C"/>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0F52"/>
    <w:rsid w:val="007210A0"/>
    <w:rsid w:val="00721B81"/>
    <w:rsid w:val="00722591"/>
    <w:rsid w:val="007237B9"/>
    <w:rsid w:val="00723963"/>
    <w:rsid w:val="00723DC8"/>
    <w:rsid w:val="007249E0"/>
    <w:rsid w:val="00724A1B"/>
    <w:rsid w:val="0072631C"/>
    <w:rsid w:val="0072696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2D8"/>
    <w:rsid w:val="007407E0"/>
    <w:rsid w:val="00740AFF"/>
    <w:rsid w:val="007416B7"/>
    <w:rsid w:val="007417F0"/>
    <w:rsid w:val="00741C4A"/>
    <w:rsid w:val="007429CF"/>
    <w:rsid w:val="00742BD8"/>
    <w:rsid w:val="00742F48"/>
    <w:rsid w:val="007432C7"/>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2D5"/>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6D74"/>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6701"/>
    <w:rsid w:val="007E67F2"/>
    <w:rsid w:val="007E7361"/>
    <w:rsid w:val="007F01FC"/>
    <w:rsid w:val="007F07CB"/>
    <w:rsid w:val="007F09A5"/>
    <w:rsid w:val="007F1102"/>
    <w:rsid w:val="007F1E07"/>
    <w:rsid w:val="007F1F8C"/>
    <w:rsid w:val="007F346C"/>
    <w:rsid w:val="007F37C3"/>
    <w:rsid w:val="007F37E7"/>
    <w:rsid w:val="007F3D56"/>
    <w:rsid w:val="007F46BE"/>
    <w:rsid w:val="007F4D8C"/>
    <w:rsid w:val="007F501D"/>
    <w:rsid w:val="007F5089"/>
    <w:rsid w:val="007F5092"/>
    <w:rsid w:val="007F510F"/>
    <w:rsid w:val="007F5225"/>
    <w:rsid w:val="007F5450"/>
    <w:rsid w:val="007F5EC8"/>
    <w:rsid w:val="007F6531"/>
    <w:rsid w:val="007F719C"/>
    <w:rsid w:val="007F722D"/>
    <w:rsid w:val="007F73F2"/>
    <w:rsid w:val="00800807"/>
    <w:rsid w:val="00800882"/>
    <w:rsid w:val="00801057"/>
    <w:rsid w:val="00801D20"/>
    <w:rsid w:val="00801F10"/>
    <w:rsid w:val="00802491"/>
    <w:rsid w:val="00802BF4"/>
    <w:rsid w:val="00803802"/>
    <w:rsid w:val="00803F69"/>
    <w:rsid w:val="00803F72"/>
    <w:rsid w:val="00803FB5"/>
    <w:rsid w:val="00804487"/>
    <w:rsid w:val="00804589"/>
    <w:rsid w:val="00804D7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250"/>
    <w:rsid w:val="008575C9"/>
    <w:rsid w:val="00857709"/>
    <w:rsid w:val="0086053E"/>
    <w:rsid w:val="008609A8"/>
    <w:rsid w:val="008612AF"/>
    <w:rsid w:val="00861B4D"/>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5EB6"/>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913"/>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17E9"/>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1F1"/>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3F18"/>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9D9"/>
    <w:rsid w:val="00936D8A"/>
    <w:rsid w:val="00937334"/>
    <w:rsid w:val="0093774B"/>
    <w:rsid w:val="00937954"/>
    <w:rsid w:val="00937AC1"/>
    <w:rsid w:val="00940192"/>
    <w:rsid w:val="009406A8"/>
    <w:rsid w:val="009407D6"/>
    <w:rsid w:val="00940A6A"/>
    <w:rsid w:val="0094179E"/>
    <w:rsid w:val="00941CEC"/>
    <w:rsid w:val="00942057"/>
    <w:rsid w:val="00942182"/>
    <w:rsid w:val="00942DEE"/>
    <w:rsid w:val="00942F7D"/>
    <w:rsid w:val="00943E07"/>
    <w:rsid w:val="009441F9"/>
    <w:rsid w:val="00944B9C"/>
    <w:rsid w:val="00944C87"/>
    <w:rsid w:val="00944C9D"/>
    <w:rsid w:val="00945D90"/>
    <w:rsid w:val="0094647A"/>
    <w:rsid w:val="00946B5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67F36"/>
    <w:rsid w:val="009705AB"/>
    <w:rsid w:val="00970CAB"/>
    <w:rsid w:val="00971117"/>
    <w:rsid w:val="00972323"/>
    <w:rsid w:val="00972717"/>
    <w:rsid w:val="009738AF"/>
    <w:rsid w:val="009738ED"/>
    <w:rsid w:val="00973D12"/>
    <w:rsid w:val="00973E97"/>
    <w:rsid w:val="009741B1"/>
    <w:rsid w:val="009745A5"/>
    <w:rsid w:val="00974ED5"/>
    <w:rsid w:val="009750C0"/>
    <w:rsid w:val="009759FA"/>
    <w:rsid w:val="00975B07"/>
    <w:rsid w:val="00977225"/>
    <w:rsid w:val="00977A65"/>
    <w:rsid w:val="0098001A"/>
    <w:rsid w:val="00980259"/>
    <w:rsid w:val="009807AD"/>
    <w:rsid w:val="00980EC1"/>
    <w:rsid w:val="00981170"/>
    <w:rsid w:val="0098148D"/>
    <w:rsid w:val="0098195B"/>
    <w:rsid w:val="00981BE7"/>
    <w:rsid w:val="00982113"/>
    <w:rsid w:val="0098294F"/>
    <w:rsid w:val="00982A5E"/>
    <w:rsid w:val="00982D2C"/>
    <w:rsid w:val="00983802"/>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6A2"/>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51D"/>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28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6F49"/>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0D3"/>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269"/>
    <w:rsid w:val="00A43655"/>
    <w:rsid w:val="00A43B7A"/>
    <w:rsid w:val="00A4473C"/>
    <w:rsid w:val="00A45CC1"/>
    <w:rsid w:val="00A47B86"/>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57A87"/>
    <w:rsid w:val="00A61221"/>
    <w:rsid w:val="00A613DE"/>
    <w:rsid w:val="00A61585"/>
    <w:rsid w:val="00A61699"/>
    <w:rsid w:val="00A61C62"/>
    <w:rsid w:val="00A62A35"/>
    <w:rsid w:val="00A6333C"/>
    <w:rsid w:val="00A6366C"/>
    <w:rsid w:val="00A63D59"/>
    <w:rsid w:val="00A63F13"/>
    <w:rsid w:val="00A64089"/>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6FD"/>
    <w:rsid w:val="00AA27F7"/>
    <w:rsid w:val="00AA2967"/>
    <w:rsid w:val="00AA35A7"/>
    <w:rsid w:val="00AA3F39"/>
    <w:rsid w:val="00AA4233"/>
    <w:rsid w:val="00AA5067"/>
    <w:rsid w:val="00AA511F"/>
    <w:rsid w:val="00AB040C"/>
    <w:rsid w:val="00AB092E"/>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3F8D"/>
    <w:rsid w:val="00AC41B4"/>
    <w:rsid w:val="00AC48F6"/>
    <w:rsid w:val="00AC4947"/>
    <w:rsid w:val="00AC59DF"/>
    <w:rsid w:val="00AC5F64"/>
    <w:rsid w:val="00AC6493"/>
    <w:rsid w:val="00AC6C62"/>
    <w:rsid w:val="00AC7407"/>
    <w:rsid w:val="00AC7C2E"/>
    <w:rsid w:val="00AC7E00"/>
    <w:rsid w:val="00AD11E2"/>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28BB"/>
    <w:rsid w:val="00AE4728"/>
    <w:rsid w:val="00AE57B4"/>
    <w:rsid w:val="00AE59AA"/>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454F"/>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1BA0"/>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10D"/>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153"/>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5F1"/>
    <w:rsid w:val="00B649C8"/>
    <w:rsid w:val="00B64A75"/>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B9B"/>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DCF"/>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0BD"/>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338"/>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E7482"/>
    <w:rsid w:val="00BF0070"/>
    <w:rsid w:val="00BF012E"/>
    <w:rsid w:val="00BF01C7"/>
    <w:rsid w:val="00BF107D"/>
    <w:rsid w:val="00BF122D"/>
    <w:rsid w:val="00BF141D"/>
    <w:rsid w:val="00BF1684"/>
    <w:rsid w:val="00BF3094"/>
    <w:rsid w:val="00BF31F0"/>
    <w:rsid w:val="00BF3B0D"/>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CA4"/>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4EA"/>
    <w:rsid w:val="00C61B07"/>
    <w:rsid w:val="00C61BC7"/>
    <w:rsid w:val="00C623C4"/>
    <w:rsid w:val="00C62D24"/>
    <w:rsid w:val="00C63D9B"/>
    <w:rsid w:val="00C645C1"/>
    <w:rsid w:val="00C649C5"/>
    <w:rsid w:val="00C65D88"/>
    <w:rsid w:val="00C65E0C"/>
    <w:rsid w:val="00C6685B"/>
    <w:rsid w:val="00C668C9"/>
    <w:rsid w:val="00C66D38"/>
    <w:rsid w:val="00C673A7"/>
    <w:rsid w:val="00C6783F"/>
    <w:rsid w:val="00C67BD9"/>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6E4"/>
    <w:rsid w:val="00C8595F"/>
    <w:rsid w:val="00C8642E"/>
    <w:rsid w:val="00C876F8"/>
    <w:rsid w:val="00C87CCA"/>
    <w:rsid w:val="00C900A0"/>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97F9C"/>
    <w:rsid w:val="00CA06D3"/>
    <w:rsid w:val="00CA0C22"/>
    <w:rsid w:val="00CA0D1A"/>
    <w:rsid w:val="00CA0D96"/>
    <w:rsid w:val="00CA1316"/>
    <w:rsid w:val="00CA21B4"/>
    <w:rsid w:val="00CA2D30"/>
    <w:rsid w:val="00CA2D7D"/>
    <w:rsid w:val="00CA4367"/>
    <w:rsid w:val="00CA48F1"/>
    <w:rsid w:val="00CA4D8F"/>
    <w:rsid w:val="00CA4E70"/>
    <w:rsid w:val="00CA5371"/>
    <w:rsid w:val="00CA56D3"/>
    <w:rsid w:val="00CA5B43"/>
    <w:rsid w:val="00CA5CD2"/>
    <w:rsid w:val="00CA6606"/>
    <w:rsid w:val="00CA6F7D"/>
    <w:rsid w:val="00CA7122"/>
    <w:rsid w:val="00CB0596"/>
    <w:rsid w:val="00CB0E7C"/>
    <w:rsid w:val="00CB186E"/>
    <w:rsid w:val="00CB22F6"/>
    <w:rsid w:val="00CB2B5B"/>
    <w:rsid w:val="00CB2BC0"/>
    <w:rsid w:val="00CB3138"/>
    <w:rsid w:val="00CB4045"/>
    <w:rsid w:val="00CB44BA"/>
    <w:rsid w:val="00CB46CF"/>
    <w:rsid w:val="00CB479D"/>
    <w:rsid w:val="00CB47E9"/>
    <w:rsid w:val="00CB52A3"/>
    <w:rsid w:val="00CB5426"/>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6589"/>
    <w:rsid w:val="00CC68FA"/>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144"/>
    <w:rsid w:val="00CE7AA9"/>
    <w:rsid w:val="00CE7DAE"/>
    <w:rsid w:val="00CF03C3"/>
    <w:rsid w:val="00CF14A1"/>
    <w:rsid w:val="00CF170A"/>
    <w:rsid w:val="00CF1970"/>
    <w:rsid w:val="00CF1DE7"/>
    <w:rsid w:val="00CF3A27"/>
    <w:rsid w:val="00CF3B54"/>
    <w:rsid w:val="00CF459B"/>
    <w:rsid w:val="00CF4D8F"/>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173"/>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06F"/>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4E"/>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CF5"/>
    <w:rsid w:val="00D81DAB"/>
    <w:rsid w:val="00D821B4"/>
    <w:rsid w:val="00D82422"/>
    <w:rsid w:val="00D82C97"/>
    <w:rsid w:val="00D83013"/>
    <w:rsid w:val="00D834BC"/>
    <w:rsid w:val="00D83A1C"/>
    <w:rsid w:val="00D83A4E"/>
    <w:rsid w:val="00D8464D"/>
    <w:rsid w:val="00D85BE1"/>
    <w:rsid w:val="00D85E77"/>
    <w:rsid w:val="00D8693C"/>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90D"/>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81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67E"/>
    <w:rsid w:val="00E01855"/>
    <w:rsid w:val="00E0198C"/>
    <w:rsid w:val="00E01A40"/>
    <w:rsid w:val="00E01A9A"/>
    <w:rsid w:val="00E02096"/>
    <w:rsid w:val="00E026CC"/>
    <w:rsid w:val="00E026E6"/>
    <w:rsid w:val="00E032B4"/>
    <w:rsid w:val="00E0337C"/>
    <w:rsid w:val="00E03623"/>
    <w:rsid w:val="00E04198"/>
    <w:rsid w:val="00E04F8C"/>
    <w:rsid w:val="00E0542F"/>
    <w:rsid w:val="00E0558A"/>
    <w:rsid w:val="00E0599D"/>
    <w:rsid w:val="00E06341"/>
    <w:rsid w:val="00E06D3D"/>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3DD1"/>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47B"/>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6D9"/>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437D"/>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568"/>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551"/>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4"/>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19E7"/>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022"/>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0FBC"/>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AC3"/>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9C"/>
    <w:rsid w:val="00FA4FD4"/>
    <w:rsid w:val="00FA5431"/>
    <w:rsid w:val="00FA54F3"/>
    <w:rsid w:val="00FA5D38"/>
    <w:rsid w:val="00FA5F78"/>
    <w:rsid w:val="00FA63D4"/>
    <w:rsid w:val="00FA6493"/>
    <w:rsid w:val="00FA64C1"/>
    <w:rsid w:val="00FA66D0"/>
    <w:rsid w:val="00FA6E6B"/>
    <w:rsid w:val="00FA771C"/>
    <w:rsid w:val="00FA7BF8"/>
    <w:rsid w:val="00FB068E"/>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808"/>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19B"/>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Body Text" w:uiPriority="1" w:qFormat="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CS-RecommendationList">
    <w:name w:val="CS - Recommendation List"/>
    <w:basedOn w:val="Normal"/>
    <w:qFormat/>
    <w:rsid w:val="00282400"/>
    <w:pPr>
      <w:numPr>
        <w:numId w:val="51"/>
      </w:numPr>
      <w:spacing w:after="240" w:line="240" w:lineRule="auto"/>
      <w:ind w:left="851" w:hanging="425"/>
      <w:contextualSpacing/>
    </w:pPr>
    <w:rPr>
      <w:rFonts w:cs="Calibri"/>
      <w:iCs/>
      <w:sz w:val="24"/>
      <w:szCs w:val="24"/>
    </w:rPr>
  </w:style>
  <w:style w:type="paragraph" w:styleId="BodyText">
    <w:name w:val="Body Text"/>
    <w:basedOn w:val="Normal"/>
    <w:link w:val="BodyTextChar"/>
    <w:uiPriority w:val="1"/>
    <w:unhideWhenUsed/>
    <w:qFormat/>
    <w:rsid w:val="004528E9"/>
    <w:pPr>
      <w:spacing w:before="240" w:after="120"/>
    </w:pPr>
    <w:rPr>
      <w:rFonts w:ascii="Times New Roman" w:eastAsia="Calibri" w:hAnsi="Times New Roman"/>
      <w:sz w:val="24"/>
      <w:szCs w:val="24"/>
      <w:lang w:eastAsia="en-AU"/>
    </w:rPr>
  </w:style>
  <w:style w:type="character" w:customStyle="1" w:styleId="BodyTextChar">
    <w:name w:val="Body Text Char"/>
    <w:basedOn w:val="DefaultParagraphFont"/>
    <w:link w:val="BodyText"/>
    <w:uiPriority w:val="1"/>
    <w:rsid w:val="004528E9"/>
    <w:rPr>
      <w:rFonts w:ascii="Times New Roman" w:eastAsia="Calibri" w:hAnsi="Times New Roman" w:cs="Times New Roman"/>
      <w:sz w:val="24"/>
      <w:szCs w:val="24"/>
    </w:rPr>
  </w:style>
  <w:style w:type="paragraph" w:customStyle="1" w:styleId="CS-Paragraphnumbering">
    <w:name w:val="CS - Paragraph numbering"/>
    <w:basedOn w:val="Normal"/>
    <w:rsid w:val="00CF4D8F"/>
    <w:pPr>
      <w:spacing w:after="120"/>
      <w:ind w:left="567" w:right="-45" w:hanging="567"/>
    </w:pPr>
    <w:rPr>
      <w:rFonts w:asciiTheme="minorHAnsi" w:eastAsiaTheme="minorHAnsi" w:hAnsiTheme="minorHAnsi" w:cstheme="minorBidi"/>
      <w:sz w:val="24"/>
      <w:szCs w:val="24"/>
    </w:rPr>
  </w:style>
  <w:style w:type="paragraph" w:customStyle="1" w:styleId="CSNumbering">
    <w:name w:val="CS Numbering"/>
    <w:basedOn w:val="Normal"/>
    <w:qFormat/>
    <w:rsid w:val="00B64A75"/>
    <w:pPr>
      <w:widowControl w:val="0"/>
      <w:tabs>
        <w:tab w:val="num" w:pos="360"/>
      </w:tabs>
      <w:spacing w:after="240" w:line="240" w:lineRule="auto"/>
      <w:ind w:right="-45"/>
    </w:pPr>
    <w:rPr>
      <w:iCs/>
      <w:sz w:val="24"/>
      <w:szCs w:val="24"/>
      <w:lang w:val="en-US"/>
    </w:rPr>
  </w:style>
  <w:style w:type="character" w:customStyle="1" w:styleId="footnotereference0">
    <w:name w:val="footnotereference"/>
    <w:basedOn w:val="DefaultParagraphFont"/>
    <w:rsid w:val="00D3464E"/>
  </w:style>
  <w:style w:type="paragraph" w:customStyle="1" w:styleId="ListParagraph2">
    <w:name w:val="List Paragraph 2"/>
    <w:basedOn w:val="ListParagraph"/>
    <w:qFormat/>
    <w:rsid w:val="002A2575"/>
    <w:pPr>
      <w:tabs>
        <w:tab w:val="left" w:pos="851"/>
      </w:tabs>
      <w:spacing w:before="240" w:line="276" w:lineRule="auto"/>
      <w:ind w:left="0"/>
    </w:pPr>
    <w:rPr>
      <w:rFonts w:asciiTheme="minorHAnsi" w:eastAsiaTheme="minorEastAsia"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6525">
      <w:bodyDiv w:val="1"/>
      <w:marLeft w:val="0"/>
      <w:marRight w:val="0"/>
      <w:marTop w:val="0"/>
      <w:marBottom w:val="0"/>
      <w:divBdr>
        <w:top w:val="none" w:sz="0" w:space="0" w:color="auto"/>
        <w:left w:val="none" w:sz="0" w:space="0" w:color="auto"/>
        <w:bottom w:val="none" w:sz="0" w:space="0" w:color="auto"/>
        <w:right w:val="none" w:sz="0" w:space="0" w:color="auto"/>
      </w:divBdr>
    </w:div>
    <w:div w:id="205682418">
      <w:bodyDiv w:val="1"/>
      <w:marLeft w:val="0"/>
      <w:marRight w:val="0"/>
      <w:marTop w:val="0"/>
      <w:marBottom w:val="0"/>
      <w:divBdr>
        <w:top w:val="none" w:sz="0" w:space="0" w:color="auto"/>
        <w:left w:val="none" w:sz="0" w:space="0" w:color="auto"/>
        <w:bottom w:val="none" w:sz="0" w:space="0" w:color="auto"/>
        <w:right w:val="none" w:sz="0" w:space="0" w:color="auto"/>
      </w:divBdr>
    </w:div>
    <w:div w:id="232980547">
      <w:bodyDiv w:val="1"/>
      <w:marLeft w:val="0"/>
      <w:marRight w:val="0"/>
      <w:marTop w:val="0"/>
      <w:marBottom w:val="0"/>
      <w:divBdr>
        <w:top w:val="none" w:sz="0" w:space="0" w:color="auto"/>
        <w:left w:val="none" w:sz="0" w:space="0" w:color="auto"/>
        <w:bottom w:val="none" w:sz="0" w:space="0" w:color="auto"/>
        <w:right w:val="none" w:sz="0" w:space="0" w:color="auto"/>
      </w:divBdr>
    </w:div>
    <w:div w:id="235363925">
      <w:bodyDiv w:val="1"/>
      <w:marLeft w:val="0"/>
      <w:marRight w:val="0"/>
      <w:marTop w:val="0"/>
      <w:marBottom w:val="0"/>
      <w:divBdr>
        <w:top w:val="none" w:sz="0" w:space="0" w:color="auto"/>
        <w:left w:val="none" w:sz="0" w:space="0" w:color="auto"/>
        <w:bottom w:val="none" w:sz="0" w:space="0" w:color="auto"/>
        <w:right w:val="none" w:sz="0" w:space="0" w:color="auto"/>
      </w:divBdr>
    </w:div>
    <w:div w:id="248470894">
      <w:bodyDiv w:val="1"/>
      <w:marLeft w:val="0"/>
      <w:marRight w:val="0"/>
      <w:marTop w:val="0"/>
      <w:marBottom w:val="0"/>
      <w:divBdr>
        <w:top w:val="none" w:sz="0" w:space="0" w:color="auto"/>
        <w:left w:val="none" w:sz="0" w:space="0" w:color="auto"/>
        <w:bottom w:val="none" w:sz="0" w:space="0" w:color="auto"/>
        <w:right w:val="none" w:sz="0" w:space="0" w:color="auto"/>
      </w:divBdr>
    </w:div>
    <w:div w:id="318580843">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563175865">
      <w:bodyDiv w:val="1"/>
      <w:marLeft w:val="0"/>
      <w:marRight w:val="0"/>
      <w:marTop w:val="0"/>
      <w:marBottom w:val="0"/>
      <w:divBdr>
        <w:top w:val="none" w:sz="0" w:space="0" w:color="auto"/>
        <w:left w:val="none" w:sz="0" w:space="0" w:color="auto"/>
        <w:bottom w:val="none" w:sz="0" w:space="0" w:color="auto"/>
        <w:right w:val="none" w:sz="0" w:space="0" w:color="auto"/>
      </w:divBdr>
    </w:div>
    <w:div w:id="603536572">
      <w:bodyDiv w:val="1"/>
      <w:marLeft w:val="0"/>
      <w:marRight w:val="0"/>
      <w:marTop w:val="0"/>
      <w:marBottom w:val="0"/>
      <w:divBdr>
        <w:top w:val="none" w:sz="0" w:space="0" w:color="auto"/>
        <w:left w:val="none" w:sz="0" w:space="0" w:color="auto"/>
        <w:bottom w:val="none" w:sz="0" w:space="0" w:color="auto"/>
        <w:right w:val="none" w:sz="0" w:space="0" w:color="auto"/>
      </w:divBdr>
    </w:div>
    <w:div w:id="605311890">
      <w:bodyDiv w:val="1"/>
      <w:marLeft w:val="0"/>
      <w:marRight w:val="0"/>
      <w:marTop w:val="0"/>
      <w:marBottom w:val="0"/>
      <w:divBdr>
        <w:top w:val="none" w:sz="0" w:space="0" w:color="auto"/>
        <w:left w:val="none" w:sz="0" w:space="0" w:color="auto"/>
        <w:bottom w:val="none" w:sz="0" w:space="0" w:color="auto"/>
        <w:right w:val="none" w:sz="0" w:space="0" w:color="auto"/>
      </w:divBdr>
    </w:div>
    <w:div w:id="650671003">
      <w:bodyDiv w:val="1"/>
      <w:marLeft w:val="0"/>
      <w:marRight w:val="0"/>
      <w:marTop w:val="0"/>
      <w:marBottom w:val="0"/>
      <w:divBdr>
        <w:top w:val="none" w:sz="0" w:space="0" w:color="auto"/>
        <w:left w:val="none" w:sz="0" w:space="0" w:color="auto"/>
        <w:bottom w:val="none" w:sz="0" w:space="0" w:color="auto"/>
        <w:right w:val="none" w:sz="0" w:space="0" w:color="auto"/>
      </w:divBdr>
    </w:div>
    <w:div w:id="667905014">
      <w:bodyDiv w:val="1"/>
      <w:marLeft w:val="0"/>
      <w:marRight w:val="0"/>
      <w:marTop w:val="0"/>
      <w:marBottom w:val="0"/>
      <w:divBdr>
        <w:top w:val="none" w:sz="0" w:space="0" w:color="auto"/>
        <w:left w:val="none" w:sz="0" w:space="0" w:color="auto"/>
        <w:bottom w:val="none" w:sz="0" w:space="0" w:color="auto"/>
        <w:right w:val="none" w:sz="0" w:space="0" w:color="auto"/>
      </w:divBdr>
    </w:div>
    <w:div w:id="683895177">
      <w:bodyDiv w:val="1"/>
      <w:marLeft w:val="0"/>
      <w:marRight w:val="0"/>
      <w:marTop w:val="0"/>
      <w:marBottom w:val="0"/>
      <w:divBdr>
        <w:top w:val="none" w:sz="0" w:space="0" w:color="auto"/>
        <w:left w:val="none" w:sz="0" w:space="0" w:color="auto"/>
        <w:bottom w:val="none" w:sz="0" w:space="0" w:color="auto"/>
        <w:right w:val="none" w:sz="0" w:space="0" w:color="auto"/>
      </w:divBdr>
    </w:div>
    <w:div w:id="686954823">
      <w:bodyDiv w:val="1"/>
      <w:marLeft w:val="0"/>
      <w:marRight w:val="0"/>
      <w:marTop w:val="0"/>
      <w:marBottom w:val="0"/>
      <w:divBdr>
        <w:top w:val="none" w:sz="0" w:space="0" w:color="auto"/>
        <w:left w:val="none" w:sz="0" w:space="0" w:color="auto"/>
        <w:bottom w:val="none" w:sz="0" w:space="0" w:color="auto"/>
        <w:right w:val="none" w:sz="0" w:space="0" w:color="auto"/>
      </w:divBdr>
    </w:div>
    <w:div w:id="705257226">
      <w:bodyDiv w:val="1"/>
      <w:marLeft w:val="0"/>
      <w:marRight w:val="0"/>
      <w:marTop w:val="0"/>
      <w:marBottom w:val="0"/>
      <w:divBdr>
        <w:top w:val="none" w:sz="0" w:space="0" w:color="auto"/>
        <w:left w:val="none" w:sz="0" w:space="0" w:color="auto"/>
        <w:bottom w:val="none" w:sz="0" w:space="0" w:color="auto"/>
        <w:right w:val="none" w:sz="0" w:space="0" w:color="auto"/>
      </w:divBdr>
    </w:div>
    <w:div w:id="759260267">
      <w:bodyDiv w:val="1"/>
      <w:marLeft w:val="0"/>
      <w:marRight w:val="0"/>
      <w:marTop w:val="0"/>
      <w:marBottom w:val="0"/>
      <w:divBdr>
        <w:top w:val="none" w:sz="0" w:space="0" w:color="auto"/>
        <w:left w:val="none" w:sz="0" w:space="0" w:color="auto"/>
        <w:bottom w:val="none" w:sz="0" w:space="0" w:color="auto"/>
        <w:right w:val="none" w:sz="0" w:space="0" w:color="auto"/>
      </w:divBdr>
    </w:div>
    <w:div w:id="782269237">
      <w:bodyDiv w:val="1"/>
      <w:marLeft w:val="0"/>
      <w:marRight w:val="0"/>
      <w:marTop w:val="0"/>
      <w:marBottom w:val="0"/>
      <w:divBdr>
        <w:top w:val="none" w:sz="0" w:space="0" w:color="auto"/>
        <w:left w:val="none" w:sz="0" w:space="0" w:color="auto"/>
        <w:bottom w:val="none" w:sz="0" w:space="0" w:color="auto"/>
        <w:right w:val="none" w:sz="0" w:space="0" w:color="auto"/>
      </w:divBdr>
    </w:div>
    <w:div w:id="809246860">
      <w:bodyDiv w:val="1"/>
      <w:marLeft w:val="0"/>
      <w:marRight w:val="0"/>
      <w:marTop w:val="0"/>
      <w:marBottom w:val="0"/>
      <w:divBdr>
        <w:top w:val="none" w:sz="0" w:space="0" w:color="auto"/>
        <w:left w:val="none" w:sz="0" w:space="0" w:color="auto"/>
        <w:bottom w:val="none" w:sz="0" w:space="0" w:color="auto"/>
        <w:right w:val="none" w:sz="0" w:space="0" w:color="auto"/>
      </w:divBdr>
    </w:div>
    <w:div w:id="876703985">
      <w:bodyDiv w:val="1"/>
      <w:marLeft w:val="0"/>
      <w:marRight w:val="0"/>
      <w:marTop w:val="0"/>
      <w:marBottom w:val="0"/>
      <w:divBdr>
        <w:top w:val="none" w:sz="0" w:space="0" w:color="auto"/>
        <w:left w:val="none" w:sz="0" w:space="0" w:color="auto"/>
        <w:bottom w:val="none" w:sz="0" w:space="0" w:color="auto"/>
        <w:right w:val="none" w:sz="0" w:space="0" w:color="auto"/>
      </w:divBdr>
    </w:div>
    <w:div w:id="909466335">
      <w:bodyDiv w:val="1"/>
      <w:marLeft w:val="0"/>
      <w:marRight w:val="0"/>
      <w:marTop w:val="0"/>
      <w:marBottom w:val="0"/>
      <w:divBdr>
        <w:top w:val="none" w:sz="0" w:space="0" w:color="auto"/>
        <w:left w:val="none" w:sz="0" w:space="0" w:color="auto"/>
        <w:bottom w:val="none" w:sz="0" w:space="0" w:color="auto"/>
        <w:right w:val="none" w:sz="0" w:space="0" w:color="auto"/>
      </w:divBdr>
    </w:div>
    <w:div w:id="919943332">
      <w:bodyDiv w:val="1"/>
      <w:marLeft w:val="0"/>
      <w:marRight w:val="0"/>
      <w:marTop w:val="0"/>
      <w:marBottom w:val="0"/>
      <w:divBdr>
        <w:top w:val="none" w:sz="0" w:space="0" w:color="auto"/>
        <w:left w:val="none" w:sz="0" w:space="0" w:color="auto"/>
        <w:bottom w:val="none" w:sz="0" w:space="0" w:color="auto"/>
        <w:right w:val="none" w:sz="0" w:space="0" w:color="auto"/>
      </w:divBdr>
    </w:div>
    <w:div w:id="979457047">
      <w:bodyDiv w:val="1"/>
      <w:marLeft w:val="0"/>
      <w:marRight w:val="0"/>
      <w:marTop w:val="0"/>
      <w:marBottom w:val="0"/>
      <w:divBdr>
        <w:top w:val="none" w:sz="0" w:space="0" w:color="auto"/>
        <w:left w:val="none" w:sz="0" w:space="0" w:color="auto"/>
        <w:bottom w:val="none" w:sz="0" w:space="0" w:color="auto"/>
        <w:right w:val="none" w:sz="0" w:space="0" w:color="auto"/>
      </w:divBdr>
    </w:div>
    <w:div w:id="1033388933">
      <w:bodyDiv w:val="1"/>
      <w:marLeft w:val="0"/>
      <w:marRight w:val="0"/>
      <w:marTop w:val="0"/>
      <w:marBottom w:val="0"/>
      <w:divBdr>
        <w:top w:val="none" w:sz="0" w:space="0" w:color="auto"/>
        <w:left w:val="none" w:sz="0" w:space="0" w:color="auto"/>
        <w:bottom w:val="none" w:sz="0" w:space="0" w:color="auto"/>
        <w:right w:val="none" w:sz="0" w:space="0" w:color="auto"/>
      </w:divBdr>
    </w:div>
    <w:div w:id="1086003795">
      <w:bodyDiv w:val="1"/>
      <w:marLeft w:val="0"/>
      <w:marRight w:val="0"/>
      <w:marTop w:val="0"/>
      <w:marBottom w:val="0"/>
      <w:divBdr>
        <w:top w:val="none" w:sz="0" w:space="0" w:color="auto"/>
        <w:left w:val="none" w:sz="0" w:space="0" w:color="auto"/>
        <w:bottom w:val="none" w:sz="0" w:space="0" w:color="auto"/>
        <w:right w:val="none" w:sz="0" w:space="0" w:color="auto"/>
      </w:divBdr>
    </w:div>
    <w:div w:id="1095513494">
      <w:bodyDiv w:val="1"/>
      <w:marLeft w:val="0"/>
      <w:marRight w:val="0"/>
      <w:marTop w:val="0"/>
      <w:marBottom w:val="0"/>
      <w:divBdr>
        <w:top w:val="none" w:sz="0" w:space="0" w:color="auto"/>
        <w:left w:val="none" w:sz="0" w:space="0" w:color="auto"/>
        <w:bottom w:val="none" w:sz="0" w:space="0" w:color="auto"/>
        <w:right w:val="none" w:sz="0" w:space="0" w:color="auto"/>
      </w:divBdr>
    </w:div>
    <w:div w:id="1104807570">
      <w:bodyDiv w:val="1"/>
      <w:marLeft w:val="0"/>
      <w:marRight w:val="0"/>
      <w:marTop w:val="0"/>
      <w:marBottom w:val="0"/>
      <w:divBdr>
        <w:top w:val="none" w:sz="0" w:space="0" w:color="auto"/>
        <w:left w:val="none" w:sz="0" w:space="0" w:color="auto"/>
        <w:bottom w:val="none" w:sz="0" w:space="0" w:color="auto"/>
        <w:right w:val="none" w:sz="0" w:space="0" w:color="auto"/>
      </w:divBdr>
    </w:div>
    <w:div w:id="1111391637">
      <w:bodyDiv w:val="1"/>
      <w:marLeft w:val="0"/>
      <w:marRight w:val="0"/>
      <w:marTop w:val="0"/>
      <w:marBottom w:val="0"/>
      <w:divBdr>
        <w:top w:val="none" w:sz="0" w:space="0" w:color="auto"/>
        <w:left w:val="none" w:sz="0" w:space="0" w:color="auto"/>
        <w:bottom w:val="none" w:sz="0" w:space="0" w:color="auto"/>
        <w:right w:val="none" w:sz="0" w:space="0" w:color="auto"/>
      </w:divBdr>
    </w:div>
    <w:div w:id="1124695542">
      <w:bodyDiv w:val="1"/>
      <w:marLeft w:val="0"/>
      <w:marRight w:val="0"/>
      <w:marTop w:val="0"/>
      <w:marBottom w:val="0"/>
      <w:divBdr>
        <w:top w:val="none" w:sz="0" w:space="0" w:color="auto"/>
        <w:left w:val="none" w:sz="0" w:space="0" w:color="auto"/>
        <w:bottom w:val="none" w:sz="0" w:space="0" w:color="auto"/>
        <w:right w:val="none" w:sz="0" w:space="0" w:color="auto"/>
      </w:divBdr>
    </w:div>
    <w:div w:id="1149052092">
      <w:bodyDiv w:val="1"/>
      <w:marLeft w:val="0"/>
      <w:marRight w:val="0"/>
      <w:marTop w:val="0"/>
      <w:marBottom w:val="0"/>
      <w:divBdr>
        <w:top w:val="none" w:sz="0" w:space="0" w:color="auto"/>
        <w:left w:val="none" w:sz="0" w:space="0" w:color="auto"/>
        <w:bottom w:val="none" w:sz="0" w:space="0" w:color="auto"/>
        <w:right w:val="none" w:sz="0" w:space="0" w:color="auto"/>
      </w:divBdr>
    </w:div>
    <w:div w:id="1173059917">
      <w:bodyDiv w:val="1"/>
      <w:marLeft w:val="0"/>
      <w:marRight w:val="0"/>
      <w:marTop w:val="0"/>
      <w:marBottom w:val="0"/>
      <w:divBdr>
        <w:top w:val="none" w:sz="0" w:space="0" w:color="auto"/>
        <w:left w:val="none" w:sz="0" w:space="0" w:color="auto"/>
        <w:bottom w:val="none" w:sz="0" w:space="0" w:color="auto"/>
        <w:right w:val="none" w:sz="0" w:space="0" w:color="auto"/>
      </w:divBdr>
    </w:div>
    <w:div w:id="1230572764">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322196160">
      <w:bodyDiv w:val="1"/>
      <w:marLeft w:val="0"/>
      <w:marRight w:val="0"/>
      <w:marTop w:val="0"/>
      <w:marBottom w:val="0"/>
      <w:divBdr>
        <w:top w:val="none" w:sz="0" w:space="0" w:color="auto"/>
        <w:left w:val="none" w:sz="0" w:space="0" w:color="auto"/>
        <w:bottom w:val="none" w:sz="0" w:space="0" w:color="auto"/>
        <w:right w:val="none" w:sz="0" w:space="0" w:color="auto"/>
      </w:divBdr>
    </w:div>
    <w:div w:id="1355956911">
      <w:bodyDiv w:val="1"/>
      <w:marLeft w:val="0"/>
      <w:marRight w:val="0"/>
      <w:marTop w:val="0"/>
      <w:marBottom w:val="0"/>
      <w:divBdr>
        <w:top w:val="none" w:sz="0" w:space="0" w:color="auto"/>
        <w:left w:val="none" w:sz="0" w:space="0" w:color="auto"/>
        <w:bottom w:val="none" w:sz="0" w:space="0" w:color="auto"/>
        <w:right w:val="none" w:sz="0" w:space="0" w:color="auto"/>
      </w:divBdr>
    </w:div>
    <w:div w:id="1356081695">
      <w:bodyDiv w:val="1"/>
      <w:marLeft w:val="0"/>
      <w:marRight w:val="0"/>
      <w:marTop w:val="0"/>
      <w:marBottom w:val="0"/>
      <w:divBdr>
        <w:top w:val="none" w:sz="0" w:space="0" w:color="auto"/>
        <w:left w:val="none" w:sz="0" w:space="0" w:color="auto"/>
        <w:bottom w:val="none" w:sz="0" w:space="0" w:color="auto"/>
        <w:right w:val="none" w:sz="0" w:space="0" w:color="auto"/>
      </w:divBdr>
    </w:div>
    <w:div w:id="1496800580">
      <w:bodyDiv w:val="1"/>
      <w:marLeft w:val="0"/>
      <w:marRight w:val="0"/>
      <w:marTop w:val="0"/>
      <w:marBottom w:val="0"/>
      <w:divBdr>
        <w:top w:val="none" w:sz="0" w:space="0" w:color="auto"/>
        <w:left w:val="none" w:sz="0" w:space="0" w:color="auto"/>
        <w:bottom w:val="none" w:sz="0" w:space="0" w:color="auto"/>
        <w:right w:val="none" w:sz="0" w:space="0" w:color="auto"/>
      </w:divBdr>
    </w:div>
    <w:div w:id="1529642334">
      <w:bodyDiv w:val="1"/>
      <w:marLeft w:val="0"/>
      <w:marRight w:val="0"/>
      <w:marTop w:val="0"/>
      <w:marBottom w:val="0"/>
      <w:divBdr>
        <w:top w:val="none" w:sz="0" w:space="0" w:color="auto"/>
        <w:left w:val="none" w:sz="0" w:space="0" w:color="auto"/>
        <w:bottom w:val="none" w:sz="0" w:space="0" w:color="auto"/>
        <w:right w:val="none" w:sz="0" w:space="0" w:color="auto"/>
      </w:divBdr>
    </w:div>
    <w:div w:id="1570994710">
      <w:bodyDiv w:val="1"/>
      <w:marLeft w:val="0"/>
      <w:marRight w:val="0"/>
      <w:marTop w:val="0"/>
      <w:marBottom w:val="0"/>
      <w:divBdr>
        <w:top w:val="none" w:sz="0" w:space="0" w:color="auto"/>
        <w:left w:val="none" w:sz="0" w:space="0" w:color="auto"/>
        <w:bottom w:val="none" w:sz="0" w:space="0" w:color="auto"/>
        <w:right w:val="none" w:sz="0" w:space="0" w:color="auto"/>
      </w:divBdr>
    </w:div>
    <w:div w:id="1612936183">
      <w:bodyDiv w:val="1"/>
      <w:marLeft w:val="0"/>
      <w:marRight w:val="0"/>
      <w:marTop w:val="0"/>
      <w:marBottom w:val="0"/>
      <w:divBdr>
        <w:top w:val="none" w:sz="0" w:space="0" w:color="auto"/>
        <w:left w:val="none" w:sz="0" w:space="0" w:color="auto"/>
        <w:bottom w:val="none" w:sz="0" w:space="0" w:color="auto"/>
        <w:right w:val="none" w:sz="0" w:space="0" w:color="auto"/>
      </w:divBdr>
    </w:div>
    <w:div w:id="1613198017">
      <w:bodyDiv w:val="1"/>
      <w:marLeft w:val="0"/>
      <w:marRight w:val="0"/>
      <w:marTop w:val="0"/>
      <w:marBottom w:val="0"/>
      <w:divBdr>
        <w:top w:val="none" w:sz="0" w:space="0" w:color="auto"/>
        <w:left w:val="none" w:sz="0" w:space="0" w:color="auto"/>
        <w:bottom w:val="none" w:sz="0" w:space="0" w:color="auto"/>
        <w:right w:val="none" w:sz="0" w:space="0" w:color="auto"/>
      </w:divBdr>
    </w:div>
    <w:div w:id="1673752705">
      <w:bodyDiv w:val="1"/>
      <w:marLeft w:val="0"/>
      <w:marRight w:val="0"/>
      <w:marTop w:val="0"/>
      <w:marBottom w:val="0"/>
      <w:divBdr>
        <w:top w:val="none" w:sz="0" w:space="0" w:color="auto"/>
        <w:left w:val="none" w:sz="0" w:space="0" w:color="auto"/>
        <w:bottom w:val="none" w:sz="0" w:space="0" w:color="auto"/>
        <w:right w:val="none" w:sz="0" w:space="0" w:color="auto"/>
      </w:divBdr>
    </w:div>
    <w:div w:id="1733699276">
      <w:bodyDiv w:val="1"/>
      <w:marLeft w:val="0"/>
      <w:marRight w:val="0"/>
      <w:marTop w:val="0"/>
      <w:marBottom w:val="0"/>
      <w:divBdr>
        <w:top w:val="none" w:sz="0" w:space="0" w:color="auto"/>
        <w:left w:val="none" w:sz="0" w:space="0" w:color="auto"/>
        <w:bottom w:val="none" w:sz="0" w:space="0" w:color="auto"/>
        <w:right w:val="none" w:sz="0" w:space="0" w:color="auto"/>
      </w:divBdr>
    </w:div>
    <w:div w:id="1757702503">
      <w:bodyDiv w:val="1"/>
      <w:marLeft w:val="0"/>
      <w:marRight w:val="0"/>
      <w:marTop w:val="0"/>
      <w:marBottom w:val="0"/>
      <w:divBdr>
        <w:top w:val="none" w:sz="0" w:space="0" w:color="auto"/>
        <w:left w:val="none" w:sz="0" w:space="0" w:color="auto"/>
        <w:bottom w:val="none" w:sz="0" w:space="0" w:color="auto"/>
        <w:right w:val="none" w:sz="0" w:space="0" w:color="auto"/>
      </w:divBdr>
    </w:div>
    <w:div w:id="1851329780">
      <w:bodyDiv w:val="1"/>
      <w:marLeft w:val="0"/>
      <w:marRight w:val="0"/>
      <w:marTop w:val="0"/>
      <w:marBottom w:val="0"/>
      <w:divBdr>
        <w:top w:val="none" w:sz="0" w:space="0" w:color="auto"/>
        <w:left w:val="none" w:sz="0" w:space="0" w:color="auto"/>
        <w:bottom w:val="none" w:sz="0" w:space="0" w:color="auto"/>
        <w:right w:val="none" w:sz="0" w:space="0" w:color="auto"/>
      </w:divBdr>
    </w:div>
    <w:div w:id="1860464884">
      <w:bodyDiv w:val="1"/>
      <w:marLeft w:val="0"/>
      <w:marRight w:val="0"/>
      <w:marTop w:val="0"/>
      <w:marBottom w:val="0"/>
      <w:divBdr>
        <w:top w:val="none" w:sz="0" w:space="0" w:color="auto"/>
        <w:left w:val="none" w:sz="0" w:space="0" w:color="auto"/>
        <w:bottom w:val="none" w:sz="0" w:space="0" w:color="auto"/>
        <w:right w:val="none" w:sz="0" w:space="0" w:color="auto"/>
      </w:divBdr>
    </w:div>
    <w:div w:id="1900822286">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269300">
      <w:bodyDiv w:val="1"/>
      <w:marLeft w:val="0"/>
      <w:marRight w:val="0"/>
      <w:marTop w:val="0"/>
      <w:marBottom w:val="0"/>
      <w:divBdr>
        <w:top w:val="none" w:sz="0" w:space="0" w:color="auto"/>
        <w:left w:val="none" w:sz="0" w:space="0" w:color="auto"/>
        <w:bottom w:val="none" w:sz="0" w:space="0" w:color="auto"/>
        <w:right w:val="none" w:sz="0" w:space="0" w:color="auto"/>
      </w:divBdr>
    </w:div>
    <w:div w:id="2040623026">
      <w:bodyDiv w:val="1"/>
      <w:marLeft w:val="0"/>
      <w:marRight w:val="0"/>
      <w:marTop w:val="0"/>
      <w:marBottom w:val="0"/>
      <w:divBdr>
        <w:top w:val="none" w:sz="0" w:space="0" w:color="auto"/>
        <w:left w:val="none" w:sz="0" w:space="0" w:color="auto"/>
        <w:bottom w:val="none" w:sz="0" w:space="0" w:color="auto"/>
        <w:right w:val="none" w:sz="0" w:space="0" w:color="auto"/>
      </w:divBdr>
    </w:div>
    <w:div w:id="2064401897">
      <w:bodyDiv w:val="1"/>
      <w:marLeft w:val="0"/>
      <w:marRight w:val="0"/>
      <w:marTop w:val="0"/>
      <w:marBottom w:val="0"/>
      <w:divBdr>
        <w:top w:val="none" w:sz="0" w:space="0" w:color="auto"/>
        <w:left w:val="none" w:sz="0" w:space="0" w:color="auto"/>
        <w:bottom w:val="none" w:sz="0" w:space="0" w:color="auto"/>
        <w:right w:val="none" w:sz="0" w:space="0" w:color="auto"/>
      </w:divBdr>
    </w:div>
    <w:div w:id="207311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legislation.act.gov.au/View/GetHTMLFile/es/db_65006/20210916-77470/html/db_65006.htm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2.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9592</Words>
  <Characters>50096</Characters>
  <Application>Microsoft Office Word</Application>
  <DocSecurity>0</DocSecurity>
  <Lines>964</Lines>
  <Paragraphs>330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2021-11-09T23:19:00Z</dcterms:created>
  <dcterms:modified xsi:type="dcterms:W3CDTF">2021-11-09T23:19:00Z</dcterms:modified>
</cp:coreProperties>
</file>