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0BD0" w14:textId="77777777" w:rsidR="00AF0D54" w:rsidRPr="00050F68" w:rsidRDefault="00AF0D54" w:rsidP="00AF0D54">
      <w:pPr>
        <w:autoSpaceDE w:val="0"/>
        <w:autoSpaceDN w:val="0"/>
        <w:adjustRightInd w:val="0"/>
        <w:spacing w:before="240" w:after="120"/>
        <w:jc w:val="center"/>
        <w:rPr>
          <w:rFonts w:ascii="Arial" w:hAnsi="Arial" w:cs="Arial"/>
          <w:b/>
          <w:bCs/>
          <w:szCs w:val="24"/>
        </w:rPr>
      </w:pPr>
    </w:p>
    <w:p w14:paraId="587DDEA3" w14:textId="5870B50F" w:rsidR="0030585F" w:rsidRPr="00050F68" w:rsidRDefault="0030585F" w:rsidP="00AF0D54">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20</w:t>
      </w:r>
      <w:r w:rsidR="00050F68">
        <w:rPr>
          <w:rFonts w:ascii="Arial" w:hAnsi="Arial" w:cs="Arial"/>
          <w:b/>
          <w:bCs/>
          <w:szCs w:val="24"/>
        </w:rPr>
        <w:t>2</w:t>
      </w:r>
      <w:r w:rsidR="008C333C">
        <w:rPr>
          <w:rFonts w:ascii="Arial" w:hAnsi="Arial" w:cs="Arial"/>
          <w:b/>
          <w:bCs/>
          <w:szCs w:val="24"/>
        </w:rPr>
        <w:t>1</w:t>
      </w:r>
    </w:p>
    <w:p w14:paraId="6FD2F644"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0B3E93DB" w14:textId="77777777" w:rsidR="0030585F" w:rsidRPr="00050F68" w:rsidRDefault="0030585F" w:rsidP="002E1092">
      <w:pPr>
        <w:autoSpaceDE w:val="0"/>
        <w:autoSpaceDN w:val="0"/>
        <w:adjustRightInd w:val="0"/>
        <w:spacing w:before="240" w:after="120"/>
        <w:rPr>
          <w:rFonts w:ascii="Arial" w:hAnsi="Arial" w:cs="Arial"/>
          <w:b/>
          <w:bCs/>
          <w:szCs w:val="24"/>
        </w:rPr>
      </w:pPr>
    </w:p>
    <w:p w14:paraId="7ABAE37D" w14:textId="77777777" w:rsidR="00EE32FF" w:rsidRPr="00050F68" w:rsidRDefault="00EE32FF" w:rsidP="002E1092">
      <w:pPr>
        <w:autoSpaceDE w:val="0"/>
        <w:autoSpaceDN w:val="0"/>
        <w:adjustRightInd w:val="0"/>
        <w:spacing w:before="240" w:after="120"/>
        <w:rPr>
          <w:rFonts w:ascii="Arial" w:hAnsi="Arial" w:cs="Arial"/>
          <w:b/>
          <w:bCs/>
          <w:szCs w:val="24"/>
        </w:rPr>
      </w:pPr>
    </w:p>
    <w:p w14:paraId="6EB635AF" w14:textId="2B2519DE" w:rsidR="0030585F" w:rsidRPr="00050F68" w:rsidRDefault="00050F68" w:rsidP="00A363CB">
      <w:pPr>
        <w:autoSpaceDE w:val="0"/>
        <w:autoSpaceDN w:val="0"/>
        <w:adjustRightInd w:val="0"/>
        <w:spacing w:before="240" w:after="120"/>
        <w:jc w:val="center"/>
        <w:rPr>
          <w:rFonts w:ascii="Arial" w:hAnsi="Arial" w:cs="Arial"/>
          <w:b/>
          <w:bCs/>
          <w:szCs w:val="24"/>
        </w:rPr>
      </w:pPr>
      <w:r>
        <w:rPr>
          <w:rFonts w:ascii="Arial" w:hAnsi="Arial" w:cs="Arial"/>
          <w:b/>
          <w:bCs/>
          <w:szCs w:val="24"/>
        </w:rPr>
        <w:t xml:space="preserve">THE </w:t>
      </w:r>
      <w:r w:rsidR="0030585F" w:rsidRPr="00050F68">
        <w:rPr>
          <w:rFonts w:ascii="Arial" w:hAnsi="Arial" w:cs="Arial"/>
          <w:b/>
          <w:bCs/>
          <w:szCs w:val="24"/>
        </w:rPr>
        <w:t>LEGISLATIVE ASSEMBLY FOR THE</w:t>
      </w:r>
    </w:p>
    <w:p w14:paraId="5F365D67" w14:textId="77777777" w:rsidR="0030585F" w:rsidRPr="00050F68" w:rsidRDefault="0030585F" w:rsidP="00A363CB">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AUSTRALIAN CAPITAL TERRITORY</w:t>
      </w:r>
    </w:p>
    <w:p w14:paraId="43AA28BC" w14:textId="77777777" w:rsidR="0030585F" w:rsidRPr="00050F68" w:rsidRDefault="0030585F" w:rsidP="002E1092">
      <w:pPr>
        <w:autoSpaceDE w:val="0"/>
        <w:autoSpaceDN w:val="0"/>
        <w:adjustRightInd w:val="0"/>
        <w:spacing w:before="240" w:after="120"/>
        <w:rPr>
          <w:rFonts w:ascii="Arial" w:hAnsi="Arial" w:cs="Arial"/>
          <w:b/>
          <w:bCs/>
          <w:szCs w:val="24"/>
        </w:rPr>
      </w:pPr>
    </w:p>
    <w:p w14:paraId="71E998D9" w14:textId="77777777" w:rsidR="0030585F" w:rsidRPr="00050F68" w:rsidRDefault="0030585F" w:rsidP="00A363CB">
      <w:pPr>
        <w:autoSpaceDE w:val="0"/>
        <w:autoSpaceDN w:val="0"/>
        <w:adjustRightInd w:val="0"/>
        <w:spacing w:before="240" w:after="120"/>
        <w:jc w:val="center"/>
        <w:rPr>
          <w:rFonts w:ascii="Arial" w:hAnsi="Arial" w:cs="Arial"/>
          <w:b/>
          <w:bCs/>
          <w:szCs w:val="24"/>
        </w:rPr>
      </w:pPr>
    </w:p>
    <w:p w14:paraId="2999B3E5" w14:textId="2CE22E54" w:rsidR="007326EC" w:rsidRPr="00050F68" w:rsidRDefault="008C333C" w:rsidP="00A363CB">
      <w:pPr>
        <w:spacing w:before="240" w:after="120"/>
        <w:jc w:val="center"/>
        <w:rPr>
          <w:rFonts w:ascii="Arial" w:hAnsi="Arial" w:cs="Arial"/>
          <w:b/>
          <w:bCs/>
          <w:caps/>
          <w:szCs w:val="24"/>
        </w:rPr>
      </w:pPr>
      <w:r>
        <w:rPr>
          <w:rFonts w:ascii="Arial" w:hAnsi="Arial" w:cs="Arial"/>
          <w:b/>
          <w:bCs/>
          <w:caps/>
          <w:szCs w:val="24"/>
        </w:rPr>
        <w:t>PUBLIC HEALTH AMENDMENT BILL 2021</w:t>
      </w:r>
    </w:p>
    <w:p w14:paraId="089723CC" w14:textId="77777777" w:rsidR="0030585F" w:rsidRPr="00050F68" w:rsidRDefault="0030585F" w:rsidP="00A363CB">
      <w:pPr>
        <w:autoSpaceDE w:val="0"/>
        <w:autoSpaceDN w:val="0"/>
        <w:adjustRightInd w:val="0"/>
        <w:spacing w:before="240" w:after="120"/>
        <w:rPr>
          <w:rFonts w:ascii="Arial" w:hAnsi="Arial" w:cs="Arial"/>
          <w:b/>
          <w:bCs/>
          <w:szCs w:val="24"/>
        </w:rPr>
      </w:pPr>
    </w:p>
    <w:p w14:paraId="29450727" w14:textId="77777777" w:rsidR="00EE32FF" w:rsidRPr="00050F68" w:rsidRDefault="00EE32FF" w:rsidP="00A363CB">
      <w:pPr>
        <w:autoSpaceDE w:val="0"/>
        <w:autoSpaceDN w:val="0"/>
        <w:adjustRightInd w:val="0"/>
        <w:spacing w:before="240" w:after="120"/>
        <w:rPr>
          <w:rFonts w:ascii="Arial" w:hAnsi="Arial" w:cs="Arial"/>
          <w:b/>
          <w:bCs/>
          <w:szCs w:val="24"/>
        </w:rPr>
      </w:pPr>
    </w:p>
    <w:p w14:paraId="583025EE" w14:textId="322D9C8C" w:rsidR="0030585F" w:rsidRPr="00050F68" w:rsidRDefault="0030585F" w:rsidP="00050F68">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EXPLANATORY STATEMENT</w:t>
      </w:r>
    </w:p>
    <w:p w14:paraId="6EF40694" w14:textId="77777777" w:rsidR="001C2523" w:rsidRPr="00050F68" w:rsidRDefault="001C2523" w:rsidP="00050F68">
      <w:pPr>
        <w:pStyle w:val="NoSpacing"/>
        <w:spacing w:after="120"/>
        <w:jc w:val="center"/>
        <w:rPr>
          <w:rFonts w:ascii="Arial" w:hAnsi="Arial" w:cs="Arial"/>
          <w:b/>
          <w:bCs/>
          <w:szCs w:val="24"/>
        </w:rPr>
      </w:pPr>
      <w:r w:rsidRPr="00050F68">
        <w:rPr>
          <w:rFonts w:ascii="Arial" w:hAnsi="Arial" w:cs="Arial"/>
          <w:b/>
          <w:bCs/>
          <w:szCs w:val="24"/>
        </w:rPr>
        <w:t>and</w:t>
      </w:r>
    </w:p>
    <w:p w14:paraId="22AD6111" w14:textId="5C0A69A3" w:rsidR="001C2523" w:rsidRPr="00050F68" w:rsidRDefault="00050F68" w:rsidP="00050F68">
      <w:pPr>
        <w:pStyle w:val="NoSpacing"/>
        <w:spacing w:after="120"/>
        <w:jc w:val="center"/>
        <w:rPr>
          <w:rFonts w:ascii="Arial" w:hAnsi="Arial" w:cs="Arial"/>
          <w:b/>
          <w:bCs/>
          <w:szCs w:val="24"/>
        </w:rPr>
      </w:pPr>
      <w:r>
        <w:rPr>
          <w:rFonts w:ascii="Arial" w:hAnsi="Arial" w:cs="Arial"/>
          <w:b/>
          <w:bCs/>
          <w:szCs w:val="24"/>
        </w:rPr>
        <w:t>HUMAN RIGHTS COMPATIBILITY STATEMENT</w:t>
      </w:r>
    </w:p>
    <w:p w14:paraId="1ADB6D12" w14:textId="7071820B" w:rsidR="001C2523" w:rsidRPr="00050F68" w:rsidRDefault="001C2523" w:rsidP="001C2523">
      <w:pPr>
        <w:autoSpaceDE w:val="0"/>
        <w:autoSpaceDN w:val="0"/>
        <w:adjustRightInd w:val="0"/>
        <w:spacing w:before="240" w:after="120"/>
        <w:jc w:val="center"/>
        <w:rPr>
          <w:rFonts w:ascii="Arial" w:hAnsi="Arial" w:cs="Arial"/>
          <w:b/>
          <w:bCs/>
          <w:szCs w:val="24"/>
        </w:rPr>
      </w:pPr>
      <w:r w:rsidRPr="00050F68">
        <w:rPr>
          <w:rFonts w:ascii="Arial" w:hAnsi="Arial" w:cs="Arial"/>
          <w:b/>
          <w:bCs/>
          <w:szCs w:val="24"/>
        </w:rPr>
        <w:t>(</w:t>
      </w:r>
      <w:r w:rsidRPr="00050F68">
        <w:rPr>
          <w:rFonts w:ascii="Arial" w:hAnsi="Arial" w:cs="Arial"/>
          <w:b/>
          <w:bCs/>
          <w:i/>
          <w:iCs/>
          <w:szCs w:val="24"/>
        </w:rPr>
        <w:t>Human Rights Act 2004</w:t>
      </w:r>
      <w:r w:rsidRPr="00050F68">
        <w:rPr>
          <w:rFonts w:ascii="Arial" w:hAnsi="Arial" w:cs="Arial"/>
          <w:b/>
          <w:bCs/>
          <w:szCs w:val="24"/>
        </w:rPr>
        <w:t>, s 37)</w:t>
      </w:r>
    </w:p>
    <w:p w14:paraId="4A2BEF3B" w14:textId="77777777" w:rsidR="0030585F" w:rsidRPr="00050F68" w:rsidRDefault="0030585F" w:rsidP="00A363CB">
      <w:pPr>
        <w:autoSpaceDE w:val="0"/>
        <w:autoSpaceDN w:val="0"/>
        <w:adjustRightInd w:val="0"/>
        <w:spacing w:before="240" w:after="120"/>
        <w:rPr>
          <w:rFonts w:ascii="Arial" w:hAnsi="Arial" w:cs="Arial"/>
          <w:b/>
          <w:bCs/>
          <w:szCs w:val="24"/>
        </w:rPr>
      </w:pPr>
    </w:p>
    <w:p w14:paraId="1285871F" w14:textId="77777777" w:rsidR="007B7934" w:rsidRPr="00050F68" w:rsidRDefault="007B7934" w:rsidP="00A363CB">
      <w:pPr>
        <w:autoSpaceDE w:val="0"/>
        <w:autoSpaceDN w:val="0"/>
        <w:adjustRightInd w:val="0"/>
        <w:spacing w:before="240" w:after="120"/>
        <w:rPr>
          <w:rFonts w:ascii="Arial" w:hAnsi="Arial" w:cs="Arial"/>
          <w:b/>
          <w:bCs/>
          <w:szCs w:val="24"/>
        </w:rPr>
      </w:pPr>
    </w:p>
    <w:p w14:paraId="279D7E30" w14:textId="77777777" w:rsidR="0030585F" w:rsidRPr="00050F68" w:rsidRDefault="0030585F" w:rsidP="00A363CB">
      <w:pPr>
        <w:autoSpaceDE w:val="0"/>
        <w:autoSpaceDN w:val="0"/>
        <w:adjustRightInd w:val="0"/>
        <w:spacing w:before="240" w:after="120"/>
        <w:rPr>
          <w:rFonts w:ascii="Arial" w:hAnsi="Arial" w:cs="Arial"/>
          <w:b/>
          <w:bCs/>
          <w:szCs w:val="24"/>
        </w:rPr>
      </w:pPr>
    </w:p>
    <w:p w14:paraId="5FFECDAE" w14:textId="77777777" w:rsidR="00852B37" w:rsidRPr="00050F68" w:rsidRDefault="00852B37" w:rsidP="00A363CB">
      <w:pPr>
        <w:autoSpaceDE w:val="0"/>
        <w:autoSpaceDN w:val="0"/>
        <w:adjustRightInd w:val="0"/>
        <w:spacing w:before="240" w:after="120"/>
        <w:rPr>
          <w:rFonts w:ascii="Arial" w:hAnsi="Arial" w:cs="Arial"/>
          <w:b/>
          <w:bCs/>
          <w:szCs w:val="24"/>
        </w:rPr>
      </w:pPr>
    </w:p>
    <w:p w14:paraId="4D2568AC" w14:textId="77777777" w:rsidR="00EE32FF" w:rsidRPr="00050F68" w:rsidRDefault="00EE32FF" w:rsidP="00A363CB">
      <w:pPr>
        <w:autoSpaceDE w:val="0"/>
        <w:autoSpaceDN w:val="0"/>
        <w:adjustRightInd w:val="0"/>
        <w:spacing w:before="240" w:after="120"/>
        <w:rPr>
          <w:rFonts w:ascii="Arial" w:hAnsi="Arial" w:cs="Arial"/>
          <w:b/>
          <w:bCs/>
          <w:szCs w:val="24"/>
        </w:rPr>
      </w:pPr>
    </w:p>
    <w:p w14:paraId="2F2D6DDF" w14:textId="77777777" w:rsidR="0030585F" w:rsidRPr="00050F68" w:rsidRDefault="0030585F" w:rsidP="00A363CB">
      <w:pPr>
        <w:autoSpaceDE w:val="0"/>
        <w:autoSpaceDN w:val="0"/>
        <w:adjustRightInd w:val="0"/>
        <w:spacing w:before="240" w:after="120"/>
        <w:rPr>
          <w:rFonts w:ascii="Arial" w:hAnsi="Arial" w:cs="Arial"/>
          <w:b/>
          <w:bCs/>
          <w:szCs w:val="24"/>
        </w:rPr>
      </w:pPr>
    </w:p>
    <w:p w14:paraId="7CDCC040" w14:textId="77777777" w:rsidR="0030585F" w:rsidRPr="00050F68" w:rsidRDefault="0030585F" w:rsidP="00A363CB">
      <w:pPr>
        <w:autoSpaceDE w:val="0"/>
        <w:autoSpaceDN w:val="0"/>
        <w:adjustRightInd w:val="0"/>
        <w:spacing w:before="240" w:after="120"/>
        <w:rPr>
          <w:rFonts w:ascii="Arial" w:hAnsi="Arial" w:cs="Arial"/>
          <w:b/>
          <w:bCs/>
          <w:szCs w:val="24"/>
        </w:rPr>
      </w:pPr>
    </w:p>
    <w:p w14:paraId="3BC858F4" w14:textId="77777777" w:rsidR="0030585F" w:rsidRPr="00050F68" w:rsidRDefault="0030585F" w:rsidP="00EE32FF">
      <w:pPr>
        <w:autoSpaceDE w:val="0"/>
        <w:autoSpaceDN w:val="0"/>
        <w:adjustRightInd w:val="0"/>
        <w:spacing w:after="0" w:line="240" w:lineRule="auto"/>
        <w:jc w:val="right"/>
        <w:rPr>
          <w:rFonts w:ascii="Arial" w:hAnsi="Arial" w:cs="Arial"/>
          <w:b/>
          <w:bCs/>
          <w:szCs w:val="24"/>
        </w:rPr>
      </w:pPr>
      <w:r w:rsidRPr="00050F68">
        <w:rPr>
          <w:rFonts w:ascii="Arial" w:hAnsi="Arial" w:cs="Arial"/>
          <w:b/>
          <w:bCs/>
          <w:szCs w:val="24"/>
        </w:rPr>
        <w:t>Presented by</w:t>
      </w:r>
    </w:p>
    <w:p w14:paraId="10094C4E" w14:textId="7D4B0AF4" w:rsidR="0030585F" w:rsidRPr="00050F68" w:rsidRDefault="008C333C" w:rsidP="00EE32FF">
      <w:pPr>
        <w:autoSpaceDE w:val="0"/>
        <w:autoSpaceDN w:val="0"/>
        <w:adjustRightInd w:val="0"/>
        <w:spacing w:after="0" w:line="240" w:lineRule="auto"/>
        <w:jc w:val="right"/>
        <w:rPr>
          <w:rFonts w:ascii="Arial" w:hAnsi="Arial" w:cs="Arial"/>
          <w:b/>
          <w:bCs/>
          <w:szCs w:val="24"/>
        </w:rPr>
      </w:pPr>
      <w:r>
        <w:rPr>
          <w:rFonts w:ascii="Arial" w:hAnsi="Arial" w:cs="Arial"/>
          <w:b/>
          <w:bCs/>
          <w:szCs w:val="24"/>
        </w:rPr>
        <w:t xml:space="preserve">Rachel Stephen-Smith </w:t>
      </w:r>
      <w:r w:rsidR="0030585F" w:rsidRPr="00050F68">
        <w:rPr>
          <w:rFonts w:ascii="Arial" w:hAnsi="Arial" w:cs="Arial"/>
          <w:b/>
          <w:bCs/>
          <w:szCs w:val="24"/>
        </w:rPr>
        <w:t>MLA</w:t>
      </w:r>
    </w:p>
    <w:p w14:paraId="4FC100A3" w14:textId="4F37FADD" w:rsidR="0030585F" w:rsidRPr="00050F68" w:rsidRDefault="008C333C" w:rsidP="00EE32FF">
      <w:pPr>
        <w:spacing w:after="0" w:line="240" w:lineRule="auto"/>
        <w:jc w:val="right"/>
        <w:rPr>
          <w:rFonts w:ascii="Arial" w:hAnsi="Arial" w:cs="Arial"/>
          <w:b/>
          <w:bCs/>
          <w:szCs w:val="24"/>
        </w:rPr>
      </w:pPr>
      <w:r>
        <w:rPr>
          <w:rFonts w:ascii="Arial" w:hAnsi="Arial" w:cs="Arial"/>
          <w:b/>
          <w:bCs/>
          <w:szCs w:val="24"/>
        </w:rPr>
        <w:t>Minister for Health</w:t>
      </w:r>
    </w:p>
    <w:p w14:paraId="3A423ED0" w14:textId="77777777" w:rsidR="00EE32FF" w:rsidRPr="00050F68" w:rsidRDefault="009428EA" w:rsidP="002E1092">
      <w:pPr>
        <w:spacing w:after="120"/>
        <w:jc w:val="center"/>
        <w:rPr>
          <w:rFonts w:ascii="Arial" w:hAnsi="Arial" w:cs="Arial"/>
          <w:b/>
          <w:bCs/>
          <w:szCs w:val="24"/>
        </w:rPr>
        <w:sectPr w:rsidR="00EE32FF" w:rsidRPr="00050F68"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050F68">
        <w:rPr>
          <w:rFonts w:ascii="Arial" w:hAnsi="Arial" w:cs="Arial"/>
          <w:b/>
          <w:bCs/>
          <w:szCs w:val="24"/>
        </w:rPr>
        <w:br w:type="page"/>
      </w:r>
    </w:p>
    <w:p w14:paraId="1A7083FC" w14:textId="5A88DEE1" w:rsidR="00BF0E36" w:rsidRPr="00050F68" w:rsidRDefault="008C333C" w:rsidP="002E1092">
      <w:pPr>
        <w:spacing w:after="120"/>
        <w:jc w:val="center"/>
        <w:rPr>
          <w:rFonts w:ascii="Arial" w:hAnsi="Arial" w:cs="Arial"/>
          <w:b/>
          <w:bCs/>
          <w:caps/>
          <w:szCs w:val="24"/>
        </w:rPr>
      </w:pPr>
      <w:r>
        <w:rPr>
          <w:rFonts w:ascii="Arial" w:hAnsi="Arial" w:cs="Arial"/>
          <w:b/>
          <w:bCs/>
          <w:caps/>
          <w:szCs w:val="24"/>
        </w:rPr>
        <w:lastRenderedPageBreak/>
        <w:t>PUBLIC HEALTH AMENDMENT BILL 2021</w:t>
      </w:r>
    </w:p>
    <w:p w14:paraId="69842CE4" w14:textId="77777777" w:rsidR="006431CF" w:rsidRPr="00050F68" w:rsidRDefault="006431CF" w:rsidP="0088781C">
      <w:pPr>
        <w:pStyle w:val="Title"/>
        <w:rPr>
          <w:rFonts w:ascii="Arial" w:hAnsi="Arial" w:cs="Arial"/>
          <w:sz w:val="24"/>
          <w:szCs w:val="24"/>
        </w:rPr>
      </w:pPr>
      <w:bookmarkStart w:id="0" w:name="_Toc426711258"/>
      <w:bookmarkStart w:id="1" w:name="_Toc429052821"/>
      <w:bookmarkStart w:id="2" w:name="_Toc84944954"/>
      <w:r w:rsidRPr="00050F68">
        <w:rPr>
          <w:rFonts w:ascii="Arial" w:hAnsi="Arial" w:cs="Arial"/>
          <w:sz w:val="24"/>
          <w:szCs w:val="24"/>
        </w:rPr>
        <w:t>Outline</w:t>
      </w:r>
      <w:bookmarkEnd w:id="0"/>
      <w:bookmarkEnd w:id="1"/>
      <w:bookmarkEnd w:id="2"/>
    </w:p>
    <w:p w14:paraId="12601698" w14:textId="4B2EF83B" w:rsidR="001417B3" w:rsidRPr="001417B3" w:rsidRDefault="00326167">
      <w:pPr>
        <w:pStyle w:val="TOC1"/>
        <w:tabs>
          <w:tab w:val="right" w:leader="dot" w:pos="9016"/>
        </w:tabs>
        <w:rPr>
          <w:rFonts w:ascii="Arial" w:eastAsiaTheme="minorEastAsia" w:hAnsi="Arial" w:cs="Arial"/>
          <w:noProof/>
          <w:sz w:val="22"/>
          <w:lang w:eastAsia="en-AU"/>
        </w:rPr>
      </w:pPr>
      <w:r w:rsidRPr="001417B3">
        <w:rPr>
          <w:rFonts w:ascii="Arial" w:hAnsi="Arial" w:cs="Arial"/>
          <w:szCs w:val="24"/>
        </w:rPr>
        <w:fldChar w:fldCharType="begin"/>
      </w:r>
      <w:r w:rsidR="00AC5B87" w:rsidRPr="001417B3">
        <w:rPr>
          <w:rFonts w:ascii="Arial" w:hAnsi="Arial" w:cs="Arial"/>
          <w:szCs w:val="24"/>
        </w:rPr>
        <w:instrText xml:space="preserve"> TOC \o "1-3" \h \z \u </w:instrText>
      </w:r>
      <w:r w:rsidRPr="001417B3">
        <w:rPr>
          <w:rFonts w:ascii="Arial" w:hAnsi="Arial" w:cs="Arial"/>
          <w:szCs w:val="24"/>
        </w:rPr>
        <w:fldChar w:fldCharType="separate"/>
      </w:r>
      <w:hyperlink w:anchor="_Toc84944954" w:history="1">
        <w:r w:rsidR="001417B3" w:rsidRPr="001417B3">
          <w:rPr>
            <w:rStyle w:val="Hyperlink"/>
            <w:rFonts w:ascii="Arial" w:hAnsi="Arial" w:cs="Arial"/>
            <w:noProof/>
          </w:rPr>
          <w:t>Outline</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_Toc84944954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1</w:t>
        </w:r>
        <w:r w:rsidR="001417B3" w:rsidRPr="001417B3">
          <w:rPr>
            <w:rFonts w:ascii="Arial" w:hAnsi="Arial" w:cs="Arial"/>
            <w:noProof/>
            <w:webHidden/>
          </w:rPr>
          <w:fldChar w:fldCharType="end"/>
        </w:r>
      </w:hyperlink>
    </w:p>
    <w:p w14:paraId="0B4F9279" w14:textId="07F42372" w:rsidR="001417B3" w:rsidRPr="001417B3" w:rsidRDefault="00D904B5">
      <w:pPr>
        <w:pStyle w:val="TOC2"/>
        <w:tabs>
          <w:tab w:val="right" w:leader="dot" w:pos="9016"/>
        </w:tabs>
        <w:rPr>
          <w:rFonts w:ascii="Arial" w:eastAsiaTheme="minorEastAsia" w:hAnsi="Arial" w:cs="Arial"/>
          <w:noProof/>
          <w:sz w:val="22"/>
          <w:lang w:eastAsia="en-AU"/>
        </w:rPr>
      </w:pPr>
      <w:hyperlink w:anchor="_Toc84944955" w:history="1">
        <w:r w:rsidR="001417B3" w:rsidRPr="001417B3">
          <w:rPr>
            <w:rStyle w:val="Hyperlink"/>
            <w:rFonts w:ascii="Arial" w:hAnsi="Arial" w:cs="Arial"/>
            <w:caps/>
            <w:noProof/>
          </w:rPr>
          <w:t>public health amendment bill 2021</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_Toc84944955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2</w:t>
        </w:r>
        <w:r w:rsidR="001417B3" w:rsidRPr="001417B3">
          <w:rPr>
            <w:rFonts w:ascii="Arial" w:hAnsi="Arial" w:cs="Arial"/>
            <w:noProof/>
            <w:webHidden/>
          </w:rPr>
          <w:fldChar w:fldCharType="end"/>
        </w:r>
      </w:hyperlink>
    </w:p>
    <w:p w14:paraId="06B2E9DA" w14:textId="0C8B58E3" w:rsidR="001417B3" w:rsidRPr="001417B3" w:rsidRDefault="00D904B5">
      <w:pPr>
        <w:pStyle w:val="TOC2"/>
        <w:tabs>
          <w:tab w:val="right" w:leader="dot" w:pos="9016"/>
        </w:tabs>
        <w:rPr>
          <w:rFonts w:ascii="Arial" w:eastAsiaTheme="minorEastAsia" w:hAnsi="Arial" w:cs="Arial"/>
          <w:noProof/>
          <w:sz w:val="22"/>
          <w:lang w:eastAsia="en-AU"/>
        </w:rPr>
      </w:pPr>
      <w:hyperlink w:anchor="_Toc84944956" w:history="1">
        <w:r w:rsidR="001417B3" w:rsidRPr="001417B3">
          <w:rPr>
            <w:rStyle w:val="Hyperlink"/>
            <w:rFonts w:ascii="Arial" w:hAnsi="Arial" w:cs="Arial"/>
            <w:noProof/>
          </w:rPr>
          <w:t>BACKGROUND</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_Toc84944956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2</w:t>
        </w:r>
        <w:r w:rsidR="001417B3" w:rsidRPr="001417B3">
          <w:rPr>
            <w:rFonts w:ascii="Arial" w:hAnsi="Arial" w:cs="Arial"/>
            <w:noProof/>
            <w:webHidden/>
          </w:rPr>
          <w:fldChar w:fldCharType="end"/>
        </w:r>
      </w:hyperlink>
    </w:p>
    <w:p w14:paraId="18C20506" w14:textId="53DAC0F3" w:rsidR="001417B3" w:rsidRPr="001417B3" w:rsidRDefault="00D904B5">
      <w:pPr>
        <w:pStyle w:val="TOC2"/>
        <w:tabs>
          <w:tab w:val="right" w:leader="dot" w:pos="9016"/>
        </w:tabs>
        <w:rPr>
          <w:rFonts w:ascii="Arial" w:eastAsiaTheme="minorEastAsia" w:hAnsi="Arial" w:cs="Arial"/>
          <w:noProof/>
          <w:sz w:val="22"/>
          <w:lang w:eastAsia="en-AU"/>
        </w:rPr>
      </w:pPr>
      <w:hyperlink w:anchor="_Toc84944957" w:history="1">
        <w:r w:rsidR="001417B3" w:rsidRPr="001417B3">
          <w:rPr>
            <w:rStyle w:val="Hyperlink"/>
            <w:rFonts w:ascii="Arial" w:hAnsi="Arial" w:cs="Arial"/>
            <w:noProof/>
          </w:rPr>
          <w:t>OVERVIEW OF THE BILL</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_Toc84944957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2</w:t>
        </w:r>
        <w:r w:rsidR="001417B3" w:rsidRPr="001417B3">
          <w:rPr>
            <w:rFonts w:ascii="Arial" w:hAnsi="Arial" w:cs="Arial"/>
            <w:noProof/>
            <w:webHidden/>
          </w:rPr>
          <w:fldChar w:fldCharType="end"/>
        </w:r>
      </w:hyperlink>
    </w:p>
    <w:p w14:paraId="66476CD4" w14:textId="427AEF99" w:rsidR="001417B3" w:rsidRPr="001417B3" w:rsidRDefault="00D904B5">
      <w:pPr>
        <w:pStyle w:val="TOC2"/>
        <w:tabs>
          <w:tab w:val="right" w:leader="dot" w:pos="9016"/>
        </w:tabs>
        <w:rPr>
          <w:rFonts w:ascii="Arial" w:eastAsiaTheme="minorEastAsia" w:hAnsi="Arial" w:cs="Arial"/>
          <w:noProof/>
          <w:sz w:val="22"/>
          <w:lang w:eastAsia="en-AU"/>
        </w:rPr>
      </w:pPr>
      <w:hyperlink w:anchor="_Toc84944958" w:history="1">
        <w:r w:rsidR="001417B3" w:rsidRPr="001417B3">
          <w:rPr>
            <w:rStyle w:val="Hyperlink"/>
            <w:rFonts w:ascii="Arial" w:hAnsi="Arial" w:cs="Arial"/>
            <w:noProof/>
          </w:rPr>
          <w:t>CONSULTATION ON THE PROPOSED APPROACH</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_Toc84944958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4</w:t>
        </w:r>
        <w:r w:rsidR="001417B3" w:rsidRPr="001417B3">
          <w:rPr>
            <w:rFonts w:ascii="Arial" w:hAnsi="Arial" w:cs="Arial"/>
            <w:noProof/>
            <w:webHidden/>
          </w:rPr>
          <w:fldChar w:fldCharType="end"/>
        </w:r>
      </w:hyperlink>
    </w:p>
    <w:p w14:paraId="5D26DCF4" w14:textId="1B29387F" w:rsidR="001417B3" w:rsidRPr="001417B3" w:rsidRDefault="00D904B5">
      <w:pPr>
        <w:pStyle w:val="TOC2"/>
        <w:tabs>
          <w:tab w:val="right" w:leader="dot" w:pos="9016"/>
        </w:tabs>
        <w:rPr>
          <w:rFonts w:ascii="Arial" w:eastAsiaTheme="minorEastAsia" w:hAnsi="Arial" w:cs="Arial"/>
          <w:noProof/>
          <w:sz w:val="22"/>
          <w:lang w:eastAsia="en-AU"/>
        </w:rPr>
      </w:pPr>
      <w:hyperlink w:anchor="_Toc84944959" w:history="1">
        <w:r w:rsidR="001417B3" w:rsidRPr="001417B3">
          <w:rPr>
            <w:rStyle w:val="Hyperlink"/>
            <w:rFonts w:ascii="Arial" w:hAnsi="Arial" w:cs="Arial"/>
            <w:noProof/>
          </w:rPr>
          <w:t>CONSISTENCY WITH HUMAN RIGHTS</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_Toc84944959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4</w:t>
        </w:r>
        <w:r w:rsidR="001417B3" w:rsidRPr="001417B3">
          <w:rPr>
            <w:rFonts w:ascii="Arial" w:hAnsi="Arial" w:cs="Arial"/>
            <w:noProof/>
            <w:webHidden/>
          </w:rPr>
          <w:fldChar w:fldCharType="end"/>
        </w:r>
      </w:hyperlink>
    </w:p>
    <w:p w14:paraId="36F7519C" w14:textId="5A70215F" w:rsidR="001417B3" w:rsidRPr="001417B3" w:rsidRDefault="00D904B5">
      <w:pPr>
        <w:pStyle w:val="TOC1"/>
        <w:tabs>
          <w:tab w:val="right" w:leader="dot" w:pos="9016"/>
        </w:tabs>
        <w:rPr>
          <w:rFonts w:ascii="Arial" w:eastAsiaTheme="minorEastAsia" w:hAnsi="Arial" w:cs="Arial"/>
          <w:noProof/>
          <w:sz w:val="22"/>
          <w:lang w:eastAsia="en-AU"/>
        </w:rPr>
      </w:pPr>
      <w:hyperlink w:anchor="_Toc84944960" w:history="1">
        <w:r w:rsidR="001417B3" w:rsidRPr="001417B3">
          <w:rPr>
            <w:rStyle w:val="Hyperlink"/>
            <w:rFonts w:ascii="Arial" w:hAnsi="Arial" w:cs="Arial"/>
            <w:noProof/>
            <w:lang w:eastAsia="en-AU"/>
          </w:rPr>
          <w:t>Detail</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_Toc84944960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8</w:t>
        </w:r>
        <w:r w:rsidR="001417B3" w:rsidRPr="001417B3">
          <w:rPr>
            <w:rFonts w:ascii="Arial" w:hAnsi="Arial" w:cs="Arial"/>
            <w:noProof/>
            <w:webHidden/>
          </w:rPr>
          <w:fldChar w:fldCharType="end"/>
        </w:r>
      </w:hyperlink>
    </w:p>
    <w:p w14:paraId="4902A6C3" w14:textId="706538AD" w:rsidR="001417B3" w:rsidRPr="001417B3" w:rsidRDefault="00D904B5">
      <w:pPr>
        <w:pStyle w:val="TOC1"/>
        <w:tabs>
          <w:tab w:val="right" w:leader="dot" w:pos="9016"/>
        </w:tabs>
        <w:rPr>
          <w:rFonts w:ascii="Arial" w:eastAsiaTheme="minorEastAsia" w:hAnsi="Arial" w:cs="Arial"/>
          <w:noProof/>
          <w:sz w:val="22"/>
          <w:lang w:eastAsia="en-AU"/>
        </w:rPr>
      </w:pPr>
      <w:hyperlink w:anchor="_Toc84944961" w:history="1">
        <w:r w:rsidR="001417B3" w:rsidRPr="001417B3">
          <w:rPr>
            <w:rStyle w:val="Hyperlink"/>
            <w:rFonts w:ascii="Arial" w:hAnsi="Arial" w:cs="Arial"/>
            <w:noProof/>
            <w:lang w:eastAsia="en-AU"/>
          </w:rPr>
          <w:t>Schedule 1 – Other amendments</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_Toc84944961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10</w:t>
        </w:r>
        <w:r w:rsidR="001417B3" w:rsidRPr="001417B3">
          <w:rPr>
            <w:rFonts w:ascii="Arial" w:hAnsi="Arial" w:cs="Arial"/>
            <w:noProof/>
            <w:webHidden/>
          </w:rPr>
          <w:fldChar w:fldCharType="end"/>
        </w:r>
      </w:hyperlink>
    </w:p>
    <w:p w14:paraId="05C45F8F" w14:textId="489648AE" w:rsidR="001417B3" w:rsidRPr="001417B3" w:rsidRDefault="00D904B5">
      <w:pPr>
        <w:pStyle w:val="TOC3"/>
        <w:tabs>
          <w:tab w:val="right" w:leader="dot" w:pos="9016"/>
        </w:tabs>
        <w:rPr>
          <w:rFonts w:ascii="Arial" w:eastAsiaTheme="minorEastAsia" w:hAnsi="Arial" w:cs="Arial"/>
          <w:noProof/>
          <w:sz w:val="22"/>
          <w:lang w:eastAsia="en-AU"/>
        </w:rPr>
      </w:pPr>
      <w:hyperlink w:anchor="_Toc84944962" w:history="1">
        <w:r w:rsidR="001417B3" w:rsidRPr="001417B3">
          <w:rPr>
            <w:rStyle w:val="Hyperlink"/>
            <w:rFonts w:ascii="Arial" w:hAnsi="Arial" w:cs="Arial"/>
            <w:noProof/>
          </w:rPr>
          <w:t xml:space="preserve">Part 1.1 – </w:t>
        </w:r>
        <w:r w:rsidR="001417B3" w:rsidRPr="001417B3">
          <w:rPr>
            <w:rStyle w:val="Hyperlink"/>
            <w:rFonts w:ascii="Arial" w:hAnsi="Arial" w:cs="Arial"/>
            <w:noProof/>
            <w:lang w:eastAsia="en-AU"/>
          </w:rPr>
          <w:t>Magistrates Court (Public Health (COVID-19) Infringement Notices) Regulation 2020</w:t>
        </w:r>
        <w:r w:rsidR="001417B3" w:rsidRPr="001417B3">
          <w:rPr>
            <w:rFonts w:ascii="Arial" w:hAnsi="Arial" w:cs="Arial"/>
            <w:noProof/>
            <w:webHidden/>
          </w:rPr>
          <w:tab/>
        </w:r>
        <w:r w:rsidR="001417B3" w:rsidRPr="001417B3">
          <w:rPr>
            <w:rFonts w:ascii="Arial" w:hAnsi="Arial" w:cs="Arial"/>
            <w:noProof/>
            <w:webHidden/>
          </w:rPr>
          <w:fldChar w:fldCharType="begin"/>
        </w:r>
        <w:r w:rsidR="001417B3" w:rsidRPr="001417B3">
          <w:rPr>
            <w:rFonts w:ascii="Arial" w:hAnsi="Arial" w:cs="Arial"/>
            <w:noProof/>
            <w:webHidden/>
          </w:rPr>
          <w:instrText xml:space="preserve"> PAGEREF _Toc84944962 \h </w:instrText>
        </w:r>
        <w:r w:rsidR="001417B3" w:rsidRPr="001417B3">
          <w:rPr>
            <w:rFonts w:ascii="Arial" w:hAnsi="Arial" w:cs="Arial"/>
            <w:noProof/>
            <w:webHidden/>
          </w:rPr>
        </w:r>
        <w:r w:rsidR="001417B3" w:rsidRPr="001417B3">
          <w:rPr>
            <w:rFonts w:ascii="Arial" w:hAnsi="Arial" w:cs="Arial"/>
            <w:noProof/>
            <w:webHidden/>
          </w:rPr>
          <w:fldChar w:fldCharType="separate"/>
        </w:r>
        <w:r w:rsidR="007E6DD9">
          <w:rPr>
            <w:rFonts w:ascii="Arial" w:hAnsi="Arial" w:cs="Arial"/>
            <w:noProof/>
            <w:webHidden/>
          </w:rPr>
          <w:t>10</w:t>
        </w:r>
        <w:r w:rsidR="001417B3" w:rsidRPr="001417B3">
          <w:rPr>
            <w:rFonts w:ascii="Arial" w:hAnsi="Arial" w:cs="Arial"/>
            <w:noProof/>
            <w:webHidden/>
          </w:rPr>
          <w:fldChar w:fldCharType="end"/>
        </w:r>
      </w:hyperlink>
    </w:p>
    <w:p w14:paraId="314FFBD4" w14:textId="5992A6D2" w:rsidR="00AC5B87" w:rsidRPr="001417B3" w:rsidRDefault="00326167" w:rsidP="00AC5B87">
      <w:pPr>
        <w:rPr>
          <w:rFonts w:ascii="Arial" w:hAnsi="Arial" w:cs="Arial"/>
          <w:szCs w:val="24"/>
        </w:rPr>
      </w:pPr>
      <w:r w:rsidRPr="001417B3">
        <w:rPr>
          <w:rFonts w:ascii="Arial" w:hAnsi="Arial" w:cs="Arial"/>
          <w:szCs w:val="24"/>
        </w:rPr>
        <w:fldChar w:fldCharType="end"/>
      </w:r>
    </w:p>
    <w:p w14:paraId="306EEBDF" w14:textId="77777777" w:rsidR="0051718C" w:rsidRPr="001417B3" w:rsidRDefault="00AC5B87" w:rsidP="002E1092">
      <w:pPr>
        <w:pStyle w:val="Heading2"/>
        <w:spacing w:after="120"/>
        <w:rPr>
          <w:rFonts w:ascii="Arial" w:hAnsi="Arial" w:cs="Arial"/>
          <w:szCs w:val="24"/>
        </w:rPr>
      </w:pPr>
      <w:bookmarkStart w:id="3" w:name="_Toc426711259"/>
      <w:bookmarkStart w:id="4" w:name="_Toc429052822"/>
      <w:r w:rsidRPr="001417B3">
        <w:rPr>
          <w:rFonts w:ascii="Arial" w:hAnsi="Arial" w:cs="Arial"/>
          <w:szCs w:val="24"/>
        </w:rPr>
        <w:br w:type="page"/>
      </w:r>
    </w:p>
    <w:p w14:paraId="5671B9AA" w14:textId="75086324" w:rsidR="0051718C" w:rsidRPr="008C333C" w:rsidRDefault="008C333C" w:rsidP="0051718C">
      <w:pPr>
        <w:pStyle w:val="Heading2"/>
        <w:spacing w:after="120"/>
        <w:jc w:val="center"/>
        <w:rPr>
          <w:rFonts w:ascii="Arial" w:eastAsia="Calibri" w:hAnsi="Arial" w:cs="Arial"/>
          <w:iCs w:val="0"/>
          <w:szCs w:val="24"/>
          <w:u w:val="none"/>
        </w:rPr>
      </w:pPr>
      <w:bookmarkStart w:id="5" w:name="_Toc84944955"/>
      <w:r w:rsidRPr="008C333C">
        <w:rPr>
          <w:rFonts w:ascii="Arial" w:hAnsi="Arial" w:cs="Arial"/>
          <w:caps/>
          <w:szCs w:val="24"/>
        </w:rPr>
        <w:lastRenderedPageBreak/>
        <w:t>public health amendment bill 2021</w:t>
      </w:r>
      <w:bookmarkEnd w:id="5"/>
    </w:p>
    <w:p w14:paraId="15C4153C" w14:textId="3A9E0744" w:rsidR="0051718C" w:rsidRPr="00050F68" w:rsidRDefault="0051718C" w:rsidP="0051718C">
      <w:pPr>
        <w:rPr>
          <w:rFonts w:ascii="Arial" w:hAnsi="Arial" w:cs="Arial"/>
          <w:szCs w:val="24"/>
        </w:rPr>
      </w:pPr>
      <w:r w:rsidRPr="00050F68">
        <w:rPr>
          <w:rFonts w:ascii="Arial" w:hAnsi="Arial" w:cs="Arial"/>
          <w:szCs w:val="24"/>
        </w:rPr>
        <w:t xml:space="preserve">The Bill </w:t>
      </w:r>
      <w:r w:rsidR="008C333C">
        <w:rPr>
          <w:rFonts w:ascii="Arial" w:hAnsi="Arial" w:cs="Arial"/>
          <w:szCs w:val="24"/>
        </w:rPr>
        <w:t>is</w:t>
      </w:r>
      <w:r w:rsidRPr="00050F68">
        <w:rPr>
          <w:rFonts w:ascii="Arial" w:hAnsi="Arial" w:cs="Arial"/>
          <w:szCs w:val="24"/>
        </w:rPr>
        <w:t xml:space="preserve"> a Significant Bill. Significant Bills are bills that have been assessed as likely to have significant engagement of human rights and require more detailed reasoning in relation to compatibility with the </w:t>
      </w:r>
      <w:r w:rsidRPr="008C333C">
        <w:rPr>
          <w:rFonts w:ascii="Arial" w:hAnsi="Arial" w:cs="Arial"/>
          <w:i/>
          <w:iCs/>
          <w:szCs w:val="24"/>
        </w:rPr>
        <w:t>Human Rights Act 2004.</w:t>
      </w:r>
    </w:p>
    <w:p w14:paraId="3E0537E5" w14:textId="77777777" w:rsidR="008C333C" w:rsidRDefault="008C333C" w:rsidP="002E1092">
      <w:pPr>
        <w:pStyle w:val="Heading2"/>
        <w:spacing w:after="120"/>
        <w:rPr>
          <w:rFonts w:ascii="Arial" w:hAnsi="Arial" w:cs="Arial"/>
          <w:szCs w:val="24"/>
          <w:u w:val="none"/>
        </w:rPr>
      </w:pPr>
      <w:bookmarkStart w:id="6" w:name="_Toc84944956"/>
      <w:bookmarkEnd w:id="3"/>
      <w:bookmarkEnd w:id="4"/>
      <w:r>
        <w:rPr>
          <w:rFonts w:ascii="Arial" w:hAnsi="Arial" w:cs="Arial"/>
          <w:szCs w:val="24"/>
          <w:u w:val="none"/>
        </w:rPr>
        <w:t>BACKGROUND</w:t>
      </w:r>
      <w:bookmarkEnd w:id="6"/>
      <w:r>
        <w:rPr>
          <w:rFonts w:ascii="Arial" w:hAnsi="Arial" w:cs="Arial"/>
          <w:szCs w:val="24"/>
          <w:u w:val="none"/>
        </w:rPr>
        <w:t xml:space="preserve"> </w:t>
      </w:r>
    </w:p>
    <w:p w14:paraId="4AD6BC9D" w14:textId="57BF602C" w:rsidR="00F77BD3" w:rsidRPr="004008B5" w:rsidRDefault="00F77BD3" w:rsidP="004008B5">
      <w:pPr>
        <w:rPr>
          <w:rFonts w:ascii="Arial" w:hAnsi="Arial" w:cs="Arial"/>
        </w:rPr>
      </w:pPr>
      <w:r w:rsidRPr="004008B5">
        <w:rPr>
          <w:rFonts w:ascii="Arial" w:hAnsi="Arial" w:cs="Arial"/>
        </w:rPr>
        <w:t>In December 2019, China reported cases of a viral pneumonia caused by a previously unknown pathogen in Wuhan City, in the Hubei Province of China. The</w:t>
      </w:r>
      <w:r w:rsidR="001675F7">
        <w:rPr>
          <w:rFonts w:ascii="Arial" w:hAnsi="Arial" w:cs="Arial"/>
        </w:rPr>
        <w:t> </w:t>
      </w:r>
      <w:r w:rsidRPr="004008B5">
        <w:rPr>
          <w:rFonts w:ascii="Arial" w:hAnsi="Arial" w:cs="Arial"/>
        </w:rPr>
        <w:t>pathogen was identified as a novel coronavirus genetically related to the virus that caused the outbreak of Severe Acute Respiratory Syndrome in 2003. The new strain of coronavirus is called SARS-CoV-2 and the disease it causes is called COVID-19. COVID-19 spread</w:t>
      </w:r>
      <w:r w:rsidR="00F7173E">
        <w:rPr>
          <w:rFonts w:ascii="Arial" w:hAnsi="Arial" w:cs="Arial"/>
        </w:rPr>
        <w:t>s</w:t>
      </w:r>
      <w:r w:rsidRPr="004008B5">
        <w:rPr>
          <w:rFonts w:ascii="Arial" w:hAnsi="Arial" w:cs="Arial"/>
        </w:rPr>
        <w:t xml:space="preserve"> from person-to-person contact. </w:t>
      </w:r>
    </w:p>
    <w:p w14:paraId="2B0EB2B8" w14:textId="77777777" w:rsidR="00F77BD3" w:rsidRPr="004008B5" w:rsidRDefault="00F77BD3" w:rsidP="004008B5">
      <w:pPr>
        <w:rPr>
          <w:rFonts w:ascii="Arial" w:hAnsi="Arial" w:cs="Arial"/>
        </w:rPr>
      </w:pPr>
      <w:r w:rsidRPr="004008B5">
        <w:rPr>
          <w:rFonts w:ascii="Arial" w:hAnsi="Arial" w:cs="Arial"/>
        </w:rPr>
        <w:t>On 30 January 2020, the Director-General of the World Health Organisation (WHO) declared the outbreak of COVID-19 a Public Health Emergency of International Concern. On 11 March 2020, the Director-General of the WHO declared COVID-19 a global pandemic. The WHO requested that every country urgently take necessary measures to ready emergency response systems.</w:t>
      </w:r>
    </w:p>
    <w:p w14:paraId="6DEB14F5" w14:textId="77777777" w:rsidR="00F77BD3" w:rsidRPr="004008B5" w:rsidRDefault="00F77BD3" w:rsidP="004008B5">
      <w:pPr>
        <w:rPr>
          <w:rFonts w:ascii="Arial" w:hAnsi="Arial" w:cs="Arial"/>
        </w:rPr>
      </w:pPr>
      <w:r w:rsidRPr="004008B5">
        <w:rPr>
          <w:rFonts w:ascii="Arial" w:hAnsi="Arial" w:cs="Arial"/>
        </w:rPr>
        <w:t xml:space="preserve">On 16 March 2020, the Minister for Health declared a public health emergency under section 119 of the </w:t>
      </w:r>
      <w:r w:rsidRPr="004008B5">
        <w:rPr>
          <w:rFonts w:ascii="Arial" w:hAnsi="Arial" w:cs="Arial"/>
          <w:i/>
          <w:iCs/>
        </w:rPr>
        <w:t>Public Health Act 1997</w:t>
      </w:r>
      <w:r w:rsidRPr="004008B5">
        <w:rPr>
          <w:rFonts w:ascii="Arial" w:hAnsi="Arial" w:cs="Arial"/>
        </w:rPr>
        <w:t xml:space="preserve"> (the Act) due to the public health risk to the ACT community posed by COVID-19. This declaration has been extended numerous times, most recently until 14 November 2021.</w:t>
      </w:r>
    </w:p>
    <w:p w14:paraId="647CCAEE" w14:textId="352200AA" w:rsidR="0030585F" w:rsidRPr="00050F68" w:rsidRDefault="00050F68" w:rsidP="002E1092">
      <w:pPr>
        <w:pStyle w:val="Heading2"/>
        <w:spacing w:after="120"/>
        <w:rPr>
          <w:rFonts w:ascii="Arial" w:hAnsi="Arial" w:cs="Arial"/>
          <w:szCs w:val="24"/>
          <w:u w:val="none"/>
        </w:rPr>
      </w:pPr>
      <w:bookmarkStart w:id="7" w:name="_Toc84944957"/>
      <w:r>
        <w:rPr>
          <w:rFonts w:ascii="Arial" w:hAnsi="Arial" w:cs="Arial"/>
          <w:szCs w:val="24"/>
          <w:u w:val="none"/>
        </w:rPr>
        <w:t>OVERVIEW OF THE BILL</w:t>
      </w:r>
      <w:bookmarkEnd w:id="7"/>
    </w:p>
    <w:p w14:paraId="5EEB8C80" w14:textId="63D958CA" w:rsidR="00573124" w:rsidRPr="00573124" w:rsidRDefault="00306F18" w:rsidP="00A363CB">
      <w:pPr>
        <w:autoSpaceDE w:val="0"/>
        <w:autoSpaceDN w:val="0"/>
        <w:adjustRightInd w:val="0"/>
        <w:spacing w:before="240" w:after="120"/>
        <w:rPr>
          <w:rFonts w:ascii="Arial" w:hAnsi="Arial" w:cs="Arial"/>
          <w:i/>
          <w:iCs/>
          <w:szCs w:val="24"/>
        </w:rPr>
      </w:pPr>
      <w:r>
        <w:rPr>
          <w:rFonts w:ascii="Arial" w:hAnsi="Arial" w:cs="Arial"/>
          <w:szCs w:val="24"/>
        </w:rPr>
        <w:t>Pursuant to section 120 (1) of the Act, while an emergency declaration is in force, the Chief Health Officer may take any action, or give any direction, they consider to be necessary or desirable to alleviate the emergency specified in the declaration. It</w:t>
      </w:r>
      <w:r w:rsidR="001675F7">
        <w:rPr>
          <w:rFonts w:ascii="Arial" w:hAnsi="Arial" w:cs="Arial"/>
          <w:szCs w:val="24"/>
        </w:rPr>
        <w:t> </w:t>
      </w:r>
      <w:r>
        <w:rPr>
          <w:rFonts w:ascii="Arial" w:hAnsi="Arial" w:cs="Arial"/>
          <w:szCs w:val="24"/>
        </w:rPr>
        <w:t xml:space="preserve">is an offence pursuant to section 120 (4) of the Act </w:t>
      </w:r>
      <w:r w:rsidR="00F2199A">
        <w:rPr>
          <w:rFonts w:ascii="Arial" w:hAnsi="Arial" w:cs="Arial"/>
          <w:szCs w:val="24"/>
        </w:rPr>
        <w:t>to fail to comply with a direction without reasonable excuse.</w:t>
      </w:r>
      <w:r w:rsidR="00CA44B0">
        <w:rPr>
          <w:rFonts w:ascii="Arial" w:hAnsi="Arial" w:cs="Arial"/>
          <w:szCs w:val="24"/>
        </w:rPr>
        <w:t xml:space="preserve"> </w:t>
      </w:r>
      <w:r w:rsidR="00E87F6A">
        <w:rPr>
          <w:rFonts w:ascii="Arial" w:hAnsi="Arial" w:cs="Arial"/>
          <w:szCs w:val="24"/>
        </w:rPr>
        <w:t xml:space="preserve">Since March 2020, the Chief Health Officer has made a broad range of directions under section 120 (1) of the Act to introduce necessary measures to alleviate the COVID-19 emergency. </w:t>
      </w:r>
    </w:p>
    <w:p w14:paraId="2B821064" w14:textId="3EE69329" w:rsidR="00CA44B0" w:rsidRDefault="00CA44B0" w:rsidP="00C77051">
      <w:pPr>
        <w:autoSpaceDE w:val="0"/>
        <w:autoSpaceDN w:val="0"/>
        <w:adjustRightInd w:val="0"/>
        <w:spacing w:before="240" w:after="120"/>
        <w:rPr>
          <w:rFonts w:ascii="Arial" w:hAnsi="Arial" w:cs="Arial"/>
          <w:szCs w:val="24"/>
        </w:rPr>
      </w:pPr>
      <w:r w:rsidRPr="003128E2">
        <w:rPr>
          <w:rFonts w:ascii="Arial" w:hAnsi="Arial" w:cs="Arial"/>
          <w:szCs w:val="24"/>
        </w:rPr>
        <w:t>T</w:t>
      </w:r>
      <w:r w:rsidR="00C77051" w:rsidRPr="003128E2">
        <w:rPr>
          <w:rFonts w:ascii="Arial" w:hAnsi="Arial" w:cs="Arial"/>
          <w:szCs w:val="24"/>
        </w:rPr>
        <w:t xml:space="preserve">he </w:t>
      </w:r>
      <w:r w:rsidR="00F2199A" w:rsidRPr="003128E2">
        <w:rPr>
          <w:rFonts w:ascii="Arial" w:hAnsi="Arial" w:cs="Arial"/>
          <w:szCs w:val="24"/>
        </w:rPr>
        <w:t xml:space="preserve">Bill creates </w:t>
      </w:r>
      <w:r w:rsidR="007C100A" w:rsidRPr="003128E2">
        <w:rPr>
          <w:rFonts w:ascii="Arial" w:hAnsi="Arial" w:cs="Arial"/>
          <w:szCs w:val="24"/>
        </w:rPr>
        <w:t>a</w:t>
      </w:r>
      <w:r w:rsidR="00F2199A" w:rsidRPr="003128E2">
        <w:rPr>
          <w:rFonts w:ascii="Arial" w:hAnsi="Arial" w:cs="Arial"/>
          <w:szCs w:val="24"/>
        </w:rPr>
        <w:t xml:space="preserve"> new temporary offence</w:t>
      </w:r>
      <w:r w:rsidR="007C100A" w:rsidRPr="003128E2">
        <w:rPr>
          <w:rFonts w:ascii="Arial" w:hAnsi="Arial" w:cs="Arial"/>
          <w:szCs w:val="24"/>
        </w:rPr>
        <w:t xml:space="preserve"> </w:t>
      </w:r>
      <w:r w:rsidR="00F2199A" w:rsidRPr="003128E2">
        <w:rPr>
          <w:rFonts w:ascii="Arial" w:hAnsi="Arial" w:cs="Arial"/>
          <w:szCs w:val="24"/>
        </w:rPr>
        <w:t>in section 120</w:t>
      </w:r>
      <w:r w:rsidR="007C100A" w:rsidRPr="003128E2">
        <w:rPr>
          <w:rFonts w:ascii="Arial" w:hAnsi="Arial" w:cs="Arial"/>
          <w:szCs w:val="24"/>
        </w:rPr>
        <w:t>B</w:t>
      </w:r>
      <w:r w:rsidRPr="003128E2">
        <w:rPr>
          <w:rFonts w:ascii="Arial" w:hAnsi="Arial" w:cs="Arial"/>
          <w:szCs w:val="24"/>
        </w:rPr>
        <w:t xml:space="preserve"> (</w:t>
      </w:r>
      <w:r w:rsidR="007C100A" w:rsidRPr="003128E2">
        <w:rPr>
          <w:rFonts w:ascii="Arial" w:hAnsi="Arial" w:cs="Arial"/>
          <w:szCs w:val="24"/>
        </w:rPr>
        <w:t>1</w:t>
      </w:r>
      <w:r w:rsidRPr="003128E2">
        <w:rPr>
          <w:rFonts w:ascii="Arial" w:hAnsi="Arial" w:cs="Arial"/>
          <w:szCs w:val="24"/>
        </w:rPr>
        <w:t>)</w:t>
      </w:r>
      <w:r w:rsidR="009347D6">
        <w:rPr>
          <w:rFonts w:ascii="Arial" w:hAnsi="Arial" w:cs="Arial"/>
          <w:szCs w:val="24"/>
        </w:rPr>
        <w:t>. It is an offence</w:t>
      </w:r>
      <w:r w:rsidRPr="003128E2">
        <w:rPr>
          <w:rFonts w:ascii="Arial" w:hAnsi="Arial" w:cs="Arial"/>
          <w:szCs w:val="24"/>
        </w:rPr>
        <w:t xml:space="preserve"> t</w:t>
      </w:r>
      <w:r w:rsidR="003128E2">
        <w:rPr>
          <w:rFonts w:ascii="Arial" w:hAnsi="Arial" w:cs="Arial"/>
          <w:szCs w:val="24"/>
        </w:rPr>
        <w:t xml:space="preserve">o fail to comply with a direction that has been given under section 120 while a COVID-19 declaration is in force. </w:t>
      </w:r>
      <w:r>
        <w:rPr>
          <w:rFonts w:ascii="Arial" w:hAnsi="Arial" w:cs="Arial"/>
          <w:szCs w:val="24"/>
        </w:rPr>
        <w:t xml:space="preserve">Similar to the existing offence in section 120 (4), a maximum penalty of 50 penalty </w:t>
      </w:r>
      <w:r w:rsidR="00996AE2">
        <w:rPr>
          <w:rFonts w:ascii="Arial" w:hAnsi="Arial" w:cs="Arial"/>
          <w:szCs w:val="24"/>
        </w:rPr>
        <w:t>units applies</w:t>
      </w:r>
      <w:r>
        <w:rPr>
          <w:rFonts w:ascii="Arial" w:hAnsi="Arial" w:cs="Arial"/>
          <w:szCs w:val="24"/>
        </w:rPr>
        <w:t xml:space="preserve">. </w:t>
      </w:r>
    </w:p>
    <w:p w14:paraId="123D639C" w14:textId="05B24C01" w:rsidR="00996AE2" w:rsidRDefault="00CA44B0" w:rsidP="00CA44B0">
      <w:pPr>
        <w:autoSpaceDE w:val="0"/>
        <w:autoSpaceDN w:val="0"/>
        <w:adjustRightInd w:val="0"/>
        <w:spacing w:before="240" w:after="120"/>
        <w:rPr>
          <w:rFonts w:ascii="Arial" w:hAnsi="Arial" w:cs="Arial"/>
          <w:szCs w:val="24"/>
        </w:rPr>
      </w:pPr>
      <w:r>
        <w:rPr>
          <w:rFonts w:ascii="Arial" w:hAnsi="Arial" w:cs="Arial"/>
          <w:szCs w:val="24"/>
        </w:rPr>
        <w:t>The Bill clarifies that strict liability applies in relation to the first element</w:t>
      </w:r>
      <w:r w:rsidR="007C100A">
        <w:rPr>
          <w:rFonts w:ascii="Arial" w:hAnsi="Arial" w:cs="Arial"/>
          <w:szCs w:val="24"/>
        </w:rPr>
        <w:t xml:space="preserve"> </w:t>
      </w:r>
      <w:r>
        <w:rPr>
          <w:rFonts w:ascii="Arial" w:hAnsi="Arial" w:cs="Arial"/>
          <w:szCs w:val="24"/>
        </w:rPr>
        <w:t>– that a COVID-19 direction is in force.</w:t>
      </w:r>
      <w:r w:rsidR="00996AE2">
        <w:rPr>
          <w:rFonts w:ascii="Arial" w:hAnsi="Arial" w:cs="Arial"/>
          <w:szCs w:val="24"/>
        </w:rPr>
        <w:t xml:space="preserve"> </w:t>
      </w:r>
      <w:r w:rsidR="00996AE2" w:rsidRPr="00996AE2">
        <w:rPr>
          <w:rFonts w:ascii="Arial" w:hAnsi="Arial" w:cs="Arial"/>
          <w:szCs w:val="24"/>
        </w:rPr>
        <w:t>Applying strict liability mean</w:t>
      </w:r>
      <w:r w:rsidR="00573124">
        <w:rPr>
          <w:rFonts w:ascii="Arial" w:hAnsi="Arial" w:cs="Arial"/>
          <w:szCs w:val="24"/>
        </w:rPr>
        <w:t>s</w:t>
      </w:r>
      <w:r w:rsidR="00996AE2" w:rsidRPr="00996AE2">
        <w:rPr>
          <w:rFonts w:ascii="Arial" w:hAnsi="Arial" w:cs="Arial"/>
          <w:szCs w:val="24"/>
        </w:rPr>
        <w:t xml:space="preserve"> that the prosecution </w:t>
      </w:r>
      <w:r w:rsidR="00E87F6A">
        <w:rPr>
          <w:rFonts w:ascii="Arial" w:hAnsi="Arial" w:cs="Arial"/>
          <w:szCs w:val="24"/>
        </w:rPr>
        <w:t>will</w:t>
      </w:r>
      <w:r w:rsidR="00996AE2" w:rsidRPr="00996AE2">
        <w:rPr>
          <w:rFonts w:ascii="Arial" w:hAnsi="Arial" w:cs="Arial"/>
          <w:szCs w:val="24"/>
        </w:rPr>
        <w:t xml:space="preserve"> not </w:t>
      </w:r>
      <w:r w:rsidR="000B0579">
        <w:rPr>
          <w:rFonts w:ascii="Arial" w:hAnsi="Arial" w:cs="Arial"/>
          <w:szCs w:val="24"/>
        </w:rPr>
        <w:t xml:space="preserve">be </w:t>
      </w:r>
      <w:r w:rsidR="00996AE2" w:rsidRPr="00996AE2">
        <w:rPr>
          <w:rFonts w:ascii="Arial" w:hAnsi="Arial" w:cs="Arial"/>
          <w:szCs w:val="24"/>
        </w:rPr>
        <w:t xml:space="preserve">required </w:t>
      </w:r>
      <w:r w:rsidR="00996AE2">
        <w:rPr>
          <w:rFonts w:ascii="Arial" w:hAnsi="Arial" w:cs="Arial"/>
          <w:szCs w:val="24"/>
        </w:rPr>
        <w:t xml:space="preserve">to establish </w:t>
      </w:r>
      <w:r w:rsidR="00E87F6A">
        <w:rPr>
          <w:rFonts w:ascii="Arial" w:hAnsi="Arial" w:cs="Arial"/>
          <w:szCs w:val="24"/>
        </w:rPr>
        <w:t xml:space="preserve">a fault element in relation to the existence of the direction. </w:t>
      </w:r>
      <w:r w:rsidR="00996AE2">
        <w:rPr>
          <w:rFonts w:ascii="Arial" w:hAnsi="Arial" w:cs="Arial"/>
          <w:szCs w:val="24"/>
        </w:rPr>
        <w:t>As a safeguard</w:t>
      </w:r>
      <w:r w:rsidR="00F7173E">
        <w:rPr>
          <w:rFonts w:ascii="Arial" w:hAnsi="Arial" w:cs="Arial"/>
          <w:szCs w:val="24"/>
        </w:rPr>
        <w:t xml:space="preserve"> to the application of strict liability</w:t>
      </w:r>
      <w:r w:rsidR="00996AE2">
        <w:rPr>
          <w:rFonts w:ascii="Arial" w:hAnsi="Arial" w:cs="Arial"/>
          <w:szCs w:val="24"/>
        </w:rPr>
        <w:t xml:space="preserve">, the amendments include a requirement that </w:t>
      </w:r>
      <w:r w:rsidR="00996AE2" w:rsidRPr="00CA44B0">
        <w:rPr>
          <w:rFonts w:ascii="Arial" w:hAnsi="Arial" w:cs="Arial"/>
          <w:szCs w:val="24"/>
        </w:rPr>
        <w:t>a COVID-19 direction</w:t>
      </w:r>
      <w:r w:rsidR="00D126F3">
        <w:rPr>
          <w:rFonts w:ascii="Arial" w:hAnsi="Arial" w:cs="Arial"/>
          <w:szCs w:val="24"/>
        </w:rPr>
        <w:t xml:space="preserve"> that is not given to a particular person</w:t>
      </w:r>
      <w:r w:rsidR="00996AE2" w:rsidRPr="00CA44B0">
        <w:rPr>
          <w:rFonts w:ascii="Arial" w:hAnsi="Arial" w:cs="Arial"/>
          <w:szCs w:val="24"/>
        </w:rPr>
        <w:t xml:space="preserve"> is a notifiable instrument</w:t>
      </w:r>
      <w:r w:rsidR="00D126F3">
        <w:rPr>
          <w:rFonts w:ascii="Arial" w:hAnsi="Arial" w:cs="Arial"/>
          <w:szCs w:val="24"/>
        </w:rPr>
        <w:t>. This</w:t>
      </w:r>
      <w:r w:rsidR="00996AE2" w:rsidRPr="00CA44B0">
        <w:rPr>
          <w:rFonts w:ascii="Arial" w:hAnsi="Arial" w:cs="Arial"/>
          <w:szCs w:val="24"/>
        </w:rPr>
        <w:t xml:space="preserve"> formalise</w:t>
      </w:r>
      <w:r w:rsidR="00D126F3">
        <w:rPr>
          <w:rFonts w:ascii="Arial" w:hAnsi="Arial" w:cs="Arial"/>
          <w:szCs w:val="24"/>
        </w:rPr>
        <w:t>s</w:t>
      </w:r>
      <w:r w:rsidR="00996AE2" w:rsidRPr="00CA44B0">
        <w:rPr>
          <w:rFonts w:ascii="Arial" w:hAnsi="Arial" w:cs="Arial"/>
          <w:szCs w:val="24"/>
        </w:rPr>
        <w:t xml:space="preserve"> the current practice of notifying directions</w:t>
      </w:r>
      <w:r w:rsidR="00F7173E">
        <w:rPr>
          <w:rFonts w:ascii="Arial" w:hAnsi="Arial" w:cs="Arial"/>
          <w:szCs w:val="24"/>
        </w:rPr>
        <w:t xml:space="preserve"> on </w:t>
      </w:r>
      <w:r w:rsidR="00F7173E">
        <w:rPr>
          <w:rFonts w:ascii="Arial" w:hAnsi="Arial" w:cs="Arial"/>
          <w:szCs w:val="24"/>
        </w:rPr>
        <w:lastRenderedPageBreak/>
        <w:t>the ACT Legislation Register</w:t>
      </w:r>
      <w:r w:rsidR="00996AE2">
        <w:rPr>
          <w:rFonts w:ascii="Arial" w:hAnsi="Arial" w:cs="Arial"/>
          <w:szCs w:val="24"/>
        </w:rPr>
        <w:t xml:space="preserve">. </w:t>
      </w:r>
      <w:r w:rsidR="00573124">
        <w:rPr>
          <w:rFonts w:ascii="Arial" w:hAnsi="Arial" w:cs="Arial"/>
          <w:szCs w:val="24"/>
        </w:rPr>
        <w:t>The Bill also introduces a</w:t>
      </w:r>
      <w:r w:rsidR="00996AE2">
        <w:rPr>
          <w:rFonts w:ascii="Arial" w:hAnsi="Arial" w:cs="Arial"/>
          <w:szCs w:val="24"/>
        </w:rPr>
        <w:t xml:space="preserve"> requirement that</w:t>
      </w:r>
      <w:r w:rsidR="00F7173E">
        <w:rPr>
          <w:rFonts w:ascii="Arial" w:hAnsi="Arial" w:cs="Arial"/>
          <w:szCs w:val="24"/>
        </w:rPr>
        <w:t xml:space="preserve">, before requiring a person to comply with a COVID-19 direction, </w:t>
      </w:r>
      <w:r w:rsidR="00996AE2" w:rsidRPr="00CA44B0">
        <w:rPr>
          <w:rFonts w:ascii="Arial" w:hAnsi="Arial" w:cs="Arial"/>
          <w:szCs w:val="24"/>
        </w:rPr>
        <w:t>an authorised officer</w:t>
      </w:r>
      <w:r w:rsidR="00D126F3">
        <w:rPr>
          <w:rFonts w:ascii="Arial" w:hAnsi="Arial" w:cs="Arial"/>
          <w:szCs w:val="24"/>
        </w:rPr>
        <w:t xml:space="preserve"> must</w:t>
      </w:r>
      <w:r w:rsidR="00996AE2">
        <w:rPr>
          <w:rFonts w:ascii="Arial" w:hAnsi="Arial" w:cs="Arial"/>
          <w:szCs w:val="24"/>
        </w:rPr>
        <w:t>, if reasonably practicable,</w:t>
      </w:r>
      <w:r w:rsidR="00996AE2" w:rsidRPr="00CA44B0">
        <w:rPr>
          <w:rFonts w:ascii="Arial" w:hAnsi="Arial" w:cs="Arial"/>
          <w:szCs w:val="24"/>
        </w:rPr>
        <w:t xml:space="preserve"> warn a person that failure to comply with a direction without reasonable excuse is an offence</w:t>
      </w:r>
      <w:r w:rsidR="00996AE2">
        <w:rPr>
          <w:rFonts w:ascii="Arial" w:hAnsi="Arial" w:cs="Arial"/>
          <w:szCs w:val="24"/>
        </w:rPr>
        <w:t xml:space="preserve">. </w:t>
      </w:r>
      <w:r w:rsidR="00996AE2" w:rsidRPr="00CA44B0">
        <w:rPr>
          <w:rFonts w:ascii="Arial" w:hAnsi="Arial" w:cs="Arial"/>
          <w:szCs w:val="24"/>
        </w:rPr>
        <w:t xml:space="preserve">A failure to comply with </w:t>
      </w:r>
      <w:r w:rsidR="00996AE2">
        <w:rPr>
          <w:rFonts w:ascii="Arial" w:hAnsi="Arial" w:cs="Arial"/>
          <w:szCs w:val="24"/>
        </w:rPr>
        <w:t>this</w:t>
      </w:r>
      <w:r w:rsidR="00996AE2" w:rsidRPr="00CA44B0">
        <w:rPr>
          <w:rFonts w:ascii="Arial" w:hAnsi="Arial" w:cs="Arial"/>
          <w:szCs w:val="24"/>
        </w:rPr>
        <w:t xml:space="preserve"> requirement does not affect the liability of t</w:t>
      </w:r>
      <w:r w:rsidR="00FE1374">
        <w:rPr>
          <w:rFonts w:ascii="Arial" w:hAnsi="Arial" w:cs="Arial"/>
          <w:szCs w:val="24"/>
        </w:rPr>
        <w:t>he person</w:t>
      </w:r>
      <w:r w:rsidR="00573124">
        <w:rPr>
          <w:rFonts w:ascii="Arial" w:hAnsi="Arial" w:cs="Arial"/>
          <w:szCs w:val="24"/>
        </w:rPr>
        <w:t xml:space="preserve"> and it is not a condition precedent for an authorised officer taking enforcement action. </w:t>
      </w:r>
    </w:p>
    <w:p w14:paraId="4086A3AE" w14:textId="2430314D" w:rsidR="00996AE2" w:rsidRDefault="00F7173E" w:rsidP="00CA44B0">
      <w:pPr>
        <w:autoSpaceDE w:val="0"/>
        <w:autoSpaceDN w:val="0"/>
        <w:adjustRightInd w:val="0"/>
        <w:spacing w:before="240" w:after="120"/>
        <w:rPr>
          <w:rFonts w:ascii="Arial" w:hAnsi="Arial" w:cs="Arial"/>
          <w:szCs w:val="24"/>
        </w:rPr>
      </w:pPr>
      <w:r>
        <w:rPr>
          <w:rFonts w:ascii="Arial" w:hAnsi="Arial" w:cs="Arial"/>
          <w:szCs w:val="24"/>
        </w:rPr>
        <w:t>For the second element, t</w:t>
      </w:r>
      <w:r w:rsidR="00996AE2">
        <w:rPr>
          <w:rFonts w:ascii="Arial" w:hAnsi="Arial" w:cs="Arial"/>
          <w:szCs w:val="24"/>
        </w:rPr>
        <w:t xml:space="preserve">he prosecution will </w:t>
      </w:r>
      <w:r w:rsidR="00996AE2" w:rsidRPr="00996AE2">
        <w:rPr>
          <w:rFonts w:ascii="Arial" w:hAnsi="Arial" w:cs="Arial"/>
          <w:szCs w:val="24"/>
        </w:rPr>
        <w:t xml:space="preserve">be required to prove that the person engaged in the conduct amounting to a failure to </w:t>
      </w:r>
      <w:r w:rsidR="00573124">
        <w:rPr>
          <w:rFonts w:ascii="Arial" w:hAnsi="Arial" w:cs="Arial"/>
          <w:szCs w:val="24"/>
        </w:rPr>
        <w:t>comply with</w:t>
      </w:r>
      <w:r w:rsidR="00996AE2" w:rsidRPr="00996AE2">
        <w:rPr>
          <w:rFonts w:ascii="Arial" w:hAnsi="Arial" w:cs="Arial"/>
          <w:szCs w:val="24"/>
        </w:rPr>
        <w:t xml:space="preserve"> a direction.</w:t>
      </w:r>
      <w:r w:rsidR="00573124">
        <w:rPr>
          <w:rFonts w:ascii="Arial" w:hAnsi="Arial" w:cs="Arial"/>
          <w:szCs w:val="24"/>
        </w:rPr>
        <w:t xml:space="preserve"> </w:t>
      </w:r>
      <w:r w:rsidR="00996AE2" w:rsidRPr="00996AE2">
        <w:rPr>
          <w:rFonts w:ascii="Arial" w:hAnsi="Arial" w:cs="Arial"/>
          <w:szCs w:val="24"/>
        </w:rPr>
        <w:t>The</w:t>
      </w:r>
      <w:r w:rsidR="001675F7">
        <w:rPr>
          <w:rFonts w:ascii="Arial" w:hAnsi="Arial" w:cs="Arial"/>
          <w:szCs w:val="24"/>
        </w:rPr>
        <w:t> </w:t>
      </w:r>
      <w:r w:rsidR="00996AE2" w:rsidRPr="00996AE2">
        <w:rPr>
          <w:rFonts w:ascii="Arial" w:hAnsi="Arial" w:cs="Arial"/>
          <w:szCs w:val="24"/>
        </w:rPr>
        <w:t>offence impliedly provide</w:t>
      </w:r>
      <w:r w:rsidR="00D126F3">
        <w:rPr>
          <w:rFonts w:ascii="Arial" w:hAnsi="Arial" w:cs="Arial"/>
          <w:szCs w:val="24"/>
        </w:rPr>
        <w:t>s</w:t>
      </w:r>
      <w:r w:rsidR="00996AE2" w:rsidRPr="00996AE2">
        <w:rPr>
          <w:rFonts w:ascii="Arial" w:hAnsi="Arial" w:cs="Arial"/>
          <w:szCs w:val="24"/>
        </w:rPr>
        <w:t xml:space="preserve"> that the offence is committed by an omission to do an act and as a result, intention is the fault element that must be proved under the </w:t>
      </w:r>
      <w:r w:rsidR="00996AE2" w:rsidRPr="00C9405F">
        <w:rPr>
          <w:rFonts w:ascii="Arial" w:hAnsi="Arial" w:cs="Arial"/>
          <w:i/>
          <w:iCs/>
          <w:szCs w:val="24"/>
        </w:rPr>
        <w:t>Criminal Code 2002</w:t>
      </w:r>
      <w:r w:rsidR="00573124">
        <w:rPr>
          <w:rFonts w:ascii="Arial" w:hAnsi="Arial" w:cs="Arial"/>
          <w:szCs w:val="24"/>
        </w:rPr>
        <w:t>.</w:t>
      </w:r>
    </w:p>
    <w:p w14:paraId="60D7D198" w14:textId="7FB757D0" w:rsidR="00C9405F" w:rsidRDefault="009347D6" w:rsidP="00CA44B0">
      <w:pPr>
        <w:autoSpaceDE w:val="0"/>
        <w:autoSpaceDN w:val="0"/>
        <w:adjustRightInd w:val="0"/>
        <w:spacing w:before="240" w:after="120"/>
        <w:rPr>
          <w:rFonts w:ascii="Arial" w:hAnsi="Arial" w:cs="Arial"/>
          <w:szCs w:val="24"/>
        </w:rPr>
      </w:pPr>
      <w:r>
        <w:rPr>
          <w:rFonts w:ascii="Arial" w:hAnsi="Arial" w:cs="Arial"/>
          <w:szCs w:val="24"/>
        </w:rPr>
        <w:t>Section</w:t>
      </w:r>
      <w:r w:rsidR="007C100A">
        <w:rPr>
          <w:rFonts w:ascii="Arial" w:hAnsi="Arial" w:cs="Arial"/>
          <w:szCs w:val="24"/>
        </w:rPr>
        <w:t xml:space="preserve"> 120B (3)</w:t>
      </w:r>
      <w:r>
        <w:rPr>
          <w:rFonts w:ascii="Arial" w:hAnsi="Arial" w:cs="Arial"/>
          <w:szCs w:val="24"/>
        </w:rPr>
        <w:t xml:space="preserve"> provides that it is a defence if a person has a reasonable excuse for failing to comply with the direction, </w:t>
      </w:r>
      <w:r w:rsidR="00573124">
        <w:rPr>
          <w:rFonts w:ascii="Arial" w:hAnsi="Arial" w:cs="Arial"/>
          <w:szCs w:val="24"/>
        </w:rPr>
        <w:t>replicating the defence available under section 120 (4). The Bill</w:t>
      </w:r>
      <w:r w:rsidR="00996AE2">
        <w:rPr>
          <w:rFonts w:ascii="Arial" w:hAnsi="Arial" w:cs="Arial"/>
          <w:szCs w:val="24"/>
        </w:rPr>
        <w:t xml:space="preserve"> clarifies that the </w:t>
      </w:r>
      <w:r w:rsidR="00996AE2" w:rsidRPr="00CA44B0">
        <w:rPr>
          <w:rFonts w:ascii="Arial" w:hAnsi="Arial" w:cs="Arial"/>
          <w:szCs w:val="24"/>
        </w:rPr>
        <w:t xml:space="preserve">defendant has the evidential burden in relation to </w:t>
      </w:r>
      <w:r w:rsidR="00573124">
        <w:rPr>
          <w:rFonts w:ascii="Arial" w:hAnsi="Arial" w:cs="Arial"/>
          <w:szCs w:val="24"/>
        </w:rPr>
        <w:t>the defence.</w:t>
      </w:r>
      <w:r w:rsidR="00C9405F">
        <w:rPr>
          <w:rFonts w:ascii="Arial" w:hAnsi="Arial" w:cs="Arial"/>
          <w:szCs w:val="24"/>
        </w:rPr>
        <w:t xml:space="preserve"> </w:t>
      </w:r>
      <w:r w:rsidR="00761959">
        <w:rPr>
          <w:rFonts w:ascii="Arial" w:hAnsi="Arial" w:cs="Arial"/>
          <w:szCs w:val="24"/>
        </w:rPr>
        <w:t xml:space="preserve">The defendant must present or point to evidence that suggests a reasonable possibility that the defence can be established. The prosecution must then refute the defence beyond reasonable doubt. </w:t>
      </w:r>
      <w:r w:rsidR="00C9405F">
        <w:rPr>
          <w:rFonts w:ascii="Arial" w:hAnsi="Arial" w:cs="Arial"/>
          <w:szCs w:val="24"/>
        </w:rPr>
        <w:t xml:space="preserve">Whether an explanation for failing to comply with a direction is a reasonable excuse will </w:t>
      </w:r>
      <w:r w:rsidR="00E87F6A">
        <w:rPr>
          <w:rFonts w:ascii="Arial" w:hAnsi="Arial" w:cs="Arial"/>
          <w:szCs w:val="24"/>
        </w:rPr>
        <w:t>depend on</w:t>
      </w:r>
      <w:r w:rsidR="00C9405F">
        <w:rPr>
          <w:rFonts w:ascii="Arial" w:hAnsi="Arial" w:cs="Arial"/>
          <w:szCs w:val="24"/>
        </w:rPr>
        <w:t xml:space="preserve"> the individual circumstances of each</w:t>
      </w:r>
      <w:r w:rsidR="00E87F6A">
        <w:rPr>
          <w:rFonts w:ascii="Arial" w:hAnsi="Arial" w:cs="Arial"/>
          <w:szCs w:val="24"/>
        </w:rPr>
        <w:t xml:space="preserve"> case</w:t>
      </w:r>
      <w:r w:rsidR="00C9405F">
        <w:rPr>
          <w:rFonts w:ascii="Arial" w:hAnsi="Arial" w:cs="Arial"/>
          <w:szCs w:val="24"/>
        </w:rPr>
        <w:t xml:space="preserve"> </w:t>
      </w:r>
      <w:r w:rsidR="00E87F6A">
        <w:rPr>
          <w:rFonts w:ascii="Arial" w:hAnsi="Arial" w:cs="Arial"/>
          <w:szCs w:val="24"/>
        </w:rPr>
        <w:t>assessed against</w:t>
      </w:r>
      <w:r w:rsidR="00C9405F">
        <w:rPr>
          <w:rFonts w:ascii="Arial" w:hAnsi="Arial" w:cs="Arial"/>
          <w:szCs w:val="24"/>
        </w:rPr>
        <w:t xml:space="preserve"> an objective </w:t>
      </w:r>
      <w:r w:rsidR="00E87F6A">
        <w:rPr>
          <w:rFonts w:ascii="Arial" w:hAnsi="Arial" w:cs="Arial"/>
          <w:szCs w:val="24"/>
        </w:rPr>
        <w:t>test</w:t>
      </w:r>
      <w:r w:rsidR="00C9405F">
        <w:rPr>
          <w:rFonts w:ascii="Arial" w:hAnsi="Arial" w:cs="Arial"/>
          <w:szCs w:val="24"/>
        </w:rPr>
        <w:t xml:space="preserve"> of reasonableness.</w:t>
      </w:r>
      <w:r w:rsidR="00D408D9">
        <w:rPr>
          <w:rFonts w:ascii="Arial" w:hAnsi="Arial" w:cs="Arial"/>
          <w:szCs w:val="24"/>
        </w:rPr>
        <w:t xml:space="preserve"> For example, failing to comply with a face mask direction due to mere forgetfulness may not be a reasonable excuse but failing to comply with a face mask direction due to </w:t>
      </w:r>
      <w:r w:rsidR="007024D8">
        <w:rPr>
          <w:rFonts w:ascii="Arial" w:hAnsi="Arial" w:cs="Arial"/>
          <w:szCs w:val="24"/>
        </w:rPr>
        <w:t xml:space="preserve">a cognitive impairment or disability </w:t>
      </w:r>
      <w:r w:rsidR="00D408D9">
        <w:rPr>
          <w:rFonts w:ascii="Arial" w:hAnsi="Arial" w:cs="Arial"/>
          <w:szCs w:val="24"/>
        </w:rPr>
        <w:t xml:space="preserve">is considered </w:t>
      </w:r>
      <w:r w:rsidR="007024D8">
        <w:rPr>
          <w:rFonts w:ascii="Arial" w:hAnsi="Arial" w:cs="Arial"/>
          <w:szCs w:val="24"/>
        </w:rPr>
        <w:t xml:space="preserve">to be </w:t>
      </w:r>
      <w:r w:rsidR="00D408D9">
        <w:rPr>
          <w:rFonts w:ascii="Arial" w:hAnsi="Arial" w:cs="Arial"/>
          <w:szCs w:val="24"/>
        </w:rPr>
        <w:t xml:space="preserve">a reasonable excuse. </w:t>
      </w:r>
    </w:p>
    <w:p w14:paraId="60B3E328" w14:textId="67E00A5F" w:rsidR="00F7173E" w:rsidRPr="00CA44B0" w:rsidRDefault="00F7173E" w:rsidP="00F7173E">
      <w:pPr>
        <w:autoSpaceDE w:val="0"/>
        <w:autoSpaceDN w:val="0"/>
        <w:adjustRightInd w:val="0"/>
        <w:spacing w:before="240" w:after="120"/>
        <w:rPr>
          <w:rFonts w:ascii="Arial" w:hAnsi="Arial" w:cs="Arial"/>
          <w:szCs w:val="24"/>
        </w:rPr>
      </w:pPr>
      <w:r>
        <w:rPr>
          <w:rFonts w:ascii="Arial" w:hAnsi="Arial" w:cs="Arial"/>
          <w:szCs w:val="24"/>
        </w:rPr>
        <w:t xml:space="preserve">The Bill also </w:t>
      </w:r>
      <w:r w:rsidR="009B7E22">
        <w:rPr>
          <w:rFonts w:ascii="Arial" w:hAnsi="Arial" w:cs="Arial"/>
          <w:szCs w:val="24"/>
        </w:rPr>
        <w:t>creates an exception to</w:t>
      </w:r>
      <w:r>
        <w:rPr>
          <w:rFonts w:ascii="Arial" w:hAnsi="Arial" w:cs="Arial"/>
          <w:szCs w:val="24"/>
        </w:rPr>
        <w:t xml:space="preserve"> </w:t>
      </w:r>
      <w:r w:rsidR="009B7E22">
        <w:rPr>
          <w:rFonts w:ascii="Arial" w:hAnsi="Arial" w:cs="Arial"/>
          <w:szCs w:val="24"/>
        </w:rPr>
        <w:t xml:space="preserve">section 187 (1) of the </w:t>
      </w:r>
      <w:r w:rsidR="009B7E22">
        <w:rPr>
          <w:rFonts w:ascii="Arial" w:hAnsi="Arial" w:cs="Arial"/>
          <w:i/>
          <w:iCs/>
          <w:szCs w:val="24"/>
        </w:rPr>
        <w:t xml:space="preserve">Crimes Act 1900 </w:t>
      </w:r>
      <w:r w:rsidR="009B7E22">
        <w:rPr>
          <w:rFonts w:ascii="Arial" w:hAnsi="Arial" w:cs="Arial"/>
          <w:szCs w:val="24"/>
        </w:rPr>
        <w:t xml:space="preserve">(ACT) which applies the provisions in </w:t>
      </w:r>
      <w:r w:rsidR="009B7E22" w:rsidRPr="00CA44B0">
        <w:rPr>
          <w:rFonts w:ascii="Arial" w:hAnsi="Arial" w:cs="Arial"/>
          <w:szCs w:val="24"/>
        </w:rPr>
        <w:t xml:space="preserve">Part 1C of the </w:t>
      </w:r>
      <w:r w:rsidR="009B7E22" w:rsidRPr="00761959">
        <w:rPr>
          <w:rFonts w:ascii="Arial" w:hAnsi="Arial" w:cs="Arial"/>
          <w:i/>
          <w:iCs/>
          <w:szCs w:val="24"/>
        </w:rPr>
        <w:t>Crimes Act 1914</w:t>
      </w:r>
      <w:r w:rsidR="009B7E22" w:rsidRPr="00CA44B0">
        <w:rPr>
          <w:rFonts w:ascii="Arial" w:hAnsi="Arial" w:cs="Arial"/>
          <w:szCs w:val="24"/>
        </w:rPr>
        <w:t xml:space="preserve"> (C</w:t>
      </w:r>
      <w:r w:rsidR="009B7E22">
        <w:rPr>
          <w:rFonts w:ascii="Arial" w:hAnsi="Arial" w:cs="Arial"/>
          <w:szCs w:val="24"/>
        </w:rPr>
        <w:t>wl</w:t>
      </w:r>
      <w:r w:rsidR="009B7E22" w:rsidRPr="00CA44B0">
        <w:rPr>
          <w:rFonts w:ascii="Arial" w:hAnsi="Arial" w:cs="Arial"/>
          <w:szCs w:val="24"/>
        </w:rPr>
        <w:t>th</w:t>
      </w:r>
      <w:r w:rsidR="009B7E22">
        <w:rPr>
          <w:rFonts w:ascii="Arial" w:hAnsi="Arial" w:cs="Arial"/>
          <w:szCs w:val="24"/>
        </w:rPr>
        <w:t>) to ACT offences not punishable by imprisonment or punishable by imprisonment for 12</w:t>
      </w:r>
      <w:r w:rsidR="001675F7">
        <w:rPr>
          <w:rFonts w:ascii="Arial" w:hAnsi="Arial" w:cs="Arial"/>
          <w:szCs w:val="24"/>
        </w:rPr>
        <w:t> </w:t>
      </w:r>
      <w:r w:rsidR="009B7E22">
        <w:rPr>
          <w:rFonts w:ascii="Arial" w:hAnsi="Arial" w:cs="Arial"/>
          <w:szCs w:val="24"/>
        </w:rPr>
        <w:t xml:space="preserve">months or less. Part 1C </w:t>
      </w:r>
      <w:r>
        <w:rPr>
          <w:rFonts w:ascii="Arial" w:hAnsi="Arial" w:cs="Arial"/>
          <w:szCs w:val="24"/>
        </w:rPr>
        <w:t xml:space="preserve">sets out powers of detention and obligations of police officers </w:t>
      </w:r>
      <w:r w:rsidR="009F0C36">
        <w:rPr>
          <w:rFonts w:ascii="Arial" w:hAnsi="Arial" w:cs="Arial"/>
          <w:szCs w:val="24"/>
        </w:rPr>
        <w:t>during investigations</w:t>
      </w:r>
      <w:r w:rsidR="009B7E22">
        <w:rPr>
          <w:rFonts w:ascii="Arial" w:hAnsi="Arial" w:cs="Arial"/>
          <w:szCs w:val="24"/>
        </w:rPr>
        <w:t>. The exception applies only where:</w:t>
      </w:r>
    </w:p>
    <w:p w14:paraId="701E5630" w14:textId="1505480A" w:rsidR="00F7173E" w:rsidRPr="009F7F99" w:rsidRDefault="00F7173E" w:rsidP="00F7173E">
      <w:pPr>
        <w:pStyle w:val="ListParagraph"/>
        <w:numPr>
          <w:ilvl w:val="0"/>
          <w:numId w:val="27"/>
        </w:numPr>
        <w:autoSpaceDE w:val="0"/>
        <w:autoSpaceDN w:val="0"/>
        <w:adjustRightInd w:val="0"/>
        <w:spacing w:before="240" w:after="120"/>
        <w:rPr>
          <w:rFonts w:ascii="Arial" w:hAnsi="Arial" w:cs="Arial"/>
          <w:sz w:val="24"/>
          <w:szCs w:val="24"/>
        </w:rPr>
      </w:pPr>
      <w:r w:rsidRPr="009F7F99">
        <w:rPr>
          <w:rFonts w:ascii="Arial" w:hAnsi="Arial" w:cs="Arial"/>
          <w:sz w:val="24"/>
          <w:szCs w:val="24"/>
        </w:rPr>
        <w:t xml:space="preserve">a police officer believes a person who is 18 or older has committed an offence against section </w:t>
      </w:r>
      <w:r w:rsidR="003128E2" w:rsidRPr="009F7F99">
        <w:rPr>
          <w:rFonts w:ascii="Arial" w:hAnsi="Arial" w:cs="Arial"/>
          <w:sz w:val="24"/>
          <w:szCs w:val="24"/>
        </w:rPr>
        <w:t>120B (1);</w:t>
      </w:r>
    </w:p>
    <w:p w14:paraId="56DD556A" w14:textId="726C1A11" w:rsidR="00F7173E" w:rsidRPr="009F7F99" w:rsidRDefault="00F7173E" w:rsidP="00F7173E">
      <w:pPr>
        <w:pStyle w:val="ListParagraph"/>
        <w:numPr>
          <w:ilvl w:val="0"/>
          <w:numId w:val="27"/>
        </w:numPr>
        <w:autoSpaceDE w:val="0"/>
        <w:autoSpaceDN w:val="0"/>
        <w:adjustRightInd w:val="0"/>
        <w:spacing w:before="240" w:after="120"/>
        <w:rPr>
          <w:rFonts w:ascii="Arial" w:hAnsi="Arial" w:cs="Arial"/>
          <w:sz w:val="24"/>
          <w:szCs w:val="24"/>
        </w:rPr>
      </w:pPr>
      <w:r w:rsidRPr="009F7F99">
        <w:rPr>
          <w:rFonts w:ascii="Arial" w:hAnsi="Arial" w:cs="Arial"/>
          <w:sz w:val="24"/>
          <w:szCs w:val="24"/>
        </w:rPr>
        <w:t xml:space="preserve">the officer intends to </w:t>
      </w:r>
      <w:r w:rsidR="009347D6" w:rsidRPr="009F7F99">
        <w:rPr>
          <w:rFonts w:ascii="Arial" w:hAnsi="Arial" w:cs="Arial"/>
          <w:sz w:val="24"/>
          <w:szCs w:val="24"/>
        </w:rPr>
        <w:t>serve</w:t>
      </w:r>
      <w:r w:rsidRPr="009F7F99">
        <w:rPr>
          <w:rFonts w:ascii="Arial" w:hAnsi="Arial" w:cs="Arial"/>
          <w:sz w:val="24"/>
          <w:szCs w:val="24"/>
        </w:rPr>
        <w:t xml:space="preserve"> an infringement notice or take no further action; </w:t>
      </w:r>
    </w:p>
    <w:p w14:paraId="0422A598" w14:textId="3A432693" w:rsidR="00F7173E" w:rsidRPr="009F7F99" w:rsidRDefault="00F7173E" w:rsidP="00F7173E">
      <w:pPr>
        <w:pStyle w:val="ListParagraph"/>
        <w:numPr>
          <w:ilvl w:val="0"/>
          <w:numId w:val="27"/>
        </w:numPr>
        <w:autoSpaceDE w:val="0"/>
        <w:autoSpaceDN w:val="0"/>
        <w:adjustRightInd w:val="0"/>
        <w:spacing w:before="240" w:after="120"/>
        <w:rPr>
          <w:rFonts w:ascii="Arial" w:hAnsi="Arial" w:cs="Arial"/>
          <w:sz w:val="24"/>
          <w:szCs w:val="24"/>
        </w:rPr>
      </w:pPr>
      <w:r w:rsidRPr="009F7F99">
        <w:rPr>
          <w:rFonts w:ascii="Arial" w:hAnsi="Arial" w:cs="Arial"/>
          <w:sz w:val="24"/>
          <w:szCs w:val="24"/>
        </w:rPr>
        <w:t xml:space="preserve">the officer </w:t>
      </w:r>
      <w:r w:rsidR="00577AD7" w:rsidRPr="009F7F99">
        <w:rPr>
          <w:rFonts w:ascii="Arial" w:hAnsi="Arial" w:cs="Arial"/>
          <w:sz w:val="24"/>
          <w:szCs w:val="24"/>
        </w:rPr>
        <w:t>is questioning</w:t>
      </w:r>
      <w:r w:rsidRPr="009F7F99">
        <w:rPr>
          <w:rFonts w:ascii="Arial" w:hAnsi="Arial" w:cs="Arial"/>
          <w:sz w:val="24"/>
          <w:szCs w:val="24"/>
        </w:rPr>
        <w:t xml:space="preserve"> the person if they have a reasonable excuse for failing to comply with the direction; and</w:t>
      </w:r>
    </w:p>
    <w:p w14:paraId="403762C7" w14:textId="5D16E708" w:rsidR="00F7173E" w:rsidRPr="009F7F99" w:rsidRDefault="00F7173E" w:rsidP="00F7173E">
      <w:pPr>
        <w:pStyle w:val="ListParagraph"/>
        <w:numPr>
          <w:ilvl w:val="0"/>
          <w:numId w:val="27"/>
        </w:numPr>
        <w:autoSpaceDE w:val="0"/>
        <w:autoSpaceDN w:val="0"/>
        <w:adjustRightInd w:val="0"/>
        <w:spacing w:before="240" w:after="120"/>
        <w:rPr>
          <w:rFonts w:ascii="Arial" w:hAnsi="Arial" w:cs="Arial"/>
          <w:sz w:val="24"/>
          <w:szCs w:val="24"/>
        </w:rPr>
      </w:pPr>
      <w:r w:rsidRPr="009F7F99">
        <w:rPr>
          <w:rFonts w:ascii="Arial" w:hAnsi="Arial" w:cs="Arial"/>
          <w:sz w:val="24"/>
          <w:szCs w:val="24"/>
        </w:rPr>
        <w:t>before questioning, the officer warns the person that they do not have to answer the question or do anything but that anything they say or do may be used in evidence.</w:t>
      </w:r>
    </w:p>
    <w:p w14:paraId="52AA126B" w14:textId="109717A4" w:rsidR="00BB5414" w:rsidRPr="00BB5414" w:rsidRDefault="00BB5414" w:rsidP="00BB5414">
      <w:pPr>
        <w:autoSpaceDE w:val="0"/>
        <w:autoSpaceDN w:val="0"/>
        <w:adjustRightInd w:val="0"/>
        <w:spacing w:before="240" w:after="120"/>
        <w:rPr>
          <w:rFonts w:ascii="Arial" w:hAnsi="Arial" w:cs="Arial"/>
          <w:szCs w:val="24"/>
        </w:rPr>
      </w:pPr>
      <w:r>
        <w:rPr>
          <w:rFonts w:ascii="Arial" w:hAnsi="Arial" w:cs="Arial"/>
          <w:szCs w:val="24"/>
        </w:rPr>
        <w:t xml:space="preserve">The Bill amends the </w:t>
      </w:r>
      <w:r w:rsidRPr="00BB5414">
        <w:rPr>
          <w:rFonts w:ascii="Arial" w:hAnsi="Arial" w:cs="Arial"/>
          <w:i/>
          <w:iCs/>
          <w:szCs w:val="24"/>
          <w:lang w:eastAsia="en-AU"/>
        </w:rPr>
        <w:t>Magistrates Court (Public Health (COVID-19) Infringement Notices) Regulation 2020</w:t>
      </w:r>
      <w:r>
        <w:rPr>
          <w:rFonts w:ascii="Arial" w:hAnsi="Arial" w:cs="Arial"/>
          <w:i/>
          <w:iCs/>
          <w:szCs w:val="24"/>
          <w:lang w:eastAsia="en-AU"/>
        </w:rPr>
        <w:t xml:space="preserve"> </w:t>
      </w:r>
      <w:r w:rsidR="009347D6" w:rsidRPr="009347D6">
        <w:rPr>
          <w:rFonts w:ascii="Arial" w:hAnsi="Arial" w:cs="Arial"/>
          <w:szCs w:val="24"/>
          <w:lang w:eastAsia="en-AU"/>
        </w:rPr>
        <w:t>(the Regulation)</w:t>
      </w:r>
      <w:r w:rsidR="009347D6">
        <w:rPr>
          <w:rFonts w:ascii="Arial" w:hAnsi="Arial" w:cs="Arial"/>
          <w:i/>
          <w:iCs/>
          <w:szCs w:val="24"/>
          <w:lang w:eastAsia="en-AU"/>
        </w:rPr>
        <w:t xml:space="preserve"> </w:t>
      </w:r>
      <w:r>
        <w:rPr>
          <w:rFonts w:ascii="Arial" w:hAnsi="Arial" w:cs="Arial"/>
          <w:szCs w:val="24"/>
          <w:lang w:eastAsia="en-AU"/>
        </w:rPr>
        <w:t xml:space="preserve">to replace the references to the offence in </w:t>
      </w:r>
      <w:r>
        <w:rPr>
          <w:rFonts w:ascii="Arial" w:hAnsi="Arial" w:cs="Arial"/>
          <w:szCs w:val="24"/>
          <w:lang w:eastAsia="en-AU"/>
        </w:rPr>
        <w:lastRenderedPageBreak/>
        <w:t xml:space="preserve">section 120 (4) of the Act with references to the new </w:t>
      </w:r>
      <w:r w:rsidR="009347D6">
        <w:rPr>
          <w:rFonts w:ascii="Arial" w:hAnsi="Arial" w:cs="Arial"/>
          <w:szCs w:val="24"/>
          <w:lang w:eastAsia="en-AU"/>
        </w:rPr>
        <w:t>offence in section 120B (1</w:t>
      </w:r>
      <w:r>
        <w:rPr>
          <w:rFonts w:ascii="Arial" w:hAnsi="Arial" w:cs="Arial"/>
          <w:szCs w:val="24"/>
          <w:lang w:eastAsia="en-AU"/>
        </w:rPr>
        <w:t xml:space="preserve">). As a result, authorised officers will be able to issue infringement notices to persons over the age of 18 years (and over the age of 16 years in relation to a face mask direction) for </w:t>
      </w:r>
      <w:r w:rsidR="00796E3E">
        <w:rPr>
          <w:rFonts w:ascii="Arial" w:hAnsi="Arial" w:cs="Arial"/>
          <w:szCs w:val="24"/>
          <w:lang w:eastAsia="en-AU"/>
        </w:rPr>
        <w:t xml:space="preserve">the offence of </w:t>
      </w:r>
      <w:r>
        <w:rPr>
          <w:rFonts w:ascii="Arial" w:hAnsi="Arial" w:cs="Arial"/>
          <w:szCs w:val="24"/>
          <w:lang w:eastAsia="en-AU"/>
        </w:rPr>
        <w:t>failing to comply with a COVID-19 direction</w:t>
      </w:r>
      <w:r w:rsidR="009347D6">
        <w:rPr>
          <w:rFonts w:ascii="Arial" w:hAnsi="Arial" w:cs="Arial"/>
          <w:szCs w:val="24"/>
          <w:lang w:eastAsia="en-AU"/>
        </w:rPr>
        <w:t xml:space="preserve">. The Regulation </w:t>
      </w:r>
      <w:r w:rsidR="008A4F3F">
        <w:rPr>
          <w:rFonts w:ascii="Arial" w:hAnsi="Arial" w:cs="Arial"/>
          <w:szCs w:val="24"/>
          <w:lang w:eastAsia="en-AU"/>
        </w:rPr>
        <w:t>was always intended</w:t>
      </w:r>
      <w:r w:rsidR="009347D6">
        <w:rPr>
          <w:rFonts w:ascii="Arial" w:hAnsi="Arial" w:cs="Arial"/>
          <w:szCs w:val="24"/>
          <w:lang w:eastAsia="en-AU"/>
        </w:rPr>
        <w:t xml:space="preserve"> to apply only in relation to a failure to comply with directions</w:t>
      </w:r>
      <w:r w:rsidR="00763293">
        <w:rPr>
          <w:rFonts w:ascii="Arial" w:hAnsi="Arial" w:cs="Arial"/>
          <w:szCs w:val="24"/>
          <w:lang w:eastAsia="en-AU"/>
        </w:rPr>
        <w:t xml:space="preserve"> made during a COVID-19 emergency</w:t>
      </w:r>
      <w:r w:rsidR="009347D6">
        <w:rPr>
          <w:rFonts w:ascii="Arial" w:hAnsi="Arial" w:cs="Arial"/>
          <w:szCs w:val="24"/>
          <w:lang w:eastAsia="en-AU"/>
        </w:rPr>
        <w:t xml:space="preserve"> </w:t>
      </w:r>
      <w:r w:rsidR="00763293">
        <w:rPr>
          <w:rFonts w:ascii="Arial" w:hAnsi="Arial" w:cs="Arial"/>
          <w:szCs w:val="24"/>
          <w:lang w:eastAsia="en-AU"/>
        </w:rPr>
        <w:t>rather than more generally</w:t>
      </w:r>
      <w:r w:rsidR="008A4F3F">
        <w:rPr>
          <w:rFonts w:ascii="Arial" w:hAnsi="Arial" w:cs="Arial"/>
          <w:szCs w:val="24"/>
          <w:lang w:eastAsia="en-AU"/>
        </w:rPr>
        <w:t xml:space="preserve"> and</w:t>
      </w:r>
      <w:r w:rsidR="009347D6">
        <w:rPr>
          <w:rFonts w:ascii="Arial" w:hAnsi="Arial" w:cs="Arial"/>
          <w:szCs w:val="24"/>
          <w:lang w:eastAsia="en-AU"/>
        </w:rPr>
        <w:t xml:space="preserve"> is due to sunset at the end of a 12-month period during which no COVID-19 emergency has been in force.</w:t>
      </w:r>
    </w:p>
    <w:p w14:paraId="2CDEB443" w14:textId="3006E5DF" w:rsidR="00B55BED" w:rsidRPr="00050F68" w:rsidRDefault="00050F68" w:rsidP="00B55BED">
      <w:pPr>
        <w:pStyle w:val="Heading2"/>
        <w:spacing w:after="120"/>
        <w:rPr>
          <w:rFonts w:ascii="Arial" w:hAnsi="Arial" w:cs="Arial"/>
          <w:szCs w:val="24"/>
          <w:u w:val="none"/>
        </w:rPr>
      </w:pPr>
      <w:bookmarkStart w:id="8" w:name="_Toc84944958"/>
      <w:bookmarkStart w:id="9" w:name="_Toc426711260"/>
      <w:bookmarkStart w:id="10" w:name="_Toc429052823"/>
      <w:r>
        <w:rPr>
          <w:rFonts w:ascii="Arial" w:hAnsi="Arial" w:cs="Arial"/>
          <w:szCs w:val="24"/>
          <w:u w:val="none"/>
        </w:rPr>
        <w:t>CONSULTATION ON THE PROPOSED APPROACH</w:t>
      </w:r>
      <w:bookmarkEnd w:id="8"/>
    </w:p>
    <w:bookmarkEnd w:id="9"/>
    <w:bookmarkEnd w:id="10"/>
    <w:p w14:paraId="5D2CC219" w14:textId="0DB0ED0C" w:rsidR="00F2199A" w:rsidRPr="008C333C" w:rsidRDefault="008C333C" w:rsidP="00050F68">
      <w:pPr>
        <w:rPr>
          <w:rFonts w:ascii="Arial" w:hAnsi="Arial" w:cs="Arial"/>
          <w:iCs/>
          <w:szCs w:val="24"/>
        </w:rPr>
      </w:pPr>
      <w:r>
        <w:rPr>
          <w:rFonts w:ascii="Arial" w:hAnsi="Arial" w:cs="Arial"/>
          <w:iCs/>
          <w:szCs w:val="24"/>
        </w:rPr>
        <w:t xml:space="preserve">The </w:t>
      </w:r>
      <w:r w:rsidR="00FA07EF">
        <w:rPr>
          <w:rFonts w:ascii="Arial" w:hAnsi="Arial" w:cs="Arial"/>
          <w:iCs/>
          <w:szCs w:val="24"/>
        </w:rPr>
        <w:t xml:space="preserve">amendments in the Bill were identified by, and developed in, consultation with the Justice and Community Safety Directorate, ACT Policing and the ACT Director of Public Prosecutions. </w:t>
      </w:r>
      <w:r w:rsidR="00F2199A">
        <w:rPr>
          <w:rFonts w:ascii="Arial" w:hAnsi="Arial" w:cs="Arial"/>
          <w:iCs/>
          <w:szCs w:val="24"/>
        </w:rPr>
        <w:t>The ACT Human Rights Commission w</w:t>
      </w:r>
      <w:r w:rsidR="007024D8">
        <w:rPr>
          <w:rFonts w:ascii="Arial" w:hAnsi="Arial" w:cs="Arial"/>
          <w:iCs/>
          <w:szCs w:val="24"/>
        </w:rPr>
        <w:t>as</w:t>
      </w:r>
      <w:r w:rsidR="00F2199A">
        <w:rPr>
          <w:rFonts w:ascii="Arial" w:hAnsi="Arial" w:cs="Arial"/>
          <w:iCs/>
          <w:szCs w:val="24"/>
        </w:rPr>
        <w:t xml:space="preserve"> also consulted on the amendments in the Bill. </w:t>
      </w:r>
    </w:p>
    <w:p w14:paraId="0F6AAC2E" w14:textId="5F6A67CF" w:rsidR="00702566" w:rsidRPr="00050F68" w:rsidRDefault="00050F68" w:rsidP="00214EAF">
      <w:pPr>
        <w:pStyle w:val="Heading2"/>
        <w:spacing w:after="120"/>
        <w:rPr>
          <w:rFonts w:ascii="Arial" w:hAnsi="Arial" w:cs="Arial"/>
          <w:szCs w:val="24"/>
          <w:u w:val="none"/>
        </w:rPr>
      </w:pPr>
      <w:bookmarkStart w:id="11" w:name="_Toc84944959"/>
      <w:r>
        <w:rPr>
          <w:rFonts w:ascii="Arial" w:hAnsi="Arial" w:cs="Arial"/>
          <w:szCs w:val="24"/>
          <w:u w:val="none"/>
        </w:rPr>
        <w:t>CONSISTENCY WITH HUMAN RIGHTS</w:t>
      </w:r>
      <w:bookmarkEnd w:id="11"/>
    </w:p>
    <w:p w14:paraId="34BFABF1" w14:textId="3F0EADE3" w:rsidR="001E4E37" w:rsidRPr="00050F68" w:rsidRDefault="001E4E37" w:rsidP="00A363CB">
      <w:pPr>
        <w:autoSpaceDE w:val="0"/>
        <w:autoSpaceDN w:val="0"/>
        <w:adjustRightInd w:val="0"/>
        <w:spacing w:before="240" w:after="120"/>
        <w:rPr>
          <w:rFonts w:ascii="Arial" w:hAnsi="Arial" w:cs="Arial"/>
          <w:b/>
          <w:bCs/>
          <w:szCs w:val="24"/>
        </w:rPr>
      </w:pPr>
      <w:r w:rsidRPr="00050F68">
        <w:rPr>
          <w:rFonts w:ascii="Arial" w:hAnsi="Arial" w:cs="Arial"/>
          <w:b/>
          <w:bCs/>
          <w:szCs w:val="24"/>
        </w:rPr>
        <w:t>Rights Engaged</w:t>
      </w:r>
    </w:p>
    <w:p w14:paraId="08293681" w14:textId="6E745D89" w:rsidR="00351F41" w:rsidRPr="004008B5" w:rsidRDefault="004008B5" w:rsidP="00A363CB">
      <w:pPr>
        <w:autoSpaceDE w:val="0"/>
        <w:autoSpaceDN w:val="0"/>
        <w:adjustRightInd w:val="0"/>
        <w:spacing w:before="240" w:after="120"/>
        <w:rPr>
          <w:rFonts w:ascii="Arial" w:hAnsi="Arial" w:cs="Arial"/>
          <w:bCs/>
          <w:szCs w:val="24"/>
        </w:rPr>
      </w:pPr>
      <w:r>
        <w:rPr>
          <w:rFonts w:ascii="Arial" w:hAnsi="Arial" w:cs="Arial"/>
          <w:bCs/>
          <w:szCs w:val="24"/>
        </w:rPr>
        <w:t xml:space="preserve">The Bill may be considered to engage the following rights under the </w:t>
      </w:r>
      <w:r>
        <w:rPr>
          <w:rFonts w:ascii="Arial" w:hAnsi="Arial" w:cs="Arial"/>
          <w:bCs/>
          <w:i/>
          <w:iCs/>
          <w:szCs w:val="24"/>
        </w:rPr>
        <w:t xml:space="preserve">Human Rights Act 2004 </w:t>
      </w:r>
      <w:r>
        <w:rPr>
          <w:rFonts w:ascii="Arial" w:hAnsi="Arial" w:cs="Arial"/>
          <w:bCs/>
          <w:szCs w:val="24"/>
        </w:rPr>
        <w:t>(HR Act):</w:t>
      </w:r>
    </w:p>
    <w:p w14:paraId="2ADBFCFA" w14:textId="77777777" w:rsidR="0088781C" w:rsidRPr="00050F68" w:rsidRDefault="0088781C" w:rsidP="00DF7319">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t>Section 9 – Right to life</w:t>
      </w:r>
    </w:p>
    <w:p w14:paraId="3E6501F6" w14:textId="77777777" w:rsidR="0088781C" w:rsidRPr="00050F68" w:rsidRDefault="0088781C" w:rsidP="00DF7319">
      <w:pPr>
        <w:numPr>
          <w:ilvl w:val="0"/>
          <w:numId w:val="2"/>
        </w:numPr>
        <w:autoSpaceDE w:val="0"/>
        <w:autoSpaceDN w:val="0"/>
        <w:adjustRightInd w:val="0"/>
        <w:spacing w:before="240" w:after="120"/>
        <w:rPr>
          <w:rFonts w:ascii="Arial" w:hAnsi="Arial" w:cs="Arial"/>
          <w:bCs/>
          <w:szCs w:val="24"/>
        </w:rPr>
      </w:pPr>
      <w:r w:rsidRPr="00050F68">
        <w:rPr>
          <w:rFonts w:ascii="Arial" w:hAnsi="Arial" w:cs="Arial"/>
          <w:bCs/>
          <w:szCs w:val="24"/>
        </w:rPr>
        <w:t>Section 22 – Rights in criminal proceedings</w:t>
      </w:r>
    </w:p>
    <w:p w14:paraId="502229E4" w14:textId="6E8E6336" w:rsidR="001E4E37" w:rsidRDefault="004008B5" w:rsidP="001E4E37">
      <w:pPr>
        <w:autoSpaceDE w:val="0"/>
        <w:autoSpaceDN w:val="0"/>
        <w:adjustRightInd w:val="0"/>
        <w:spacing w:before="240" w:after="120"/>
        <w:rPr>
          <w:rFonts w:ascii="Arial" w:hAnsi="Arial" w:cs="Arial"/>
          <w:szCs w:val="24"/>
        </w:rPr>
      </w:pPr>
      <w:r>
        <w:rPr>
          <w:rFonts w:ascii="Arial" w:hAnsi="Arial" w:cs="Arial"/>
          <w:szCs w:val="24"/>
        </w:rPr>
        <w:t xml:space="preserve">Section 28 (1) of the HR Act provides that human rights are subject only to reasonable limits set by laws that can be demonstrably be justified in a free and democratic society. </w:t>
      </w:r>
    </w:p>
    <w:p w14:paraId="0576E283" w14:textId="37503F66" w:rsidR="004008B5" w:rsidRPr="004008B5" w:rsidRDefault="004008B5" w:rsidP="004008B5">
      <w:pPr>
        <w:autoSpaceDE w:val="0"/>
        <w:autoSpaceDN w:val="0"/>
        <w:adjustRightInd w:val="0"/>
        <w:spacing w:before="240" w:after="120"/>
        <w:rPr>
          <w:rFonts w:ascii="Arial" w:hAnsi="Arial" w:cs="Arial"/>
          <w:szCs w:val="24"/>
        </w:rPr>
      </w:pPr>
      <w:r>
        <w:rPr>
          <w:rFonts w:ascii="Arial" w:hAnsi="Arial" w:cs="Arial"/>
          <w:szCs w:val="24"/>
        </w:rPr>
        <w:t xml:space="preserve">Section 28 (2) of the HR Act provide that, in deciding </w:t>
      </w:r>
      <w:r w:rsidRPr="004008B5">
        <w:rPr>
          <w:rFonts w:ascii="Arial" w:hAnsi="Arial" w:cs="Arial"/>
          <w:szCs w:val="24"/>
        </w:rPr>
        <w:t>whether a limit on a human right is reasonable, all relevant factors must be considered, including:</w:t>
      </w:r>
    </w:p>
    <w:p w14:paraId="6DC08650" w14:textId="04105F08" w:rsidR="004008B5" w:rsidRPr="009F7F99" w:rsidRDefault="004008B5" w:rsidP="004008B5">
      <w:pPr>
        <w:pStyle w:val="ListParagraph"/>
        <w:numPr>
          <w:ilvl w:val="0"/>
          <w:numId w:val="25"/>
        </w:numPr>
        <w:autoSpaceDE w:val="0"/>
        <w:autoSpaceDN w:val="0"/>
        <w:adjustRightInd w:val="0"/>
        <w:spacing w:before="240" w:after="120"/>
        <w:rPr>
          <w:rFonts w:ascii="Arial" w:hAnsi="Arial" w:cs="Arial"/>
          <w:sz w:val="24"/>
          <w:szCs w:val="24"/>
        </w:rPr>
      </w:pPr>
      <w:r w:rsidRPr="009F7F99">
        <w:rPr>
          <w:rFonts w:ascii="Arial" w:hAnsi="Arial" w:cs="Arial"/>
          <w:sz w:val="24"/>
          <w:szCs w:val="24"/>
        </w:rPr>
        <w:t>The nature of the right affected;</w:t>
      </w:r>
    </w:p>
    <w:p w14:paraId="70C7AD58" w14:textId="031A61D1" w:rsidR="004008B5" w:rsidRPr="009F7F99" w:rsidRDefault="004008B5" w:rsidP="004008B5">
      <w:pPr>
        <w:pStyle w:val="ListParagraph"/>
        <w:numPr>
          <w:ilvl w:val="0"/>
          <w:numId w:val="25"/>
        </w:numPr>
        <w:autoSpaceDE w:val="0"/>
        <w:autoSpaceDN w:val="0"/>
        <w:adjustRightInd w:val="0"/>
        <w:spacing w:before="240" w:after="120"/>
        <w:rPr>
          <w:rFonts w:ascii="Arial" w:hAnsi="Arial" w:cs="Arial"/>
          <w:sz w:val="24"/>
          <w:szCs w:val="24"/>
        </w:rPr>
      </w:pPr>
      <w:r w:rsidRPr="009F7F99">
        <w:rPr>
          <w:rFonts w:ascii="Arial" w:hAnsi="Arial" w:cs="Arial"/>
          <w:sz w:val="24"/>
          <w:szCs w:val="24"/>
        </w:rPr>
        <w:t>The importance of the purpose of the limitation;</w:t>
      </w:r>
    </w:p>
    <w:p w14:paraId="61844B50" w14:textId="26275356" w:rsidR="004008B5" w:rsidRPr="009F7F99" w:rsidRDefault="004008B5" w:rsidP="004008B5">
      <w:pPr>
        <w:pStyle w:val="ListParagraph"/>
        <w:numPr>
          <w:ilvl w:val="0"/>
          <w:numId w:val="25"/>
        </w:numPr>
        <w:autoSpaceDE w:val="0"/>
        <w:autoSpaceDN w:val="0"/>
        <w:adjustRightInd w:val="0"/>
        <w:spacing w:before="240" w:after="120"/>
        <w:rPr>
          <w:rFonts w:ascii="Arial" w:hAnsi="Arial" w:cs="Arial"/>
          <w:sz w:val="24"/>
          <w:szCs w:val="24"/>
        </w:rPr>
      </w:pPr>
      <w:r w:rsidRPr="009F7F99">
        <w:rPr>
          <w:rFonts w:ascii="Arial" w:hAnsi="Arial" w:cs="Arial"/>
          <w:sz w:val="24"/>
          <w:szCs w:val="24"/>
        </w:rPr>
        <w:t>The nature and extent of the limitation;</w:t>
      </w:r>
    </w:p>
    <w:p w14:paraId="238F4AFB" w14:textId="77777777" w:rsidR="004008B5" w:rsidRPr="009F7F99" w:rsidRDefault="004008B5" w:rsidP="004008B5">
      <w:pPr>
        <w:pStyle w:val="ListParagraph"/>
        <w:numPr>
          <w:ilvl w:val="0"/>
          <w:numId w:val="25"/>
        </w:numPr>
        <w:autoSpaceDE w:val="0"/>
        <w:autoSpaceDN w:val="0"/>
        <w:adjustRightInd w:val="0"/>
        <w:spacing w:before="240" w:after="120"/>
        <w:rPr>
          <w:rFonts w:ascii="Arial" w:hAnsi="Arial" w:cs="Arial"/>
          <w:sz w:val="24"/>
          <w:szCs w:val="24"/>
        </w:rPr>
      </w:pPr>
      <w:r w:rsidRPr="009F7F99">
        <w:rPr>
          <w:rFonts w:ascii="Arial" w:hAnsi="Arial" w:cs="Arial"/>
          <w:sz w:val="24"/>
          <w:szCs w:val="24"/>
        </w:rPr>
        <w:t>The relationship between the limitation and its purposes; and</w:t>
      </w:r>
    </w:p>
    <w:p w14:paraId="6AFD7FF3" w14:textId="4F6EE191" w:rsidR="004008B5" w:rsidRPr="009F7F99" w:rsidRDefault="004008B5" w:rsidP="004008B5">
      <w:pPr>
        <w:pStyle w:val="ListParagraph"/>
        <w:numPr>
          <w:ilvl w:val="0"/>
          <w:numId w:val="25"/>
        </w:numPr>
        <w:autoSpaceDE w:val="0"/>
        <w:autoSpaceDN w:val="0"/>
        <w:adjustRightInd w:val="0"/>
        <w:spacing w:before="240" w:after="120"/>
        <w:rPr>
          <w:rFonts w:ascii="Arial" w:hAnsi="Arial" w:cs="Arial"/>
          <w:sz w:val="24"/>
          <w:szCs w:val="24"/>
        </w:rPr>
      </w:pPr>
      <w:r w:rsidRPr="009F7F99">
        <w:rPr>
          <w:rFonts w:ascii="Arial" w:hAnsi="Arial" w:cs="Arial"/>
          <w:sz w:val="24"/>
          <w:szCs w:val="24"/>
        </w:rPr>
        <w:t>Any less restrictive means reasonably available to achieve the purpose the limitation seeks to achieve.</w:t>
      </w:r>
    </w:p>
    <w:p w14:paraId="07DCB479" w14:textId="18D26AF7" w:rsidR="001E4E37" w:rsidRPr="004008B5" w:rsidRDefault="001E4E37" w:rsidP="004008B5">
      <w:pPr>
        <w:autoSpaceDE w:val="0"/>
        <w:autoSpaceDN w:val="0"/>
        <w:adjustRightInd w:val="0"/>
        <w:spacing w:before="240" w:after="120"/>
        <w:rPr>
          <w:rFonts w:ascii="Arial" w:hAnsi="Arial" w:cs="Arial"/>
          <w:bCs/>
          <w:szCs w:val="24"/>
        </w:rPr>
      </w:pPr>
      <w:r w:rsidRPr="00050F68">
        <w:rPr>
          <w:rFonts w:ascii="Arial" w:hAnsi="Arial" w:cs="Arial"/>
          <w:b/>
          <w:szCs w:val="24"/>
        </w:rPr>
        <w:t>Rights Promoted</w:t>
      </w:r>
      <w:r w:rsidRPr="00050F68">
        <w:rPr>
          <w:rFonts w:ascii="Arial" w:hAnsi="Arial" w:cs="Arial"/>
          <w:b/>
          <w:szCs w:val="24"/>
        </w:rPr>
        <w:tab/>
      </w:r>
    </w:p>
    <w:p w14:paraId="0C306C7C" w14:textId="1A3C5627" w:rsidR="001E4E37" w:rsidRPr="00A2087B" w:rsidRDefault="001E4E37" w:rsidP="004008B5">
      <w:pPr>
        <w:autoSpaceDE w:val="0"/>
        <w:autoSpaceDN w:val="0"/>
        <w:adjustRightInd w:val="0"/>
        <w:spacing w:before="240" w:after="120"/>
        <w:rPr>
          <w:rFonts w:ascii="Arial" w:hAnsi="Arial" w:cs="Arial"/>
          <w:bCs/>
          <w:szCs w:val="24"/>
        </w:rPr>
      </w:pPr>
      <w:r w:rsidRPr="00050F68">
        <w:rPr>
          <w:rFonts w:ascii="Arial" w:hAnsi="Arial" w:cs="Arial"/>
          <w:szCs w:val="24"/>
          <w:lang w:eastAsia="en-AU"/>
        </w:rPr>
        <w:lastRenderedPageBreak/>
        <w:t xml:space="preserve">The Bill engages and </w:t>
      </w:r>
      <w:r w:rsidR="00BB4A2B">
        <w:rPr>
          <w:rFonts w:ascii="Arial" w:hAnsi="Arial" w:cs="Arial"/>
          <w:szCs w:val="24"/>
          <w:lang w:eastAsia="en-AU"/>
        </w:rPr>
        <w:t>promotes</w:t>
      </w:r>
      <w:r w:rsidRPr="00050F68">
        <w:rPr>
          <w:rFonts w:ascii="Arial" w:hAnsi="Arial" w:cs="Arial"/>
          <w:szCs w:val="24"/>
          <w:lang w:eastAsia="en-AU"/>
        </w:rPr>
        <w:t xml:space="preserve"> </w:t>
      </w:r>
      <w:r w:rsidR="004008B5">
        <w:rPr>
          <w:rFonts w:ascii="Arial" w:hAnsi="Arial" w:cs="Arial"/>
          <w:bCs/>
          <w:szCs w:val="24"/>
        </w:rPr>
        <w:t xml:space="preserve">the right to life pursuant to section 9 of the HR Act. The primary purpose of the </w:t>
      </w:r>
      <w:r w:rsidR="004008B5" w:rsidRPr="004008B5">
        <w:rPr>
          <w:rFonts w:ascii="Arial" w:hAnsi="Arial" w:cs="Arial"/>
          <w:bCs/>
          <w:szCs w:val="24"/>
        </w:rPr>
        <w:t>Bill is to recognise the significant and ongoing health risk of COVID-19 to the ACT community, and to protect health and life. This purpose is achieved by</w:t>
      </w:r>
      <w:r w:rsidR="00A2087B">
        <w:rPr>
          <w:rFonts w:ascii="Arial" w:hAnsi="Arial" w:cs="Arial"/>
          <w:bCs/>
          <w:szCs w:val="24"/>
        </w:rPr>
        <w:t xml:space="preserve"> creating </w:t>
      </w:r>
      <w:r w:rsidR="008A4F3F">
        <w:rPr>
          <w:rFonts w:ascii="Arial" w:hAnsi="Arial" w:cs="Arial"/>
          <w:bCs/>
          <w:szCs w:val="24"/>
        </w:rPr>
        <w:t xml:space="preserve">a </w:t>
      </w:r>
      <w:r w:rsidR="00A2087B">
        <w:rPr>
          <w:rFonts w:ascii="Arial" w:hAnsi="Arial" w:cs="Arial"/>
          <w:bCs/>
          <w:szCs w:val="24"/>
        </w:rPr>
        <w:t xml:space="preserve">separate offence for failing to comply with a COVID-19 direction and clarifying the elements of </w:t>
      </w:r>
      <w:r w:rsidR="008A4F3F">
        <w:rPr>
          <w:rFonts w:ascii="Arial" w:hAnsi="Arial" w:cs="Arial"/>
          <w:bCs/>
          <w:szCs w:val="24"/>
        </w:rPr>
        <w:t>the</w:t>
      </w:r>
      <w:r w:rsidR="00A2087B">
        <w:rPr>
          <w:rFonts w:ascii="Arial" w:hAnsi="Arial" w:cs="Arial"/>
          <w:bCs/>
          <w:szCs w:val="24"/>
        </w:rPr>
        <w:t xml:space="preserve"> offence to support enforcement of the directions. </w:t>
      </w:r>
      <w:r w:rsidR="004008B5" w:rsidRPr="004008B5">
        <w:rPr>
          <w:rFonts w:ascii="Arial" w:hAnsi="Arial" w:cs="Arial"/>
          <w:bCs/>
          <w:szCs w:val="24"/>
        </w:rPr>
        <w:t>This purpose supports the right to life for everyone in the ACT.</w:t>
      </w:r>
    </w:p>
    <w:p w14:paraId="5E01CC9F" w14:textId="65DE916B" w:rsidR="002F0FD2" w:rsidRPr="00050F68" w:rsidRDefault="001E4E37" w:rsidP="001E4E37">
      <w:pPr>
        <w:autoSpaceDE w:val="0"/>
        <w:autoSpaceDN w:val="0"/>
        <w:adjustRightInd w:val="0"/>
        <w:spacing w:before="240" w:after="120"/>
        <w:rPr>
          <w:rFonts w:ascii="Arial" w:hAnsi="Arial" w:cs="Arial"/>
          <w:b/>
          <w:szCs w:val="24"/>
        </w:rPr>
      </w:pPr>
      <w:r w:rsidRPr="00050F68">
        <w:rPr>
          <w:rFonts w:ascii="Arial" w:hAnsi="Arial" w:cs="Arial"/>
          <w:b/>
          <w:szCs w:val="24"/>
        </w:rPr>
        <w:t>Rights Limited</w:t>
      </w:r>
    </w:p>
    <w:p w14:paraId="351B5E7B" w14:textId="13A28B76" w:rsidR="002070A2" w:rsidRPr="00050F68" w:rsidRDefault="00A2087B" w:rsidP="00DF7319">
      <w:pPr>
        <w:rPr>
          <w:rFonts w:ascii="Arial" w:hAnsi="Arial" w:cs="Arial"/>
          <w:szCs w:val="24"/>
        </w:rPr>
      </w:pPr>
      <w:r>
        <w:rPr>
          <w:rFonts w:ascii="Arial" w:hAnsi="Arial" w:cs="Arial"/>
          <w:bCs/>
          <w:szCs w:val="24"/>
        </w:rPr>
        <w:t xml:space="preserve">The Bill engages and limits the presumption of innocence pursuant to section 22 of the HR Act. </w:t>
      </w:r>
    </w:p>
    <w:p w14:paraId="7604624E" w14:textId="58D530C1" w:rsidR="002070A2" w:rsidRPr="00050F68" w:rsidRDefault="00050F68" w:rsidP="002070A2">
      <w:pPr>
        <w:rPr>
          <w:rFonts w:ascii="Arial" w:hAnsi="Arial" w:cs="Arial"/>
          <w:szCs w:val="24"/>
        </w:rPr>
      </w:pPr>
      <w:r>
        <w:rPr>
          <w:rFonts w:ascii="Arial" w:hAnsi="Arial" w:cs="Arial"/>
          <w:b/>
          <w:i/>
          <w:szCs w:val="24"/>
        </w:rPr>
        <w:t>1. N</w:t>
      </w:r>
      <w:r w:rsidR="002070A2" w:rsidRPr="00050F68">
        <w:rPr>
          <w:rFonts w:ascii="Arial" w:hAnsi="Arial" w:cs="Arial"/>
          <w:b/>
          <w:i/>
          <w:szCs w:val="24"/>
        </w:rPr>
        <w:t xml:space="preserve">ature of the right </w:t>
      </w:r>
      <w:r w:rsidR="00B55BED" w:rsidRPr="00050F68">
        <w:rPr>
          <w:rFonts w:ascii="Arial" w:hAnsi="Arial" w:cs="Arial"/>
          <w:b/>
          <w:i/>
          <w:szCs w:val="24"/>
        </w:rPr>
        <w:t xml:space="preserve">and the limitation </w:t>
      </w:r>
      <w:r w:rsidR="002070A2" w:rsidRPr="00050F68">
        <w:rPr>
          <w:rFonts w:ascii="Arial" w:hAnsi="Arial" w:cs="Arial"/>
          <w:b/>
          <w:i/>
          <w:szCs w:val="24"/>
        </w:rPr>
        <w:t>(s 28 (2) (a)</w:t>
      </w:r>
      <w:r w:rsidR="00B55BED" w:rsidRPr="00050F68">
        <w:rPr>
          <w:rFonts w:ascii="Arial" w:hAnsi="Arial" w:cs="Arial"/>
          <w:b/>
          <w:i/>
          <w:szCs w:val="24"/>
        </w:rPr>
        <w:t xml:space="preserve"> and (c)</w:t>
      </w:r>
      <w:r w:rsidR="002070A2" w:rsidRPr="00050F68">
        <w:rPr>
          <w:rFonts w:ascii="Arial" w:hAnsi="Arial" w:cs="Arial"/>
          <w:b/>
          <w:i/>
          <w:szCs w:val="24"/>
        </w:rPr>
        <w:t>)</w:t>
      </w:r>
    </w:p>
    <w:p w14:paraId="7AA98D4B" w14:textId="3B8BEACF" w:rsidR="00761959" w:rsidRDefault="00A2087B" w:rsidP="002070A2">
      <w:pPr>
        <w:rPr>
          <w:rFonts w:ascii="Arial" w:hAnsi="Arial" w:cs="Arial"/>
          <w:szCs w:val="24"/>
        </w:rPr>
      </w:pPr>
      <w:r w:rsidRPr="003760AE">
        <w:rPr>
          <w:rFonts w:ascii="Arial" w:hAnsi="Arial" w:cs="Arial"/>
          <w:szCs w:val="24"/>
        </w:rPr>
        <w:t xml:space="preserve">Section 22 </w:t>
      </w:r>
      <w:r w:rsidR="00761959">
        <w:rPr>
          <w:rFonts w:ascii="Arial" w:hAnsi="Arial" w:cs="Arial"/>
          <w:szCs w:val="24"/>
        </w:rPr>
        <w:t xml:space="preserve">(1) </w:t>
      </w:r>
      <w:r w:rsidRPr="003760AE">
        <w:rPr>
          <w:rFonts w:ascii="Arial" w:hAnsi="Arial" w:cs="Arial"/>
          <w:szCs w:val="24"/>
        </w:rPr>
        <w:t>of the HR Act states</w:t>
      </w:r>
      <w:r w:rsidR="003760AE" w:rsidRPr="003760AE">
        <w:rPr>
          <w:rFonts w:ascii="Arial" w:hAnsi="Arial" w:cs="Arial"/>
          <w:szCs w:val="24"/>
        </w:rPr>
        <w:t xml:space="preserve"> that everyone charged with a criminal offence has the right to be presumed innocent until proved guilty according to law.</w:t>
      </w:r>
      <w:r>
        <w:rPr>
          <w:rFonts w:ascii="Arial" w:hAnsi="Arial" w:cs="Arial"/>
          <w:szCs w:val="24"/>
        </w:rPr>
        <w:t xml:space="preserve"> </w:t>
      </w:r>
      <w:r w:rsidR="00761959">
        <w:rPr>
          <w:rFonts w:ascii="Arial" w:hAnsi="Arial" w:cs="Arial"/>
          <w:szCs w:val="24"/>
        </w:rPr>
        <w:t xml:space="preserve">Section 22 (2) provides that anyone charged with a criminal offence is entitled to the minimum guarantees listed, including to be told about the right to legal assistance and not to be compelled to testify against himself or herself or to confess guilt. </w:t>
      </w:r>
    </w:p>
    <w:p w14:paraId="71297A52" w14:textId="5DC460A4" w:rsidR="003760AE" w:rsidRDefault="00761959" w:rsidP="002070A2">
      <w:pPr>
        <w:rPr>
          <w:rFonts w:ascii="Arial" w:hAnsi="Arial" w:cs="Arial"/>
          <w:szCs w:val="24"/>
        </w:rPr>
      </w:pPr>
      <w:r>
        <w:rPr>
          <w:rFonts w:ascii="Arial" w:hAnsi="Arial" w:cs="Arial"/>
          <w:szCs w:val="24"/>
        </w:rPr>
        <w:t xml:space="preserve">The Bill may limit rights in criminal proceedings as it creates </w:t>
      </w:r>
      <w:r w:rsidR="008A4F3F">
        <w:rPr>
          <w:rFonts w:ascii="Arial" w:hAnsi="Arial" w:cs="Arial"/>
          <w:szCs w:val="24"/>
        </w:rPr>
        <w:t xml:space="preserve">a </w:t>
      </w:r>
      <w:r>
        <w:rPr>
          <w:rFonts w:ascii="Arial" w:hAnsi="Arial" w:cs="Arial"/>
          <w:szCs w:val="24"/>
        </w:rPr>
        <w:t>strict liability element in section 120</w:t>
      </w:r>
      <w:r w:rsidR="008A4F3F">
        <w:rPr>
          <w:rFonts w:ascii="Arial" w:hAnsi="Arial" w:cs="Arial"/>
          <w:szCs w:val="24"/>
        </w:rPr>
        <w:t>B</w:t>
      </w:r>
      <w:r>
        <w:rPr>
          <w:rFonts w:ascii="Arial" w:hAnsi="Arial" w:cs="Arial"/>
          <w:szCs w:val="24"/>
        </w:rPr>
        <w:t xml:space="preserve"> (</w:t>
      </w:r>
      <w:r w:rsidR="008A4F3F">
        <w:rPr>
          <w:rFonts w:ascii="Arial" w:hAnsi="Arial" w:cs="Arial"/>
          <w:szCs w:val="24"/>
        </w:rPr>
        <w:t>1</w:t>
      </w:r>
      <w:r>
        <w:rPr>
          <w:rFonts w:ascii="Arial" w:hAnsi="Arial" w:cs="Arial"/>
          <w:szCs w:val="24"/>
        </w:rPr>
        <w:t xml:space="preserve">) (a). Strict liability limits the presumption of innocence as there is no need to prove a fault element and there is a burden on the defendant to challenge the prosecution case. The evidential burden on the defendant to raise a reasonable excuse as a defence is a reverse burden of proof and may also limit the presumption of innocence. </w:t>
      </w:r>
    </w:p>
    <w:p w14:paraId="3EA4246E" w14:textId="01E967E8" w:rsidR="003760AE" w:rsidRDefault="00761959" w:rsidP="002070A2">
      <w:pPr>
        <w:rPr>
          <w:rFonts w:ascii="Arial" w:hAnsi="Arial" w:cs="Arial"/>
          <w:szCs w:val="24"/>
        </w:rPr>
      </w:pPr>
      <w:r w:rsidRPr="00266281">
        <w:rPr>
          <w:rFonts w:ascii="Arial" w:hAnsi="Arial" w:cs="Arial"/>
          <w:szCs w:val="24"/>
        </w:rPr>
        <w:t xml:space="preserve">The amendment to disapply </w:t>
      </w:r>
      <w:r w:rsidR="009B7E22">
        <w:rPr>
          <w:rFonts w:ascii="Arial" w:hAnsi="Arial" w:cs="Arial"/>
          <w:szCs w:val="24"/>
        </w:rPr>
        <w:t xml:space="preserve">section 187 (1) of the </w:t>
      </w:r>
      <w:r w:rsidR="009B7E22">
        <w:rPr>
          <w:rFonts w:ascii="Arial" w:hAnsi="Arial" w:cs="Arial"/>
          <w:i/>
          <w:iCs/>
          <w:szCs w:val="24"/>
        </w:rPr>
        <w:t xml:space="preserve">Crimes Act 1900 </w:t>
      </w:r>
      <w:r w:rsidR="009B7E22">
        <w:rPr>
          <w:rFonts w:ascii="Arial" w:hAnsi="Arial" w:cs="Arial"/>
          <w:szCs w:val="24"/>
        </w:rPr>
        <w:t xml:space="preserve">(ACT) </w:t>
      </w:r>
      <w:r w:rsidR="007024D8">
        <w:rPr>
          <w:rFonts w:ascii="Arial" w:hAnsi="Arial" w:cs="Arial"/>
          <w:szCs w:val="24"/>
        </w:rPr>
        <w:t>which extends the application of</w:t>
      </w:r>
      <w:r w:rsidR="009B7E22">
        <w:rPr>
          <w:rFonts w:ascii="Arial" w:hAnsi="Arial" w:cs="Arial"/>
          <w:szCs w:val="24"/>
        </w:rPr>
        <w:t xml:space="preserve"> </w:t>
      </w:r>
      <w:r w:rsidRPr="00266281">
        <w:rPr>
          <w:rFonts w:ascii="Arial" w:hAnsi="Arial" w:cs="Arial"/>
          <w:szCs w:val="24"/>
        </w:rPr>
        <w:t xml:space="preserve">Part 1C of the </w:t>
      </w:r>
      <w:r w:rsidRPr="00266281">
        <w:rPr>
          <w:rFonts w:ascii="Arial" w:hAnsi="Arial" w:cs="Arial"/>
          <w:i/>
          <w:iCs/>
          <w:szCs w:val="24"/>
        </w:rPr>
        <w:t>Crimes Act 1914</w:t>
      </w:r>
      <w:r w:rsidRPr="00266281">
        <w:rPr>
          <w:rFonts w:ascii="Arial" w:hAnsi="Arial" w:cs="Arial"/>
          <w:szCs w:val="24"/>
        </w:rPr>
        <w:t xml:space="preserve"> (C</w:t>
      </w:r>
      <w:r w:rsidR="00905C23" w:rsidRPr="00266281">
        <w:rPr>
          <w:rFonts w:ascii="Arial" w:hAnsi="Arial" w:cs="Arial"/>
          <w:szCs w:val="24"/>
        </w:rPr>
        <w:t>wl</w:t>
      </w:r>
      <w:r w:rsidRPr="00266281">
        <w:rPr>
          <w:rFonts w:ascii="Arial" w:hAnsi="Arial" w:cs="Arial"/>
          <w:szCs w:val="24"/>
        </w:rPr>
        <w:t>th)</w:t>
      </w:r>
      <w:r w:rsidR="00905C23" w:rsidRPr="00266281">
        <w:rPr>
          <w:rFonts w:ascii="Arial" w:hAnsi="Arial" w:cs="Arial"/>
          <w:szCs w:val="24"/>
        </w:rPr>
        <w:t xml:space="preserve"> may also limit rights in criminal proceedings. Part 1C sets out safeguards for the conduct of criminal investigations including </w:t>
      </w:r>
      <w:r w:rsidR="000B0579" w:rsidRPr="00266281">
        <w:rPr>
          <w:rFonts w:ascii="Arial" w:hAnsi="Arial" w:cs="Arial"/>
          <w:szCs w:val="24"/>
        </w:rPr>
        <w:t>requirements</w:t>
      </w:r>
      <w:r w:rsidR="00905C23" w:rsidRPr="00266281">
        <w:rPr>
          <w:rFonts w:ascii="Arial" w:hAnsi="Arial" w:cs="Arial"/>
          <w:szCs w:val="24"/>
        </w:rPr>
        <w:t xml:space="preserve"> for police officers to give cautions and inform a person of </w:t>
      </w:r>
      <w:r w:rsidR="000B0579" w:rsidRPr="00266281">
        <w:rPr>
          <w:rFonts w:ascii="Arial" w:hAnsi="Arial" w:cs="Arial"/>
          <w:szCs w:val="24"/>
        </w:rPr>
        <w:t>their</w:t>
      </w:r>
      <w:r w:rsidR="00905C23" w:rsidRPr="00266281">
        <w:rPr>
          <w:rFonts w:ascii="Arial" w:hAnsi="Arial" w:cs="Arial"/>
          <w:szCs w:val="24"/>
        </w:rPr>
        <w:t xml:space="preserve"> right to communicate with a legal </w:t>
      </w:r>
      <w:r w:rsidR="000B0579" w:rsidRPr="00266281">
        <w:rPr>
          <w:rFonts w:ascii="Arial" w:hAnsi="Arial" w:cs="Arial"/>
          <w:szCs w:val="24"/>
        </w:rPr>
        <w:t>practitioner</w:t>
      </w:r>
      <w:r w:rsidR="00905C23" w:rsidRPr="00266281">
        <w:rPr>
          <w:rFonts w:ascii="Arial" w:hAnsi="Arial" w:cs="Arial"/>
          <w:szCs w:val="24"/>
        </w:rPr>
        <w:t xml:space="preserve"> where the person is a protected suspect or under arrest. </w:t>
      </w:r>
      <w:r w:rsidR="00266281">
        <w:rPr>
          <w:rFonts w:ascii="Arial" w:hAnsi="Arial" w:cs="Arial"/>
          <w:szCs w:val="24"/>
        </w:rPr>
        <w:t xml:space="preserve">Part 1C applies to ACT offences not punishable by imprisonment by operation of section 187 (1) of the </w:t>
      </w:r>
      <w:r w:rsidR="00266281">
        <w:rPr>
          <w:rFonts w:ascii="Arial" w:hAnsi="Arial" w:cs="Arial"/>
          <w:i/>
          <w:iCs/>
          <w:szCs w:val="24"/>
        </w:rPr>
        <w:t xml:space="preserve">Crimes Act 1900 </w:t>
      </w:r>
      <w:r w:rsidR="00266281">
        <w:rPr>
          <w:rFonts w:ascii="Arial" w:hAnsi="Arial" w:cs="Arial"/>
          <w:szCs w:val="24"/>
        </w:rPr>
        <w:t>(ACT). The narrow exception to the application of Part 1C to the offence</w:t>
      </w:r>
      <w:r w:rsidR="008A4F3F">
        <w:rPr>
          <w:rFonts w:ascii="Arial" w:hAnsi="Arial" w:cs="Arial"/>
          <w:szCs w:val="24"/>
        </w:rPr>
        <w:t xml:space="preserve"> </w:t>
      </w:r>
      <w:r w:rsidR="00266281">
        <w:rPr>
          <w:rFonts w:ascii="Arial" w:hAnsi="Arial" w:cs="Arial"/>
          <w:szCs w:val="24"/>
        </w:rPr>
        <w:t>in section 120</w:t>
      </w:r>
      <w:r w:rsidR="008A4F3F">
        <w:rPr>
          <w:rFonts w:ascii="Arial" w:hAnsi="Arial" w:cs="Arial"/>
          <w:szCs w:val="24"/>
        </w:rPr>
        <w:t>B</w:t>
      </w:r>
      <w:r w:rsidR="00266281">
        <w:rPr>
          <w:rFonts w:ascii="Arial" w:hAnsi="Arial" w:cs="Arial"/>
          <w:szCs w:val="24"/>
        </w:rPr>
        <w:t xml:space="preserve"> (</w:t>
      </w:r>
      <w:r w:rsidR="008A4F3F">
        <w:rPr>
          <w:rFonts w:ascii="Arial" w:hAnsi="Arial" w:cs="Arial"/>
          <w:szCs w:val="24"/>
        </w:rPr>
        <w:t>1</w:t>
      </w:r>
      <w:r w:rsidR="00266281">
        <w:rPr>
          <w:rFonts w:ascii="Arial" w:hAnsi="Arial" w:cs="Arial"/>
          <w:szCs w:val="24"/>
        </w:rPr>
        <w:t xml:space="preserve">) may limit rights in criminal proceedings by disapplying some of the protections that </w:t>
      </w:r>
      <w:r w:rsidR="00BB4A2B">
        <w:rPr>
          <w:rFonts w:ascii="Arial" w:hAnsi="Arial" w:cs="Arial"/>
          <w:szCs w:val="24"/>
        </w:rPr>
        <w:t xml:space="preserve">would otherwise </w:t>
      </w:r>
      <w:r w:rsidR="00266281">
        <w:rPr>
          <w:rFonts w:ascii="Arial" w:hAnsi="Arial" w:cs="Arial"/>
          <w:szCs w:val="24"/>
        </w:rPr>
        <w:t>apply</w:t>
      </w:r>
      <w:r w:rsidR="006B6E69">
        <w:rPr>
          <w:rFonts w:ascii="Arial" w:hAnsi="Arial" w:cs="Arial"/>
          <w:szCs w:val="24"/>
        </w:rPr>
        <w:t>.</w:t>
      </w:r>
    </w:p>
    <w:p w14:paraId="220CD5FC" w14:textId="7CF165BF" w:rsidR="002070A2" w:rsidRDefault="00050F68" w:rsidP="002070A2">
      <w:pPr>
        <w:rPr>
          <w:rFonts w:ascii="Arial" w:hAnsi="Arial" w:cs="Arial"/>
          <w:b/>
          <w:i/>
          <w:szCs w:val="24"/>
        </w:rPr>
      </w:pPr>
      <w:r w:rsidRPr="006B6E69">
        <w:rPr>
          <w:rFonts w:ascii="Arial" w:hAnsi="Arial" w:cs="Arial"/>
          <w:b/>
          <w:i/>
          <w:szCs w:val="24"/>
        </w:rPr>
        <w:t xml:space="preserve">2. </w:t>
      </w:r>
      <w:r w:rsidR="001E4E37" w:rsidRPr="006B6E69">
        <w:rPr>
          <w:rFonts w:ascii="Arial" w:hAnsi="Arial" w:cs="Arial"/>
          <w:b/>
          <w:i/>
          <w:szCs w:val="24"/>
        </w:rPr>
        <w:t>Legitimate purpose</w:t>
      </w:r>
      <w:r w:rsidR="002070A2" w:rsidRPr="006B6E69">
        <w:rPr>
          <w:rFonts w:ascii="Arial" w:hAnsi="Arial" w:cs="Arial"/>
          <w:b/>
          <w:i/>
          <w:szCs w:val="24"/>
        </w:rPr>
        <w:t xml:space="preserve"> (s 28 (2) (b))</w:t>
      </w:r>
    </w:p>
    <w:p w14:paraId="37112894" w14:textId="15D79DF4" w:rsidR="006B6E69" w:rsidRDefault="003760AE" w:rsidP="002070A2">
      <w:pPr>
        <w:rPr>
          <w:rFonts w:ascii="Arial" w:hAnsi="Arial" w:cs="Arial"/>
          <w:szCs w:val="24"/>
        </w:rPr>
      </w:pPr>
      <w:r>
        <w:rPr>
          <w:rFonts w:ascii="Arial" w:hAnsi="Arial" w:cs="Arial"/>
          <w:bCs/>
          <w:iCs/>
          <w:szCs w:val="24"/>
        </w:rPr>
        <w:t xml:space="preserve">The </w:t>
      </w:r>
      <w:r w:rsidR="006B6E69">
        <w:rPr>
          <w:rFonts w:ascii="Arial" w:hAnsi="Arial" w:cs="Arial"/>
          <w:bCs/>
          <w:iCs/>
          <w:szCs w:val="24"/>
        </w:rPr>
        <w:t xml:space="preserve">ultimate </w:t>
      </w:r>
      <w:r>
        <w:rPr>
          <w:rFonts w:ascii="Arial" w:hAnsi="Arial" w:cs="Arial"/>
          <w:bCs/>
          <w:iCs/>
          <w:szCs w:val="24"/>
        </w:rPr>
        <w:t>objective sought to be achieved by the Bill is to protect the life and health of all people in the ACT</w:t>
      </w:r>
      <w:r w:rsidR="006B6E69">
        <w:rPr>
          <w:rFonts w:ascii="Arial" w:hAnsi="Arial" w:cs="Arial"/>
          <w:bCs/>
          <w:iCs/>
          <w:szCs w:val="24"/>
        </w:rPr>
        <w:t xml:space="preserve"> by clarifying the operation of the offence for failing to comply with a public health direction. The amendments support the enforcement of the directions which are made </w:t>
      </w:r>
      <w:r w:rsidR="006B6E69">
        <w:rPr>
          <w:rFonts w:ascii="Arial" w:hAnsi="Arial" w:cs="Arial"/>
          <w:szCs w:val="24"/>
        </w:rPr>
        <w:t xml:space="preserve">by the Chief Health Officer to implement necessary </w:t>
      </w:r>
      <w:r w:rsidR="008E2FC5">
        <w:rPr>
          <w:rFonts w:ascii="Arial" w:hAnsi="Arial" w:cs="Arial"/>
          <w:szCs w:val="24"/>
        </w:rPr>
        <w:t xml:space="preserve">social and </w:t>
      </w:r>
      <w:r w:rsidR="006B6E69">
        <w:rPr>
          <w:rFonts w:ascii="Arial" w:hAnsi="Arial" w:cs="Arial"/>
          <w:szCs w:val="24"/>
        </w:rPr>
        <w:t>public health measures to alleviate the COVID-19 emergency.</w:t>
      </w:r>
    </w:p>
    <w:p w14:paraId="0BD358A9" w14:textId="77777777" w:rsidR="00125D58" w:rsidRPr="006B6E69" w:rsidRDefault="00125D58" w:rsidP="002070A2">
      <w:pPr>
        <w:rPr>
          <w:rFonts w:ascii="Arial" w:hAnsi="Arial" w:cs="Arial"/>
          <w:szCs w:val="24"/>
        </w:rPr>
      </w:pPr>
    </w:p>
    <w:p w14:paraId="28173187" w14:textId="35D2BD43" w:rsidR="002070A2" w:rsidRPr="006B6E69" w:rsidRDefault="00050F68" w:rsidP="002070A2">
      <w:pPr>
        <w:rPr>
          <w:rFonts w:ascii="Arial" w:hAnsi="Arial" w:cs="Arial"/>
          <w:szCs w:val="24"/>
        </w:rPr>
      </w:pPr>
      <w:r w:rsidRPr="006B6E69">
        <w:rPr>
          <w:rFonts w:ascii="Arial" w:hAnsi="Arial" w:cs="Arial"/>
          <w:b/>
          <w:i/>
          <w:szCs w:val="24"/>
        </w:rPr>
        <w:lastRenderedPageBreak/>
        <w:t xml:space="preserve">3. </w:t>
      </w:r>
      <w:r w:rsidR="00C2292D" w:rsidRPr="006B6E69">
        <w:rPr>
          <w:rFonts w:ascii="Arial" w:hAnsi="Arial" w:cs="Arial"/>
          <w:b/>
          <w:i/>
          <w:szCs w:val="24"/>
        </w:rPr>
        <w:t>Rational connection</w:t>
      </w:r>
      <w:r w:rsidRPr="006B6E69">
        <w:rPr>
          <w:rFonts w:ascii="Arial" w:hAnsi="Arial" w:cs="Arial"/>
          <w:b/>
          <w:i/>
          <w:szCs w:val="24"/>
        </w:rPr>
        <w:t xml:space="preserve"> between the limitation and the purpose</w:t>
      </w:r>
      <w:r w:rsidR="00ED12EC" w:rsidRPr="006B6E69">
        <w:rPr>
          <w:rFonts w:ascii="Arial" w:hAnsi="Arial" w:cs="Arial"/>
          <w:b/>
          <w:i/>
          <w:szCs w:val="24"/>
        </w:rPr>
        <w:t xml:space="preserve"> </w:t>
      </w:r>
      <w:r w:rsidR="002070A2" w:rsidRPr="006B6E69">
        <w:rPr>
          <w:rFonts w:ascii="Arial" w:hAnsi="Arial" w:cs="Arial"/>
          <w:b/>
          <w:i/>
          <w:szCs w:val="24"/>
        </w:rPr>
        <w:t>(s 28 (2) (d))</w:t>
      </w:r>
    </w:p>
    <w:p w14:paraId="3AB0F605" w14:textId="792113CE" w:rsidR="006B6E69" w:rsidRDefault="008E2FC5" w:rsidP="00367472">
      <w:pPr>
        <w:rPr>
          <w:rFonts w:ascii="Arial" w:hAnsi="Arial" w:cs="Arial"/>
          <w:szCs w:val="24"/>
        </w:rPr>
      </w:pPr>
      <w:r w:rsidRPr="008E2FC5">
        <w:rPr>
          <w:rFonts w:ascii="Arial" w:hAnsi="Arial" w:cs="Arial"/>
          <w:szCs w:val="24"/>
        </w:rPr>
        <w:t xml:space="preserve">The limitations on the presumption of innocence are necessary to ensure the public safety purpose of the Bill is achieved. The social and public health measures that are introduced </w:t>
      </w:r>
      <w:r w:rsidR="00BB4A2B">
        <w:rPr>
          <w:rFonts w:ascii="Arial" w:hAnsi="Arial" w:cs="Arial"/>
          <w:szCs w:val="24"/>
        </w:rPr>
        <w:t>through</w:t>
      </w:r>
      <w:r w:rsidRPr="008E2FC5">
        <w:rPr>
          <w:rFonts w:ascii="Arial" w:hAnsi="Arial" w:cs="Arial"/>
          <w:szCs w:val="24"/>
        </w:rPr>
        <w:t xml:space="preserve"> the directions are the most effective interventions to reduce the spread of COVID-19</w:t>
      </w:r>
      <w:r w:rsidR="00F979EC">
        <w:rPr>
          <w:rFonts w:ascii="Arial" w:hAnsi="Arial" w:cs="Arial"/>
          <w:szCs w:val="24"/>
        </w:rPr>
        <w:t xml:space="preserve"> and the amendments support the enforcement of the</w:t>
      </w:r>
      <w:r w:rsidR="00EB13DA">
        <w:rPr>
          <w:rFonts w:ascii="Arial" w:hAnsi="Arial" w:cs="Arial"/>
          <w:szCs w:val="24"/>
        </w:rPr>
        <w:t>se</w:t>
      </w:r>
      <w:r w:rsidR="00F979EC">
        <w:rPr>
          <w:rFonts w:ascii="Arial" w:hAnsi="Arial" w:cs="Arial"/>
          <w:szCs w:val="24"/>
        </w:rPr>
        <w:t xml:space="preserve"> directions in the ACT</w:t>
      </w:r>
      <w:r w:rsidRPr="008E2FC5">
        <w:rPr>
          <w:rFonts w:ascii="Arial" w:hAnsi="Arial" w:cs="Arial"/>
          <w:szCs w:val="24"/>
        </w:rPr>
        <w:t xml:space="preserve">. </w:t>
      </w:r>
      <w:r>
        <w:rPr>
          <w:rFonts w:ascii="Arial" w:hAnsi="Arial" w:cs="Arial"/>
          <w:szCs w:val="24"/>
        </w:rPr>
        <w:t>The</w:t>
      </w:r>
      <w:r w:rsidR="005835AE">
        <w:rPr>
          <w:rFonts w:ascii="Arial" w:hAnsi="Arial" w:cs="Arial"/>
          <w:szCs w:val="24"/>
        </w:rPr>
        <w:t xml:space="preserve"> </w:t>
      </w:r>
      <w:r w:rsidR="00F979EC">
        <w:rPr>
          <w:rFonts w:ascii="Arial" w:hAnsi="Arial" w:cs="Arial"/>
          <w:szCs w:val="24"/>
        </w:rPr>
        <w:t>application of</w:t>
      </w:r>
      <w:r w:rsidR="005835AE">
        <w:rPr>
          <w:rFonts w:ascii="Arial" w:hAnsi="Arial" w:cs="Arial"/>
          <w:szCs w:val="24"/>
        </w:rPr>
        <w:t xml:space="preserve"> strict liability</w:t>
      </w:r>
      <w:r w:rsidR="00F979EC">
        <w:rPr>
          <w:rFonts w:ascii="Arial" w:hAnsi="Arial" w:cs="Arial"/>
          <w:szCs w:val="24"/>
        </w:rPr>
        <w:t xml:space="preserve">, the </w:t>
      </w:r>
      <w:r w:rsidR="005835AE">
        <w:rPr>
          <w:rFonts w:ascii="Arial" w:hAnsi="Arial" w:cs="Arial"/>
          <w:szCs w:val="24"/>
        </w:rPr>
        <w:t xml:space="preserve">evidential burden </w:t>
      </w:r>
      <w:r w:rsidR="00BB4A2B">
        <w:rPr>
          <w:rFonts w:ascii="Arial" w:hAnsi="Arial" w:cs="Arial"/>
          <w:szCs w:val="24"/>
        </w:rPr>
        <w:t>on the defendant for</w:t>
      </w:r>
      <w:r w:rsidR="005835AE">
        <w:rPr>
          <w:rFonts w:ascii="Arial" w:hAnsi="Arial" w:cs="Arial"/>
          <w:szCs w:val="24"/>
        </w:rPr>
        <w:t xml:space="preserve"> the defence of reasonable excuse </w:t>
      </w:r>
      <w:r w:rsidR="00796E3E">
        <w:rPr>
          <w:rFonts w:ascii="Arial" w:hAnsi="Arial" w:cs="Arial"/>
          <w:szCs w:val="24"/>
        </w:rPr>
        <w:t xml:space="preserve">and </w:t>
      </w:r>
      <w:r w:rsidR="00F979EC">
        <w:rPr>
          <w:rFonts w:ascii="Arial" w:hAnsi="Arial" w:cs="Arial"/>
          <w:szCs w:val="24"/>
        </w:rPr>
        <w:t xml:space="preserve">the </w:t>
      </w:r>
      <w:r w:rsidR="00796E3E">
        <w:rPr>
          <w:rFonts w:ascii="Arial" w:hAnsi="Arial" w:cs="Arial"/>
          <w:szCs w:val="24"/>
        </w:rPr>
        <w:t>limited exception to the application of Part 1C</w:t>
      </w:r>
      <w:r w:rsidR="00BB4A2B">
        <w:rPr>
          <w:rFonts w:ascii="Arial" w:hAnsi="Arial" w:cs="Arial"/>
          <w:szCs w:val="24"/>
        </w:rPr>
        <w:t xml:space="preserve"> are necessary to</w:t>
      </w:r>
      <w:r w:rsidR="00796E3E">
        <w:rPr>
          <w:rFonts w:ascii="Arial" w:hAnsi="Arial" w:cs="Arial"/>
          <w:szCs w:val="24"/>
        </w:rPr>
        <w:t xml:space="preserve"> </w:t>
      </w:r>
      <w:r>
        <w:rPr>
          <w:rFonts w:ascii="Arial" w:hAnsi="Arial" w:cs="Arial"/>
          <w:szCs w:val="24"/>
        </w:rPr>
        <w:t>clarify the operation of the offence</w:t>
      </w:r>
      <w:r w:rsidR="00BB4A2B">
        <w:rPr>
          <w:rFonts w:ascii="Arial" w:hAnsi="Arial" w:cs="Arial"/>
          <w:szCs w:val="24"/>
        </w:rPr>
        <w:t>s</w:t>
      </w:r>
      <w:r w:rsidR="00F979EC">
        <w:rPr>
          <w:rFonts w:ascii="Arial" w:hAnsi="Arial" w:cs="Arial"/>
          <w:szCs w:val="24"/>
        </w:rPr>
        <w:t xml:space="preserve"> </w:t>
      </w:r>
      <w:r>
        <w:rPr>
          <w:rFonts w:ascii="Arial" w:hAnsi="Arial" w:cs="Arial"/>
          <w:szCs w:val="24"/>
        </w:rPr>
        <w:t xml:space="preserve">and </w:t>
      </w:r>
      <w:r w:rsidR="00BB4A2B">
        <w:rPr>
          <w:rFonts w:ascii="Arial" w:hAnsi="Arial" w:cs="Arial"/>
          <w:szCs w:val="24"/>
        </w:rPr>
        <w:t xml:space="preserve">to </w:t>
      </w:r>
      <w:r w:rsidR="00F979EC">
        <w:rPr>
          <w:rFonts w:ascii="Arial" w:hAnsi="Arial" w:cs="Arial"/>
          <w:szCs w:val="24"/>
        </w:rPr>
        <w:t>support compliance</w:t>
      </w:r>
      <w:r w:rsidR="00BB4A2B">
        <w:rPr>
          <w:rFonts w:ascii="Arial" w:hAnsi="Arial" w:cs="Arial"/>
          <w:szCs w:val="24"/>
        </w:rPr>
        <w:t xml:space="preserve"> with the directions</w:t>
      </w:r>
      <w:r>
        <w:rPr>
          <w:rFonts w:ascii="Arial" w:hAnsi="Arial" w:cs="Arial"/>
          <w:szCs w:val="24"/>
        </w:rPr>
        <w:t xml:space="preserve">. </w:t>
      </w:r>
    </w:p>
    <w:p w14:paraId="6004697E" w14:textId="77777777" w:rsidR="008E2FC5" w:rsidRDefault="00050F68" w:rsidP="003760AE">
      <w:pPr>
        <w:rPr>
          <w:rFonts w:ascii="Arial" w:hAnsi="Arial" w:cs="Arial"/>
          <w:szCs w:val="24"/>
        </w:rPr>
      </w:pPr>
      <w:r w:rsidRPr="008E2FC5">
        <w:rPr>
          <w:rFonts w:ascii="Arial" w:hAnsi="Arial" w:cs="Arial"/>
          <w:b/>
          <w:i/>
          <w:szCs w:val="24"/>
        </w:rPr>
        <w:t xml:space="preserve">4. </w:t>
      </w:r>
      <w:r w:rsidR="001E4E37" w:rsidRPr="008E2FC5">
        <w:rPr>
          <w:rFonts w:ascii="Arial" w:hAnsi="Arial" w:cs="Arial"/>
          <w:b/>
          <w:i/>
          <w:szCs w:val="24"/>
        </w:rPr>
        <w:t>Proportionality</w:t>
      </w:r>
      <w:r w:rsidR="002070A2" w:rsidRPr="008E2FC5">
        <w:rPr>
          <w:rFonts w:ascii="Arial" w:hAnsi="Arial" w:cs="Arial"/>
          <w:b/>
          <w:i/>
          <w:szCs w:val="24"/>
        </w:rPr>
        <w:t xml:space="preserve"> (s 28 (2) (e))</w:t>
      </w:r>
    </w:p>
    <w:p w14:paraId="3C7D140F" w14:textId="3D03A523" w:rsidR="008E2FC5" w:rsidRDefault="003760AE" w:rsidP="003760AE">
      <w:pPr>
        <w:rPr>
          <w:rFonts w:ascii="Arial" w:hAnsi="Arial" w:cs="Arial"/>
          <w:szCs w:val="24"/>
        </w:rPr>
      </w:pPr>
      <w:r w:rsidRPr="003760AE">
        <w:rPr>
          <w:rFonts w:ascii="Arial" w:hAnsi="Arial" w:cs="Arial"/>
          <w:szCs w:val="24"/>
        </w:rPr>
        <w:t xml:space="preserve">The amendments </w:t>
      </w:r>
      <w:r w:rsidR="008E2FC5">
        <w:rPr>
          <w:rFonts w:ascii="Arial" w:hAnsi="Arial" w:cs="Arial"/>
          <w:szCs w:val="24"/>
        </w:rPr>
        <w:t xml:space="preserve">in the Bill </w:t>
      </w:r>
      <w:r w:rsidRPr="003760AE">
        <w:rPr>
          <w:rFonts w:ascii="Arial" w:hAnsi="Arial" w:cs="Arial"/>
          <w:szCs w:val="24"/>
        </w:rPr>
        <w:t>are the least restrictive means reasonably available to achieve the objective</w:t>
      </w:r>
      <w:r w:rsidR="008E2FC5">
        <w:rPr>
          <w:rFonts w:ascii="Arial" w:hAnsi="Arial" w:cs="Arial"/>
          <w:szCs w:val="24"/>
        </w:rPr>
        <w:t xml:space="preserve"> of supporting the enforcement of public health directions and promoting the right to life</w:t>
      </w:r>
      <w:r w:rsidRPr="003760AE">
        <w:rPr>
          <w:rFonts w:ascii="Arial" w:hAnsi="Arial" w:cs="Arial"/>
          <w:szCs w:val="24"/>
        </w:rPr>
        <w:t>.</w:t>
      </w:r>
    </w:p>
    <w:p w14:paraId="64BD79E4" w14:textId="4F4D2D55" w:rsidR="0080146D" w:rsidRDefault="008E2FC5" w:rsidP="003760AE">
      <w:pPr>
        <w:rPr>
          <w:rFonts w:ascii="Arial" w:hAnsi="Arial" w:cs="Arial"/>
          <w:szCs w:val="24"/>
        </w:rPr>
      </w:pPr>
      <w:r>
        <w:rPr>
          <w:rFonts w:ascii="Arial" w:hAnsi="Arial" w:cs="Arial"/>
          <w:szCs w:val="24"/>
        </w:rPr>
        <w:t xml:space="preserve">The amendments improve certainty about the elements </w:t>
      </w:r>
      <w:r w:rsidR="0080146D">
        <w:rPr>
          <w:rFonts w:ascii="Arial" w:hAnsi="Arial" w:cs="Arial"/>
          <w:szCs w:val="24"/>
        </w:rPr>
        <w:t xml:space="preserve">of the offence and ensure that the principles in the </w:t>
      </w:r>
      <w:r w:rsidR="0080146D">
        <w:rPr>
          <w:rFonts w:ascii="Arial" w:hAnsi="Arial" w:cs="Arial"/>
          <w:i/>
          <w:iCs/>
          <w:szCs w:val="24"/>
        </w:rPr>
        <w:t xml:space="preserve">Criminal Code 2002 </w:t>
      </w:r>
      <w:r w:rsidR="0080146D">
        <w:rPr>
          <w:rFonts w:ascii="Arial" w:hAnsi="Arial" w:cs="Arial"/>
          <w:szCs w:val="24"/>
        </w:rPr>
        <w:t>apply rather than the common law</w:t>
      </w:r>
      <w:r w:rsidR="007024D8">
        <w:rPr>
          <w:rFonts w:ascii="Arial" w:hAnsi="Arial" w:cs="Arial"/>
          <w:szCs w:val="24"/>
        </w:rPr>
        <w:t xml:space="preserve"> which applies to the offence at section 120(4)</w:t>
      </w:r>
      <w:r w:rsidR="0080146D">
        <w:rPr>
          <w:rFonts w:ascii="Arial" w:hAnsi="Arial" w:cs="Arial"/>
          <w:szCs w:val="24"/>
        </w:rPr>
        <w:t>. The application of strict liability to the element in section 120</w:t>
      </w:r>
      <w:r w:rsidR="008A4F3F">
        <w:rPr>
          <w:rFonts w:ascii="Arial" w:hAnsi="Arial" w:cs="Arial"/>
          <w:szCs w:val="24"/>
        </w:rPr>
        <w:t>B</w:t>
      </w:r>
      <w:r w:rsidR="0080146D">
        <w:rPr>
          <w:rFonts w:ascii="Arial" w:hAnsi="Arial" w:cs="Arial"/>
          <w:szCs w:val="24"/>
        </w:rPr>
        <w:t xml:space="preserve"> (</w:t>
      </w:r>
      <w:r w:rsidR="008A4F3F">
        <w:rPr>
          <w:rFonts w:ascii="Arial" w:hAnsi="Arial" w:cs="Arial"/>
          <w:szCs w:val="24"/>
        </w:rPr>
        <w:t>1</w:t>
      </w:r>
      <w:r w:rsidR="0080146D">
        <w:rPr>
          <w:rFonts w:ascii="Arial" w:hAnsi="Arial" w:cs="Arial"/>
          <w:szCs w:val="24"/>
        </w:rPr>
        <w:t xml:space="preserve">)(a) is accompanied by </w:t>
      </w:r>
      <w:r w:rsidR="00EB13DA">
        <w:rPr>
          <w:rFonts w:ascii="Arial" w:hAnsi="Arial" w:cs="Arial"/>
          <w:szCs w:val="24"/>
        </w:rPr>
        <w:t xml:space="preserve">appropriate </w:t>
      </w:r>
      <w:r w:rsidR="0080146D">
        <w:rPr>
          <w:rFonts w:ascii="Arial" w:hAnsi="Arial" w:cs="Arial"/>
          <w:szCs w:val="24"/>
        </w:rPr>
        <w:t xml:space="preserve">safeguards such as a requirement that a COVID-19 direction </w:t>
      </w:r>
      <w:r w:rsidR="008A4F3F">
        <w:rPr>
          <w:rFonts w:ascii="Arial" w:hAnsi="Arial" w:cs="Arial"/>
          <w:szCs w:val="24"/>
        </w:rPr>
        <w:t xml:space="preserve">that does not apply to a particular person </w:t>
      </w:r>
      <w:r w:rsidR="0080146D">
        <w:rPr>
          <w:rFonts w:ascii="Arial" w:hAnsi="Arial" w:cs="Arial"/>
          <w:szCs w:val="24"/>
        </w:rPr>
        <w:t xml:space="preserve">is a notifiable instrument and a requirement for an authorised officer, where reasonably practicable, to warn a person that failure to comply with a direction without a reasonable excuse is an offence. </w:t>
      </w:r>
    </w:p>
    <w:p w14:paraId="18689494" w14:textId="16AE26FE" w:rsidR="00BB5414" w:rsidRDefault="00BB5414" w:rsidP="00BB5414">
      <w:pPr>
        <w:rPr>
          <w:rFonts w:ascii="Arial" w:hAnsi="Arial" w:cs="Arial"/>
          <w:szCs w:val="24"/>
          <w:lang w:eastAsia="en-AU"/>
        </w:rPr>
      </w:pPr>
      <w:r w:rsidRPr="00BB5414">
        <w:rPr>
          <w:rFonts w:ascii="Arial" w:hAnsi="Arial" w:cs="Arial"/>
          <w:szCs w:val="24"/>
          <w:lang w:eastAsia="en-AU"/>
        </w:rPr>
        <w:t xml:space="preserve">In addition, a number of defences remain open to </w:t>
      </w:r>
      <w:r w:rsidR="00EB13DA">
        <w:rPr>
          <w:rFonts w:ascii="Arial" w:hAnsi="Arial" w:cs="Arial"/>
          <w:szCs w:val="24"/>
          <w:lang w:eastAsia="en-AU"/>
        </w:rPr>
        <w:t xml:space="preserve">a </w:t>
      </w:r>
      <w:r w:rsidR="00BB4A2B">
        <w:rPr>
          <w:rFonts w:ascii="Arial" w:hAnsi="Arial" w:cs="Arial"/>
          <w:szCs w:val="24"/>
          <w:lang w:eastAsia="en-AU"/>
        </w:rPr>
        <w:t>defendant</w:t>
      </w:r>
      <w:r w:rsidRPr="00BB5414">
        <w:rPr>
          <w:rFonts w:ascii="Arial" w:hAnsi="Arial" w:cs="Arial"/>
          <w:szCs w:val="24"/>
          <w:lang w:eastAsia="en-AU"/>
        </w:rPr>
        <w:t xml:space="preserve"> including the </w:t>
      </w:r>
      <w:r w:rsidR="0080146D">
        <w:rPr>
          <w:rFonts w:ascii="Arial" w:hAnsi="Arial" w:cs="Arial"/>
          <w:szCs w:val="24"/>
          <w:lang w:eastAsia="en-AU"/>
        </w:rPr>
        <w:t>defence</w:t>
      </w:r>
      <w:r w:rsidRPr="00BB5414">
        <w:rPr>
          <w:rFonts w:ascii="Arial" w:hAnsi="Arial" w:cs="Arial"/>
          <w:szCs w:val="24"/>
          <w:lang w:eastAsia="en-AU"/>
        </w:rPr>
        <w:t xml:space="preserve"> of reasonable excuse in section 120</w:t>
      </w:r>
      <w:r w:rsidR="008A4F3F">
        <w:rPr>
          <w:rFonts w:ascii="Arial" w:hAnsi="Arial" w:cs="Arial"/>
          <w:szCs w:val="24"/>
          <w:lang w:eastAsia="en-AU"/>
        </w:rPr>
        <w:t>B</w:t>
      </w:r>
      <w:r w:rsidRPr="00BB5414">
        <w:rPr>
          <w:rFonts w:ascii="Arial" w:hAnsi="Arial" w:cs="Arial"/>
          <w:szCs w:val="24"/>
          <w:lang w:eastAsia="en-AU"/>
        </w:rPr>
        <w:t xml:space="preserve"> (</w:t>
      </w:r>
      <w:r w:rsidR="008A4F3F">
        <w:rPr>
          <w:rFonts w:ascii="Arial" w:hAnsi="Arial" w:cs="Arial"/>
          <w:szCs w:val="24"/>
          <w:lang w:eastAsia="en-AU"/>
        </w:rPr>
        <w:t>3</w:t>
      </w:r>
      <w:r w:rsidRPr="00BB5414">
        <w:rPr>
          <w:rFonts w:ascii="Arial" w:hAnsi="Arial" w:cs="Arial"/>
          <w:szCs w:val="24"/>
          <w:lang w:eastAsia="en-AU"/>
        </w:rPr>
        <w:t xml:space="preserve">). Section 23 of the </w:t>
      </w:r>
      <w:r w:rsidRPr="00BB5414">
        <w:rPr>
          <w:rFonts w:ascii="Arial" w:hAnsi="Arial" w:cs="Arial"/>
          <w:i/>
          <w:iCs/>
          <w:szCs w:val="24"/>
          <w:lang w:eastAsia="en-AU"/>
        </w:rPr>
        <w:t>Criminal Code</w:t>
      </w:r>
      <w:r w:rsidRPr="00BB5414">
        <w:rPr>
          <w:rFonts w:ascii="Arial" w:hAnsi="Arial" w:cs="Arial"/>
          <w:szCs w:val="24"/>
          <w:lang w:eastAsia="en-AU"/>
        </w:rPr>
        <w:t xml:space="preserve"> </w:t>
      </w:r>
      <w:r w:rsidRPr="00BB5414">
        <w:rPr>
          <w:rFonts w:ascii="Arial" w:hAnsi="Arial" w:cs="Arial"/>
          <w:i/>
          <w:iCs/>
          <w:szCs w:val="24"/>
          <w:lang w:eastAsia="en-AU"/>
        </w:rPr>
        <w:t>2002</w:t>
      </w:r>
      <w:r w:rsidRPr="00BB5414">
        <w:rPr>
          <w:rFonts w:ascii="Arial" w:hAnsi="Arial" w:cs="Arial"/>
          <w:szCs w:val="24"/>
          <w:lang w:eastAsia="en-AU"/>
        </w:rPr>
        <w:t xml:space="preserve"> provides that other defences may also be available for use for strict liability offences</w:t>
      </w:r>
      <w:r w:rsidR="0080146D">
        <w:rPr>
          <w:rFonts w:ascii="Arial" w:hAnsi="Arial" w:cs="Arial"/>
          <w:szCs w:val="24"/>
          <w:lang w:eastAsia="en-AU"/>
        </w:rPr>
        <w:t xml:space="preserve">. </w:t>
      </w:r>
    </w:p>
    <w:p w14:paraId="14381664" w14:textId="13B24943" w:rsidR="0080146D" w:rsidRDefault="00EB13DA" w:rsidP="00BB5414">
      <w:pPr>
        <w:rPr>
          <w:rFonts w:ascii="Arial" w:hAnsi="Arial" w:cs="Arial"/>
          <w:szCs w:val="24"/>
          <w:lang w:eastAsia="en-AU"/>
        </w:rPr>
      </w:pPr>
      <w:r>
        <w:rPr>
          <w:rFonts w:ascii="Arial" w:hAnsi="Arial" w:cs="Arial"/>
          <w:szCs w:val="24"/>
          <w:lang w:eastAsia="en-AU"/>
        </w:rPr>
        <w:t>Section</w:t>
      </w:r>
      <w:r w:rsidR="0080146D">
        <w:rPr>
          <w:rFonts w:ascii="Arial" w:hAnsi="Arial" w:cs="Arial"/>
          <w:szCs w:val="24"/>
          <w:lang w:eastAsia="en-AU"/>
        </w:rPr>
        <w:t xml:space="preserve"> 120</w:t>
      </w:r>
      <w:r w:rsidR="008A4F3F">
        <w:rPr>
          <w:rFonts w:ascii="Arial" w:hAnsi="Arial" w:cs="Arial"/>
          <w:szCs w:val="24"/>
          <w:lang w:eastAsia="en-AU"/>
        </w:rPr>
        <w:t>B (3</w:t>
      </w:r>
      <w:r w:rsidR="0080146D">
        <w:rPr>
          <w:rFonts w:ascii="Arial" w:hAnsi="Arial" w:cs="Arial"/>
          <w:szCs w:val="24"/>
          <w:lang w:eastAsia="en-AU"/>
        </w:rPr>
        <w:t>)</w:t>
      </w:r>
      <w:r>
        <w:rPr>
          <w:rFonts w:ascii="Arial" w:hAnsi="Arial" w:cs="Arial"/>
          <w:szCs w:val="24"/>
          <w:lang w:eastAsia="en-AU"/>
        </w:rPr>
        <w:t xml:space="preserve"> provides that the defendant has an evidential burden in relation to the defence of reasonable excuse and this</w:t>
      </w:r>
      <w:r w:rsidR="0080146D">
        <w:rPr>
          <w:rFonts w:ascii="Arial" w:hAnsi="Arial" w:cs="Arial"/>
          <w:szCs w:val="24"/>
          <w:lang w:eastAsia="en-AU"/>
        </w:rPr>
        <w:t xml:space="preserve"> formalises the common law position</w:t>
      </w:r>
      <w:r>
        <w:rPr>
          <w:rFonts w:ascii="Arial" w:hAnsi="Arial" w:cs="Arial"/>
          <w:szCs w:val="24"/>
          <w:lang w:eastAsia="en-AU"/>
        </w:rPr>
        <w:t xml:space="preserve"> in relation to the existing offence in section 120 (4)</w:t>
      </w:r>
      <w:r w:rsidR="0080146D">
        <w:rPr>
          <w:rFonts w:ascii="Arial" w:hAnsi="Arial" w:cs="Arial"/>
          <w:szCs w:val="24"/>
          <w:lang w:eastAsia="en-AU"/>
        </w:rPr>
        <w:t xml:space="preserve">. </w:t>
      </w:r>
      <w:r>
        <w:rPr>
          <w:rFonts w:ascii="Arial" w:hAnsi="Arial" w:cs="Arial"/>
          <w:szCs w:val="24"/>
          <w:lang w:eastAsia="en-AU"/>
        </w:rPr>
        <w:t>It</w:t>
      </w:r>
      <w:r w:rsidR="0080146D">
        <w:rPr>
          <w:rFonts w:ascii="Arial" w:hAnsi="Arial" w:cs="Arial"/>
          <w:szCs w:val="24"/>
          <w:lang w:eastAsia="en-AU"/>
        </w:rPr>
        <w:t xml:space="preserve"> is </w:t>
      </w:r>
      <w:r w:rsidR="00F979EC">
        <w:rPr>
          <w:rFonts w:ascii="Arial" w:hAnsi="Arial" w:cs="Arial"/>
          <w:szCs w:val="24"/>
          <w:lang w:eastAsia="en-AU"/>
        </w:rPr>
        <w:t xml:space="preserve">considered </w:t>
      </w:r>
      <w:r w:rsidR="0080146D">
        <w:rPr>
          <w:rFonts w:ascii="Arial" w:hAnsi="Arial" w:cs="Arial"/>
          <w:szCs w:val="24"/>
          <w:lang w:eastAsia="en-AU"/>
        </w:rPr>
        <w:t>reasonable</w:t>
      </w:r>
      <w:r>
        <w:rPr>
          <w:rFonts w:ascii="Arial" w:hAnsi="Arial" w:cs="Arial"/>
          <w:szCs w:val="24"/>
          <w:lang w:eastAsia="en-AU"/>
        </w:rPr>
        <w:t xml:space="preserve"> and proportionate</w:t>
      </w:r>
      <w:r w:rsidR="0080146D">
        <w:rPr>
          <w:rFonts w:ascii="Arial" w:hAnsi="Arial" w:cs="Arial"/>
          <w:szCs w:val="24"/>
          <w:lang w:eastAsia="en-AU"/>
        </w:rPr>
        <w:t xml:space="preserve"> to apply a</w:t>
      </w:r>
      <w:r w:rsidR="007024D8">
        <w:rPr>
          <w:rFonts w:ascii="Arial" w:hAnsi="Arial" w:cs="Arial"/>
          <w:szCs w:val="24"/>
          <w:lang w:eastAsia="en-AU"/>
        </w:rPr>
        <w:t>n</w:t>
      </w:r>
      <w:r w:rsidR="0080146D">
        <w:rPr>
          <w:rFonts w:ascii="Arial" w:hAnsi="Arial" w:cs="Arial"/>
          <w:szCs w:val="24"/>
          <w:lang w:eastAsia="en-AU"/>
        </w:rPr>
        <w:t xml:space="preserve"> </w:t>
      </w:r>
      <w:r w:rsidR="007024D8">
        <w:rPr>
          <w:rFonts w:ascii="Arial" w:hAnsi="Arial" w:cs="Arial"/>
          <w:szCs w:val="24"/>
          <w:lang w:eastAsia="en-AU"/>
        </w:rPr>
        <w:t xml:space="preserve">evidential </w:t>
      </w:r>
      <w:r w:rsidR="0080146D">
        <w:rPr>
          <w:rFonts w:ascii="Arial" w:hAnsi="Arial" w:cs="Arial"/>
          <w:szCs w:val="24"/>
          <w:lang w:eastAsia="en-AU"/>
        </w:rPr>
        <w:t>onus of proof</w:t>
      </w:r>
      <w:r>
        <w:rPr>
          <w:rFonts w:ascii="Arial" w:hAnsi="Arial" w:cs="Arial"/>
          <w:szCs w:val="24"/>
          <w:lang w:eastAsia="en-AU"/>
        </w:rPr>
        <w:t xml:space="preserve"> as a potential excuse would be solely within the knowledge of the defendant</w:t>
      </w:r>
      <w:r w:rsidR="0080146D">
        <w:rPr>
          <w:rFonts w:ascii="Arial" w:hAnsi="Arial" w:cs="Arial"/>
          <w:szCs w:val="24"/>
          <w:lang w:eastAsia="en-AU"/>
        </w:rPr>
        <w:t>.</w:t>
      </w:r>
      <w:r>
        <w:rPr>
          <w:rFonts w:ascii="Arial" w:hAnsi="Arial" w:cs="Arial"/>
          <w:szCs w:val="24"/>
          <w:lang w:eastAsia="en-AU"/>
        </w:rPr>
        <w:t xml:space="preserve"> </w:t>
      </w:r>
      <w:r w:rsidR="00F979EC">
        <w:rPr>
          <w:rFonts w:ascii="Arial" w:hAnsi="Arial" w:cs="Arial"/>
          <w:szCs w:val="24"/>
          <w:lang w:eastAsia="en-AU"/>
        </w:rPr>
        <w:t>The prosecution retains the onus to refute the defence beyond reasonable doubt</w:t>
      </w:r>
      <w:r w:rsidR="007024D8">
        <w:rPr>
          <w:rFonts w:ascii="Arial" w:hAnsi="Arial" w:cs="Arial"/>
          <w:szCs w:val="24"/>
          <w:lang w:eastAsia="en-AU"/>
        </w:rPr>
        <w:t xml:space="preserve"> should such a defence arise</w:t>
      </w:r>
      <w:r w:rsidR="00F979EC">
        <w:rPr>
          <w:rFonts w:ascii="Arial" w:hAnsi="Arial" w:cs="Arial"/>
          <w:szCs w:val="24"/>
          <w:lang w:eastAsia="en-AU"/>
        </w:rPr>
        <w:t>.</w:t>
      </w:r>
    </w:p>
    <w:p w14:paraId="51314C5C" w14:textId="4B10A083" w:rsidR="00EB13DA" w:rsidRDefault="00EB13DA" w:rsidP="00BB5414">
      <w:pPr>
        <w:rPr>
          <w:rFonts w:ascii="Arial" w:hAnsi="Arial" w:cs="Arial"/>
          <w:szCs w:val="24"/>
          <w:lang w:eastAsia="en-AU"/>
        </w:rPr>
      </w:pPr>
      <w:r>
        <w:rPr>
          <w:rFonts w:ascii="Arial" w:hAnsi="Arial" w:cs="Arial"/>
          <w:szCs w:val="24"/>
          <w:lang w:eastAsia="en-AU"/>
        </w:rPr>
        <w:t xml:space="preserve">The limitation </w:t>
      </w:r>
      <w:r>
        <w:rPr>
          <w:rFonts w:ascii="Arial" w:hAnsi="Arial" w:cs="Arial"/>
          <w:szCs w:val="24"/>
        </w:rPr>
        <w:t xml:space="preserve">on rights in criminal proceedings as a result of the exception to the application of </w:t>
      </w:r>
      <w:r w:rsidR="009B7E22">
        <w:rPr>
          <w:rFonts w:ascii="Arial" w:hAnsi="Arial" w:cs="Arial"/>
          <w:szCs w:val="24"/>
        </w:rPr>
        <w:t xml:space="preserve">section 187 (1) of the </w:t>
      </w:r>
      <w:r w:rsidR="009B7E22">
        <w:rPr>
          <w:rFonts w:ascii="Arial" w:hAnsi="Arial" w:cs="Arial"/>
          <w:i/>
          <w:iCs/>
          <w:szCs w:val="24"/>
        </w:rPr>
        <w:t xml:space="preserve">Crimes Act 1900 </w:t>
      </w:r>
      <w:r w:rsidR="009B7E22">
        <w:rPr>
          <w:rFonts w:ascii="Arial" w:hAnsi="Arial" w:cs="Arial"/>
          <w:szCs w:val="24"/>
        </w:rPr>
        <w:t xml:space="preserve">(ACT) and </w:t>
      </w:r>
      <w:r>
        <w:rPr>
          <w:rFonts w:ascii="Arial" w:hAnsi="Arial" w:cs="Arial"/>
          <w:szCs w:val="24"/>
        </w:rPr>
        <w:t xml:space="preserve">Part 1C </w:t>
      </w:r>
      <w:r w:rsidR="009B7E22">
        <w:rPr>
          <w:rFonts w:ascii="Arial" w:hAnsi="Arial" w:cs="Arial"/>
          <w:szCs w:val="24"/>
        </w:rPr>
        <w:t xml:space="preserve">of the </w:t>
      </w:r>
      <w:r w:rsidR="009B7E22">
        <w:rPr>
          <w:rFonts w:ascii="Arial" w:hAnsi="Arial" w:cs="Arial"/>
          <w:i/>
          <w:iCs/>
          <w:szCs w:val="24"/>
        </w:rPr>
        <w:t xml:space="preserve">Crimes Act 1914 </w:t>
      </w:r>
      <w:r w:rsidR="009B7E22">
        <w:rPr>
          <w:rFonts w:ascii="Arial" w:hAnsi="Arial" w:cs="Arial"/>
          <w:szCs w:val="24"/>
        </w:rPr>
        <w:t xml:space="preserve">(Cwlth) </w:t>
      </w:r>
      <w:r>
        <w:rPr>
          <w:rFonts w:ascii="Arial" w:hAnsi="Arial" w:cs="Arial"/>
          <w:szCs w:val="24"/>
        </w:rPr>
        <w:t>is considered to be reasonable and proportionate to the objective of promoting public health and life. Safeguards have been incorporated to minimise the impact on rights. The exception is</w:t>
      </w:r>
      <w:r w:rsidR="009B7E22">
        <w:rPr>
          <w:rFonts w:ascii="Arial" w:hAnsi="Arial" w:cs="Arial"/>
          <w:szCs w:val="24"/>
        </w:rPr>
        <w:t xml:space="preserve"> narrowly</w:t>
      </w:r>
      <w:r>
        <w:rPr>
          <w:rFonts w:ascii="Arial" w:hAnsi="Arial" w:cs="Arial"/>
          <w:szCs w:val="24"/>
        </w:rPr>
        <w:t xml:space="preserve"> limited to circumstances where the officer believes that the person is 18 years or older, the officer intends to issue an infringement notice or take no further action, the officer is only questioning the person about whether they have a reasonable excuse</w:t>
      </w:r>
      <w:r w:rsidR="00BB4A2B">
        <w:rPr>
          <w:rFonts w:ascii="Arial" w:hAnsi="Arial" w:cs="Arial"/>
          <w:szCs w:val="24"/>
        </w:rPr>
        <w:t>,</w:t>
      </w:r>
      <w:r>
        <w:rPr>
          <w:rFonts w:ascii="Arial" w:hAnsi="Arial" w:cs="Arial"/>
          <w:szCs w:val="24"/>
        </w:rPr>
        <w:t xml:space="preserve"> and the officer warns the person against self-incrimination. </w:t>
      </w:r>
    </w:p>
    <w:p w14:paraId="72E736D9" w14:textId="5A246E42" w:rsidR="00EB13DA" w:rsidRDefault="008E2FC5" w:rsidP="00BB4A2B">
      <w:pPr>
        <w:rPr>
          <w:rFonts w:ascii="Arial" w:hAnsi="Arial" w:cs="Arial"/>
          <w:szCs w:val="24"/>
        </w:rPr>
      </w:pPr>
      <w:r w:rsidRPr="003760AE">
        <w:rPr>
          <w:rFonts w:ascii="Arial" w:hAnsi="Arial" w:cs="Arial"/>
          <w:szCs w:val="24"/>
        </w:rPr>
        <w:lastRenderedPageBreak/>
        <w:t xml:space="preserve">In recognition of the particular nature of the measures required to address </w:t>
      </w:r>
      <w:r w:rsidR="00BB5414">
        <w:rPr>
          <w:rFonts w:ascii="Arial" w:hAnsi="Arial" w:cs="Arial"/>
          <w:szCs w:val="24"/>
        </w:rPr>
        <w:t>the COVID-19</w:t>
      </w:r>
      <w:r w:rsidRPr="003760AE">
        <w:rPr>
          <w:rFonts w:ascii="Arial" w:hAnsi="Arial" w:cs="Arial"/>
          <w:szCs w:val="24"/>
        </w:rPr>
        <w:t xml:space="preserve"> emergency, the amendments are drafted to apply specifically to</w:t>
      </w:r>
      <w:r w:rsidR="00BB5414">
        <w:rPr>
          <w:rFonts w:ascii="Arial" w:hAnsi="Arial" w:cs="Arial"/>
          <w:szCs w:val="24"/>
        </w:rPr>
        <w:t xml:space="preserve"> directions made while a COVID-19 emergency declaration is in force</w:t>
      </w:r>
      <w:r w:rsidRPr="003760AE">
        <w:rPr>
          <w:rFonts w:ascii="Arial" w:hAnsi="Arial" w:cs="Arial"/>
          <w:szCs w:val="24"/>
        </w:rPr>
        <w:t>. In addition, a sunset provision has been included to ensure that these amendments will expire at the end of a 12-month period during which no COVID-19 declaration has been in force</w:t>
      </w:r>
    </w:p>
    <w:p w14:paraId="6479C0D5" w14:textId="42A6BD55" w:rsidR="00EB13DA" w:rsidRDefault="00EB13DA">
      <w:pPr>
        <w:spacing w:after="0" w:line="240" w:lineRule="auto"/>
        <w:rPr>
          <w:rFonts w:ascii="Arial" w:hAnsi="Arial" w:cs="Arial"/>
          <w:szCs w:val="24"/>
        </w:rPr>
      </w:pPr>
    </w:p>
    <w:p w14:paraId="5BA082E0" w14:textId="69A4FA3E" w:rsidR="00B55BED" w:rsidRPr="00EB13DA" w:rsidRDefault="00F2199A" w:rsidP="008A4F3F">
      <w:pPr>
        <w:spacing w:after="0" w:line="240" w:lineRule="auto"/>
        <w:jc w:val="center"/>
        <w:rPr>
          <w:rFonts w:ascii="Arial" w:hAnsi="Arial" w:cs="Arial"/>
          <w:szCs w:val="24"/>
        </w:rPr>
      </w:pPr>
      <w:r>
        <w:rPr>
          <w:rFonts w:ascii="Arial" w:hAnsi="Arial" w:cs="Arial"/>
          <w:szCs w:val="24"/>
        </w:rPr>
        <w:t>PUBLIC HEALTH AMENDMENT BILL 2021</w:t>
      </w:r>
    </w:p>
    <w:p w14:paraId="37C9AECE" w14:textId="77777777" w:rsidR="00B55BED" w:rsidRPr="00050F68" w:rsidRDefault="00B55BED" w:rsidP="00B55BED">
      <w:pPr>
        <w:pStyle w:val="Heading4"/>
        <w:ind w:left="-108"/>
        <w:jc w:val="center"/>
        <w:rPr>
          <w:rFonts w:ascii="Arial" w:hAnsi="Arial" w:cs="Arial"/>
        </w:rPr>
      </w:pPr>
      <w:r w:rsidRPr="00050F68">
        <w:rPr>
          <w:rFonts w:ascii="Arial" w:hAnsi="Arial" w:cs="Arial"/>
          <w:i/>
          <w:iCs/>
        </w:rPr>
        <w:t>Human Rights Act 2004</w:t>
      </w:r>
      <w:r w:rsidRPr="00050F68">
        <w:rPr>
          <w:rFonts w:ascii="Arial" w:hAnsi="Arial" w:cs="Arial"/>
        </w:rPr>
        <w:t xml:space="preserve"> </w:t>
      </w:r>
      <w:r w:rsidRPr="00050F68">
        <w:rPr>
          <w:rFonts w:ascii="Arial" w:hAnsi="Arial" w:cs="Arial"/>
          <w:i/>
          <w:iCs/>
        </w:rPr>
        <w:t>- Compatibility Statement</w:t>
      </w:r>
    </w:p>
    <w:p w14:paraId="4F43F019" w14:textId="77777777" w:rsidR="00B55BED" w:rsidRPr="00050F68" w:rsidRDefault="00B55BED" w:rsidP="00B55BED">
      <w:pPr>
        <w:rPr>
          <w:rFonts w:ascii="Arial" w:hAnsi="Arial" w:cs="Arial"/>
          <w:szCs w:val="24"/>
        </w:rPr>
      </w:pPr>
    </w:p>
    <w:p w14:paraId="7C5ED20F" w14:textId="77777777" w:rsidR="00B55BED" w:rsidRPr="00050F68" w:rsidRDefault="00B55BED" w:rsidP="00B55BED">
      <w:pPr>
        <w:rPr>
          <w:rFonts w:ascii="Arial" w:hAnsi="Arial" w:cs="Arial"/>
          <w:szCs w:val="24"/>
        </w:rPr>
      </w:pPr>
    </w:p>
    <w:p w14:paraId="5CAD87A1" w14:textId="399AC0CE" w:rsidR="00B55BED" w:rsidRPr="00050F68" w:rsidRDefault="00B55BED" w:rsidP="00B55BED">
      <w:pPr>
        <w:jc w:val="both"/>
        <w:rPr>
          <w:rFonts w:ascii="Arial" w:hAnsi="Arial" w:cs="Arial"/>
          <w:szCs w:val="24"/>
        </w:rPr>
      </w:pPr>
      <w:r w:rsidRPr="00050F68">
        <w:rPr>
          <w:rFonts w:ascii="Arial" w:hAnsi="Arial" w:cs="Arial"/>
          <w:szCs w:val="24"/>
        </w:rPr>
        <w:t xml:space="preserve">In accordance with section 37 of the </w:t>
      </w:r>
      <w:r w:rsidRPr="00050F68">
        <w:rPr>
          <w:rFonts w:ascii="Arial" w:hAnsi="Arial" w:cs="Arial"/>
          <w:i/>
          <w:iCs/>
          <w:szCs w:val="24"/>
        </w:rPr>
        <w:t>Human Rights Act 2004</w:t>
      </w:r>
      <w:r w:rsidRPr="00050F68">
        <w:rPr>
          <w:rFonts w:ascii="Arial" w:hAnsi="Arial" w:cs="Arial"/>
          <w:szCs w:val="24"/>
        </w:rPr>
        <w:t xml:space="preserve"> I have examined the</w:t>
      </w:r>
      <w:r w:rsidRPr="00050F68">
        <w:rPr>
          <w:rFonts w:ascii="Arial" w:hAnsi="Arial" w:cs="Arial"/>
          <w:b/>
          <w:bCs/>
          <w:caps/>
          <w:szCs w:val="24"/>
        </w:rPr>
        <w:t xml:space="preserve"> </w:t>
      </w:r>
      <w:r w:rsidR="00F2199A">
        <w:rPr>
          <w:rFonts w:ascii="Arial" w:hAnsi="Arial" w:cs="Arial"/>
          <w:b/>
          <w:bCs/>
          <w:iCs/>
          <w:szCs w:val="24"/>
        </w:rPr>
        <w:t>Public Health Amendment Bill 2021</w:t>
      </w:r>
      <w:r w:rsidRPr="00050F68">
        <w:rPr>
          <w:rFonts w:ascii="Arial" w:hAnsi="Arial" w:cs="Arial"/>
          <w:szCs w:val="24"/>
        </w:rPr>
        <w:t>. In my opinion, having regard to the outline of the policy considerations and justification of any limitations on rights outlined in this explanatory statement, the Bill as presented to the Legislative Assembly</w:t>
      </w:r>
      <w:r w:rsidR="009F7F99">
        <w:rPr>
          <w:rFonts w:ascii="Arial" w:hAnsi="Arial" w:cs="Arial"/>
          <w:b/>
          <w:szCs w:val="24"/>
        </w:rPr>
        <w:t xml:space="preserve"> is </w:t>
      </w:r>
      <w:r w:rsidRPr="00050F68">
        <w:rPr>
          <w:rFonts w:ascii="Arial" w:hAnsi="Arial" w:cs="Arial"/>
          <w:szCs w:val="24"/>
        </w:rPr>
        <w:t xml:space="preserve">consistent with the </w:t>
      </w:r>
      <w:r w:rsidRPr="00050F68">
        <w:rPr>
          <w:rFonts w:ascii="Arial" w:hAnsi="Arial" w:cs="Arial"/>
          <w:i/>
          <w:iCs/>
          <w:szCs w:val="24"/>
        </w:rPr>
        <w:t>Human Rights Act 2004.</w:t>
      </w:r>
    </w:p>
    <w:p w14:paraId="083900D6" w14:textId="77777777" w:rsidR="00B55BED" w:rsidRPr="00050F68" w:rsidRDefault="00B55BED" w:rsidP="00B55BED">
      <w:pPr>
        <w:rPr>
          <w:rFonts w:ascii="Arial" w:hAnsi="Arial" w:cs="Arial"/>
          <w:szCs w:val="24"/>
        </w:rPr>
      </w:pPr>
    </w:p>
    <w:p w14:paraId="0DE1C0F3" w14:textId="77777777" w:rsidR="00B55BED" w:rsidRPr="00050F68" w:rsidRDefault="00B55BED" w:rsidP="00B55BED">
      <w:pPr>
        <w:rPr>
          <w:rFonts w:ascii="Arial" w:hAnsi="Arial" w:cs="Arial"/>
          <w:szCs w:val="24"/>
        </w:rPr>
      </w:pPr>
    </w:p>
    <w:p w14:paraId="28B3EE64" w14:textId="77777777" w:rsidR="00B55BED" w:rsidRPr="00050F68" w:rsidRDefault="00B55BED" w:rsidP="00B55BED">
      <w:pPr>
        <w:rPr>
          <w:rFonts w:ascii="Arial" w:hAnsi="Arial" w:cs="Arial"/>
          <w:szCs w:val="24"/>
        </w:rPr>
      </w:pPr>
      <w:r w:rsidRPr="00050F68">
        <w:rPr>
          <w:rFonts w:ascii="Arial" w:hAnsi="Arial" w:cs="Arial"/>
          <w:szCs w:val="24"/>
        </w:rPr>
        <w:t>………………………………………………….</w:t>
      </w:r>
    </w:p>
    <w:p w14:paraId="19CD2A14" w14:textId="06A3585B" w:rsidR="00B55BED" w:rsidRPr="00050F68" w:rsidRDefault="00F2199A" w:rsidP="00B55BED">
      <w:pPr>
        <w:rPr>
          <w:rFonts w:ascii="Arial" w:hAnsi="Arial" w:cs="Arial"/>
          <w:szCs w:val="24"/>
        </w:rPr>
      </w:pPr>
      <w:r>
        <w:rPr>
          <w:rFonts w:ascii="Arial" w:hAnsi="Arial" w:cs="Arial"/>
          <w:szCs w:val="24"/>
        </w:rPr>
        <w:t>Shane Rattenbury</w:t>
      </w:r>
      <w:r w:rsidR="00050F68">
        <w:rPr>
          <w:rFonts w:ascii="Arial" w:hAnsi="Arial" w:cs="Arial"/>
          <w:szCs w:val="24"/>
        </w:rPr>
        <w:t xml:space="preserve"> </w:t>
      </w:r>
      <w:r w:rsidR="00B55BED" w:rsidRPr="00050F68">
        <w:rPr>
          <w:rFonts w:ascii="Arial" w:hAnsi="Arial" w:cs="Arial"/>
          <w:szCs w:val="24"/>
        </w:rPr>
        <w:t>MLA</w:t>
      </w:r>
      <w:r w:rsidR="00B55BED" w:rsidRPr="00050F68">
        <w:rPr>
          <w:rFonts w:ascii="Arial" w:hAnsi="Arial" w:cs="Arial"/>
          <w:szCs w:val="24"/>
        </w:rPr>
        <w:br/>
        <w:t>Attorney-General</w:t>
      </w:r>
    </w:p>
    <w:p w14:paraId="6ED3FA22" w14:textId="77777777" w:rsidR="00B55BED" w:rsidRPr="00050F68" w:rsidRDefault="00B55BED" w:rsidP="00B55BED">
      <w:pPr>
        <w:spacing w:before="200"/>
        <w:rPr>
          <w:rFonts w:ascii="Arial" w:hAnsi="Arial" w:cs="Arial"/>
          <w:szCs w:val="24"/>
        </w:rPr>
      </w:pPr>
    </w:p>
    <w:p w14:paraId="4FFA97DB" w14:textId="77777777" w:rsidR="00B55BED" w:rsidRPr="00050F68" w:rsidRDefault="00B55BED" w:rsidP="00D21B72">
      <w:pPr>
        <w:rPr>
          <w:rFonts w:ascii="Arial" w:hAnsi="Arial" w:cs="Arial"/>
          <w:szCs w:val="24"/>
        </w:rPr>
      </w:pPr>
    </w:p>
    <w:p w14:paraId="75C30062" w14:textId="77777777" w:rsidR="00D21B72" w:rsidRPr="00050F68" w:rsidRDefault="00D21B72" w:rsidP="00D21B72">
      <w:pPr>
        <w:keepNext/>
        <w:autoSpaceDE w:val="0"/>
        <w:autoSpaceDN w:val="0"/>
        <w:adjustRightInd w:val="0"/>
        <w:spacing w:before="240" w:after="120"/>
        <w:jc w:val="center"/>
        <w:rPr>
          <w:rFonts w:ascii="Arial" w:hAnsi="Arial" w:cs="Arial"/>
          <w:bCs/>
          <w:szCs w:val="24"/>
        </w:rPr>
      </w:pPr>
    </w:p>
    <w:p w14:paraId="17FDD1FD" w14:textId="77777777" w:rsidR="00B55BED" w:rsidRPr="00050F68" w:rsidRDefault="00B55BED">
      <w:pPr>
        <w:spacing w:after="0" w:line="240" w:lineRule="auto"/>
        <w:rPr>
          <w:rFonts w:ascii="Arial" w:hAnsi="Arial" w:cs="Arial"/>
          <w:b/>
          <w:bCs/>
          <w:szCs w:val="24"/>
          <w:lang w:eastAsia="en-AU"/>
        </w:rPr>
      </w:pPr>
      <w:r w:rsidRPr="00050F68">
        <w:rPr>
          <w:rFonts w:ascii="Arial" w:hAnsi="Arial" w:cs="Arial"/>
          <w:b/>
          <w:bCs/>
          <w:szCs w:val="24"/>
          <w:lang w:eastAsia="en-AU"/>
        </w:rPr>
        <w:br w:type="page"/>
      </w:r>
    </w:p>
    <w:p w14:paraId="54F2A35E" w14:textId="589B58BF" w:rsidR="00702566" w:rsidRPr="00050F68" w:rsidRDefault="00F2199A" w:rsidP="00D21B72">
      <w:pPr>
        <w:keepNext/>
        <w:autoSpaceDE w:val="0"/>
        <w:autoSpaceDN w:val="0"/>
        <w:adjustRightInd w:val="0"/>
        <w:spacing w:before="240" w:after="120"/>
        <w:jc w:val="center"/>
        <w:rPr>
          <w:rFonts w:ascii="Arial" w:hAnsi="Arial" w:cs="Arial"/>
          <w:b/>
          <w:bCs/>
          <w:szCs w:val="24"/>
          <w:lang w:eastAsia="en-AU"/>
        </w:rPr>
      </w:pPr>
      <w:r>
        <w:rPr>
          <w:rFonts w:ascii="Arial" w:hAnsi="Arial" w:cs="Arial"/>
          <w:b/>
          <w:bCs/>
          <w:szCs w:val="24"/>
          <w:lang w:eastAsia="en-AU"/>
        </w:rPr>
        <w:lastRenderedPageBreak/>
        <w:t>Public Health Amendment Bill 2021</w:t>
      </w:r>
    </w:p>
    <w:p w14:paraId="7B72276F" w14:textId="77777777" w:rsidR="00702566" w:rsidRPr="00050F68" w:rsidRDefault="00702566" w:rsidP="00A363CB">
      <w:pPr>
        <w:pStyle w:val="Title"/>
        <w:spacing w:before="240" w:after="120"/>
        <w:rPr>
          <w:rFonts w:ascii="Arial" w:hAnsi="Arial" w:cs="Arial"/>
          <w:sz w:val="24"/>
          <w:szCs w:val="24"/>
          <w:lang w:eastAsia="en-AU"/>
        </w:rPr>
      </w:pPr>
      <w:bookmarkStart w:id="12" w:name="_Toc426711261"/>
      <w:bookmarkStart w:id="13" w:name="_Toc429052824"/>
      <w:bookmarkStart w:id="14" w:name="_Toc84944960"/>
      <w:r w:rsidRPr="00050F68">
        <w:rPr>
          <w:rFonts w:ascii="Arial" w:hAnsi="Arial" w:cs="Arial"/>
          <w:sz w:val="24"/>
          <w:szCs w:val="24"/>
          <w:lang w:eastAsia="en-AU"/>
        </w:rPr>
        <w:t>Detail</w:t>
      </w:r>
      <w:bookmarkEnd w:id="12"/>
      <w:bookmarkEnd w:id="13"/>
      <w:bookmarkEnd w:id="14"/>
    </w:p>
    <w:p w14:paraId="26A76DDD" w14:textId="77777777" w:rsidR="00702566" w:rsidRPr="00050F68" w:rsidRDefault="00C71A66" w:rsidP="00C07F8C">
      <w:pPr>
        <w:pStyle w:val="Heading4"/>
        <w:rPr>
          <w:rFonts w:ascii="Arial" w:hAnsi="Arial" w:cs="Arial"/>
          <w:bCs/>
          <w:lang w:eastAsia="en-AU"/>
        </w:rPr>
      </w:pPr>
      <w:bookmarkStart w:id="15" w:name="_Preamble"/>
      <w:bookmarkEnd w:id="15"/>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C87B10" w:rsidRPr="00050F68">
        <w:rPr>
          <w:rFonts w:ascii="Arial" w:hAnsi="Arial" w:cs="Arial"/>
          <w:noProof/>
        </w:rPr>
        <w:t>1</w:t>
      </w:r>
      <w:r w:rsidR="00326167" w:rsidRPr="00050F68">
        <w:rPr>
          <w:rFonts w:ascii="Arial" w:hAnsi="Arial" w:cs="Arial"/>
        </w:rPr>
        <w:fldChar w:fldCharType="end"/>
      </w:r>
      <w:r w:rsidR="00702566" w:rsidRPr="00050F68">
        <w:rPr>
          <w:rFonts w:ascii="Arial" w:hAnsi="Arial" w:cs="Arial"/>
          <w:bCs/>
          <w:lang w:eastAsia="en-AU"/>
        </w:rPr>
        <w:t xml:space="preserve"> — Name of Act</w:t>
      </w:r>
    </w:p>
    <w:p w14:paraId="002E87C3" w14:textId="3D152549" w:rsidR="00702566" w:rsidRPr="00F2199A" w:rsidRDefault="00702566" w:rsidP="00A363CB">
      <w:pPr>
        <w:keepNext/>
        <w:autoSpaceDE w:val="0"/>
        <w:autoSpaceDN w:val="0"/>
        <w:adjustRightInd w:val="0"/>
        <w:spacing w:before="240" w:after="120"/>
        <w:rPr>
          <w:rFonts w:ascii="Arial" w:hAnsi="Arial" w:cs="Arial"/>
          <w:i/>
          <w:szCs w:val="24"/>
          <w:lang w:eastAsia="en-AU"/>
        </w:rPr>
      </w:pPr>
      <w:r w:rsidRPr="00050F68">
        <w:rPr>
          <w:rFonts w:ascii="Arial" w:hAnsi="Arial" w:cs="Arial"/>
          <w:szCs w:val="24"/>
          <w:lang w:eastAsia="en-AU"/>
        </w:rPr>
        <w:t xml:space="preserve">This is a technical clause. The name of the Act </w:t>
      </w:r>
      <w:r w:rsidR="00807087" w:rsidRPr="00050F68">
        <w:rPr>
          <w:rFonts w:ascii="Arial" w:hAnsi="Arial" w:cs="Arial"/>
          <w:szCs w:val="24"/>
          <w:lang w:eastAsia="en-AU"/>
        </w:rPr>
        <w:t>will</w:t>
      </w:r>
      <w:r w:rsidRPr="00050F68">
        <w:rPr>
          <w:rFonts w:ascii="Arial" w:hAnsi="Arial" w:cs="Arial"/>
          <w:szCs w:val="24"/>
          <w:lang w:eastAsia="en-AU"/>
        </w:rPr>
        <w:t xml:space="preserve"> be</w:t>
      </w:r>
      <w:r w:rsidR="001B7E69" w:rsidRPr="00050F68">
        <w:rPr>
          <w:rFonts w:ascii="Arial" w:hAnsi="Arial" w:cs="Arial"/>
          <w:szCs w:val="24"/>
          <w:lang w:eastAsia="en-AU"/>
        </w:rPr>
        <w:t xml:space="preserve"> </w:t>
      </w:r>
      <w:r w:rsidRPr="00050F68">
        <w:rPr>
          <w:rFonts w:ascii="Arial" w:hAnsi="Arial" w:cs="Arial"/>
          <w:szCs w:val="24"/>
          <w:lang w:eastAsia="en-AU"/>
        </w:rPr>
        <w:t xml:space="preserve">the </w:t>
      </w:r>
      <w:r w:rsidR="00F2199A">
        <w:rPr>
          <w:rFonts w:ascii="Arial" w:hAnsi="Arial" w:cs="Arial"/>
          <w:i/>
          <w:szCs w:val="24"/>
          <w:lang w:eastAsia="en-AU"/>
        </w:rPr>
        <w:t>Public Health Amendment Act 2021.</w:t>
      </w:r>
    </w:p>
    <w:p w14:paraId="141AFA77" w14:textId="77777777" w:rsidR="00702566" w:rsidRPr="00050F68" w:rsidRDefault="00C71A66" w:rsidP="00C07F8C">
      <w:pPr>
        <w:pStyle w:val="Heading4"/>
        <w:rPr>
          <w:rFonts w:ascii="Arial" w:hAnsi="Arial" w:cs="Arial"/>
          <w:bCs/>
          <w:lang w:eastAsia="en-AU"/>
        </w:rPr>
      </w:pPr>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C87B10" w:rsidRPr="00050F68">
        <w:rPr>
          <w:rFonts w:ascii="Arial" w:hAnsi="Arial" w:cs="Arial"/>
          <w:noProof/>
        </w:rPr>
        <w:t>2</w:t>
      </w:r>
      <w:r w:rsidR="00326167" w:rsidRPr="00050F68">
        <w:rPr>
          <w:rFonts w:ascii="Arial" w:hAnsi="Arial" w:cs="Arial"/>
        </w:rPr>
        <w:fldChar w:fldCharType="end"/>
      </w:r>
      <w:r w:rsidRPr="00050F68">
        <w:rPr>
          <w:rFonts w:ascii="Arial" w:hAnsi="Arial" w:cs="Arial"/>
          <w:bCs/>
          <w:lang w:eastAsia="en-AU"/>
        </w:rPr>
        <w:t xml:space="preserve"> </w:t>
      </w:r>
      <w:r w:rsidR="00702566" w:rsidRPr="00050F68">
        <w:rPr>
          <w:rFonts w:ascii="Arial" w:hAnsi="Arial" w:cs="Arial"/>
          <w:bCs/>
          <w:lang w:eastAsia="en-AU"/>
        </w:rPr>
        <w:t>— Commencement</w:t>
      </w:r>
    </w:p>
    <w:p w14:paraId="6A076AAA" w14:textId="1184B4F7" w:rsidR="00A11978" w:rsidRPr="00050F68" w:rsidRDefault="001F7F5F" w:rsidP="00DF7319">
      <w:pPr>
        <w:keepNext/>
        <w:autoSpaceDE w:val="0"/>
        <w:autoSpaceDN w:val="0"/>
        <w:adjustRightInd w:val="0"/>
        <w:spacing w:before="240" w:after="120"/>
        <w:rPr>
          <w:rFonts w:ascii="Arial" w:hAnsi="Arial" w:cs="Arial"/>
          <w:szCs w:val="24"/>
          <w:lang w:eastAsia="en-AU"/>
        </w:rPr>
      </w:pPr>
      <w:r w:rsidRPr="00050F68">
        <w:rPr>
          <w:rFonts w:ascii="Arial" w:hAnsi="Arial" w:cs="Arial"/>
          <w:szCs w:val="24"/>
          <w:lang w:eastAsia="en-AU"/>
        </w:rPr>
        <w:t>This clause provid</w:t>
      </w:r>
      <w:r w:rsidR="00393C03" w:rsidRPr="00050F68">
        <w:rPr>
          <w:rFonts w:ascii="Arial" w:hAnsi="Arial" w:cs="Arial"/>
          <w:szCs w:val="24"/>
          <w:lang w:eastAsia="en-AU"/>
        </w:rPr>
        <w:t>es that the Act</w:t>
      </w:r>
      <w:r w:rsidR="00DF7319" w:rsidRPr="00050F68">
        <w:rPr>
          <w:rFonts w:ascii="Arial" w:hAnsi="Arial" w:cs="Arial"/>
          <w:szCs w:val="24"/>
          <w:lang w:eastAsia="en-AU"/>
        </w:rPr>
        <w:t xml:space="preserve"> </w:t>
      </w:r>
      <w:r w:rsidR="00393C03" w:rsidRPr="00050F68">
        <w:rPr>
          <w:rFonts w:ascii="Arial" w:hAnsi="Arial" w:cs="Arial"/>
          <w:szCs w:val="24"/>
          <w:lang w:eastAsia="en-AU"/>
        </w:rPr>
        <w:t>will commence</w:t>
      </w:r>
      <w:r w:rsidR="005D0412" w:rsidRPr="00050F68">
        <w:rPr>
          <w:rFonts w:ascii="Arial" w:hAnsi="Arial" w:cs="Arial"/>
          <w:szCs w:val="24"/>
          <w:lang w:eastAsia="en-AU"/>
        </w:rPr>
        <w:t xml:space="preserve"> </w:t>
      </w:r>
      <w:r w:rsidR="00DF7319" w:rsidRPr="00050F68">
        <w:rPr>
          <w:rFonts w:ascii="Arial" w:hAnsi="Arial" w:cs="Arial"/>
          <w:szCs w:val="24"/>
          <w:lang w:eastAsia="en-AU"/>
        </w:rPr>
        <w:t xml:space="preserve">on </w:t>
      </w:r>
      <w:r w:rsidR="00F2199A">
        <w:rPr>
          <w:rFonts w:ascii="Arial" w:hAnsi="Arial" w:cs="Arial"/>
          <w:szCs w:val="24"/>
          <w:lang w:eastAsia="en-AU"/>
        </w:rPr>
        <w:t>the day after its notification da</w:t>
      </w:r>
      <w:r w:rsidR="0097020F">
        <w:rPr>
          <w:rFonts w:ascii="Arial" w:hAnsi="Arial" w:cs="Arial"/>
          <w:szCs w:val="24"/>
          <w:lang w:eastAsia="en-AU"/>
        </w:rPr>
        <w:t>y</w:t>
      </w:r>
      <w:r w:rsidR="00DF7319" w:rsidRPr="00050F68">
        <w:rPr>
          <w:rFonts w:ascii="Arial" w:hAnsi="Arial" w:cs="Arial"/>
          <w:szCs w:val="24"/>
          <w:lang w:eastAsia="en-AU"/>
        </w:rPr>
        <w:t>.</w:t>
      </w:r>
    </w:p>
    <w:p w14:paraId="3E1BACD4" w14:textId="2F3EF1F0" w:rsidR="00C87B10" w:rsidRPr="00050F68" w:rsidRDefault="00C87B10" w:rsidP="00C87B10">
      <w:pPr>
        <w:pStyle w:val="Heading4"/>
        <w:rPr>
          <w:rFonts w:ascii="Arial" w:hAnsi="Arial" w:cs="Arial"/>
          <w:bCs/>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Pr="00050F68">
        <w:rPr>
          <w:rFonts w:ascii="Arial" w:hAnsi="Arial" w:cs="Arial"/>
          <w:noProof/>
        </w:rPr>
        <w:t>3</w:t>
      </w:r>
      <w:r w:rsidR="008E4B06" w:rsidRPr="00050F68">
        <w:rPr>
          <w:rFonts w:ascii="Arial" w:hAnsi="Arial" w:cs="Arial"/>
          <w:noProof/>
        </w:rPr>
        <w:fldChar w:fldCharType="end"/>
      </w:r>
      <w:r w:rsidRPr="00050F68">
        <w:rPr>
          <w:rFonts w:ascii="Arial" w:hAnsi="Arial" w:cs="Arial"/>
          <w:bCs/>
          <w:lang w:eastAsia="en-AU"/>
        </w:rPr>
        <w:t xml:space="preserve"> — Legislation </w:t>
      </w:r>
      <w:r w:rsidR="0097020F">
        <w:rPr>
          <w:rFonts w:ascii="Arial" w:hAnsi="Arial" w:cs="Arial"/>
          <w:bCs/>
          <w:lang w:eastAsia="en-AU"/>
        </w:rPr>
        <w:t>a</w:t>
      </w:r>
      <w:r w:rsidRPr="00050F68">
        <w:rPr>
          <w:rFonts w:ascii="Arial" w:hAnsi="Arial" w:cs="Arial"/>
          <w:bCs/>
          <w:lang w:eastAsia="en-AU"/>
        </w:rPr>
        <w:t>mended</w:t>
      </w:r>
    </w:p>
    <w:p w14:paraId="46C20E91" w14:textId="5FE93E87" w:rsidR="00C87B10" w:rsidRPr="0097020F" w:rsidRDefault="00C87B10" w:rsidP="00C87B10">
      <w:pPr>
        <w:spacing w:before="240" w:after="120"/>
        <w:rPr>
          <w:rFonts w:ascii="Arial" w:hAnsi="Arial" w:cs="Arial"/>
          <w:i/>
          <w:szCs w:val="24"/>
          <w:lang w:eastAsia="en-AU"/>
        </w:rPr>
      </w:pPr>
      <w:r w:rsidRPr="00050F68">
        <w:rPr>
          <w:rFonts w:ascii="Arial" w:hAnsi="Arial" w:cs="Arial"/>
          <w:szCs w:val="24"/>
          <w:lang w:eastAsia="en-AU"/>
        </w:rPr>
        <w:t xml:space="preserve">This clause </w:t>
      </w:r>
      <w:r w:rsidR="00442BD2" w:rsidRPr="00050F68">
        <w:rPr>
          <w:rFonts w:ascii="Arial" w:hAnsi="Arial" w:cs="Arial"/>
          <w:szCs w:val="24"/>
          <w:lang w:eastAsia="en-AU"/>
        </w:rPr>
        <w:t xml:space="preserve">lists the legislation amended by this Bill. This Bill will amend the </w:t>
      </w:r>
      <w:r w:rsidR="0097020F">
        <w:rPr>
          <w:rFonts w:ascii="Arial" w:hAnsi="Arial" w:cs="Arial"/>
          <w:i/>
          <w:szCs w:val="24"/>
          <w:lang w:eastAsia="en-AU"/>
        </w:rPr>
        <w:t>Public Health Act 199</w:t>
      </w:r>
      <w:r w:rsidR="00A574B8">
        <w:rPr>
          <w:rFonts w:ascii="Arial" w:hAnsi="Arial" w:cs="Arial"/>
          <w:i/>
          <w:szCs w:val="24"/>
          <w:lang w:eastAsia="en-AU"/>
        </w:rPr>
        <w:t>7</w:t>
      </w:r>
      <w:r w:rsidR="007423A2">
        <w:rPr>
          <w:rFonts w:ascii="Arial" w:hAnsi="Arial" w:cs="Arial"/>
          <w:iCs/>
          <w:szCs w:val="24"/>
          <w:lang w:eastAsia="en-AU"/>
        </w:rPr>
        <w:t xml:space="preserve">. The Bill </w:t>
      </w:r>
      <w:r w:rsidR="008A4F3F">
        <w:rPr>
          <w:rFonts w:ascii="Arial" w:hAnsi="Arial" w:cs="Arial"/>
          <w:iCs/>
          <w:szCs w:val="24"/>
          <w:lang w:eastAsia="en-AU"/>
        </w:rPr>
        <w:t xml:space="preserve">will </w:t>
      </w:r>
      <w:r w:rsidR="007423A2">
        <w:rPr>
          <w:rFonts w:ascii="Arial" w:hAnsi="Arial" w:cs="Arial"/>
          <w:iCs/>
          <w:szCs w:val="24"/>
          <w:lang w:eastAsia="en-AU"/>
        </w:rPr>
        <w:t>also amend</w:t>
      </w:r>
      <w:r w:rsidR="001417B3">
        <w:rPr>
          <w:rFonts w:ascii="Arial" w:hAnsi="Arial" w:cs="Arial"/>
          <w:iCs/>
          <w:szCs w:val="24"/>
          <w:lang w:eastAsia="en-AU"/>
        </w:rPr>
        <w:t xml:space="preserve"> the </w:t>
      </w:r>
      <w:r w:rsidR="001417B3">
        <w:rPr>
          <w:rFonts w:ascii="Arial" w:hAnsi="Arial" w:cs="Arial"/>
          <w:i/>
          <w:szCs w:val="24"/>
          <w:lang w:eastAsia="en-AU"/>
        </w:rPr>
        <w:t>Magistrates Court (Public Health (COVID-19) Infringement Notices) Regulation 2020.</w:t>
      </w:r>
      <w:r w:rsidR="00A574B8">
        <w:rPr>
          <w:rFonts w:ascii="Arial" w:hAnsi="Arial" w:cs="Arial"/>
          <w:i/>
          <w:szCs w:val="24"/>
          <w:lang w:eastAsia="en-AU"/>
        </w:rPr>
        <w:t xml:space="preserve"> </w:t>
      </w:r>
      <w:r w:rsidR="0097020F">
        <w:rPr>
          <w:rFonts w:ascii="Arial" w:hAnsi="Arial" w:cs="Arial"/>
          <w:i/>
          <w:szCs w:val="24"/>
          <w:lang w:eastAsia="en-AU"/>
        </w:rPr>
        <w:t xml:space="preserve"> </w:t>
      </w:r>
    </w:p>
    <w:p w14:paraId="69157E4D" w14:textId="24722CDD" w:rsidR="00AC5B87" w:rsidRPr="00050F68" w:rsidRDefault="00AC5B87" w:rsidP="00DF7319">
      <w:pPr>
        <w:pStyle w:val="Heading4"/>
        <w:keepNext w:val="0"/>
        <w:rPr>
          <w:rFonts w:ascii="Arial" w:hAnsi="Arial" w:cs="Arial"/>
          <w:lang w:eastAsia="en-AU"/>
        </w:rPr>
      </w:pPr>
      <w:bookmarkStart w:id="16" w:name="_Part_2_–"/>
      <w:bookmarkStart w:id="17" w:name="_Clause_6_–"/>
      <w:bookmarkEnd w:id="16"/>
      <w:bookmarkEnd w:id="17"/>
      <w:r w:rsidRPr="00050F68">
        <w:rPr>
          <w:rFonts w:ascii="Arial" w:hAnsi="Arial" w:cs="Arial"/>
        </w:rPr>
        <w:t xml:space="preserve">Clause </w:t>
      </w:r>
      <w:r w:rsidR="00326167" w:rsidRPr="00050F68">
        <w:rPr>
          <w:rFonts w:ascii="Arial" w:hAnsi="Arial" w:cs="Arial"/>
        </w:rPr>
        <w:fldChar w:fldCharType="begin"/>
      </w:r>
      <w:r w:rsidRPr="00050F68">
        <w:rPr>
          <w:rFonts w:ascii="Arial" w:hAnsi="Arial" w:cs="Arial"/>
        </w:rPr>
        <w:instrText xml:space="preserve"> SEQ Clause \* ARABIC </w:instrText>
      </w:r>
      <w:r w:rsidR="00326167" w:rsidRPr="00050F68">
        <w:rPr>
          <w:rFonts w:ascii="Arial" w:hAnsi="Arial" w:cs="Arial"/>
        </w:rPr>
        <w:fldChar w:fldCharType="separate"/>
      </w:r>
      <w:r w:rsidR="0097020F">
        <w:rPr>
          <w:rFonts w:ascii="Arial" w:hAnsi="Arial" w:cs="Arial"/>
          <w:noProof/>
        </w:rPr>
        <w:t>4</w:t>
      </w:r>
      <w:r w:rsidR="00326167" w:rsidRPr="00050F68">
        <w:rPr>
          <w:rFonts w:ascii="Arial" w:hAnsi="Arial" w:cs="Arial"/>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1417B3">
        <w:rPr>
          <w:rFonts w:ascii="Arial" w:hAnsi="Arial" w:cs="Arial"/>
          <w:lang w:eastAsia="en-AU"/>
        </w:rPr>
        <w:t xml:space="preserve">Emergency actions and directions </w:t>
      </w:r>
      <w:r w:rsidR="0097020F">
        <w:rPr>
          <w:rFonts w:ascii="Arial" w:hAnsi="Arial" w:cs="Arial"/>
          <w:lang w:eastAsia="en-AU"/>
        </w:rPr>
        <w:t>New section 120 (</w:t>
      </w:r>
      <w:r w:rsidR="00C14873">
        <w:rPr>
          <w:rFonts w:ascii="Arial" w:hAnsi="Arial" w:cs="Arial"/>
          <w:lang w:eastAsia="en-AU"/>
        </w:rPr>
        <w:t>4A</w:t>
      </w:r>
      <w:r w:rsidR="0097020F">
        <w:rPr>
          <w:rFonts w:ascii="Arial" w:hAnsi="Arial" w:cs="Arial"/>
          <w:lang w:eastAsia="en-AU"/>
        </w:rPr>
        <w:t>)</w:t>
      </w:r>
    </w:p>
    <w:p w14:paraId="789B2EFB" w14:textId="26346A27" w:rsidR="00DF7319" w:rsidRPr="00050F68" w:rsidRDefault="001417B3" w:rsidP="00DF7319">
      <w:pPr>
        <w:pStyle w:val="Heading4"/>
        <w:keepNext w:val="0"/>
        <w:rPr>
          <w:rFonts w:ascii="Arial" w:hAnsi="Arial" w:cs="Arial"/>
          <w:b w:val="0"/>
          <w:lang w:eastAsia="en-AU"/>
        </w:rPr>
      </w:pPr>
      <w:bookmarkStart w:id="18" w:name="_Clause_7_–"/>
      <w:bookmarkEnd w:id="18"/>
      <w:r>
        <w:rPr>
          <w:rFonts w:ascii="Arial" w:hAnsi="Arial" w:cs="Arial"/>
          <w:b w:val="0"/>
          <w:lang w:eastAsia="en-AU"/>
        </w:rPr>
        <w:t>This clause inserts subsection (</w:t>
      </w:r>
      <w:r w:rsidR="00C14873">
        <w:rPr>
          <w:rFonts w:ascii="Arial" w:hAnsi="Arial" w:cs="Arial"/>
          <w:b w:val="0"/>
          <w:lang w:eastAsia="en-AU"/>
        </w:rPr>
        <w:t>4A</w:t>
      </w:r>
      <w:r>
        <w:rPr>
          <w:rFonts w:ascii="Arial" w:hAnsi="Arial" w:cs="Arial"/>
          <w:b w:val="0"/>
          <w:lang w:eastAsia="en-AU"/>
        </w:rPr>
        <w:t xml:space="preserve">) which provides that </w:t>
      </w:r>
      <w:r w:rsidR="00C14873">
        <w:rPr>
          <w:rFonts w:ascii="Arial" w:hAnsi="Arial" w:cs="Arial"/>
          <w:b w:val="0"/>
          <w:lang w:eastAsia="en-AU"/>
        </w:rPr>
        <w:t>section 120 (4) does not apply to a COVID-19 direction.</w:t>
      </w:r>
      <w:r w:rsidR="002E43AA">
        <w:rPr>
          <w:rFonts w:ascii="Arial" w:hAnsi="Arial" w:cs="Arial"/>
          <w:b w:val="0"/>
          <w:lang w:eastAsia="en-AU"/>
        </w:rPr>
        <w:t xml:space="preserve"> </w:t>
      </w:r>
      <w:r>
        <w:rPr>
          <w:rFonts w:ascii="Arial" w:hAnsi="Arial" w:cs="Arial"/>
          <w:b w:val="0"/>
          <w:lang w:eastAsia="en-AU"/>
        </w:rPr>
        <w:t xml:space="preserve">  </w:t>
      </w:r>
    </w:p>
    <w:p w14:paraId="1D489026" w14:textId="27277614" w:rsidR="00C14873" w:rsidRPr="00050F68" w:rsidRDefault="00C14873" w:rsidP="00C14873">
      <w:pPr>
        <w:pStyle w:val="Heading4"/>
        <w:keepNext w:val="0"/>
        <w:rPr>
          <w:rFonts w:ascii="Arial" w:hAnsi="Arial" w:cs="Arial"/>
          <w:lang w:eastAsia="en-AU"/>
        </w:rPr>
      </w:pPr>
      <w:r w:rsidRPr="00050F68">
        <w:rPr>
          <w:rFonts w:ascii="Arial" w:hAnsi="Arial" w:cs="Arial"/>
        </w:rPr>
        <w:t xml:space="preserve">Clause </w:t>
      </w:r>
      <w:r w:rsidRPr="00050F68">
        <w:rPr>
          <w:rFonts w:ascii="Arial" w:hAnsi="Arial" w:cs="Arial"/>
        </w:rPr>
        <w:fldChar w:fldCharType="begin"/>
      </w:r>
      <w:r w:rsidRPr="00050F68">
        <w:rPr>
          <w:rFonts w:ascii="Arial" w:hAnsi="Arial" w:cs="Arial"/>
        </w:rPr>
        <w:instrText xml:space="preserve"> SEQ Clause \* ARABIC </w:instrText>
      </w:r>
      <w:r w:rsidRPr="00050F68">
        <w:rPr>
          <w:rFonts w:ascii="Arial" w:hAnsi="Arial" w:cs="Arial"/>
        </w:rPr>
        <w:fldChar w:fldCharType="separate"/>
      </w:r>
      <w:r>
        <w:rPr>
          <w:rFonts w:ascii="Arial" w:hAnsi="Arial" w:cs="Arial"/>
          <w:noProof/>
        </w:rPr>
        <w:t>5</w:t>
      </w:r>
      <w:r w:rsidRPr="00050F68">
        <w:rPr>
          <w:rFonts w:ascii="Arial" w:hAnsi="Arial" w:cs="Arial"/>
        </w:rPr>
        <w:fldChar w:fldCharType="end"/>
      </w:r>
      <w:r w:rsidRPr="00050F68">
        <w:rPr>
          <w:rFonts w:ascii="Arial" w:hAnsi="Arial" w:cs="Arial"/>
          <w:bCs/>
          <w:lang w:eastAsia="en-AU"/>
        </w:rPr>
        <w:t xml:space="preserve"> </w:t>
      </w:r>
      <w:r w:rsidRPr="00050F68">
        <w:rPr>
          <w:rFonts w:ascii="Arial" w:hAnsi="Arial" w:cs="Arial"/>
          <w:lang w:eastAsia="en-AU"/>
        </w:rPr>
        <w:t xml:space="preserve">– </w:t>
      </w:r>
      <w:r>
        <w:rPr>
          <w:rFonts w:ascii="Arial" w:hAnsi="Arial" w:cs="Arial"/>
          <w:lang w:eastAsia="en-AU"/>
        </w:rPr>
        <w:t>New section 120 (9)</w:t>
      </w:r>
    </w:p>
    <w:p w14:paraId="26699E4C" w14:textId="391F6EFE" w:rsidR="00C14873" w:rsidRPr="00C14873" w:rsidRDefault="00C14873" w:rsidP="00DF7319">
      <w:pPr>
        <w:pStyle w:val="Heading4"/>
        <w:keepNext w:val="0"/>
        <w:rPr>
          <w:rFonts w:ascii="Arial" w:hAnsi="Arial" w:cs="Arial"/>
          <w:b w:val="0"/>
          <w:lang w:eastAsia="en-AU"/>
        </w:rPr>
      </w:pPr>
      <w:r>
        <w:rPr>
          <w:rFonts w:ascii="Arial" w:hAnsi="Arial" w:cs="Arial"/>
          <w:b w:val="0"/>
          <w:lang w:eastAsia="en-AU"/>
        </w:rPr>
        <w:t xml:space="preserve">This clause inserts definitions </w:t>
      </w:r>
      <w:r w:rsidR="00CC5311">
        <w:rPr>
          <w:rFonts w:ascii="Arial" w:hAnsi="Arial" w:cs="Arial"/>
          <w:b w:val="0"/>
          <w:lang w:eastAsia="en-AU"/>
        </w:rPr>
        <w:t>of</w:t>
      </w:r>
      <w:r>
        <w:rPr>
          <w:rFonts w:ascii="Arial" w:hAnsi="Arial" w:cs="Arial"/>
          <w:b w:val="0"/>
          <w:lang w:eastAsia="en-AU"/>
        </w:rPr>
        <w:t xml:space="preserve"> “COVID-19 declaration”, “COVID-19 direction” and “given” for the purpose of section 120.    </w:t>
      </w:r>
    </w:p>
    <w:p w14:paraId="7466394F" w14:textId="0C94084B" w:rsidR="00DF7319" w:rsidRPr="00050F68" w:rsidRDefault="00DF7319" w:rsidP="00DF7319">
      <w:pPr>
        <w:pStyle w:val="Heading4"/>
        <w:keepNext w:val="0"/>
        <w:rPr>
          <w:rFonts w:ascii="Arial" w:hAnsi="Arial" w:cs="Arial"/>
          <w:lang w:eastAsia="en-AU"/>
        </w:rPr>
      </w:pPr>
      <w:r w:rsidRPr="00050F68">
        <w:rPr>
          <w:rFonts w:ascii="Arial" w:hAnsi="Arial" w:cs="Arial"/>
        </w:rPr>
        <w:t xml:space="preserve">Clause </w:t>
      </w:r>
      <w:r w:rsidR="008E4B06" w:rsidRPr="00050F68">
        <w:rPr>
          <w:rFonts w:ascii="Arial" w:hAnsi="Arial" w:cs="Arial"/>
        </w:rPr>
        <w:fldChar w:fldCharType="begin"/>
      </w:r>
      <w:r w:rsidR="008E4B06" w:rsidRPr="00050F68">
        <w:rPr>
          <w:rFonts w:ascii="Arial" w:hAnsi="Arial" w:cs="Arial"/>
        </w:rPr>
        <w:instrText xml:space="preserve"> SEQ Clause \* ARABIC </w:instrText>
      </w:r>
      <w:r w:rsidR="008E4B06" w:rsidRPr="00050F68">
        <w:rPr>
          <w:rFonts w:ascii="Arial" w:hAnsi="Arial" w:cs="Arial"/>
        </w:rPr>
        <w:fldChar w:fldCharType="separate"/>
      </w:r>
      <w:r w:rsidR="00C14873">
        <w:rPr>
          <w:rFonts w:ascii="Arial" w:hAnsi="Arial" w:cs="Arial"/>
          <w:noProof/>
        </w:rPr>
        <w:t>6</w:t>
      </w:r>
      <w:r w:rsidR="008E4B06" w:rsidRPr="00050F68">
        <w:rPr>
          <w:rFonts w:ascii="Arial" w:hAnsi="Arial" w:cs="Arial"/>
          <w:noProof/>
        </w:rPr>
        <w:fldChar w:fldCharType="end"/>
      </w:r>
      <w:r w:rsidRPr="00050F68">
        <w:rPr>
          <w:rFonts w:ascii="Arial" w:hAnsi="Arial" w:cs="Arial"/>
          <w:bCs/>
          <w:lang w:eastAsia="en-AU"/>
        </w:rPr>
        <w:t xml:space="preserve"> </w:t>
      </w:r>
      <w:r w:rsidRPr="00050F68">
        <w:rPr>
          <w:rFonts w:ascii="Arial" w:hAnsi="Arial" w:cs="Arial"/>
          <w:lang w:eastAsia="en-AU"/>
        </w:rPr>
        <w:t xml:space="preserve">– </w:t>
      </w:r>
      <w:r w:rsidR="0097020F">
        <w:rPr>
          <w:rFonts w:ascii="Arial" w:hAnsi="Arial" w:cs="Arial"/>
          <w:lang w:eastAsia="en-AU"/>
        </w:rPr>
        <w:t>New section</w:t>
      </w:r>
      <w:r w:rsidR="00A574B8">
        <w:rPr>
          <w:rFonts w:ascii="Arial" w:hAnsi="Arial" w:cs="Arial"/>
          <w:lang w:eastAsia="en-AU"/>
        </w:rPr>
        <w:t>s</w:t>
      </w:r>
      <w:r w:rsidR="0097020F">
        <w:rPr>
          <w:rFonts w:ascii="Arial" w:hAnsi="Arial" w:cs="Arial"/>
          <w:lang w:eastAsia="en-AU"/>
        </w:rPr>
        <w:t xml:space="preserve"> 120A</w:t>
      </w:r>
      <w:r w:rsidR="00C14873">
        <w:rPr>
          <w:rFonts w:ascii="Arial" w:hAnsi="Arial" w:cs="Arial"/>
          <w:lang w:eastAsia="en-AU"/>
        </w:rPr>
        <w:t>-120D</w:t>
      </w:r>
    </w:p>
    <w:p w14:paraId="10B17BB8" w14:textId="6EAE8901" w:rsidR="00DF7319" w:rsidRDefault="002E43AA" w:rsidP="00DF7319">
      <w:pPr>
        <w:pStyle w:val="Heading4"/>
        <w:keepNext w:val="0"/>
        <w:rPr>
          <w:rFonts w:ascii="Arial" w:hAnsi="Arial" w:cs="Arial"/>
          <w:b w:val="0"/>
          <w:lang w:eastAsia="en-AU"/>
        </w:rPr>
      </w:pPr>
      <w:r>
        <w:rPr>
          <w:rFonts w:ascii="Arial" w:hAnsi="Arial" w:cs="Arial"/>
          <w:b w:val="0"/>
          <w:lang w:eastAsia="en-AU"/>
        </w:rPr>
        <w:t>This clause inserts sections 120A, 120B</w:t>
      </w:r>
      <w:r w:rsidR="00C14873">
        <w:rPr>
          <w:rFonts w:ascii="Arial" w:hAnsi="Arial" w:cs="Arial"/>
          <w:b w:val="0"/>
          <w:lang w:eastAsia="en-AU"/>
        </w:rPr>
        <w:t xml:space="preserve">, </w:t>
      </w:r>
      <w:r>
        <w:rPr>
          <w:rFonts w:ascii="Arial" w:hAnsi="Arial" w:cs="Arial"/>
          <w:b w:val="0"/>
          <w:lang w:eastAsia="en-AU"/>
        </w:rPr>
        <w:t>120C</w:t>
      </w:r>
      <w:r w:rsidR="00C14873">
        <w:rPr>
          <w:rFonts w:ascii="Arial" w:hAnsi="Arial" w:cs="Arial"/>
          <w:b w:val="0"/>
          <w:lang w:eastAsia="en-AU"/>
        </w:rPr>
        <w:t xml:space="preserve"> and 120D</w:t>
      </w:r>
      <w:r>
        <w:rPr>
          <w:rFonts w:ascii="Arial" w:hAnsi="Arial" w:cs="Arial"/>
          <w:b w:val="0"/>
          <w:lang w:eastAsia="en-AU"/>
        </w:rPr>
        <w:t>.</w:t>
      </w:r>
    </w:p>
    <w:p w14:paraId="689E3266" w14:textId="7C734D6D" w:rsidR="002E43AA" w:rsidRPr="008253B8" w:rsidRDefault="002E43AA" w:rsidP="002E43AA">
      <w:pPr>
        <w:rPr>
          <w:rFonts w:ascii="Arial" w:hAnsi="Arial" w:cs="Arial"/>
          <w:u w:val="single"/>
          <w:lang w:eastAsia="en-AU"/>
        </w:rPr>
      </w:pPr>
      <w:r w:rsidRPr="008253B8">
        <w:rPr>
          <w:rFonts w:ascii="Arial" w:hAnsi="Arial" w:cs="Arial"/>
          <w:u w:val="single"/>
          <w:lang w:eastAsia="en-AU"/>
        </w:rPr>
        <w:t>Section 120A</w:t>
      </w:r>
      <w:r w:rsidR="00C14873">
        <w:rPr>
          <w:rFonts w:ascii="Arial" w:hAnsi="Arial" w:cs="Arial"/>
          <w:u w:val="single"/>
          <w:lang w:eastAsia="en-AU"/>
        </w:rPr>
        <w:t xml:space="preserve"> – COVID-19 directions – notification requirement </w:t>
      </w:r>
    </w:p>
    <w:p w14:paraId="35EE2F1C" w14:textId="50345B37" w:rsidR="00C14873" w:rsidRDefault="00E8506D" w:rsidP="002E43AA">
      <w:pPr>
        <w:rPr>
          <w:rFonts w:ascii="Arial" w:hAnsi="Arial" w:cs="Arial"/>
          <w:lang w:eastAsia="en-AU"/>
        </w:rPr>
      </w:pPr>
      <w:r w:rsidRPr="008253B8">
        <w:rPr>
          <w:rFonts w:ascii="Arial" w:hAnsi="Arial" w:cs="Arial"/>
          <w:lang w:eastAsia="en-AU"/>
        </w:rPr>
        <w:t>New section 120A</w:t>
      </w:r>
      <w:r w:rsidR="008253B8">
        <w:rPr>
          <w:rFonts w:ascii="Arial" w:hAnsi="Arial" w:cs="Arial"/>
          <w:lang w:eastAsia="en-AU"/>
        </w:rPr>
        <w:t xml:space="preserve"> </w:t>
      </w:r>
      <w:r w:rsidR="00C14873">
        <w:rPr>
          <w:rFonts w:ascii="Arial" w:hAnsi="Arial" w:cs="Arial"/>
          <w:lang w:eastAsia="en-AU"/>
        </w:rPr>
        <w:t>provides that</w:t>
      </w:r>
      <w:r w:rsidR="008253B8">
        <w:rPr>
          <w:rFonts w:ascii="Arial" w:hAnsi="Arial" w:cs="Arial"/>
          <w:lang w:eastAsia="en-AU"/>
        </w:rPr>
        <w:t xml:space="preserve"> a </w:t>
      </w:r>
      <w:r w:rsidR="00C14873">
        <w:rPr>
          <w:rFonts w:ascii="Arial" w:hAnsi="Arial" w:cs="Arial"/>
          <w:lang w:eastAsia="en-AU"/>
        </w:rPr>
        <w:t xml:space="preserve">COVID-19 direction given on or after the commencement day and other than to a particular person is a notifiable instrument. </w:t>
      </w:r>
      <w:r w:rsidR="007D44D2">
        <w:rPr>
          <w:rFonts w:ascii="Arial" w:hAnsi="Arial" w:cs="Arial"/>
          <w:lang w:eastAsia="en-AU"/>
        </w:rPr>
        <w:t>Subsection</w:t>
      </w:r>
      <w:r w:rsidR="00C14873">
        <w:rPr>
          <w:rFonts w:ascii="Arial" w:hAnsi="Arial" w:cs="Arial"/>
          <w:lang w:eastAsia="en-AU"/>
        </w:rPr>
        <w:t xml:space="preserve"> (3) provides definitions </w:t>
      </w:r>
      <w:r w:rsidR="00CC5311">
        <w:rPr>
          <w:rFonts w:ascii="Arial" w:hAnsi="Arial" w:cs="Arial"/>
          <w:lang w:eastAsia="en-AU"/>
        </w:rPr>
        <w:t>of</w:t>
      </w:r>
      <w:r w:rsidR="00C14873">
        <w:rPr>
          <w:rFonts w:ascii="Arial" w:hAnsi="Arial" w:cs="Arial"/>
          <w:lang w:eastAsia="en-AU"/>
        </w:rPr>
        <w:t xml:space="preserve"> “commencement day”, “COVID-19 direction” and “given” for the purpose of section 120A. </w:t>
      </w:r>
    </w:p>
    <w:p w14:paraId="6D4A05C9" w14:textId="77777777" w:rsidR="00C14873" w:rsidRPr="008253B8" w:rsidRDefault="00C14873" w:rsidP="00C14873">
      <w:pPr>
        <w:rPr>
          <w:rFonts w:ascii="Arial" w:hAnsi="Arial" w:cs="Arial"/>
          <w:u w:val="single"/>
          <w:lang w:eastAsia="en-AU"/>
        </w:rPr>
      </w:pPr>
      <w:r w:rsidRPr="008253B8">
        <w:rPr>
          <w:rFonts w:ascii="Arial" w:hAnsi="Arial" w:cs="Arial"/>
          <w:u w:val="single"/>
          <w:lang w:eastAsia="en-AU"/>
        </w:rPr>
        <w:t>Section 120B</w:t>
      </w:r>
      <w:r>
        <w:rPr>
          <w:rFonts w:ascii="Arial" w:hAnsi="Arial" w:cs="Arial"/>
          <w:u w:val="single"/>
          <w:lang w:eastAsia="en-AU"/>
        </w:rPr>
        <w:t xml:space="preserve"> – COVID-19 directions – offence </w:t>
      </w:r>
    </w:p>
    <w:p w14:paraId="3690D320" w14:textId="38713EC7" w:rsidR="004052E6" w:rsidRDefault="00C14873" w:rsidP="002E43AA">
      <w:pPr>
        <w:rPr>
          <w:rFonts w:ascii="Arial" w:hAnsi="Arial" w:cs="Arial"/>
          <w:lang w:eastAsia="en-AU"/>
        </w:rPr>
      </w:pPr>
      <w:r>
        <w:rPr>
          <w:rFonts w:ascii="Arial" w:hAnsi="Arial" w:cs="Arial"/>
          <w:lang w:eastAsia="en-AU"/>
        </w:rPr>
        <w:t xml:space="preserve">New section 120B provides that it is an offence </w:t>
      </w:r>
      <w:r w:rsidR="007D44D2">
        <w:rPr>
          <w:rFonts w:ascii="Arial" w:hAnsi="Arial" w:cs="Arial"/>
          <w:lang w:eastAsia="en-AU"/>
        </w:rPr>
        <w:t xml:space="preserve">if a COVID-19 direction is in force and a person fails to comply with the direction. </w:t>
      </w:r>
      <w:r w:rsidR="004052E6">
        <w:rPr>
          <w:rFonts w:ascii="Arial" w:hAnsi="Arial" w:cs="Arial"/>
          <w:lang w:eastAsia="en-AU"/>
        </w:rPr>
        <w:t xml:space="preserve">The maximum penalty is 50 penalty units. Strict liability applies to the first element of the offence. </w:t>
      </w:r>
      <w:r w:rsidR="007D44D2">
        <w:rPr>
          <w:rFonts w:ascii="Arial" w:hAnsi="Arial" w:cs="Arial"/>
          <w:lang w:eastAsia="en-AU"/>
        </w:rPr>
        <w:t xml:space="preserve">It is an offence even if the direction was given before, on or after the commencement day. </w:t>
      </w:r>
    </w:p>
    <w:p w14:paraId="1947C634" w14:textId="5C0CC3AF" w:rsidR="007D44D2" w:rsidRDefault="00D23DA3" w:rsidP="002E43AA">
      <w:pPr>
        <w:rPr>
          <w:rFonts w:ascii="Arial" w:hAnsi="Arial" w:cs="Arial"/>
          <w:lang w:eastAsia="en-AU"/>
        </w:rPr>
      </w:pPr>
      <w:r>
        <w:rPr>
          <w:rFonts w:ascii="Arial" w:hAnsi="Arial" w:cs="Arial"/>
          <w:lang w:eastAsia="en-AU"/>
        </w:rPr>
        <w:lastRenderedPageBreak/>
        <w:t>Subsection (</w:t>
      </w:r>
      <w:r w:rsidR="007D44D2">
        <w:rPr>
          <w:rFonts w:ascii="Arial" w:hAnsi="Arial" w:cs="Arial"/>
          <w:lang w:eastAsia="en-AU"/>
        </w:rPr>
        <w:t>3</w:t>
      </w:r>
      <w:r>
        <w:rPr>
          <w:rFonts w:ascii="Arial" w:hAnsi="Arial" w:cs="Arial"/>
          <w:lang w:eastAsia="en-AU"/>
        </w:rPr>
        <w:t>) provides that it is a defence if the person ha</w:t>
      </w:r>
      <w:r w:rsidR="007D44D2">
        <w:rPr>
          <w:rFonts w:ascii="Arial" w:hAnsi="Arial" w:cs="Arial"/>
          <w:lang w:eastAsia="en-AU"/>
        </w:rPr>
        <w:t xml:space="preserve">s </w:t>
      </w:r>
      <w:r>
        <w:rPr>
          <w:rFonts w:ascii="Arial" w:hAnsi="Arial" w:cs="Arial"/>
          <w:lang w:eastAsia="en-AU"/>
        </w:rPr>
        <w:t xml:space="preserve">a reasonable excuse for failing to comply with the </w:t>
      </w:r>
      <w:r w:rsidR="007D44D2">
        <w:rPr>
          <w:rFonts w:ascii="Arial" w:hAnsi="Arial" w:cs="Arial"/>
          <w:lang w:eastAsia="en-AU"/>
        </w:rPr>
        <w:t xml:space="preserve">COVID-19 </w:t>
      </w:r>
      <w:r>
        <w:rPr>
          <w:rFonts w:ascii="Arial" w:hAnsi="Arial" w:cs="Arial"/>
          <w:lang w:eastAsia="en-AU"/>
        </w:rPr>
        <w:t>direction. The defendant has an evidential burden.</w:t>
      </w:r>
    </w:p>
    <w:p w14:paraId="10C5410C" w14:textId="05ADA98C" w:rsidR="008253B8" w:rsidRDefault="00D23DA3" w:rsidP="002E43AA">
      <w:pPr>
        <w:rPr>
          <w:rFonts w:ascii="Arial" w:hAnsi="Arial" w:cs="Arial"/>
          <w:lang w:eastAsia="en-AU"/>
        </w:rPr>
      </w:pPr>
      <w:r>
        <w:rPr>
          <w:rFonts w:ascii="Arial" w:hAnsi="Arial" w:cs="Arial"/>
          <w:lang w:eastAsia="en-AU"/>
        </w:rPr>
        <w:t>Subsection (</w:t>
      </w:r>
      <w:r w:rsidR="007D44D2">
        <w:rPr>
          <w:rFonts w:ascii="Arial" w:hAnsi="Arial" w:cs="Arial"/>
          <w:lang w:eastAsia="en-AU"/>
        </w:rPr>
        <w:t>5</w:t>
      </w:r>
      <w:r>
        <w:rPr>
          <w:rFonts w:ascii="Arial" w:hAnsi="Arial" w:cs="Arial"/>
          <w:lang w:eastAsia="en-AU"/>
        </w:rPr>
        <w:t>) provides that before requiring a person to comply with a direction, an authorised person must</w:t>
      </w:r>
      <w:r w:rsidR="007D44D2">
        <w:rPr>
          <w:rFonts w:ascii="Arial" w:hAnsi="Arial" w:cs="Arial"/>
          <w:lang w:eastAsia="en-AU"/>
        </w:rPr>
        <w:t>, if reasonably practicable,</w:t>
      </w:r>
      <w:r>
        <w:rPr>
          <w:rFonts w:ascii="Arial" w:hAnsi="Arial" w:cs="Arial"/>
          <w:lang w:eastAsia="en-AU"/>
        </w:rPr>
        <w:t xml:space="preserve"> warn the person that failure to comply with the direction without a reasonable excuse is an offence. Failure to comply with subsection (</w:t>
      </w:r>
      <w:r w:rsidR="007D44D2">
        <w:rPr>
          <w:rFonts w:ascii="Arial" w:hAnsi="Arial" w:cs="Arial"/>
          <w:lang w:eastAsia="en-AU"/>
        </w:rPr>
        <w:t>5</w:t>
      </w:r>
      <w:r>
        <w:rPr>
          <w:rFonts w:ascii="Arial" w:hAnsi="Arial" w:cs="Arial"/>
          <w:lang w:eastAsia="en-AU"/>
        </w:rPr>
        <w:t xml:space="preserve">) does not affect the liability of the </w:t>
      </w:r>
      <w:r w:rsidR="004C37C9">
        <w:rPr>
          <w:rFonts w:ascii="Arial" w:hAnsi="Arial" w:cs="Arial"/>
          <w:lang w:eastAsia="en-AU"/>
        </w:rPr>
        <w:t>person</w:t>
      </w:r>
      <w:r>
        <w:rPr>
          <w:rFonts w:ascii="Arial" w:hAnsi="Arial" w:cs="Arial"/>
          <w:lang w:eastAsia="en-AU"/>
        </w:rPr>
        <w:t xml:space="preserve"> to be prosecuted or for an infringement notice to be given.</w:t>
      </w:r>
    </w:p>
    <w:p w14:paraId="1099A9C1" w14:textId="29A3AD9D" w:rsidR="007D44D2" w:rsidRDefault="007D44D2" w:rsidP="002E43AA">
      <w:pPr>
        <w:rPr>
          <w:rFonts w:ascii="Arial" w:hAnsi="Arial" w:cs="Arial"/>
          <w:lang w:eastAsia="en-AU"/>
        </w:rPr>
      </w:pPr>
      <w:r>
        <w:rPr>
          <w:rFonts w:ascii="Arial" w:hAnsi="Arial" w:cs="Arial"/>
          <w:lang w:eastAsia="en-AU"/>
        </w:rPr>
        <w:t xml:space="preserve">Subsection (7) provides definitions </w:t>
      </w:r>
      <w:r w:rsidR="00CC5311">
        <w:rPr>
          <w:rFonts w:ascii="Arial" w:hAnsi="Arial" w:cs="Arial"/>
          <w:lang w:eastAsia="en-AU"/>
        </w:rPr>
        <w:t>of</w:t>
      </w:r>
      <w:r>
        <w:rPr>
          <w:rFonts w:ascii="Arial" w:hAnsi="Arial" w:cs="Arial"/>
          <w:lang w:eastAsia="en-AU"/>
        </w:rPr>
        <w:t xml:space="preserve"> “commencement day”, “COVID-19 direction” and “given” for the purpose of section 120B.</w:t>
      </w:r>
    </w:p>
    <w:p w14:paraId="5BDB167B" w14:textId="3B4A480C" w:rsidR="007D44D2" w:rsidRPr="007D44D2" w:rsidRDefault="007D44D2" w:rsidP="002E43AA">
      <w:pPr>
        <w:rPr>
          <w:rFonts w:ascii="Arial" w:hAnsi="Arial" w:cs="Arial"/>
          <w:u w:val="single"/>
          <w:lang w:eastAsia="en-AU"/>
        </w:rPr>
      </w:pPr>
      <w:r w:rsidRPr="002E43AA">
        <w:rPr>
          <w:rFonts w:ascii="Arial" w:hAnsi="Arial" w:cs="Arial"/>
          <w:u w:val="single"/>
          <w:lang w:eastAsia="en-AU"/>
        </w:rPr>
        <w:t>Section 120C</w:t>
      </w:r>
      <w:r>
        <w:rPr>
          <w:rFonts w:ascii="Arial" w:hAnsi="Arial" w:cs="Arial"/>
          <w:u w:val="single"/>
          <w:lang w:eastAsia="en-AU"/>
        </w:rPr>
        <w:t xml:space="preserve"> – COVID-19 directions – cautioning requirements </w:t>
      </w:r>
    </w:p>
    <w:p w14:paraId="5B9EBC0C" w14:textId="77777777" w:rsidR="007D44D2" w:rsidRDefault="00E8506D" w:rsidP="002E43AA">
      <w:pPr>
        <w:rPr>
          <w:rFonts w:ascii="Arial" w:hAnsi="Arial" w:cs="Arial"/>
          <w:lang w:eastAsia="en-AU"/>
        </w:rPr>
      </w:pPr>
      <w:r w:rsidRPr="008253B8">
        <w:rPr>
          <w:rFonts w:ascii="Arial" w:hAnsi="Arial" w:cs="Arial"/>
          <w:lang w:eastAsia="en-AU"/>
        </w:rPr>
        <w:t>New section 120</w:t>
      </w:r>
      <w:r w:rsidR="007D44D2">
        <w:rPr>
          <w:rFonts w:ascii="Arial" w:hAnsi="Arial" w:cs="Arial"/>
          <w:lang w:eastAsia="en-AU"/>
        </w:rPr>
        <w:t>C</w:t>
      </w:r>
      <w:r w:rsidRPr="008253B8">
        <w:rPr>
          <w:rFonts w:ascii="Arial" w:hAnsi="Arial" w:cs="Arial"/>
          <w:lang w:eastAsia="en-AU"/>
        </w:rPr>
        <w:t xml:space="preserve"> </w:t>
      </w:r>
      <w:r w:rsidR="008253B8">
        <w:rPr>
          <w:rFonts w:ascii="Arial" w:hAnsi="Arial" w:cs="Arial"/>
          <w:lang w:eastAsia="en-AU"/>
        </w:rPr>
        <w:t xml:space="preserve">sets out requirements that apply if a police officer believes a person who is 18 years or older has committed an offence against section </w:t>
      </w:r>
      <w:r w:rsidR="007D44D2">
        <w:rPr>
          <w:rFonts w:ascii="Arial" w:hAnsi="Arial" w:cs="Arial"/>
          <w:lang w:eastAsia="en-AU"/>
        </w:rPr>
        <w:t>120B (1).</w:t>
      </w:r>
      <w:r w:rsidR="008253B8">
        <w:rPr>
          <w:rFonts w:ascii="Arial" w:hAnsi="Arial" w:cs="Arial"/>
          <w:lang w:eastAsia="en-AU"/>
        </w:rPr>
        <w:t xml:space="preserve"> </w:t>
      </w:r>
    </w:p>
    <w:p w14:paraId="401CB61F" w14:textId="22EC53A1" w:rsidR="009B7E22" w:rsidRDefault="007D44D2" w:rsidP="002E43AA">
      <w:pPr>
        <w:rPr>
          <w:rFonts w:ascii="Arial" w:hAnsi="Arial" w:cs="Arial"/>
          <w:lang w:eastAsia="en-AU"/>
        </w:rPr>
      </w:pPr>
      <w:r>
        <w:rPr>
          <w:rFonts w:ascii="Arial" w:hAnsi="Arial" w:cs="Arial"/>
          <w:lang w:eastAsia="en-AU"/>
        </w:rPr>
        <w:t>Subsection (</w:t>
      </w:r>
      <w:r w:rsidR="009A6802">
        <w:rPr>
          <w:rFonts w:ascii="Arial" w:hAnsi="Arial" w:cs="Arial"/>
          <w:lang w:eastAsia="en-AU"/>
        </w:rPr>
        <w:t>4</w:t>
      </w:r>
      <w:r>
        <w:rPr>
          <w:rFonts w:ascii="Arial" w:hAnsi="Arial" w:cs="Arial"/>
          <w:lang w:eastAsia="en-AU"/>
        </w:rPr>
        <w:t>) provides that s</w:t>
      </w:r>
      <w:r w:rsidR="009B7E22">
        <w:rPr>
          <w:rFonts w:ascii="Arial" w:hAnsi="Arial" w:cs="Arial"/>
          <w:lang w:eastAsia="en-AU"/>
        </w:rPr>
        <w:t xml:space="preserve">ection 187 (1) of the </w:t>
      </w:r>
      <w:r w:rsidR="009B7E22">
        <w:rPr>
          <w:rFonts w:ascii="Arial" w:hAnsi="Arial" w:cs="Arial"/>
          <w:i/>
          <w:iCs/>
          <w:lang w:eastAsia="en-AU"/>
        </w:rPr>
        <w:t xml:space="preserve">Crimes Act 1900 </w:t>
      </w:r>
      <w:r w:rsidR="009B7E22">
        <w:rPr>
          <w:rFonts w:ascii="Arial" w:hAnsi="Arial" w:cs="Arial"/>
          <w:lang w:eastAsia="en-AU"/>
        </w:rPr>
        <w:t xml:space="preserve">(ACT) does not apply to an infringement notice offence in relation to questioning about a reasonable excuse where: </w:t>
      </w:r>
    </w:p>
    <w:p w14:paraId="7D5C4A39" w14:textId="56A49B43" w:rsidR="009B7E22" w:rsidRDefault="009B7E22" w:rsidP="009B7E22">
      <w:pPr>
        <w:pStyle w:val="ListParagraph"/>
        <w:numPr>
          <w:ilvl w:val="0"/>
          <w:numId w:val="26"/>
        </w:numPr>
        <w:rPr>
          <w:rFonts w:ascii="Arial" w:hAnsi="Arial" w:cs="Arial"/>
        </w:rPr>
      </w:pPr>
      <w:r>
        <w:rPr>
          <w:rFonts w:ascii="Arial" w:hAnsi="Arial" w:cs="Arial"/>
        </w:rPr>
        <w:t>before questioning the person about whether they have a reasonable excuse for not complying with the direction, the police officer warns the person that they do not have to answer questioning or do anything but that anything they say or do may be used in evidence in accordance with section 120</w:t>
      </w:r>
      <w:r w:rsidR="007D44D2">
        <w:rPr>
          <w:rFonts w:ascii="Arial" w:hAnsi="Arial" w:cs="Arial"/>
        </w:rPr>
        <w:t>C</w:t>
      </w:r>
      <w:r>
        <w:rPr>
          <w:rFonts w:ascii="Arial" w:hAnsi="Arial" w:cs="Arial"/>
        </w:rPr>
        <w:t xml:space="preserve"> (2); and</w:t>
      </w:r>
    </w:p>
    <w:p w14:paraId="46EAA4B8" w14:textId="0788D4B7" w:rsidR="009B7E22" w:rsidRPr="009B7E22" w:rsidRDefault="009B7E22" w:rsidP="009B7E22">
      <w:pPr>
        <w:pStyle w:val="ListParagraph"/>
        <w:numPr>
          <w:ilvl w:val="0"/>
          <w:numId w:val="26"/>
        </w:numPr>
        <w:rPr>
          <w:rFonts w:ascii="Arial" w:hAnsi="Arial" w:cs="Arial"/>
        </w:rPr>
      </w:pPr>
      <w:r>
        <w:rPr>
          <w:rFonts w:ascii="Arial" w:hAnsi="Arial" w:cs="Arial"/>
        </w:rPr>
        <w:t xml:space="preserve">the police officer </w:t>
      </w:r>
      <w:r w:rsidRPr="009B7E22">
        <w:rPr>
          <w:rFonts w:ascii="Arial" w:hAnsi="Arial" w:cs="Arial"/>
        </w:rPr>
        <w:t>intends to serve an infringement notice on the person or take no further action against the person in relation to the offence.</w:t>
      </w:r>
    </w:p>
    <w:p w14:paraId="091E31AA" w14:textId="03E52AB8" w:rsidR="008253B8" w:rsidRDefault="009B7E22" w:rsidP="002E43AA">
      <w:pPr>
        <w:rPr>
          <w:rFonts w:ascii="Arial" w:hAnsi="Arial" w:cs="Arial"/>
          <w:lang w:eastAsia="en-AU"/>
        </w:rPr>
      </w:pPr>
      <w:r>
        <w:rPr>
          <w:rFonts w:ascii="Arial" w:hAnsi="Arial" w:cs="Arial"/>
          <w:lang w:eastAsia="en-AU"/>
        </w:rPr>
        <w:t xml:space="preserve">A note states that section 187 (1) of the </w:t>
      </w:r>
      <w:r>
        <w:rPr>
          <w:rFonts w:ascii="Arial" w:hAnsi="Arial" w:cs="Arial"/>
          <w:i/>
          <w:iCs/>
          <w:lang w:eastAsia="en-AU"/>
        </w:rPr>
        <w:t xml:space="preserve">Crimes Act 1900 </w:t>
      </w:r>
      <w:r>
        <w:rPr>
          <w:rFonts w:ascii="Arial" w:hAnsi="Arial" w:cs="Arial"/>
          <w:lang w:eastAsia="en-AU"/>
        </w:rPr>
        <w:t xml:space="preserve">(ACT) applies Part 1C of the </w:t>
      </w:r>
      <w:r w:rsidR="008253B8">
        <w:rPr>
          <w:rFonts w:ascii="Arial" w:hAnsi="Arial" w:cs="Arial"/>
          <w:i/>
          <w:iCs/>
          <w:lang w:eastAsia="en-AU"/>
        </w:rPr>
        <w:t xml:space="preserve">Crimes Act 1914 </w:t>
      </w:r>
      <w:r w:rsidR="008253B8">
        <w:rPr>
          <w:rFonts w:ascii="Arial" w:hAnsi="Arial" w:cs="Arial"/>
          <w:lang w:eastAsia="en-AU"/>
        </w:rPr>
        <w:t>(Cwlth)</w:t>
      </w:r>
      <w:r>
        <w:rPr>
          <w:rFonts w:ascii="Arial" w:hAnsi="Arial" w:cs="Arial"/>
          <w:lang w:eastAsia="en-AU"/>
        </w:rPr>
        <w:t xml:space="preserve"> to ACT offences not punishable by imprisonment or punishable by imprisonment for 12 months or less.</w:t>
      </w:r>
    </w:p>
    <w:p w14:paraId="09A47777" w14:textId="41B87BE4" w:rsidR="007D44D2" w:rsidRDefault="007D44D2" w:rsidP="002E43AA">
      <w:pPr>
        <w:rPr>
          <w:rFonts w:ascii="Arial" w:hAnsi="Arial" w:cs="Arial"/>
          <w:lang w:eastAsia="en-AU"/>
        </w:rPr>
      </w:pPr>
      <w:r>
        <w:rPr>
          <w:rFonts w:ascii="Arial" w:hAnsi="Arial" w:cs="Arial"/>
          <w:lang w:eastAsia="en-AU"/>
        </w:rPr>
        <w:t>Subsection (</w:t>
      </w:r>
      <w:r w:rsidR="009A6802">
        <w:rPr>
          <w:rFonts w:ascii="Arial" w:hAnsi="Arial" w:cs="Arial"/>
          <w:lang w:eastAsia="en-AU"/>
        </w:rPr>
        <w:t>5</w:t>
      </w:r>
      <w:r>
        <w:rPr>
          <w:rFonts w:ascii="Arial" w:hAnsi="Arial" w:cs="Arial"/>
          <w:lang w:eastAsia="en-AU"/>
        </w:rPr>
        <w:t xml:space="preserve">) provides definitions </w:t>
      </w:r>
      <w:r w:rsidR="00CC5311">
        <w:rPr>
          <w:rFonts w:ascii="Arial" w:hAnsi="Arial" w:cs="Arial"/>
          <w:lang w:eastAsia="en-AU"/>
        </w:rPr>
        <w:t>of</w:t>
      </w:r>
      <w:r>
        <w:rPr>
          <w:rFonts w:ascii="Arial" w:hAnsi="Arial" w:cs="Arial"/>
          <w:lang w:eastAsia="en-AU"/>
        </w:rPr>
        <w:t xml:space="preserve"> “COVID-19 direction”, “given”, “infringement notice” and “relevant infringement notice offence” for the purpose of section 120C.</w:t>
      </w:r>
    </w:p>
    <w:p w14:paraId="4C8CBBE9" w14:textId="174BA96A" w:rsidR="00C14873" w:rsidRDefault="00C14873" w:rsidP="002E43AA">
      <w:pPr>
        <w:rPr>
          <w:rFonts w:ascii="Arial" w:hAnsi="Arial" w:cs="Arial"/>
          <w:u w:val="single"/>
          <w:lang w:eastAsia="en-AU"/>
        </w:rPr>
      </w:pPr>
      <w:r>
        <w:rPr>
          <w:rFonts w:ascii="Arial" w:hAnsi="Arial" w:cs="Arial"/>
          <w:u w:val="single"/>
          <w:lang w:eastAsia="en-AU"/>
        </w:rPr>
        <w:t xml:space="preserve">Section 120D – COVID-19 directions – expiry </w:t>
      </w:r>
    </w:p>
    <w:p w14:paraId="616CC551" w14:textId="0744996E" w:rsidR="00E8506D" w:rsidRDefault="00E8506D" w:rsidP="002E43AA">
      <w:pPr>
        <w:rPr>
          <w:rFonts w:ascii="Arial" w:hAnsi="Arial" w:cs="Arial"/>
          <w:lang w:eastAsia="en-AU"/>
        </w:rPr>
      </w:pPr>
      <w:r>
        <w:rPr>
          <w:rFonts w:ascii="Arial" w:hAnsi="Arial" w:cs="Arial"/>
          <w:lang w:eastAsia="en-AU"/>
        </w:rPr>
        <w:t>New section 120</w:t>
      </w:r>
      <w:r w:rsidR="007D44D2">
        <w:rPr>
          <w:rFonts w:ascii="Arial" w:hAnsi="Arial" w:cs="Arial"/>
          <w:lang w:eastAsia="en-AU"/>
        </w:rPr>
        <w:t>D</w:t>
      </w:r>
      <w:r>
        <w:rPr>
          <w:rFonts w:ascii="Arial" w:hAnsi="Arial" w:cs="Arial"/>
          <w:lang w:eastAsia="en-AU"/>
        </w:rPr>
        <w:t xml:space="preserve"> provides that sections 120 (</w:t>
      </w:r>
      <w:r w:rsidR="007D44D2">
        <w:rPr>
          <w:rFonts w:ascii="Arial" w:hAnsi="Arial" w:cs="Arial"/>
          <w:lang w:eastAsia="en-AU"/>
        </w:rPr>
        <w:t>4A</w:t>
      </w:r>
      <w:r>
        <w:rPr>
          <w:rFonts w:ascii="Arial" w:hAnsi="Arial" w:cs="Arial"/>
          <w:lang w:eastAsia="en-AU"/>
        </w:rPr>
        <w:t>), 120</w:t>
      </w:r>
      <w:r w:rsidR="007D44D2">
        <w:rPr>
          <w:rFonts w:ascii="Arial" w:hAnsi="Arial" w:cs="Arial"/>
          <w:lang w:eastAsia="en-AU"/>
        </w:rPr>
        <w:t xml:space="preserve"> (9), 120A, 120B</w:t>
      </w:r>
      <w:r>
        <w:rPr>
          <w:rFonts w:ascii="Arial" w:hAnsi="Arial" w:cs="Arial"/>
          <w:lang w:eastAsia="en-AU"/>
        </w:rPr>
        <w:t xml:space="preserve"> and 120</w:t>
      </w:r>
      <w:r w:rsidR="007D44D2">
        <w:rPr>
          <w:rFonts w:ascii="Arial" w:hAnsi="Arial" w:cs="Arial"/>
          <w:lang w:eastAsia="en-AU"/>
        </w:rPr>
        <w:t>C</w:t>
      </w:r>
      <w:r>
        <w:rPr>
          <w:rFonts w:ascii="Arial" w:hAnsi="Arial" w:cs="Arial"/>
          <w:lang w:eastAsia="en-AU"/>
        </w:rPr>
        <w:t xml:space="preserve"> expire at the end of a 12-month period during which no COVID-19 declaration has been in force. </w:t>
      </w:r>
    </w:p>
    <w:p w14:paraId="6DBEBD04" w14:textId="6EA011FC" w:rsidR="007D44D2" w:rsidRPr="00E8506D" w:rsidRDefault="007D44D2" w:rsidP="002E43AA">
      <w:pPr>
        <w:rPr>
          <w:rFonts w:ascii="Arial" w:hAnsi="Arial" w:cs="Arial"/>
          <w:lang w:eastAsia="en-AU"/>
        </w:rPr>
      </w:pPr>
      <w:r>
        <w:rPr>
          <w:rFonts w:ascii="Arial" w:hAnsi="Arial" w:cs="Arial"/>
          <w:lang w:eastAsia="en-AU"/>
        </w:rPr>
        <w:t xml:space="preserve">Subsection (2) provides definitions </w:t>
      </w:r>
      <w:r w:rsidR="00CC5311">
        <w:rPr>
          <w:rFonts w:ascii="Arial" w:hAnsi="Arial" w:cs="Arial"/>
          <w:lang w:eastAsia="en-AU"/>
        </w:rPr>
        <w:t>of</w:t>
      </w:r>
      <w:r>
        <w:rPr>
          <w:rFonts w:ascii="Arial" w:hAnsi="Arial" w:cs="Arial"/>
          <w:lang w:eastAsia="en-AU"/>
        </w:rPr>
        <w:t xml:space="preserve"> “commencement day” and “COVID-19 declaration” for the purpose of section 120D.</w:t>
      </w:r>
    </w:p>
    <w:p w14:paraId="169F9B4B" w14:textId="442C121A" w:rsidR="008B40CE" w:rsidRPr="00050F68" w:rsidRDefault="008B40CE" w:rsidP="008B40CE">
      <w:pPr>
        <w:pStyle w:val="Heading1"/>
        <w:rPr>
          <w:rFonts w:ascii="Arial" w:hAnsi="Arial" w:cs="Arial"/>
          <w:sz w:val="24"/>
          <w:szCs w:val="24"/>
          <w:lang w:eastAsia="en-AU"/>
        </w:rPr>
      </w:pPr>
      <w:bookmarkStart w:id="19" w:name="_Toc447714847"/>
      <w:bookmarkStart w:id="20" w:name="_Toc84944961"/>
      <w:r w:rsidRPr="00050F68">
        <w:rPr>
          <w:rFonts w:ascii="Arial" w:hAnsi="Arial" w:cs="Arial"/>
          <w:sz w:val="24"/>
          <w:szCs w:val="24"/>
          <w:lang w:eastAsia="en-AU"/>
        </w:rPr>
        <w:lastRenderedPageBreak/>
        <w:t xml:space="preserve">Schedule </w:t>
      </w:r>
      <w:r w:rsidR="00326167" w:rsidRPr="00050F68">
        <w:rPr>
          <w:rFonts w:ascii="Arial" w:hAnsi="Arial" w:cs="Arial"/>
          <w:sz w:val="24"/>
          <w:szCs w:val="24"/>
          <w:lang w:eastAsia="en-AU"/>
        </w:rPr>
        <w:fldChar w:fldCharType="begin"/>
      </w:r>
      <w:r w:rsidRPr="00050F68">
        <w:rPr>
          <w:rFonts w:ascii="Arial" w:hAnsi="Arial" w:cs="Arial"/>
          <w:sz w:val="24"/>
          <w:szCs w:val="24"/>
          <w:lang w:eastAsia="en-AU"/>
        </w:rPr>
        <w:instrText xml:space="preserve"> SEQ Schedule \* ARABIC </w:instrText>
      </w:r>
      <w:r w:rsidR="00326167" w:rsidRPr="00050F68">
        <w:rPr>
          <w:rFonts w:ascii="Arial" w:hAnsi="Arial" w:cs="Arial"/>
          <w:sz w:val="24"/>
          <w:szCs w:val="24"/>
          <w:lang w:eastAsia="en-AU"/>
        </w:rPr>
        <w:fldChar w:fldCharType="separate"/>
      </w:r>
      <w:r w:rsidR="00C87B10" w:rsidRPr="00050F68">
        <w:rPr>
          <w:rFonts w:ascii="Arial" w:hAnsi="Arial" w:cs="Arial"/>
          <w:noProof/>
          <w:sz w:val="24"/>
          <w:szCs w:val="24"/>
          <w:lang w:eastAsia="en-AU"/>
        </w:rPr>
        <w:t>1</w:t>
      </w:r>
      <w:r w:rsidR="00326167" w:rsidRPr="00050F68">
        <w:rPr>
          <w:rFonts w:ascii="Arial" w:hAnsi="Arial" w:cs="Arial"/>
          <w:sz w:val="24"/>
          <w:szCs w:val="24"/>
          <w:lang w:eastAsia="en-AU"/>
        </w:rPr>
        <w:fldChar w:fldCharType="end"/>
      </w:r>
      <w:r w:rsidRPr="00050F68">
        <w:rPr>
          <w:rFonts w:ascii="Arial" w:hAnsi="Arial" w:cs="Arial"/>
          <w:sz w:val="24"/>
          <w:szCs w:val="24"/>
          <w:lang w:eastAsia="en-AU"/>
        </w:rPr>
        <w:t xml:space="preserve"> – </w:t>
      </w:r>
      <w:bookmarkEnd w:id="19"/>
      <w:r w:rsidR="0097020F">
        <w:rPr>
          <w:rFonts w:ascii="Arial" w:hAnsi="Arial" w:cs="Arial"/>
          <w:sz w:val="24"/>
          <w:szCs w:val="24"/>
          <w:lang w:eastAsia="en-AU"/>
        </w:rPr>
        <w:t>Other amendments</w:t>
      </w:r>
      <w:bookmarkEnd w:id="20"/>
      <w:r w:rsidR="0097020F">
        <w:rPr>
          <w:rFonts w:ascii="Arial" w:hAnsi="Arial" w:cs="Arial"/>
          <w:sz w:val="24"/>
          <w:szCs w:val="24"/>
          <w:lang w:eastAsia="en-AU"/>
        </w:rPr>
        <w:t xml:space="preserve"> </w:t>
      </w:r>
    </w:p>
    <w:p w14:paraId="5BE5DBEA" w14:textId="34905DA7" w:rsidR="008B40CE" w:rsidRPr="0097020F" w:rsidRDefault="0097020F" w:rsidP="0097020F">
      <w:pPr>
        <w:pStyle w:val="Heading3"/>
        <w:rPr>
          <w:rFonts w:ascii="Arial" w:hAnsi="Arial" w:cs="Arial"/>
          <w:sz w:val="24"/>
          <w:szCs w:val="24"/>
        </w:rPr>
      </w:pPr>
      <w:bookmarkStart w:id="21" w:name="_Toc84944962"/>
      <w:r w:rsidRPr="00050F68">
        <w:rPr>
          <w:rFonts w:ascii="Arial" w:hAnsi="Arial" w:cs="Arial"/>
          <w:sz w:val="24"/>
          <w:szCs w:val="24"/>
        </w:rPr>
        <w:t>Part 1.</w:t>
      </w:r>
      <w:r w:rsidR="00A574B8">
        <w:rPr>
          <w:rFonts w:ascii="Arial" w:hAnsi="Arial" w:cs="Arial"/>
          <w:sz w:val="24"/>
          <w:szCs w:val="24"/>
        </w:rPr>
        <w:t>1</w:t>
      </w:r>
      <w:r w:rsidRPr="00050F68">
        <w:rPr>
          <w:rFonts w:ascii="Arial" w:hAnsi="Arial" w:cs="Arial"/>
          <w:sz w:val="24"/>
          <w:szCs w:val="24"/>
        </w:rPr>
        <w:t xml:space="preserve"> – </w:t>
      </w:r>
      <w:r>
        <w:rPr>
          <w:rFonts w:ascii="Arial" w:hAnsi="Arial" w:cs="Arial"/>
          <w:sz w:val="24"/>
          <w:szCs w:val="24"/>
          <w:lang w:eastAsia="en-AU"/>
        </w:rPr>
        <w:t>Magistrates Court (Public Health (COVID-19) Infringement Notices) Regulation 2020</w:t>
      </w:r>
      <w:bookmarkEnd w:id="21"/>
    </w:p>
    <w:p w14:paraId="1C327B0C" w14:textId="774D68D9" w:rsidR="008B40CE" w:rsidRPr="00050F68" w:rsidRDefault="008B40CE" w:rsidP="008B40CE">
      <w:pPr>
        <w:pStyle w:val="Heading4"/>
        <w:rPr>
          <w:rFonts w:ascii="Arial" w:hAnsi="Arial" w:cs="Arial"/>
          <w:color w:val="000000"/>
        </w:rPr>
      </w:pPr>
      <w:r w:rsidRPr="00050F68">
        <w:rPr>
          <w:rFonts w:ascii="Arial" w:hAnsi="Arial" w:cs="Arial"/>
        </w:rPr>
        <w:t>[1.</w:t>
      </w:r>
      <w:r w:rsidR="00326167" w:rsidRPr="00050F68">
        <w:rPr>
          <w:rFonts w:ascii="Arial" w:hAnsi="Arial" w:cs="Arial"/>
        </w:rPr>
        <w:fldChar w:fldCharType="begin"/>
      </w:r>
      <w:r w:rsidRPr="00050F68">
        <w:rPr>
          <w:rFonts w:ascii="Arial" w:hAnsi="Arial" w:cs="Arial"/>
        </w:rPr>
        <w:instrText xml:space="preserve"> SEQ [2.] \* ARABIC </w:instrText>
      </w:r>
      <w:r w:rsidR="00326167" w:rsidRPr="00050F68">
        <w:rPr>
          <w:rFonts w:ascii="Arial" w:hAnsi="Arial" w:cs="Arial"/>
        </w:rPr>
        <w:fldChar w:fldCharType="separate"/>
      </w:r>
      <w:r w:rsidR="00A574B8">
        <w:rPr>
          <w:rFonts w:ascii="Arial" w:hAnsi="Arial" w:cs="Arial"/>
          <w:noProof/>
        </w:rPr>
        <w:t>1</w:t>
      </w:r>
      <w:r w:rsidR="00326167" w:rsidRPr="00050F68">
        <w:rPr>
          <w:rFonts w:ascii="Arial" w:hAnsi="Arial" w:cs="Arial"/>
        </w:rPr>
        <w:fldChar w:fldCharType="end"/>
      </w:r>
      <w:r w:rsidRPr="00050F68">
        <w:rPr>
          <w:rFonts w:ascii="Arial" w:hAnsi="Arial" w:cs="Arial"/>
        </w:rPr>
        <w:t xml:space="preserve">] </w:t>
      </w:r>
      <w:r w:rsidRPr="00050F68">
        <w:rPr>
          <w:rFonts w:ascii="Arial" w:hAnsi="Arial" w:cs="Arial"/>
          <w:color w:val="000000"/>
        </w:rPr>
        <w:t xml:space="preserve">– </w:t>
      </w:r>
      <w:r w:rsidR="0097020F">
        <w:rPr>
          <w:rFonts w:ascii="Arial" w:hAnsi="Arial" w:cs="Arial"/>
          <w:lang w:eastAsia="en-AU"/>
        </w:rPr>
        <w:t>Section 7</w:t>
      </w:r>
    </w:p>
    <w:p w14:paraId="24F6E3D8" w14:textId="50AE54F5" w:rsidR="007423A2" w:rsidRDefault="00A574B8" w:rsidP="008B40CE">
      <w:pPr>
        <w:rPr>
          <w:rFonts w:ascii="Arial" w:hAnsi="Arial" w:cs="Arial"/>
          <w:bCs/>
          <w:szCs w:val="24"/>
        </w:rPr>
      </w:pPr>
      <w:r>
        <w:rPr>
          <w:rFonts w:ascii="Arial" w:hAnsi="Arial" w:cs="Arial"/>
          <w:bCs/>
          <w:szCs w:val="24"/>
        </w:rPr>
        <w:t xml:space="preserve">This clause </w:t>
      </w:r>
      <w:r w:rsidR="007423A2">
        <w:rPr>
          <w:rFonts w:ascii="Arial" w:hAnsi="Arial" w:cs="Arial"/>
          <w:bCs/>
          <w:szCs w:val="24"/>
        </w:rPr>
        <w:t xml:space="preserve">applies Part 3.8 of the </w:t>
      </w:r>
      <w:r w:rsidR="007423A2">
        <w:rPr>
          <w:rFonts w:ascii="Arial" w:hAnsi="Arial" w:cs="Arial"/>
          <w:bCs/>
          <w:i/>
          <w:iCs/>
          <w:szCs w:val="24"/>
        </w:rPr>
        <w:t xml:space="preserve">Magistrates Court Act 1930 </w:t>
      </w:r>
      <w:r w:rsidR="007423A2">
        <w:rPr>
          <w:rFonts w:ascii="Arial" w:hAnsi="Arial" w:cs="Arial"/>
          <w:bCs/>
          <w:szCs w:val="24"/>
        </w:rPr>
        <w:t>to the new offence in section 120</w:t>
      </w:r>
      <w:r w:rsidR="00C14873">
        <w:rPr>
          <w:rFonts w:ascii="Arial" w:hAnsi="Arial" w:cs="Arial"/>
          <w:bCs/>
          <w:szCs w:val="24"/>
        </w:rPr>
        <w:t>B</w:t>
      </w:r>
      <w:r w:rsidR="007423A2">
        <w:rPr>
          <w:rFonts w:ascii="Arial" w:hAnsi="Arial" w:cs="Arial"/>
          <w:bCs/>
          <w:szCs w:val="24"/>
        </w:rPr>
        <w:t xml:space="preserve"> (</w:t>
      </w:r>
      <w:r w:rsidR="00C14873">
        <w:rPr>
          <w:rFonts w:ascii="Arial" w:hAnsi="Arial" w:cs="Arial"/>
          <w:bCs/>
          <w:szCs w:val="24"/>
        </w:rPr>
        <w:t>1</w:t>
      </w:r>
      <w:r w:rsidR="007423A2">
        <w:rPr>
          <w:rFonts w:ascii="Arial" w:hAnsi="Arial" w:cs="Arial"/>
          <w:bCs/>
          <w:szCs w:val="24"/>
        </w:rPr>
        <w:t xml:space="preserve">) and removes its application to the existing offence in section 120 (4). </w:t>
      </w:r>
      <w:r w:rsidR="00CC5311">
        <w:rPr>
          <w:rFonts w:ascii="Arial" w:hAnsi="Arial" w:cs="Arial"/>
          <w:bCs/>
          <w:szCs w:val="24"/>
        </w:rPr>
        <w:t xml:space="preserve">Part </w:t>
      </w:r>
      <w:r w:rsidR="007423A2">
        <w:rPr>
          <w:rFonts w:ascii="Arial" w:hAnsi="Arial" w:cs="Arial"/>
          <w:bCs/>
          <w:szCs w:val="24"/>
        </w:rPr>
        <w:t>3.8 only applies where the offence is committed by a person who is 16 years or older in relation to a face mask direction and 18 years or older in any other case.</w:t>
      </w:r>
    </w:p>
    <w:p w14:paraId="47B90B81" w14:textId="4BBCE45D" w:rsidR="008B40CE" w:rsidRPr="00050F68" w:rsidRDefault="008B40CE" w:rsidP="008B40CE">
      <w:pPr>
        <w:pStyle w:val="Heading4"/>
        <w:rPr>
          <w:rFonts w:ascii="Arial" w:hAnsi="Arial" w:cs="Arial"/>
          <w:color w:val="000000"/>
        </w:rPr>
      </w:pPr>
      <w:r w:rsidRPr="00050F68">
        <w:rPr>
          <w:rFonts w:ascii="Arial" w:hAnsi="Arial" w:cs="Arial"/>
        </w:rPr>
        <w:t>[1.</w:t>
      </w:r>
      <w:r w:rsidR="008E4B06" w:rsidRPr="00050F68">
        <w:rPr>
          <w:rFonts w:ascii="Arial" w:hAnsi="Arial" w:cs="Arial"/>
        </w:rPr>
        <w:fldChar w:fldCharType="begin"/>
      </w:r>
      <w:r w:rsidR="008E4B06" w:rsidRPr="00050F68">
        <w:rPr>
          <w:rFonts w:ascii="Arial" w:hAnsi="Arial" w:cs="Arial"/>
        </w:rPr>
        <w:instrText xml:space="preserve"> SEQ [2.] \* ARABIC </w:instrText>
      </w:r>
      <w:r w:rsidR="008E4B06" w:rsidRPr="00050F68">
        <w:rPr>
          <w:rFonts w:ascii="Arial" w:hAnsi="Arial" w:cs="Arial"/>
        </w:rPr>
        <w:fldChar w:fldCharType="separate"/>
      </w:r>
      <w:r w:rsidR="00A574B8">
        <w:rPr>
          <w:rFonts w:ascii="Arial" w:hAnsi="Arial" w:cs="Arial"/>
          <w:noProof/>
        </w:rPr>
        <w:t>2</w:t>
      </w:r>
      <w:r w:rsidR="008E4B06" w:rsidRPr="00050F68">
        <w:rPr>
          <w:rFonts w:ascii="Arial" w:hAnsi="Arial" w:cs="Arial"/>
          <w:noProof/>
        </w:rPr>
        <w:fldChar w:fldCharType="end"/>
      </w:r>
      <w:r w:rsidRPr="00050F68">
        <w:rPr>
          <w:rFonts w:ascii="Arial" w:hAnsi="Arial" w:cs="Arial"/>
        </w:rPr>
        <w:t xml:space="preserve">] </w:t>
      </w:r>
      <w:r w:rsidRPr="00050F68">
        <w:rPr>
          <w:rFonts w:ascii="Arial" w:hAnsi="Arial" w:cs="Arial"/>
          <w:color w:val="000000"/>
        </w:rPr>
        <w:t xml:space="preserve">– </w:t>
      </w:r>
      <w:r w:rsidR="0097020F" w:rsidRPr="0097020F">
        <w:rPr>
          <w:rStyle w:val="Heading4Char"/>
          <w:rFonts w:ascii="Arial" w:hAnsi="Arial" w:cs="Arial"/>
          <w:b/>
          <w:bCs/>
        </w:rPr>
        <w:t>Section 8</w:t>
      </w:r>
    </w:p>
    <w:p w14:paraId="20FB2816" w14:textId="0FDBC8AC" w:rsidR="008B40CE" w:rsidRPr="00050F68" w:rsidRDefault="00A574B8" w:rsidP="008B40CE">
      <w:pPr>
        <w:rPr>
          <w:rFonts w:ascii="Arial" w:hAnsi="Arial" w:cs="Arial"/>
          <w:szCs w:val="24"/>
          <w:lang w:eastAsia="en-AU"/>
        </w:rPr>
      </w:pPr>
      <w:r>
        <w:rPr>
          <w:rFonts w:ascii="Arial" w:hAnsi="Arial" w:cs="Arial"/>
          <w:szCs w:val="24"/>
          <w:lang w:eastAsia="en-AU"/>
        </w:rPr>
        <w:t xml:space="preserve">This clause omits the reference </w:t>
      </w:r>
      <w:r w:rsidR="00D24CF7">
        <w:rPr>
          <w:rFonts w:ascii="Arial" w:hAnsi="Arial" w:cs="Arial"/>
          <w:szCs w:val="24"/>
          <w:lang w:eastAsia="en-AU"/>
        </w:rPr>
        <w:t xml:space="preserve">in section 8 </w:t>
      </w:r>
      <w:r>
        <w:rPr>
          <w:rFonts w:ascii="Arial" w:hAnsi="Arial" w:cs="Arial"/>
          <w:szCs w:val="24"/>
          <w:lang w:eastAsia="en-AU"/>
        </w:rPr>
        <w:t xml:space="preserve">to the </w:t>
      </w:r>
      <w:r w:rsidR="007423A2">
        <w:rPr>
          <w:rFonts w:ascii="Arial" w:hAnsi="Arial" w:cs="Arial"/>
          <w:szCs w:val="24"/>
          <w:lang w:eastAsia="en-AU"/>
        </w:rPr>
        <w:t xml:space="preserve">existing </w:t>
      </w:r>
      <w:r>
        <w:rPr>
          <w:rFonts w:ascii="Arial" w:hAnsi="Arial" w:cs="Arial"/>
          <w:szCs w:val="24"/>
          <w:lang w:eastAsia="en-AU"/>
        </w:rPr>
        <w:t>offence in section 120 (4) and replaces it with a reference to</w:t>
      </w:r>
      <w:r w:rsidR="007423A2">
        <w:rPr>
          <w:rFonts w:ascii="Arial" w:hAnsi="Arial" w:cs="Arial"/>
          <w:szCs w:val="24"/>
          <w:lang w:eastAsia="en-AU"/>
        </w:rPr>
        <w:t xml:space="preserve"> the new </w:t>
      </w:r>
      <w:r w:rsidR="00C14873">
        <w:rPr>
          <w:rFonts w:ascii="Arial" w:hAnsi="Arial" w:cs="Arial"/>
          <w:szCs w:val="24"/>
          <w:lang w:eastAsia="en-AU"/>
        </w:rPr>
        <w:t>offence in section 120B (1).</w:t>
      </w:r>
      <w:r>
        <w:rPr>
          <w:rFonts w:ascii="Arial" w:hAnsi="Arial" w:cs="Arial"/>
          <w:szCs w:val="24"/>
          <w:lang w:eastAsia="en-AU"/>
        </w:rPr>
        <w:t xml:space="preserve"> </w:t>
      </w:r>
      <w:r w:rsidR="00D24CF7">
        <w:rPr>
          <w:rFonts w:ascii="Arial" w:hAnsi="Arial" w:cs="Arial"/>
          <w:szCs w:val="24"/>
          <w:lang w:eastAsia="en-AU"/>
        </w:rPr>
        <w:t xml:space="preserve">Section 8 makes provision for the penalty payable under an infringement notice for an offence. </w:t>
      </w:r>
    </w:p>
    <w:sectPr w:rsidR="008B40CE" w:rsidRPr="00050F68"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BA31" w14:textId="77777777" w:rsidR="006501F7" w:rsidRDefault="006501F7" w:rsidP="00EB113E">
      <w:pPr>
        <w:spacing w:after="0" w:line="240" w:lineRule="auto"/>
      </w:pPr>
      <w:r>
        <w:separator/>
      </w:r>
    </w:p>
  </w:endnote>
  <w:endnote w:type="continuationSeparator" w:id="0">
    <w:p w14:paraId="71EE65CD" w14:textId="77777777" w:rsidR="006501F7" w:rsidRDefault="006501F7"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6D6D" w14:textId="77777777" w:rsidR="00D904B5" w:rsidRDefault="00D90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46D8" w14:textId="21699787" w:rsidR="00573124" w:rsidRPr="00C31AB2" w:rsidRDefault="00573124" w:rsidP="00C31AB2">
    <w:pPr>
      <w:pStyle w:val="Header"/>
      <w:jc w:val="center"/>
      <w:rPr>
        <w:rFonts w:ascii="Arial" w:hAnsi="Arial" w:cs="Arial"/>
        <w:b/>
        <w:color w:val="FF0000"/>
      </w:rPr>
    </w:pPr>
    <w:r>
      <w:rPr>
        <w:rFonts w:ascii="Arial" w:hAnsi="Arial" w:cs="Arial"/>
        <w:b/>
        <w:color w:val="FF0000"/>
      </w:rPr>
      <w:t>CABINET</w:t>
    </w:r>
  </w:p>
  <w:p w14:paraId="233B9F1E" w14:textId="6F472818" w:rsidR="00573124" w:rsidRPr="001C6263" w:rsidRDefault="001C6263" w:rsidP="001C6263">
    <w:pPr>
      <w:pStyle w:val="Header"/>
      <w:jc w:val="center"/>
      <w:rPr>
        <w:rFonts w:ascii="Arial" w:hAnsi="Arial" w:cs="Arial"/>
        <w:b/>
        <w:color w:val="FF0000"/>
        <w:sz w:val="14"/>
      </w:rPr>
    </w:pPr>
    <w:r w:rsidRPr="001C6263">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6722" w14:textId="2D20DB05" w:rsidR="00573124" w:rsidRPr="00D904B5" w:rsidRDefault="00D904B5" w:rsidP="00D904B5">
    <w:pPr>
      <w:pStyle w:val="Footer"/>
      <w:jc w:val="center"/>
      <w:rPr>
        <w:rFonts w:ascii="Arial" w:hAnsi="Arial" w:cs="Arial"/>
        <w:sz w:val="14"/>
        <w:szCs w:val="12"/>
      </w:rPr>
    </w:pPr>
    <w:r w:rsidRPr="00D904B5">
      <w:rPr>
        <w:rFonts w:ascii="Arial" w:hAnsi="Arial" w:cs="Arial"/>
        <w:sz w:val="14"/>
        <w:szCs w:val="12"/>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785" w14:textId="77777777" w:rsidR="00573124" w:rsidRPr="00050F68" w:rsidRDefault="00573124">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10</w:t>
    </w:r>
    <w:r w:rsidRPr="00050F68">
      <w:rPr>
        <w:rFonts w:ascii="Arial" w:hAnsi="Arial" w:cs="Arial"/>
        <w:noProof/>
      </w:rPr>
      <w:fldChar w:fldCharType="end"/>
    </w:r>
  </w:p>
  <w:p w14:paraId="5235C39C" w14:textId="085331B3" w:rsidR="00573124" w:rsidRPr="00D904B5" w:rsidRDefault="00D904B5" w:rsidP="00D904B5">
    <w:pPr>
      <w:pStyle w:val="Header"/>
      <w:jc w:val="center"/>
      <w:rPr>
        <w:rFonts w:ascii="Arial" w:hAnsi="Arial" w:cs="Arial"/>
        <w:bCs/>
        <w:sz w:val="14"/>
      </w:rPr>
    </w:pPr>
    <w:r w:rsidRPr="00D904B5">
      <w:rPr>
        <w:rFonts w:ascii="Arial" w:hAnsi="Arial" w:cs="Arial"/>
        <w:bCs/>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4B50" w14:textId="77777777" w:rsidR="00573124" w:rsidRPr="00050F68" w:rsidRDefault="00573124">
    <w:pPr>
      <w:pStyle w:val="Footer"/>
      <w:jc w:val="right"/>
      <w:rPr>
        <w:rFonts w:ascii="Arial" w:hAnsi="Arial" w:cs="Arial"/>
      </w:rPr>
    </w:pPr>
    <w:r w:rsidRPr="00050F68">
      <w:rPr>
        <w:rFonts w:ascii="Arial" w:hAnsi="Arial" w:cs="Arial"/>
      </w:rPr>
      <w:fldChar w:fldCharType="begin"/>
    </w:r>
    <w:r w:rsidRPr="00050F68">
      <w:rPr>
        <w:rFonts w:ascii="Arial" w:hAnsi="Arial" w:cs="Arial"/>
      </w:rPr>
      <w:instrText xml:space="preserve"> PAGE   \* MERGEFORMAT </w:instrText>
    </w:r>
    <w:r w:rsidRPr="00050F68">
      <w:rPr>
        <w:rFonts w:ascii="Arial" w:hAnsi="Arial" w:cs="Arial"/>
      </w:rPr>
      <w:fldChar w:fldCharType="separate"/>
    </w:r>
    <w:r w:rsidRPr="00050F68">
      <w:rPr>
        <w:rFonts w:ascii="Arial" w:hAnsi="Arial" w:cs="Arial"/>
        <w:noProof/>
      </w:rPr>
      <w:t>1</w:t>
    </w:r>
    <w:r w:rsidRPr="00050F68">
      <w:rPr>
        <w:rFonts w:ascii="Arial" w:hAnsi="Arial" w:cs="Arial"/>
        <w:noProof/>
      </w:rPr>
      <w:fldChar w:fldCharType="end"/>
    </w:r>
  </w:p>
  <w:p w14:paraId="382A0604" w14:textId="607F2249" w:rsidR="00573124" w:rsidRPr="00D904B5" w:rsidRDefault="00D904B5" w:rsidP="00D904B5">
    <w:pPr>
      <w:pStyle w:val="Header"/>
      <w:jc w:val="center"/>
      <w:rPr>
        <w:rFonts w:ascii="Arial" w:hAnsi="Arial" w:cs="Arial"/>
        <w:bCs/>
        <w:sz w:val="14"/>
      </w:rPr>
    </w:pPr>
    <w:r w:rsidRPr="00D904B5">
      <w:rPr>
        <w:rFonts w:ascii="Arial" w:hAnsi="Arial" w:cs="Arial"/>
        <w:bCs/>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7D79" w14:textId="77777777" w:rsidR="006501F7" w:rsidRDefault="006501F7" w:rsidP="00EB113E">
      <w:pPr>
        <w:spacing w:after="0" w:line="240" w:lineRule="auto"/>
      </w:pPr>
      <w:r>
        <w:separator/>
      </w:r>
    </w:p>
  </w:footnote>
  <w:footnote w:type="continuationSeparator" w:id="0">
    <w:p w14:paraId="008E0EED" w14:textId="77777777" w:rsidR="006501F7" w:rsidRDefault="006501F7" w:rsidP="00EB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CFC6" w14:textId="77777777" w:rsidR="00D904B5" w:rsidRDefault="00D90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47B2" w14:textId="11635615" w:rsidR="00573124" w:rsidRPr="009F7F99" w:rsidRDefault="009F7F99">
    <w:pPr>
      <w:pStyle w:val="Header"/>
      <w:rPr>
        <w:lang w:val="en-AU"/>
      </w:rPr>
    </w:pPr>
    <w:r>
      <w:rPr>
        <w:rFonts w:ascii="Arial" w:hAnsi="Arial" w:cs="Arial"/>
        <w:b/>
        <w:color w:val="FF0000"/>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1FAE" w14:textId="5BB04437" w:rsidR="00573124" w:rsidRPr="009F7F99" w:rsidRDefault="009F7F99" w:rsidP="00EE32FF">
    <w:pPr>
      <w:pStyle w:val="Header"/>
      <w:jc w:val="center"/>
      <w:rPr>
        <w:rFonts w:ascii="Arial" w:hAnsi="Arial" w:cs="Arial"/>
        <w:b/>
        <w:color w:val="FF0000"/>
        <w:lang w:val="en-AU"/>
      </w:rPr>
    </w:pPr>
    <w:r>
      <w:rPr>
        <w:rFonts w:ascii="Arial" w:hAnsi="Arial" w:cs="Arial"/>
        <w:b/>
        <w:color w:val="FF0000"/>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6344C"/>
    <w:multiLevelType w:val="hybridMultilevel"/>
    <w:tmpl w:val="FC0A9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4F793C"/>
    <w:multiLevelType w:val="hybridMultilevel"/>
    <w:tmpl w:val="AF70CA34"/>
    <w:lvl w:ilvl="0" w:tplc="66FE9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632264"/>
    <w:multiLevelType w:val="hybridMultilevel"/>
    <w:tmpl w:val="FDB22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3"/>
  </w:num>
  <w:num w:numId="3">
    <w:abstractNumId w:val="2"/>
  </w:num>
  <w:num w:numId="4">
    <w:abstractNumId w:val="14"/>
  </w:num>
  <w:num w:numId="5">
    <w:abstractNumId w:val="0"/>
  </w:num>
  <w:num w:numId="6">
    <w:abstractNumId w:val="25"/>
  </w:num>
  <w:num w:numId="7">
    <w:abstractNumId w:val="5"/>
  </w:num>
  <w:num w:numId="8">
    <w:abstractNumId w:val="21"/>
  </w:num>
  <w:num w:numId="9">
    <w:abstractNumId w:val="22"/>
  </w:num>
  <w:num w:numId="10">
    <w:abstractNumId w:val="15"/>
  </w:num>
  <w:num w:numId="11">
    <w:abstractNumId w:val="1"/>
  </w:num>
  <w:num w:numId="12">
    <w:abstractNumId w:val="26"/>
  </w:num>
  <w:num w:numId="13">
    <w:abstractNumId w:val="3"/>
  </w:num>
  <w:num w:numId="14">
    <w:abstractNumId w:val="9"/>
  </w:num>
  <w:num w:numId="15">
    <w:abstractNumId w:val="11"/>
  </w:num>
  <w:num w:numId="16">
    <w:abstractNumId w:val="16"/>
  </w:num>
  <w:num w:numId="17">
    <w:abstractNumId w:val="7"/>
  </w:num>
  <w:num w:numId="18">
    <w:abstractNumId w:val="20"/>
  </w:num>
  <w:num w:numId="19">
    <w:abstractNumId w:val="19"/>
  </w:num>
  <w:num w:numId="20">
    <w:abstractNumId w:val="18"/>
  </w:num>
  <w:num w:numId="21">
    <w:abstractNumId w:val="13"/>
  </w:num>
  <w:num w:numId="22">
    <w:abstractNumId w:val="17"/>
  </w:num>
  <w:num w:numId="23">
    <w:abstractNumId w:val="4"/>
  </w:num>
  <w:num w:numId="24">
    <w:abstractNumId w:val="8"/>
  </w:num>
  <w:num w:numId="25">
    <w:abstractNumId w:val="12"/>
  </w:num>
  <w:num w:numId="26">
    <w:abstractNumId w:val="24"/>
  </w:num>
  <w:num w:numId="2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0F68"/>
    <w:rsid w:val="00052380"/>
    <w:rsid w:val="0005298F"/>
    <w:rsid w:val="00053623"/>
    <w:rsid w:val="00053D52"/>
    <w:rsid w:val="00054020"/>
    <w:rsid w:val="000545DF"/>
    <w:rsid w:val="000559E0"/>
    <w:rsid w:val="00055EB6"/>
    <w:rsid w:val="0005733C"/>
    <w:rsid w:val="00057859"/>
    <w:rsid w:val="00060993"/>
    <w:rsid w:val="00061410"/>
    <w:rsid w:val="000625C1"/>
    <w:rsid w:val="00063E3F"/>
    <w:rsid w:val="00065917"/>
    <w:rsid w:val="000673A5"/>
    <w:rsid w:val="00070620"/>
    <w:rsid w:val="00070EC3"/>
    <w:rsid w:val="00072520"/>
    <w:rsid w:val="000748A0"/>
    <w:rsid w:val="00077560"/>
    <w:rsid w:val="0008299A"/>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579"/>
    <w:rsid w:val="000B086A"/>
    <w:rsid w:val="000B0E83"/>
    <w:rsid w:val="000B119B"/>
    <w:rsid w:val="000B30D8"/>
    <w:rsid w:val="000B4650"/>
    <w:rsid w:val="000B4844"/>
    <w:rsid w:val="000B5559"/>
    <w:rsid w:val="000B68D6"/>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D58"/>
    <w:rsid w:val="00125EC6"/>
    <w:rsid w:val="0012660F"/>
    <w:rsid w:val="00126C7A"/>
    <w:rsid w:val="00126FD0"/>
    <w:rsid w:val="00131012"/>
    <w:rsid w:val="0013475A"/>
    <w:rsid w:val="00135F51"/>
    <w:rsid w:val="001364FE"/>
    <w:rsid w:val="0013726E"/>
    <w:rsid w:val="00137350"/>
    <w:rsid w:val="00137A6F"/>
    <w:rsid w:val="001417B3"/>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5F7"/>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78FE"/>
    <w:rsid w:val="001B05B6"/>
    <w:rsid w:val="001B1AA2"/>
    <w:rsid w:val="001B30CE"/>
    <w:rsid w:val="001B5F7A"/>
    <w:rsid w:val="001B64EB"/>
    <w:rsid w:val="001B7E69"/>
    <w:rsid w:val="001C156C"/>
    <w:rsid w:val="001C1650"/>
    <w:rsid w:val="001C22AE"/>
    <w:rsid w:val="001C2523"/>
    <w:rsid w:val="001C2DED"/>
    <w:rsid w:val="001C4091"/>
    <w:rsid w:val="001C5B4D"/>
    <w:rsid w:val="001C6263"/>
    <w:rsid w:val="001D0F44"/>
    <w:rsid w:val="001D28FD"/>
    <w:rsid w:val="001D2CF9"/>
    <w:rsid w:val="001D485C"/>
    <w:rsid w:val="001D48C1"/>
    <w:rsid w:val="001D519A"/>
    <w:rsid w:val="001E0F79"/>
    <w:rsid w:val="001E13ED"/>
    <w:rsid w:val="001E1AC6"/>
    <w:rsid w:val="001E2E89"/>
    <w:rsid w:val="001E3654"/>
    <w:rsid w:val="001E4A19"/>
    <w:rsid w:val="001E4C81"/>
    <w:rsid w:val="001E4E37"/>
    <w:rsid w:val="001E66FB"/>
    <w:rsid w:val="001E6E4E"/>
    <w:rsid w:val="001F00A7"/>
    <w:rsid w:val="001F126B"/>
    <w:rsid w:val="001F1FFA"/>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66281"/>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4BF9"/>
    <w:rsid w:val="002D5E29"/>
    <w:rsid w:val="002D7EC5"/>
    <w:rsid w:val="002E088B"/>
    <w:rsid w:val="002E1092"/>
    <w:rsid w:val="002E1B08"/>
    <w:rsid w:val="002E1B66"/>
    <w:rsid w:val="002E2A34"/>
    <w:rsid w:val="002E37B4"/>
    <w:rsid w:val="002E3985"/>
    <w:rsid w:val="002E43AA"/>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06F18"/>
    <w:rsid w:val="00311615"/>
    <w:rsid w:val="003128E2"/>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3AB2"/>
    <w:rsid w:val="00333E5D"/>
    <w:rsid w:val="00334CCE"/>
    <w:rsid w:val="0033669B"/>
    <w:rsid w:val="00336AAF"/>
    <w:rsid w:val="00337F26"/>
    <w:rsid w:val="00342FB5"/>
    <w:rsid w:val="00343A7F"/>
    <w:rsid w:val="003473E6"/>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0AE"/>
    <w:rsid w:val="003762BA"/>
    <w:rsid w:val="0037653A"/>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2F92"/>
    <w:rsid w:val="003C31B5"/>
    <w:rsid w:val="003C34A1"/>
    <w:rsid w:val="003C37DC"/>
    <w:rsid w:val="003C5473"/>
    <w:rsid w:val="003C5D3A"/>
    <w:rsid w:val="003C7366"/>
    <w:rsid w:val="003C7522"/>
    <w:rsid w:val="003D18B1"/>
    <w:rsid w:val="003D1F94"/>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8B5"/>
    <w:rsid w:val="004009A6"/>
    <w:rsid w:val="00402073"/>
    <w:rsid w:val="004024F4"/>
    <w:rsid w:val="0040357C"/>
    <w:rsid w:val="0040397B"/>
    <w:rsid w:val="004052E6"/>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23B7"/>
    <w:rsid w:val="0049496B"/>
    <w:rsid w:val="00496901"/>
    <w:rsid w:val="00497DBF"/>
    <w:rsid w:val="004A1DC3"/>
    <w:rsid w:val="004A42CD"/>
    <w:rsid w:val="004A5A29"/>
    <w:rsid w:val="004B20A4"/>
    <w:rsid w:val="004B40C0"/>
    <w:rsid w:val="004B49A4"/>
    <w:rsid w:val="004B558A"/>
    <w:rsid w:val="004B5D89"/>
    <w:rsid w:val="004B7DBC"/>
    <w:rsid w:val="004C0DA3"/>
    <w:rsid w:val="004C13B1"/>
    <w:rsid w:val="004C1EB9"/>
    <w:rsid w:val="004C37C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21C"/>
    <w:rsid w:val="004F7FF1"/>
    <w:rsid w:val="00500191"/>
    <w:rsid w:val="0050047C"/>
    <w:rsid w:val="0050115C"/>
    <w:rsid w:val="00501993"/>
    <w:rsid w:val="00503EB1"/>
    <w:rsid w:val="005041CC"/>
    <w:rsid w:val="00505B45"/>
    <w:rsid w:val="005079E0"/>
    <w:rsid w:val="00510B1F"/>
    <w:rsid w:val="00510F55"/>
    <w:rsid w:val="00512A76"/>
    <w:rsid w:val="0051718C"/>
    <w:rsid w:val="005223E7"/>
    <w:rsid w:val="005228F6"/>
    <w:rsid w:val="00522E75"/>
    <w:rsid w:val="005237AC"/>
    <w:rsid w:val="00523E15"/>
    <w:rsid w:val="00524342"/>
    <w:rsid w:val="00526BF6"/>
    <w:rsid w:val="005303ED"/>
    <w:rsid w:val="0053121C"/>
    <w:rsid w:val="00532BF5"/>
    <w:rsid w:val="00532FB2"/>
    <w:rsid w:val="005333B5"/>
    <w:rsid w:val="00535B11"/>
    <w:rsid w:val="005371D0"/>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7E42"/>
    <w:rsid w:val="00570EE8"/>
    <w:rsid w:val="005716E4"/>
    <w:rsid w:val="0057191A"/>
    <w:rsid w:val="0057236C"/>
    <w:rsid w:val="00573124"/>
    <w:rsid w:val="0057512A"/>
    <w:rsid w:val="00577677"/>
    <w:rsid w:val="00577AD7"/>
    <w:rsid w:val="0058031A"/>
    <w:rsid w:val="00580653"/>
    <w:rsid w:val="0058213D"/>
    <w:rsid w:val="00582FA7"/>
    <w:rsid w:val="005835AE"/>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DDB"/>
    <w:rsid w:val="0059706E"/>
    <w:rsid w:val="005975F2"/>
    <w:rsid w:val="005A0C00"/>
    <w:rsid w:val="005A1C6A"/>
    <w:rsid w:val="005A3E1C"/>
    <w:rsid w:val="005A7405"/>
    <w:rsid w:val="005B35F6"/>
    <w:rsid w:val="005B382E"/>
    <w:rsid w:val="005B41F6"/>
    <w:rsid w:val="005B4E1C"/>
    <w:rsid w:val="005B5065"/>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F8"/>
    <w:rsid w:val="0063620B"/>
    <w:rsid w:val="0064272F"/>
    <w:rsid w:val="00642B18"/>
    <w:rsid w:val="006431CF"/>
    <w:rsid w:val="00643D4D"/>
    <w:rsid w:val="006449DF"/>
    <w:rsid w:val="0064504A"/>
    <w:rsid w:val="00645242"/>
    <w:rsid w:val="00645373"/>
    <w:rsid w:val="0064554D"/>
    <w:rsid w:val="0064588B"/>
    <w:rsid w:val="0064631E"/>
    <w:rsid w:val="006501F7"/>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28D6"/>
    <w:rsid w:val="006B36F7"/>
    <w:rsid w:val="006B43B2"/>
    <w:rsid w:val="006B45EF"/>
    <w:rsid w:val="006B6E69"/>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4D8"/>
    <w:rsid w:val="00702566"/>
    <w:rsid w:val="0070370A"/>
    <w:rsid w:val="00706447"/>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23A2"/>
    <w:rsid w:val="00744770"/>
    <w:rsid w:val="007447B2"/>
    <w:rsid w:val="00744F69"/>
    <w:rsid w:val="0074585F"/>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1959"/>
    <w:rsid w:val="00762B14"/>
    <w:rsid w:val="00763293"/>
    <w:rsid w:val="007637E7"/>
    <w:rsid w:val="007646F6"/>
    <w:rsid w:val="00765CE9"/>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6E3E"/>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78C2"/>
    <w:rsid w:val="007B7934"/>
    <w:rsid w:val="007C041B"/>
    <w:rsid w:val="007C100A"/>
    <w:rsid w:val="007C24A5"/>
    <w:rsid w:val="007C30B5"/>
    <w:rsid w:val="007C53DE"/>
    <w:rsid w:val="007C6519"/>
    <w:rsid w:val="007C692F"/>
    <w:rsid w:val="007D3E2D"/>
    <w:rsid w:val="007D44D2"/>
    <w:rsid w:val="007D5041"/>
    <w:rsid w:val="007D687A"/>
    <w:rsid w:val="007D742C"/>
    <w:rsid w:val="007D79C7"/>
    <w:rsid w:val="007E122F"/>
    <w:rsid w:val="007E1F20"/>
    <w:rsid w:val="007E26DC"/>
    <w:rsid w:val="007E3BA2"/>
    <w:rsid w:val="007E4791"/>
    <w:rsid w:val="007E4E58"/>
    <w:rsid w:val="007E51AF"/>
    <w:rsid w:val="007E5A78"/>
    <w:rsid w:val="007E6124"/>
    <w:rsid w:val="007E67AF"/>
    <w:rsid w:val="007E6DD9"/>
    <w:rsid w:val="007F018C"/>
    <w:rsid w:val="007F5457"/>
    <w:rsid w:val="007F5733"/>
    <w:rsid w:val="007F5AB1"/>
    <w:rsid w:val="007F5FF7"/>
    <w:rsid w:val="00800047"/>
    <w:rsid w:val="00800514"/>
    <w:rsid w:val="0080146D"/>
    <w:rsid w:val="008030BC"/>
    <w:rsid w:val="008065B7"/>
    <w:rsid w:val="008068E2"/>
    <w:rsid w:val="00807087"/>
    <w:rsid w:val="0080767B"/>
    <w:rsid w:val="008078EB"/>
    <w:rsid w:val="00810811"/>
    <w:rsid w:val="00810A11"/>
    <w:rsid w:val="00810CE4"/>
    <w:rsid w:val="00811F38"/>
    <w:rsid w:val="0081326C"/>
    <w:rsid w:val="008147D7"/>
    <w:rsid w:val="00817DA9"/>
    <w:rsid w:val="00820D48"/>
    <w:rsid w:val="00820DDF"/>
    <w:rsid w:val="008253B8"/>
    <w:rsid w:val="0082551A"/>
    <w:rsid w:val="00825A0F"/>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2714"/>
    <w:rsid w:val="0086764C"/>
    <w:rsid w:val="00871C56"/>
    <w:rsid w:val="00872100"/>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4F3F"/>
    <w:rsid w:val="008A6F2A"/>
    <w:rsid w:val="008A71BE"/>
    <w:rsid w:val="008A75F0"/>
    <w:rsid w:val="008B164A"/>
    <w:rsid w:val="008B1D8C"/>
    <w:rsid w:val="008B297E"/>
    <w:rsid w:val="008B40CE"/>
    <w:rsid w:val="008B4D9C"/>
    <w:rsid w:val="008B5F8E"/>
    <w:rsid w:val="008B6447"/>
    <w:rsid w:val="008B6DE3"/>
    <w:rsid w:val="008C00F3"/>
    <w:rsid w:val="008C0FFF"/>
    <w:rsid w:val="008C1D42"/>
    <w:rsid w:val="008C1E9E"/>
    <w:rsid w:val="008C333C"/>
    <w:rsid w:val="008C381F"/>
    <w:rsid w:val="008C3E3E"/>
    <w:rsid w:val="008C3F4A"/>
    <w:rsid w:val="008C5899"/>
    <w:rsid w:val="008C69EE"/>
    <w:rsid w:val="008C7AF9"/>
    <w:rsid w:val="008D324E"/>
    <w:rsid w:val="008D5121"/>
    <w:rsid w:val="008D709F"/>
    <w:rsid w:val="008D7B7C"/>
    <w:rsid w:val="008E0832"/>
    <w:rsid w:val="008E0F2F"/>
    <w:rsid w:val="008E1F17"/>
    <w:rsid w:val="008E2FC5"/>
    <w:rsid w:val="008E43C2"/>
    <w:rsid w:val="008E45E7"/>
    <w:rsid w:val="008E4B06"/>
    <w:rsid w:val="008E4EB8"/>
    <w:rsid w:val="008E5AE2"/>
    <w:rsid w:val="008F0B8B"/>
    <w:rsid w:val="008F309C"/>
    <w:rsid w:val="008F3A9B"/>
    <w:rsid w:val="008F4EE1"/>
    <w:rsid w:val="008F5854"/>
    <w:rsid w:val="008F61A8"/>
    <w:rsid w:val="008F7A03"/>
    <w:rsid w:val="008F7A5A"/>
    <w:rsid w:val="00900B1C"/>
    <w:rsid w:val="00901EC5"/>
    <w:rsid w:val="00902553"/>
    <w:rsid w:val="009042F6"/>
    <w:rsid w:val="00905399"/>
    <w:rsid w:val="00905C23"/>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99E"/>
    <w:rsid w:val="00934550"/>
    <w:rsid w:val="009347D6"/>
    <w:rsid w:val="00935699"/>
    <w:rsid w:val="00936B62"/>
    <w:rsid w:val="00940B11"/>
    <w:rsid w:val="00942334"/>
    <w:rsid w:val="009426B8"/>
    <w:rsid w:val="009428EA"/>
    <w:rsid w:val="00942E72"/>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020F"/>
    <w:rsid w:val="00971F5C"/>
    <w:rsid w:val="00973230"/>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96AE2"/>
    <w:rsid w:val="009A082B"/>
    <w:rsid w:val="009A10F0"/>
    <w:rsid w:val="009A478E"/>
    <w:rsid w:val="009A5043"/>
    <w:rsid w:val="009A5515"/>
    <w:rsid w:val="009A6578"/>
    <w:rsid w:val="009A6802"/>
    <w:rsid w:val="009A6E9D"/>
    <w:rsid w:val="009B01D5"/>
    <w:rsid w:val="009B0C02"/>
    <w:rsid w:val="009B58DF"/>
    <w:rsid w:val="009B5D70"/>
    <w:rsid w:val="009B7097"/>
    <w:rsid w:val="009B7B1A"/>
    <w:rsid w:val="009B7E22"/>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E11"/>
    <w:rsid w:val="009D2F47"/>
    <w:rsid w:val="009D3A40"/>
    <w:rsid w:val="009D3E04"/>
    <w:rsid w:val="009D4A30"/>
    <w:rsid w:val="009D59CF"/>
    <w:rsid w:val="009D7A85"/>
    <w:rsid w:val="009E15B4"/>
    <w:rsid w:val="009E18A4"/>
    <w:rsid w:val="009E235F"/>
    <w:rsid w:val="009E3971"/>
    <w:rsid w:val="009E7F86"/>
    <w:rsid w:val="009F058D"/>
    <w:rsid w:val="009F0C36"/>
    <w:rsid w:val="009F1D59"/>
    <w:rsid w:val="009F1DCB"/>
    <w:rsid w:val="009F30E6"/>
    <w:rsid w:val="009F37D8"/>
    <w:rsid w:val="009F59A3"/>
    <w:rsid w:val="009F7F99"/>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087B"/>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501FD"/>
    <w:rsid w:val="00A5134C"/>
    <w:rsid w:val="00A51605"/>
    <w:rsid w:val="00A51B50"/>
    <w:rsid w:val="00A54768"/>
    <w:rsid w:val="00A55009"/>
    <w:rsid w:val="00A574B8"/>
    <w:rsid w:val="00A57913"/>
    <w:rsid w:val="00A61E7A"/>
    <w:rsid w:val="00A6253C"/>
    <w:rsid w:val="00A6429F"/>
    <w:rsid w:val="00A66160"/>
    <w:rsid w:val="00A669DE"/>
    <w:rsid w:val="00A71039"/>
    <w:rsid w:val="00A710D5"/>
    <w:rsid w:val="00A71201"/>
    <w:rsid w:val="00A72820"/>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046E"/>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743D"/>
    <w:rsid w:val="00B201EE"/>
    <w:rsid w:val="00B20823"/>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5BED"/>
    <w:rsid w:val="00B56424"/>
    <w:rsid w:val="00B56A46"/>
    <w:rsid w:val="00B56BA8"/>
    <w:rsid w:val="00B575C4"/>
    <w:rsid w:val="00B61611"/>
    <w:rsid w:val="00B640AC"/>
    <w:rsid w:val="00B6430D"/>
    <w:rsid w:val="00B64D68"/>
    <w:rsid w:val="00B6542C"/>
    <w:rsid w:val="00B66398"/>
    <w:rsid w:val="00B6668B"/>
    <w:rsid w:val="00B66D6C"/>
    <w:rsid w:val="00B67D2B"/>
    <w:rsid w:val="00B710EB"/>
    <w:rsid w:val="00B7297E"/>
    <w:rsid w:val="00B72E03"/>
    <w:rsid w:val="00B73AF6"/>
    <w:rsid w:val="00B744BC"/>
    <w:rsid w:val="00B76F48"/>
    <w:rsid w:val="00B832CB"/>
    <w:rsid w:val="00B83F68"/>
    <w:rsid w:val="00B87091"/>
    <w:rsid w:val="00B903D1"/>
    <w:rsid w:val="00B91FD4"/>
    <w:rsid w:val="00B92390"/>
    <w:rsid w:val="00B93BBD"/>
    <w:rsid w:val="00B9437C"/>
    <w:rsid w:val="00B96166"/>
    <w:rsid w:val="00B966F0"/>
    <w:rsid w:val="00B96EF7"/>
    <w:rsid w:val="00B96FD2"/>
    <w:rsid w:val="00B97BD1"/>
    <w:rsid w:val="00BA2CD7"/>
    <w:rsid w:val="00BA3753"/>
    <w:rsid w:val="00BA5B30"/>
    <w:rsid w:val="00BA5E68"/>
    <w:rsid w:val="00BA6409"/>
    <w:rsid w:val="00BA7738"/>
    <w:rsid w:val="00BB0E60"/>
    <w:rsid w:val="00BB1526"/>
    <w:rsid w:val="00BB2CF9"/>
    <w:rsid w:val="00BB4A2B"/>
    <w:rsid w:val="00BB5414"/>
    <w:rsid w:val="00BB5EED"/>
    <w:rsid w:val="00BB60AE"/>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73"/>
    <w:rsid w:val="00C148B4"/>
    <w:rsid w:val="00C1716D"/>
    <w:rsid w:val="00C17699"/>
    <w:rsid w:val="00C178A7"/>
    <w:rsid w:val="00C21EEC"/>
    <w:rsid w:val="00C2292D"/>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5E"/>
    <w:rsid w:val="00C53070"/>
    <w:rsid w:val="00C5370E"/>
    <w:rsid w:val="00C543D9"/>
    <w:rsid w:val="00C54ADC"/>
    <w:rsid w:val="00C54E8B"/>
    <w:rsid w:val="00C55BB7"/>
    <w:rsid w:val="00C668F3"/>
    <w:rsid w:val="00C70B60"/>
    <w:rsid w:val="00C71797"/>
    <w:rsid w:val="00C71A66"/>
    <w:rsid w:val="00C72072"/>
    <w:rsid w:val="00C722E5"/>
    <w:rsid w:val="00C72FA8"/>
    <w:rsid w:val="00C731F3"/>
    <w:rsid w:val="00C7369B"/>
    <w:rsid w:val="00C73EB0"/>
    <w:rsid w:val="00C74015"/>
    <w:rsid w:val="00C74872"/>
    <w:rsid w:val="00C74A4C"/>
    <w:rsid w:val="00C75B96"/>
    <w:rsid w:val="00C77051"/>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405F"/>
    <w:rsid w:val="00C964D7"/>
    <w:rsid w:val="00CA0682"/>
    <w:rsid w:val="00CA089A"/>
    <w:rsid w:val="00CA22E3"/>
    <w:rsid w:val="00CA29EB"/>
    <w:rsid w:val="00CA2F1C"/>
    <w:rsid w:val="00CA3EA6"/>
    <w:rsid w:val="00CA4335"/>
    <w:rsid w:val="00CA44B0"/>
    <w:rsid w:val="00CA66B5"/>
    <w:rsid w:val="00CA6B9E"/>
    <w:rsid w:val="00CA6FF0"/>
    <w:rsid w:val="00CB059F"/>
    <w:rsid w:val="00CB0B19"/>
    <w:rsid w:val="00CB0C2A"/>
    <w:rsid w:val="00CB49B0"/>
    <w:rsid w:val="00CB5056"/>
    <w:rsid w:val="00CB555B"/>
    <w:rsid w:val="00CB678B"/>
    <w:rsid w:val="00CC052D"/>
    <w:rsid w:val="00CC5311"/>
    <w:rsid w:val="00CC5906"/>
    <w:rsid w:val="00CC6514"/>
    <w:rsid w:val="00CC7052"/>
    <w:rsid w:val="00CD129E"/>
    <w:rsid w:val="00CD1C53"/>
    <w:rsid w:val="00CD1CC9"/>
    <w:rsid w:val="00CD47C3"/>
    <w:rsid w:val="00CD4EDE"/>
    <w:rsid w:val="00CD5427"/>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6F3"/>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3DA3"/>
    <w:rsid w:val="00D24CF7"/>
    <w:rsid w:val="00D25611"/>
    <w:rsid w:val="00D30621"/>
    <w:rsid w:val="00D308EB"/>
    <w:rsid w:val="00D30B89"/>
    <w:rsid w:val="00D3234A"/>
    <w:rsid w:val="00D32B9E"/>
    <w:rsid w:val="00D32CF5"/>
    <w:rsid w:val="00D333FC"/>
    <w:rsid w:val="00D3435A"/>
    <w:rsid w:val="00D35397"/>
    <w:rsid w:val="00D35D77"/>
    <w:rsid w:val="00D408D9"/>
    <w:rsid w:val="00D40BFD"/>
    <w:rsid w:val="00D421FC"/>
    <w:rsid w:val="00D440D2"/>
    <w:rsid w:val="00D4587C"/>
    <w:rsid w:val="00D45A51"/>
    <w:rsid w:val="00D45C70"/>
    <w:rsid w:val="00D509A5"/>
    <w:rsid w:val="00D523A1"/>
    <w:rsid w:val="00D53476"/>
    <w:rsid w:val="00D54C56"/>
    <w:rsid w:val="00D56B26"/>
    <w:rsid w:val="00D576CE"/>
    <w:rsid w:val="00D57774"/>
    <w:rsid w:val="00D577CD"/>
    <w:rsid w:val="00D60347"/>
    <w:rsid w:val="00D60455"/>
    <w:rsid w:val="00D60E27"/>
    <w:rsid w:val="00D61966"/>
    <w:rsid w:val="00D61F02"/>
    <w:rsid w:val="00D621C2"/>
    <w:rsid w:val="00D628B3"/>
    <w:rsid w:val="00D63174"/>
    <w:rsid w:val="00D63C00"/>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C70"/>
    <w:rsid w:val="00D86CF2"/>
    <w:rsid w:val="00D8759A"/>
    <w:rsid w:val="00D904B5"/>
    <w:rsid w:val="00D9063B"/>
    <w:rsid w:val="00D94B8F"/>
    <w:rsid w:val="00D960DF"/>
    <w:rsid w:val="00D96618"/>
    <w:rsid w:val="00D97544"/>
    <w:rsid w:val="00D9761A"/>
    <w:rsid w:val="00D9768F"/>
    <w:rsid w:val="00DA000F"/>
    <w:rsid w:val="00DA227D"/>
    <w:rsid w:val="00DA2B87"/>
    <w:rsid w:val="00DA2CAD"/>
    <w:rsid w:val="00DA3475"/>
    <w:rsid w:val="00DA3F5D"/>
    <w:rsid w:val="00DB0B8B"/>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7951"/>
    <w:rsid w:val="00DE0513"/>
    <w:rsid w:val="00DE0D1D"/>
    <w:rsid w:val="00DE402B"/>
    <w:rsid w:val="00DE40E5"/>
    <w:rsid w:val="00DE50B5"/>
    <w:rsid w:val="00DE58E9"/>
    <w:rsid w:val="00DE654A"/>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62F8"/>
    <w:rsid w:val="00E16AF6"/>
    <w:rsid w:val="00E21115"/>
    <w:rsid w:val="00E21D6D"/>
    <w:rsid w:val="00E238AC"/>
    <w:rsid w:val="00E23AEC"/>
    <w:rsid w:val="00E245D0"/>
    <w:rsid w:val="00E26870"/>
    <w:rsid w:val="00E26BAF"/>
    <w:rsid w:val="00E26CCA"/>
    <w:rsid w:val="00E30F86"/>
    <w:rsid w:val="00E3244C"/>
    <w:rsid w:val="00E3390F"/>
    <w:rsid w:val="00E33B81"/>
    <w:rsid w:val="00E341CB"/>
    <w:rsid w:val="00E35DDE"/>
    <w:rsid w:val="00E35F53"/>
    <w:rsid w:val="00E42D54"/>
    <w:rsid w:val="00E438DD"/>
    <w:rsid w:val="00E4487F"/>
    <w:rsid w:val="00E4533A"/>
    <w:rsid w:val="00E45947"/>
    <w:rsid w:val="00E459EA"/>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7722"/>
    <w:rsid w:val="00E80456"/>
    <w:rsid w:val="00E80AD1"/>
    <w:rsid w:val="00E8344B"/>
    <w:rsid w:val="00E8409B"/>
    <w:rsid w:val="00E840A7"/>
    <w:rsid w:val="00E8506D"/>
    <w:rsid w:val="00E87C51"/>
    <w:rsid w:val="00E87F6A"/>
    <w:rsid w:val="00E90E42"/>
    <w:rsid w:val="00E925ED"/>
    <w:rsid w:val="00E92B5E"/>
    <w:rsid w:val="00E92E06"/>
    <w:rsid w:val="00E93D53"/>
    <w:rsid w:val="00E95364"/>
    <w:rsid w:val="00E95EB4"/>
    <w:rsid w:val="00E96FF8"/>
    <w:rsid w:val="00EA0CB2"/>
    <w:rsid w:val="00EA16F0"/>
    <w:rsid w:val="00EA1F47"/>
    <w:rsid w:val="00EA225A"/>
    <w:rsid w:val="00EA2BAA"/>
    <w:rsid w:val="00EA37F1"/>
    <w:rsid w:val="00EA388E"/>
    <w:rsid w:val="00EA3CDD"/>
    <w:rsid w:val="00EA5A5F"/>
    <w:rsid w:val="00EA73F5"/>
    <w:rsid w:val="00EB113E"/>
    <w:rsid w:val="00EB1247"/>
    <w:rsid w:val="00EB13DA"/>
    <w:rsid w:val="00EB2B49"/>
    <w:rsid w:val="00EB38ED"/>
    <w:rsid w:val="00EC091C"/>
    <w:rsid w:val="00EC3C42"/>
    <w:rsid w:val="00EC4177"/>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99A"/>
    <w:rsid w:val="00F21D89"/>
    <w:rsid w:val="00F21E36"/>
    <w:rsid w:val="00F2209A"/>
    <w:rsid w:val="00F23315"/>
    <w:rsid w:val="00F23519"/>
    <w:rsid w:val="00F2459A"/>
    <w:rsid w:val="00F245EE"/>
    <w:rsid w:val="00F24948"/>
    <w:rsid w:val="00F25106"/>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2B72"/>
    <w:rsid w:val="00F62E9F"/>
    <w:rsid w:val="00F63F6D"/>
    <w:rsid w:val="00F64F72"/>
    <w:rsid w:val="00F664D4"/>
    <w:rsid w:val="00F66BDD"/>
    <w:rsid w:val="00F66F9B"/>
    <w:rsid w:val="00F67F00"/>
    <w:rsid w:val="00F7173E"/>
    <w:rsid w:val="00F71863"/>
    <w:rsid w:val="00F73071"/>
    <w:rsid w:val="00F7323D"/>
    <w:rsid w:val="00F73A1D"/>
    <w:rsid w:val="00F7631A"/>
    <w:rsid w:val="00F76898"/>
    <w:rsid w:val="00F769C2"/>
    <w:rsid w:val="00F77BD3"/>
    <w:rsid w:val="00F77FF0"/>
    <w:rsid w:val="00F8118B"/>
    <w:rsid w:val="00F828A4"/>
    <w:rsid w:val="00F82E93"/>
    <w:rsid w:val="00F86F44"/>
    <w:rsid w:val="00F87613"/>
    <w:rsid w:val="00F927D0"/>
    <w:rsid w:val="00F92819"/>
    <w:rsid w:val="00F93F43"/>
    <w:rsid w:val="00F94B63"/>
    <w:rsid w:val="00F95631"/>
    <w:rsid w:val="00F96079"/>
    <w:rsid w:val="00F96506"/>
    <w:rsid w:val="00F979EC"/>
    <w:rsid w:val="00FA07EF"/>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3A56"/>
    <w:rsid w:val="00FC7014"/>
    <w:rsid w:val="00FD06A2"/>
    <w:rsid w:val="00FD22FD"/>
    <w:rsid w:val="00FD3E48"/>
    <w:rsid w:val="00FD54E9"/>
    <w:rsid w:val="00FD65D6"/>
    <w:rsid w:val="00FD6E6B"/>
    <w:rsid w:val="00FD6FE4"/>
    <w:rsid w:val="00FD7C5E"/>
    <w:rsid w:val="00FE0FBF"/>
    <w:rsid w:val="00FE1374"/>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1CE69D"/>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Bullet point Char,L Char,List Paragraph111 Char,F5 List Paragraph Char,Dot pt Char,CV text Char,Table text Char,Medium Grid 1 - Accent 21 Char"/>
    <w:basedOn w:val="DefaultParagraphFont"/>
    <w:link w:val="ListParagraph"/>
    <w:uiPriority w:val="34"/>
    <w:qFormat/>
    <w:locked/>
    <w:rsid w:val="00BE4528"/>
  </w:style>
  <w:style w:type="paragraph" w:styleId="ListParagraph">
    <w:name w:val="List Paragraph"/>
    <w:aliases w:val="List Paragraph1,Recommendation,List Paragraph11,1 Recommendation,Bullet point,L,List Paragraph111,F5 List Paragraph,Dot pt,CV text,Table text,Medium Grid 1 - Accent 21,Numbered Paragraph,List Paragraph2,NFP GP Bulleted List,FooterText,列出段"/>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025211668">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FAD76-D01C-4B08-A63D-FDA0EC7AA4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ACDF2EF3-A6FF-466D-A7F3-9219E1ED6BB9}">
  <ds:schemaRefs>
    <ds:schemaRef ds:uri="http://schemas.openxmlformats.org/officeDocument/2006/bibliography"/>
  </ds:schemaRefs>
</ds:datastoreItem>
</file>

<file path=customXml/itemProps4.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3140</Words>
  <Characters>16016</Characters>
  <Application>Microsoft Office Word</Application>
  <DocSecurity>0</DocSecurity>
  <Lines>324</Lines>
  <Paragraphs>115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19108</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Moxon, KarenL</cp:lastModifiedBy>
  <cp:revision>4</cp:revision>
  <cp:lastPrinted>2016-05-09T04:55:00Z</cp:lastPrinted>
  <dcterms:created xsi:type="dcterms:W3CDTF">2021-11-09T23:54:00Z</dcterms:created>
  <dcterms:modified xsi:type="dcterms:W3CDTF">2021-11-09T23:54:00Z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y fmtid="{D5CDD505-2E9C-101B-9397-08002B2CF9AE}" pid="3" name="MSIP_Label_06cc28a1-59e3-4b8d-9931-07e592b3aab7_Enabled">
    <vt:lpwstr>true</vt:lpwstr>
  </property>
  <property fmtid="{D5CDD505-2E9C-101B-9397-08002B2CF9AE}" pid="4" name="MSIP_Label_06cc28a1-59e3-4b8d-9931-07e592b3aab7_SetDate">
    <vt:lpwstr>2021-10-21T05:47:26Z</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iteId">
    <vt:lpwstr>b46c1908-0334-4236-b978-585ee88e4199</vt:lpwstr>
  </property>
  <property fmtid="{D5CDD505-2E9C-101B-9397-08002B2CF9AE}" pid="8" name="MSIP_Label_06cc28a1-59e3-4b8d-9931-07e592b3aab7_ActionId">
    <vt:lpwstr>42e9c05e-0ab3-4f84-bba4-bd0544499afa</vt:lpwstr>
  </property>
  <property fmtid="{D5CDD505-2E9C-101B-9397-08002B2CF9AE}" pid="9" name="MSIP_Label_06cc28a1-59e3-4b8d-9931-07e592b3aab7_ContentBits">
    <vt:lpwstr>1</vt:lpwstr>
  </property>
</Properties>
</file>