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4C52" w14:textId="77777777" w:rsidR="00A136AE" w:rsidRPr="00BB387E" w:rsidRDefault="00A136AE" w:rsidP="00A136A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21</w:t>
      </w:r>
    </w:p>
    <w:p w14:paraId="1F4FC4A7" w14:textId="77777777" w:rsidR="00A136AE" w:rsidRPr="00BB387E" w:rsidRDefault="00A136AE" w:rsidP="00A136AE">
      <w:pPr>
        <w:spacing w:after="0"/>
        <w:jc w:val="center"/>
        <w:rPr>
          <w:rFonts w:ascii="Arial" w:hAnsi="Arial" w:cs="Arial"/>
          <w:b/>
          <w:sz w:val="24"/>
          <w:szCs w:val="24"/>
        </w:rPr>
      </w:pPr>
    </w:p>
    <w:p w14:paraId="5237EC7F" w14:textId="77777777" w:rsidR="00A136AE" w:rsidRPr="00BB387E" w:rsidRDefault="00A136AE" w:rsidP="00A136AE">
      <w:pPr>
        <w:spacing w:after="0"/>
        <w:jc w:val="center"/>
        <w:rPr>
          <w:rFonts w:ascii="Arial" w:hAnsi="Arial" w:cs="Arial"/>
          <w:b/>
          <w:sz w:val="24"/>
          <w:szCs w:val="24"/>
        </w:rPr>
      </w:pPr>
    </w:p>
    <w:p w14:paraId="467895F5" w14:textId="77777777" w:rsidR="00A136AE" w:rsidRPr="00BB387E" w:rsidRDefault="00A136AE" w:rsidP="00A136AE">
      <w:pPr>
        <w:spacing w:after="0"/>
        <w:jc w:val="center"/>
        <w:rPr>
          <w:rFonts w:ascii="Arial" w:hAnsi="Arial" w:cs="Arial"/>
          <w:b/>
          <w:sz w:val="24"/>
          <w:szCs w:val="24"/>
        </w:rPr>
      </w:pPr>
    </w:p>
    <w:p w14:paraId="1B1DBF55" w14:textId="77777777" w:rsidR="00A136AE" w:rsidRPr="00BB387E" w:rsidRDefault="00A136AE" w:rsidP="00A136AE">
      <w:pPr>
        <w:spacing w:after="0"/>
        <w:jc w:val="center"/>
        <w:rPr>
          <w:rFonts w:ascii="Arial" w:hAnsi="Arial" w:cs="Arial"/>
          <w:b/>
          <w:sz w:val="24"/>
          <w:szCs w:val="24"/>
        </w:rPr>
      </w:pPr>
    </w:p>
    <w:p w14:paraId="5F41E5DC" w14:textId="77777777" w:rsidR="00A136AE" w:rsidRPr="00BB387E" w:rsidRDefault="00A136AE" w:rsidP="00A136AE">
      <w:pPr>
        <w:spacing w:after="0"/>
        <w:jc w:val="center"/>
        <w:rPr>
          <w:rFonts w:ascii="Arial" w:hAnsi="Arial" w:cs="Arial"/>
          <w:b/>
          <w:bCs/>
          <w:sz w:val="24"/>
          <w:szCs w:val="24"/>
        </w:rPr>
      </w:pPr>
    </w:p>
    <w:p w14:paraId="7E1C1BC9" w14:textId="77777777" w:rsidR="00A136AE" w:rsidRPr="00BB387E" w:rsidRDefault="00A136AE" w:rsidP="00A136AE">
      <w:pPr>
        <w:spacing w:after="0"/>
        <w:jc w:val="center"/>
        <w:rPr>
          <w:rFonts w:ascii="Arial" w:hAnsi="Arial" w:cs="Arial"/>
          <w:b/>
          <w:bCs/>
          <w:sz w:val="24"/>
          <w:szCs w:val="24"/>
        </w:rPr>
      </w:pPr>
    </w:p>
    <w:p w14:paraId="1762D952" w14:textId="77777777" w:rsidR="00A136AE" w:rsidRPr="00BB387E" w:rsidRDefault="00A136AE" w:rsidP="00A136A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4637D676" w14:textId="77777777" w:rsidR="00A136AE" w:rsidRPr="00BB387E" w:rsidRDefault="00A136AE" w:rsidP="00A136AE">
      <w:pPr>
        <w:spacing w:after="0"/>
        <w:jc w:val="center"/>
        <w:rPr>
          <w:rFonts w:ascii="Arial" w:hAnsi="Arial" w:cs="Arial"/>
          <w:b/>
          <w:sz w:val="24"/>
          <w:szCs w:val="24"/>
        </w:rPr>
      </w:pPr>
      <w:r w:rsidRPr="00BB387E">
        <w:rPr>
          <w:rFonts w:ascii="Arial" w:hAnsi="Arial" w:cs="Arial"/>
          <w:b/>
          <w:bCs/>
          <w:sz w:val="24"/>
          <w:szCs w:val="24"/>
        </w:rPr>
        <w:t>AUSTRALIAN CAPITAL TERRITORY</w:t>
      </w:r>
    </w:p>
    <w:p w14:paraId="672B4521" w14:textId="77777777" w:rsidR="00A136AE" w:rsidRPr="00BB387E" w:rsidRDefault="00A136AE" w:rsidP="00A136AE">
      <w:pPr>
        <w:spacing w:after="0"/>
        <w:jc w:val="center"/>
        <w:rPr>
          <w:rFonts w:ascii="Arial" w:hAnsi="Arial" w:cs="Arial"/>
          <w:b/>
          <w:sz w:val="24"/>
          <w:szCs w:val="24"/>
        </w:rPr>
      </w:pPr>
    </w:p>
    <w:p w14:paraId="02080225" w14:textId="77777777" w:rsidR="00A136AE" w:rsidRPr="00BB387E" w:rsidRDefault="00A136AE" w:rsidP="00A136AE">
      <w:pPr>
        <w:spacing w:after="0"/>
        <w:jc w:val="center"/>
        <w:rPr>
          <w:rFonts w:ascii="Arial" w:hAnsi="Arial" w:cs="Arial"/>
          <w:b/>
          <w:sz w:val="24"/>
          <w:szCs w:val="24"/>
        </w:rPr>
      </w:pPr>
    </w:p>
    <w:p w14:paraId="08470249" w14:textId="77777777" w:rsidR="00A136AE" w:rsidRPr="00BB387E" w:rsidRDefault="00A136AE" w:rsidP="00A136AE">
      <w:pPr>
        <w:spacing w:after="0"/>
        <w:jc w:val="center"/>
        <w:rPr>
          <w:rFonts w:ascii="Arial" w:hAnsi="Arial" w:cs="Arial"/>
          <w:b/>
          <w:sz w:val="24"/>
          <w:szCs w:val="24"/>
        </w:rPr>
      </w:pPr>
    </w:p>
    <w:p w14:paraId="272F70E2" w14:textId="77777777" w:rsidR="00A136AE" w:rsidRPr="00BB387E" w:rsidRDefault="00A136AE" w:rsidP="00A136AE">
      <w:pPr>
        <w:spacing w:after="0"/>
        <w:jc w:val="center"/>
        <w:rPr>
          <w:rFonts w:ascii="Arial" w:hAnsi="Arial" w:cs="Arial"/>
          <w:b/>
          <w:sz w:val="24"/>
          <w:szCs w:val="24"/>
        </w:rPr>
      </w:pPr>
    </w:p>
    <w:p w14:paraId="620A47B6" w14:textId="77777777" w:rsidR="00A136AE" w:rsidRPr="00BB387E" w:rsidRDefault="00A136AE" w:rsidP="00A136AE">
      <w:pPr>
        <w:spacing w:after="0"/>
        <w:jc w:val="center"/>
        <w:rPr>
          <w:rFonts w:ascii="Arial" w:hAnsi="Arial" w:cs="Arial"/>
          <w:b/>
          <w:sz w:val="24"/>
          <w:szCs w:val="24"/>
        </w:rPr>
      </w:pPr>
    </w:p>
    <w:p w14:paraId="3F6DF5DC" w14:textId="77777777" w:rsidR="00A136AE" w:rsidRPr="00BB387E" w:rsidRDefault="00A136AE" w:rsidP="00A136AE">
      <w:pPr>
        <w:spacing w:after="0"/>
        <w:jc w:val="center"/>
        <w:rPr>
          <w:rFonts w:ascii="Arial" w:hAnsi="Arial" w:cs="Arial"/>
          <w:b/>
          <w:sz w:val="24"/>
          <w:szCs w:val="24"/>
        </w:rPr>
      </w:pPr>
    </w:p>
    <w:p w14:paraId="787DC7E5" w14:textId="77777777" w:rsidR="00A136AE" w:rsidRPr="00BB387E" w:rsidRDefault="00A136AE" w:rsidP="00A136AE">
      <w:pPr>
        <w:spacing w:after="0"/>
        <w:jc w:val="center"/>
        <w:rPr>
          <w:rFonts w:ascii="Arial" w:hAnsi="Arial" w:cs="Arial"/>
          <w:b/>
          <w:sz w:val="24"/>
          <w:szCs w:val="24"/>
        </w:rPr>
      </w:pPr>
    </w:p>
    <w:p w14:paraId="0C6A8744" w14:textId="77777777" w:rsidR="00A136AE" w:rsidRPr="00BB387E" w:rsidRDefault="00A136AE" w:rsidP="00A136AE">
      <w:pPr>
        <w:spacing w:after="0"/>
        <w:jc w:val="center"/>
        <w:rPr>
          <w:rFonts w:ascii="Arial" w:hAnsi="Arial" w:cs="Arial"/>
          <w:b/>
          <w:sz w:val="24"/>
          <w:szCs w:val="24"/>
        </w:rPr>
      </w:pPr>
    </w:p>
    <w:p w14:paraId="6DD404E8" w14:textId="77777777" w:rsidR="00A136AE" w:rsidRPr="00BB387E" w:rsidRDefault="00A136AE" w:rsidP="00A136AE">
      <w:pPr>
        <w:spacing w:after="0"/>
        <w:jc w:val="center"/>
        <w:rPr>
          <w:rFonts w:ascii="Arial" w:hAnsi="Arial" w:cs="Arial"/>
          <w:b/>
          <w:sz w:val="24"/>
          <w:szCs w:val="24"/>
        </w:rPr>
      </w:pPr>
    </w:p>
    <w:p w14:paraId="79CD23E0" w14:textId="77777777" w:rsidR="00A136AE" w:rsidRPr="00BB387E" w:rsidRDefault="00A136AE" w:rsidP="00A136AE">
      <w:pPr>
        <w:spacing w:after="0"/>
        <w:jc w:val="center"/>
        <w:rPr>
          <w:rFonts w:ascii="Arial" w:hAnsi="Arial" w:cs="Arial"/>
          <w:b/>
          <w:sz w:val="24"/>
          <w:szCs w:val="24"/>
        </w:rPr>
      </w:pPr>
    </w:p>
    <w:p w14:paraId="4DE64248" w14:textId="6F25B34C" w:rsidR="00A136AE" w:rsidRPr="00741C4A" w:rsidRDefault="00A136AE" w:rsidP="00A136AE">
      <w:pPr>
        <w:spacing w:after="0"/>
        <w:jc w:val="center"/>
        <w:rPr>
          <w:rFonts w:ascii="Arial" w:hAnsi="Arial" w:cs="Arial"/>
          <w:b/>
          <w:bCs/>
          <w:sz w:val="24"/>
          <w:szCs w:val="24"/>
        </w:rPr>
      </w:pPr>
      <w:r>
        <w:rPr>
          <w:rFonts w:ascii="Arial" w:hAnsi="Arial" w:cs="Arial"/>
          <w:b/>
          <w:bCs/>
          <w:sz w:val="24"/>
          <w:szCs w:val="24"/>
        </w:rPr>
        <w:t>FINANCIAL MANAGEMENT AMENDMENT BILL</w:t>
      </w:r>
      <w:r w:rsidRPr="00741C4A">
        <w:rPr>
          <w:rFonts w:ascii="Arial" w:hAnsi="Arial" w:cs="Arial"/>
          <w:b/>
          <w:bCs/>
          <w:sz w:val="24"/>
          <w:szCs w:val="24"/>
        </w:rPr>
        <w:t xml:space="preserve"> 20</w:t>
      </w:r>
      <w:r>
        <w:rPr>
          <w:rFonts w:ascii="Arial" w:hAnsi="Arial" w:cs="Arial"/>
          <w:b/>
          <w:bCs/>
          <w:sz w:val="24"/>
          <w:szCs w:val="24"/>
        </w:rPr>
        <w:t>21 (NO 2)</w:t>
      </w:r>
    </w:p>
    <w:p w14:paraId="1589B261" w14:textId="77777777" w:rsidR="00A136AE" w:rsidRPr="00BB387E" w:rsidRDefault="00A136AE" w:rsidP="00A136AE">
      <w:pPr>
        <w:spacing w:after="0"/>
        <w:jc w:val="center"/>
        <w:rPr>
          <w:rFonts w:ascii="Arial" w:hAnsi="Arial" w:cs="Arial"/>
          <w:b/>
          <w:bCs/>
          <w:sz w:val="24"/>
          <w:szCs w:val="24"/>
        </w:rPr>
      </w:pPr>
    </w:p>
    <w:p w14:paraId="5E8CEE21" w14:textId="77777777" w:rsidR="00A136AE" w:rsidRPr="00BB387E" w:rsidRDefault="00A136AE" w:rsidP="00A136AE">
      <w:pPr>
        <w:spacing w:after="0"/>
        <w:jc w:val="center"/>
        <w:rPr>
          <w:rFonts w:ascii="Arial" w:hAnsi="Arial" w:cs="Arial"/>
          <w:b/>
          <w:sz w:val="24"/>
          <w:szCs w:val="24"/>
        </w:rPr>
      </w:pPr>
    </w:p>
    <w:p w14:paraId="5F985F59" w14:textId="77777777" w:rsidR="00A136AE" w:rsidRPr="00BB387E" w:rsidRDefault="00A136AE" w:rsidP="00A136AE">
      <w:pPr>
        <w:spacing w:after="0"/>
        <w:jc w:val="center"/>
        <w:rPr>
          <w:rFonts w:ascii="Arial" w:hAnsi="Arial" w:cs="Arial"/>
          <w:b/>
          <w:bCs/>
          <w:sz w:val="24"/>
          <w:szCs w:val="24"/>
        </w:rPr>
      </w:pPr>
    </w:p>
    <w:p w14:paraId="738EC0BB" w14:textId="77777777" w:rsidR="00A136AE" w:rsidRDefault="00A136AE" w:rsidP="00A136AE">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4684B940" w14:textId="77777777" w:rsidR="00A136AE" w:rsidRDefault="00A136AE" w:rsidP="00A136AE">
      <w:pPr>
        <w:spacing w:after="0"/>
        <w:jc w:val="center"/>
        <w:rPr>
          <w:rFonts w:ascii="Arial" w:hAnsi="Arial" w:cs="Arial"/>
          <w:b/>
          <w:bCs/>
          <w:sz w:val="24"/>
          <w:szCs w:val="24"/>
        </w:rPr>
      </w:pPr>
      <w:r>
        <w:rPr>
          <w:rFonts w:ascii="Arial" w:hAnsi="Arial" w:cs="Arial"/>
          <w:b/>
          <w:bCs/>
          <w:sz w:val="24"/>
          <w:szCs w:val="24"/>
        </w:rPr>
        <w:t>and</w:t>
      </w:r>
    </w:p>
    <w:p w14:paraId="6CC394B4" w14:textId="77777777" w:rsidR="00A136AE" w:rsidRDefault="00A136AE" w:rsidP="00A136A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62CB008" w14:textId="77777777" w:rsidR="00A136AE" w:rsidRPr="00BB387E" w:rsidRDefault="00A136AE" w:rsidP="00A136A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1B69F973" w14:textId="77777777" w:rsidR="00A136AE" w:rsidRPr="00BB387E" w:rsidRDefault="00A136AE" w:rsidP="00A136AE">
      <w:pPr>
        <w:spacing w:after="0"/>
        <w:jc w:val="center"/>
        <w:rPr>
          <w:rFonts w:ascii="Arial" w:hAnsi="Arial" w:cs="Arial"/>
          <w:b/>
          <w:sz w:val="24"/>
          <w:szCs w:val="24"/>
        </w:rPr>
      </w:pPr>
    </w:p>
    <w:p w14:paraId="4B9382C0" w14:textId="77777777" w:rsidR="00A136AE" w:rsidRPr="00BB387E" w:rsidRDefault="00A136AE" w:rsidP="00A136AE">
      <w:pPr>
        <w:spacing w:after="0"/>
        <w:jc w:val="center"/>
        <w:rPr>
          <w:rFonts w:ascii="Arial" w:hAnsi="Arial" w:cs="Arial"/>
          <w:b/>
          <w:sz w:val="24"/>
          <w:szCs w:val="24"/>
        </w:rPr>
      </w:pPr>
    </w:p>
    <w:p w14:paraId="750BCEA6" w14:textId="77777777" w:rsidR="00A136AE" w:rsidRPr="00BB387E" w:rsidRDefault="00A136AE" w:rsidP="00A136AE">
      <w:pPr>
        <w:spacing w:after="0"/>
        <w:jc w:val="center"/>
        <w:rPr>
          <w:rFonts w:ascii="Arial" w:hAnsi="Arial" w:cs="Arial"/>
          <w:b/>
          <w:sz w:val="24"/>
          <w:szCs w:val="24"/>
        </w:rPr>
      </w:pPr>
    </w:p>
    <w:p w14:paraId="61039A68" w14:textId="77777777" w:rsidR="00A136AE" w:rsidRPr="00BB387E" w:rsidRDefault="00A136AE" w:rsidP="00A136AE">
      <w:pPr>
        <w:spacing w:after="0"/>
        <w:jc w:val="center"/>
        <w:rPr>
          <w:rFonts w:ascii="Arial" w:hAnsi="Arial" w:cs="Arial"/>
          <w:b/>
          <w:sz w:val="24"/>
          <w:szCs w:val="24"/>
        </w:rPr>
      </w:pPr>
    </w:p>
    <w:p w14:paraId="62477B65" w14:textId="77777777" w:rsidR="00A136AE" w:rsidRPr="00BB387E" w:rsidRDefault="00A136AE" w:rsidP="00A136AE">
      <w:pPr>
        <w:keepNext/>
        <w:widowControl w:val="0"/>
        <w:spacing w:after="0"/>
        <w:jc w:val="center"/>
        <w:outlineLvl w:val="7"/>
        <w:rPr>
          <w:rFonts w:ascii="Arial" w:hAnsi="Arial" w:cs="Arial"/>
          <w:b/>
          <w:bCs/>
          <w:sz w:val="24"/>
          <w:szCs w:val="24"/>
        </w:rPr>
      </w:pPr>
    </w:p>
    <w:p w14:paraId="6B55B5F1" w14:textId="77777777" w:rsidR="00A136AE" w:rsidRPr="00BB387E" w:rsidRDefault="00A136AE" w:rsidP="00A136AE">
      <w:pPr>
        <w:keepNext/>
        <w:widowControl w:val="0"/>
        <w:spacing w:after="0"/>
        <w:jc w:val="center"/>
        <w:outlineLvl w:val="7"/>
        <w:rPr>
          <w:rFonts w:ascii="Arial" w:hAnsi="Arial" w:cs="Arial"/>
          <w:b/>
          <w:bCs/>
          <w:sz w:val="24"/>
          <w:szCs w:val="24"/>
        </w:rPr>
      </w:pPr>
    </w:p>
    <w:p w14:paraId="5231E01A" w14:textId="77777777" w:rsidR="00A136AE" w:rsidRPr="00BB387E" w:rsidRDefault="00A136AE" w:rsidP="00A136A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r>
        <w:rPr>
          <w:rFonts w:ascii="Arial" w:hAnsi="Arial" w:cs="Arial"/>
          <w:b/>
          <w:bCs/>
          <w:sz w:val="24"/>
          <w:szCs w:val="24"/>
        </w:rPr>
        <w:t xml:space="preserve"> </w:t>
      </w:r>
    </w:p>
    <w:p w14:paraId="5E6F2188" w14:textId="3B6DD7F1" w:rsidR="00A136AE" w:rsidRDefault="00DA6D1E" w:rsidP="00A136AE">
      <w:pPr>
        <w:spacing w:after="0"/>
        <w:ind w:right="686"/>
        <w:jc w:val="right"/>
        <w:rPr>
          <w:rFonts w:ascii="Arial" w:hAnsi="Arial" w:cs="Arial"/>
          <w:b/>
          <w:bCs/>
          <w:sz w:val="24"/>
          <w:szCs w:val="24"/>
        </w:rPr>
      </w:pPr>
      <w:r>
        <w:rPr>
          <w:rFonts w:ascii="Arial" w:hAnsi="Arial" w:cs="Arial"/>
          <w:b/>
          <w:bCs/>
          <w:sz w:val="24"/>
          <w:szCs w:val="24"/>
        </w:rPr>
        <w:t>Mick Gentleman</w:t>
      </w:r>
      <w:r w:rsidR="00A136AE">
        <w:rPr>
          <w:rFonts w:ascii="Arial" w:hAnsi="Arial" w:cs="Arial"/>
          <w:b/>
          <w:bCs/>
          <w:sz w:val="24"/>
          <w:szCs w:val="24"/>
        </w:rPr>
        <w:t xml:space="preserve"> MLA</w:t>
      </w:r>
    </w:p>
    <w:p w14:paraId="6866414F" w14:textId="64DE2F34" w:rsidR="00A136AE" w:rsidRPr="00BB387E" w:rsidRDefault="00DA6D1E" w:rsidP="00A136AE">
      <w:pPr>
        <w:spacing w:after="0"/>
        <w:ind w:right="686"/>
        <w:jc w:val="right"/>
        <w:rPr>
          <w:rFonts w:ascii="Arial" w:hAnsi="Arial" w:cs="Arial"/>
          <w:b/>
          <w:bCs/>
          <w:sz w:val="24"/>
          <w:szCs w:val="24"/>
        </w:rPr>
      </w:pPr>
      <w:r>
        <w:rPr>
          <w:rFonts w:ascii="Arial" w:hAnsi="Arial" w:cs="Arial"/>
          <w:b/>
          <w:bCs/>
          <w:sz w:val="24"/>
          <w:szCs w:val="24"/>
        </w:rPr>
        <w:t>Minister for Industrial Relations and Workplace Safety</w:t>
      </w:r>
    </w:p>
    <w:p w14:paraId="127C6304" w14:textId="35E46AE9" w:rsidR="00A136AE" w:rsidRDefault="00A136AE">
      <w:r>
        <w:br w:type="page"/>
      </w:r>
    </w:p>
    <w:p w14:paraId="16E6461D" w14:textId="77777777" w:rsidR="00A136AE" w:rsidRDefault="00A136AE"/>
    <w:p w14:paraId="04D409C4" w14:textId="1C22E240" w:rsidR="00173314" w:rsidRPr="00BB387E" w:rsidRDefault="00173314" w:rsidP="00173314">
      <w:pPr>
        <w:pStyle w:val="Heading1"/>
        <w:jc w:val="center"/>
      </w:pPr>
      <w:r>
        <w:t>FINANCIAL MANAGEMENT AMENDMENT BILL</w:t>
      </w:r>
      <w:r w:rsidRPr="00BB387E">
        <w:t xml:space="preserve"> 20</w:t>
      </w:r>
      <w:r>
        <w:t>21 (NO 2)</w:t>
      </w:r>
    </w:p>
    <w:p w14:paraId="55875C53" w14:textId="77777777" w:rsidR="00173314" w:rsidRPr="0098195B" w:rsidRDefault="00173314" w:rsidP="00173314">
      <w:pPr>
        <w:spacing w:after="0"/>
        <w:contextualSpacing/>
        <w:rPr>
          <w:rFonts w:ascii="Arial" w:hAnsi="Arial" w:cs="Arial"/>
          <w:bCs/>
          <w:sz w:val="24"/>
          <w:szCs w:val="24"/>
        </w:rPr>
      </w:pPr>
    </w:p>
    <w:p w14:paraId="44EDB7DD" w14:textId="77777777" w:rsidR="00173314" w:rsidRDefault="00173314" w:rsidP="00173314">
      <w:pPr>
        <w:spacing w:after="0"/>
        <w:contextualSpacing/>
        <w:rPr>
          <w:rFonts w:ascii="Arial" w:hAnsi="Arial" w:cs="Arial"/>
          <w:bCs/>
          <w:sz w:val="24"/>
          <w:szCs w:val="24"/>
        </w:rPr>
      </w:pPr>
      <w:r w:rsidRPr="0098195B">
        <w:rPr>
          <w:rFonts w:ascii="Arial" w:hAnsi="Arial" w:cs="Arial"/>
          <w:bCs/>
          <w:sz w:val="24"/>
          <w:szCs w:val="24"/>
        </w:rPr>
        <w:t xml:space="preserve">The Bill </w:t>
      </w:r>
      <w:r w:rsidRPr="0098195B">
        <w:rPr>
          <w:rFonts w:ascii="Arial" w:hAnsi="Arial" w:cs="Arial"/>
          <w:b/>
          <w:sz w:val="24"/>
          <w:szCs w:val="24"/>
        </w:rPr>
        <w:t>is</w:t>
      </w:r>
      <w:r w:rsidRPr="0098195B">
        <w:rPr>
          <w:rFonts w:ascii="Arial" w:hAnsi="Arial" w:cs="Arial"/>
          <w:bCs/>
          <w:sz w:val="24"/>
          <w:szCs w:val="24"/>
        </w:rPr>
        <w:t xml:space="preserve"> </w:t>
      </w:r>
      <w:r w:rsidRPr="00613925">
        <w:rPr>
          <w:rFonts w:ascii="Arial" w:hAnsi="Arial" w:cs="Arial"/>
          <w:b/>
          <w:sz w:val="24"/>
          <w:szCs w:val="24"/>
        </w:rPr>
        <w:t>not</w:t>
      </w:r>
      <w:r w:rsidRPr="0098195B">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98195B">
        <w:rPr>
          <w:rFonts w:ascii="Arial" w:hAnsi="Arial" w:cs="Arial"/>
          <w:bCs/>
          <w:i/>
          <w:iCs/>
          <w:sz w:val="24"/>
          <w:szCs w:val="24"/>
        </w:rPr>
        <w:t>Human Rights Act 2004</w:t>
      </w:r>
      <w:r>
        <w:rPr>
          <w:rFonts w:ascii="Arial" w:hAnsi="Arial" w:cs="Arial"/>
          <w:bCs/>
          <w:sz w:val="24"/>
          <w:szCs w:val="24"/>
        </w:rPr>
        <w:t xml:space="preserve">. </w:t>
      </w:r>
    </w:p>
    <w:p w14:paraId="6EB37FB6" w14:textId="77777777" w:rsidR="00173314" w:rsidRDefault="00173314" w:rsidP="00173314">
      <w:pPr>
        <w:spacing w:after="0"/>
        <w:contextualSpacing/>
        <w:rPr>
          <w:rFonts w:ascii="Arial" w:hAnsi="Arial" w:cs="Arial"/>
          <w:bCs/>
          <w:sz w:val="24"/>
          <w:szCs w:val="24"/>
        </w:rPr>
      </w:pPr>
    </w:p>
    <w:p w14:paraId="77374E91" w14:textId="0B1BB8F9" w:rsidR="00173314" w:rsidRPr="00613925" w:rsidRDefault="00173314" w:rsidP="00173314">
      <w:pPr>
        <w:spacing w:after="0"/>
        <w:contextualSpacing/>
        <w:rPr>
          <w:rFonts w:ascii="Arial" w:hAnsi="Arial" w:cs="Arial"/>
          <w:bCs/>
          <w:sz w:val="24"/>
          <w:szCs w:val="24"/>
        </w:rPr>
      </w:pPr>
      <w:r w:rsidRPr="0098195B">
        <w:rPr>
          <w:rFonts w:ascii="Arial" w:hAnsi="Arial" w:cs="Arial"/>
          <w:sz w:val="24"/>
          <w:szCs w:val="24"/>
          <w:lang w:eastAsia="en-AU"/>
        </w:rPr>
        <w:t xml:space="preserve">This explanatory statement relates to the </w:t>
      </w:r>
      <w:r>
        <w:rPr>
          <w:rFonts w:ascii="Arial" w:hAnsi="Arial" w:cs="Arial"/>
          <w:i/>
          <w:iCs/>
          <w:sz w:val="24"/>
          <w:szCs w:val="24"/>
          <w:lang w:eastAsia="en-AU"/>
        </w:rPr>
        <w:t xml:space="preserve">Financial Management Amendment Bill 2021 (No 2) </w:t>
      </w:r>
      <w:r w:rsidRPr="0098195B">
        <w:rPr>
          <w:rFonts w:ascii="Arial" w:hAnsi="Arial" w:cs="Arial"/>
          <w:sz w:val="24"/>
          <w:szCs w:val="24"/>
          <w:lang w:eastAsia="en-AU"/>
        </w:rPr>
        <w:t>as presented to the Legislative Assembly. It has been prepared to assist the reader of the Bill and to help inform debate on it. It does not form part of the Bill and has not been endorsed by the Assembly.</w:t>
      </w:r>
      <w:r>
        <w:rPr>
          <w:rFonts w:ascii="Arial" w:hAnsi="Arial" w:cs="Arial"/>
          <w:bCs/>
          <w:sz w:val="24"/>
          <w:szCs w:val="24"/>
        </w:rPr>
        <w:t xml:space="preserve"> </w:t>
      </w:r>
      <w:r w:rsidRPr="0098195B">
        <w:rPr>
          <w:rFonts w:ascii="Arial" w:hAnsi="Arial" w:cs="Arial"/>
          <w:sz w:val="24"/>
          <w:szCs w:val="24"/>
          <w:lang w:eastAsia="en-AU"/>
        </w:rPr>
        <w:t>The statement is to be read in conjunction with the Bill. It is not, and is not meant to be, a comprehensive description of the Bill.</w:t>
      </w:r>
      <w:r>
        <w:rPr>
          <w:rFonts w:ascii="Arial" w:hAnsi="Arial" w:cs="Arial"/>
          <w:sz w:val="24"/>
          <w:szCs w:val="24"/>
          <w:lang w:eastAsia="en-AU"/>
        </w:rPr>
        <w:t xml:space="preserve"> </w:t>
      </w:r>
    </w:p>
    <w:p w14:paraId="338E108E" w14:textId="646DFA14" w:rsidR="00272C81" w:rsidRDefault="00272C81" w:rsidP="00272C81"/>
    <w:p w14:paraId="15281E60" w14:textId="3F2216BA" w:rsidR="00173314" w:rsidRPr="00173314" w:rsidRDefault="00173314" w:rsidP="00173314">
      <w:pPr>
        <w:pStyle w:val="Heading2"/>
        <w:rPr>
          <w:rFonts w:ascii="Arial" w:hAnsi="Arial" w:cs="Arial"/>
          <w:b/>
          <w:bCs/>
          <w:color w:val="000000" w:themeColor="text1"/>
          <w:sz w:val="24"/>
          <w:szCs w:val="24"/>
        </w:rPr>
      </w:pPr>
      <w:r w:rsidRPr="00173314">
        <w:rPr>
          <w:rFonts w:ascii="Arial" w:hAnsi="Arial" w:cs="Arial"/>
          <w:b/>
          <w:bCs/>
          <w:color w:val="000000" w:themeColor="text1"/>
          <w:sz w:val="24"/>
          <w:szCs w:val="24"/>
        </w:rPr>
        <w:t>OVERVIEW OF THE BILL</w:t>
      </w:r>
    </w:p>
    <w:p w14:paraId="5E19C0BB" w14:textId="77777777" w:rsidR="00173314" w:rsidRDefault="00173314" w:rsidP="00272C81">
      <w:pPr>
        <w:tabs>
          <w:tab w:val="left" w:pos="425"/>
        </w:tabs>
        <w:spacing w:after="120" w:line="276" w:lineRule="auto"/>
        <w:rPr>
          <w:u w:val="single"/>
        </w:rPr>
      </w:pPr>
    </w:p>
    <w:p w14:paraId="301AADC8" w14:textId="5CFC6792" w:rsidR="00173314" w:rsidRPr="00173314" w:rsidRDefault="00173314" w:rsidP="00272C81">
      <w:pPr>
        <w:tabs>
          <w:tab w:val="left" w:pos="425"/>
        </w:tabs>
        <w:spacing w:after="120" w:line="276" w:lineRule="auto"/>
        <w:rPr>
          <w:rFonts w:ascii="Arial" w:hAnsi="Arial" w:cs="Arial"/>
          <w:sz w:val="24"/>
          <w:szCs w:val="24"/>
        </w:rPr>
      </w:pPr>
      <w:r>
        <w:rPr>
          <w:rFonts w:ascii="Arial" w:hAnsi="Arial" w:cs="Arial"/>
          <w:sz w:val="24"/>
          <w:szCs w:val="24"/>
        </w:rPr>
        <w:t xml:space="preserve">The Bill amends the </w:t>
      </w:r>
      <w:r>
        <w:rPr>
          <w:rFonts w:ascii="Arial" w:hAnsi="Arial" w:cs="Arial"/>
          <w:i/>
          <w:iCs/>
          <w:sz w:val="24"/>
          <w:szCs w:val="24"/>
        </w:rPr>
        <w:t>Financial Management Act 1996</w:t>
      </w:r>
      <w:r>
        <w:rPr>
          <w:rFonts w:ascii="Arial" w:hAnsi="Arial" w:cs="Arial"/>
          <w:sz w:val="24"/>
          <w:szCs w:val="24"/>
        </w:rPr>
        <w:t xml:space="preserve"> to provide for an Insourcing Framework. </w:t>
      </w:r>
    </w:p>
    <w:p w14:paraId="6D967147" w14:textId="77777777" w:rsidR="00173314" w:rsidRDefault="00173314" w:rsidP="00173314">
      <w:pPr>
        <w:rPr>
          <w:rFonts w:ascii="Arial" w:hAnsi="Arial" w:cs="Arial"/>
          <w:b/>
          <w:sz w:val="24"/>
          <w:szCs w:val="24"/>
        </w:rPr>
      </w:pPr>
    </w:p>
    <w:p w14:paraId="47090657" w14:textId="12309A26" w:rsidR="00173314" w:rsidRPr="0098195B" w:rsidRDefault="00173314" w:rsidP="00173314">
      <w:pPr>
        <w:rPr>
          <w:rFonts w:ascii="Arial" w:hAnsi="Arial" w:cs="Arial"/>
          <w:b/>
          <w:sz w:val="24"/>
          <w:szCs w:val="24"/>
        </w:rPr>
      </w:pPr>
      <w:r w:rsidRPr="0098195B">
        <w:rPr>
          <w:rFonts w:ascii="Arial" w:hAnsi="Arial" w:cs="Arial"/>
          <w:b/>
          <w:sz w:val="24"/>
          <w:szCs w:val="24"/>
        </w:rPr>
        <w:t>CONSULTATION ON THE PROPOSED APPROACH</w:t>
      </w:r>
    </w:p>
    <w:p w14:paraId="40451EEF" w14:textId="260B4499" w:rsidR="00173314" w:rsidRDefault="00173314" w:rsidP="00173314">
      <w:pPr>
        <w:tabs>
          <w:tab w:val="left" w:pos="1320"/>
          <w:tab w:val="right" w:pos="9016"/>
        </w:tabs>
        <w:autoSpaceDE w:val="0"/>
        <w:autoSpaceDN w:val="0"/>
        <w:adjustRightInd w:val="0"/>
        <w:spacing w:before="240" w:after="240" w:line="240" w:lineRule="auto"/>
        <w:rPr>
          <w:rFonts w:ascii="Arial" w:hAnsi="Arial" w:cs="Arial"/>
          <w:sz w:val="24"/>
          <w:szCs w:val="24"/>
        </w:rPr>
      </w:pPr>
      <w:r>
        <w:rPr>
          <w:rFonts w:ascii="Arial" w:hAnsi="Arial" w:cs="Arial"/>
          <w:sz w:val="24"/>
          <w:szCs w:val="24"/>
        </w:rPr>
        <w:t xml:space="preserve">A number of </w:t>
      </w:r>
      <w:r w:rsidRPr="008F01F1">
        <w:rPr>
          <w:rFonts w:ascii="Arial" w:hAnsi="Arial" w:cs="Arial"/>
          <w:sz w:val="24"/>
          <w:szCs w:val="24"/>
        </w:rPr>
        <w:t xml:space="preserve">ACT Government Directorates and independent agencies were consulted on the amendments in the </w:t>
      </w:r>
      <w:r>
        <w:rPr>
          <w:rFonts w:ascii="Arial" w:hAnsi="Arial" w:cs="Arial"/>
          <w:i/>
          <w:iCs/>
          <w:sz w:val="24"/>
          <w:szCs w:val="24"/>
        </w:rPr>
        <w:t>Financial Management Amendment Bill 2021 (No 2).</w:t>
      </w:r>
      <w:r w:rsidRPr="008F01F1" w:rsidDel="00A57A87">
        <w:rPr>
          <w:rFonts w:ascii="Arial" w:hAnsi="Arial" w:cs="Arial"/>
          <w:sz w:val="24"/>
          <w:szCs w:val="24"/>
        </w:rPr>
        <w:t xml:space="preserve"> </w:t>
      </w:r>
    </w:p>
    <w:p w14:paraId="1180DDB4" w14:textId="77777777" w:rsidR="00173314" w:rsidRDefault="00173314" w:rsidP="00173314">
      <w:pPr>
        <w:tabs>
          <w:tab w:val="left" w:pos="1320"/>
          <w:tab w:val="right" w:pos="9016"/>
        </w:tabs>
        <w:autoSpaceDE w:val="0"/>
        <w:autoSpaceDN w:val="0"/>
        <w:adjustRightInd w:val="0"/>
        <w:spacing w:before="240" w:after="240" w:line="240" w:lineRule="auto"/>
        <w:rPr>
          <w:rFonts w:ascii="Arial" w:hAnsi="Arial" w:cs="Arial"/>
          <w:sz w:val="24"/>
          <w:szCs w:val="24"/>
        </w:rPr>
      </w:pPr>
      <w:r>
        <w:rPr>
          <w:rFonts w:ascii="Arial" w:hAnsi="Arial" w:cs="Arial"/>
          <w:sz w:val="24"/>
          <w:szCs w:val="24"/>
        </w:rPr>
        <w:t>The proposed amendments reflect comments and feedback received from these stakeholders.</w:t>
      </w:r>
    </w:p>
    <w:p w14:paraId="17C60754" w14:textId="77777777" w:rsidR="00173314" w:rsidRPr="00173314" w:rsidRDefault="00173314" w:rsidP="00173314">
      <w:pPr>
        <w:pStyle w:val="Heading2"/>
        <w:rPr>
          <w:rFonts w:ascii="Arial" w:hAnsi="Arial" w:cs="Arial"/>
          <w:b/>
          <w:bCs/>
          <w:iCs/>
          <w:color w:val="000000" w:themeColor="text1"/>
          <w:sz w:val="24"/>
          <w:szCs w:val="24"/>
        </w:rPr>
      </w:pPr>
      <w:r w:rsidRPr="00173314">
        <w:rPr>
          <w:rFonts w:ascii="Arial" w:hAnsi="Arial" w:cs="Arial"/>
          <w:b/>
          <w:bCs/>
          <w:color w:val="000000" w:themeColor="text1"/>
          <w:sz w:val="24"/>
          <w:szCs w:val="24"/>
        </w:rPr>
        <w:t>SUMMARY OF AMENDMENTS</w:t>
      </w:r>
    </w:p>
    <w:p w14:paraId="199A1449" w14:textId="16A3B180" w:rsidR="00173314" w:rsidRDefault="00173314" w:rsidP="00A136AE">
      <w:pPr>
        <w:tabs>
          <w:tab w:val="left" w:pos="425"/>
        </w:tabs>
        <w:spacing w:after="120" w:line="276" w:lineRule="auto"/>
      </w:pPr>
    </w:p>
    <w:p w14:paraId="60CD3993"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t>The Bill seeks to implement two of the Government’s policy commitments in the Parliamentary and Governing Agreement for the 10th Legislative Assembly of the ACT (PAGA):</w:t>
      </w:r>
    </w:p>
    <w:p w14:paraId="3C26B902" w14:textId="77777777" w:rsidR="00173314" w:rsidRPr="00173314" w:rsidRDefault="00173314" w:rsidP="00173314">
      <w:pPr>
        <w:pStyle w:val="ListParagraph2"/>
        <w:spacing w:after="120"/>
        <w:rPr>
          <w:rFonts w:ascii="Arial" w:hAnsi="Arial" w:cs="Arial"/>
        </w:rPr>
      </w:pPr>
      <w:r w:rsidRPr="00173314">
        <w:rPr>
          <w:rFonts w:ascii="Arial" w:hAnsi="Arial" w:cs="Arial"/>
        </w:rPr>
        <w:t>‘Legislate to prevent the outsourcing or privatisation of public sector jobs’ (PAGA Item 77); and</w:t>
      </w:r>
    </w:p>
    <w:p w14:paraId="34945E30" w14:textId="77777777" w:rsidR="00173314" w:rsidRPr="00173314" w:rsidRDefault="00173314" w:rsidP="00173314">
      <w:pPr>
        <w:pStyle w:val="ListParagraph2"/>
        <w:spacing w:after="120"/>
        <w:rPr>
          <w:rFonts w:ascii="Arial" w:hAnsi="Arial" w:cs="Arial"/>
        </w:rPr>
      </w:pPr>
      <w:r w:rsidRPr="00173314">
        <w:rPr>
          <w:rFonts w:ascii="Arial" w:hAnsi="Arial" w:cs="Arial"/>
        </w:rPr>
        <w:t>‘Implement a whole of government policy that government services will not be contracted out where they could be performed by public servants’ (PAGA Item 88).</w:t>
      </w:r>
    </w:p>
    <w:p w14:paraId="3AEE36D2"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t>The Bill amends the Financial Management Act 1996 to require an evaluation be completed prior to the outsourcing and/or privatisation of public sector jobs (the Insourcing Framework).</w:t>
      </w:r>
    </w:p>
    <w:p w14:paraId="5FB9F8E5"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lastRenderedPageBreak/>
        <w:t xml:space="preserve">The Bill includes a requirement that proposed services or works with an estimated value equal to or greater than an amount that may be prescribed by regulation be evaluated in accordance with the Insourcing Framework.  </w:t>
      </w:r>
    </w:p>
    <w:p w14:paraId="7C8E4487"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t xml:space="preserve">The Bill proposes the Insourcing Framework be determined by the Chief Minister through a Notifiable Instrument. The Chief Minister is nominated due to his responsibility for the ACT Public Service in the Administrative Arrangements 2021 (No 1). The use of a Notifiable Instrument will provide the required flexibility to update or modify the framework as required. </w:t>
      </w:r>
    </w:p>
    <w:p w14:paraId="717C5C1E"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t>The Bill gives the Chief Minister the power to make directions in relation to the Insourcing Framework by way of a Notifiable Instrument.</w:t>
      </w:r>
    </w:p>
    <w:p w14:paraId="4AE6CEA1" w14:textId="77777777" w:rsidR="00173314" w:rsidRPr="00173314" w:rsidRDefault="00173314" w:rsidP="00173314">
      <w:pPr>
        <w:tabs>
          <w:tab w:val="left" w:pos="425"/>
        </w:tabs>
        <w:spacing w:after="120" w:line="276" w:lineRule="auto"/>
        <w:rPr>
          <w:rFonts w:ascii="Arial" w:hAnsi="Arial" w:cs="Arial"/>
          <w:sz w:val="24"/>
          <w:szCs w:val="24"/>
        </w:rPr>
      </w:pPr>
      <w:r w:rsidRPr="00173314">
        <w:rPr>
          <w:rFonts w:ascii="Arial" w:hAnsi="Arial" w:cs="Arial"/>
          <w:sz w:val="24"/>
          <w:szCs w:val="24"/>
        </w:rPr>
        <w:t xml:space="preserve">The operation of the Insourcing Framework will commence on a day fixed by the Chief Minister, or if not yet commenced, automatically commence on the first day 6 months after the passing of the Bill. </w:t>
      </w:r>
    </w:p>
    <w:p w14:paraId="3345C502" w14:textId="77777777" w:rsidR="00173314" w:rsidRDefault="00173314" w:rsidP="00A136AE">
      <w:pPr>
        <w:tabs>
          <w:tab w:val="left" w:pos="425"/>
        </w:tabs>
        <w:spacing w:after="120" w:line="276" w:lineRule="auto"/>
      </w:pPr>
    </w:p>
    <w:p w14:paraId="5A9907B5" w14:textId="77777777" w:rsidR="00173314" w:rsidRPr="00173314" w:rsidRDefault="00173314" w:rsidP="00173314">
      <w:pPr>
        <w:pStyle w:val="Heading2"/>
        <w:rPr>
          <w:rFonts w:ascii="Arial" w:hAnsi="Arial" w:cs="Arial"/>
          <w:b/>
          <w:bCs/>
          <w:color w:val="000000" w:themeColor="text1"/>
          <w:sz w:val="24"/>
          <w:szCs w:val="24"/>
        </w:rPr>
      </w:pPr>
      <w:r w:rsidRPr="00173314">
        <w:rPr>
          <w:rFonts w:ascii="Arial" w:hAnsi="Arial" w:cs="Arial"/>
          <w:b/>
          <w:bCs/>
          <w:color w:val="000000" w:themeColor="text1"/>
          <w:sz w:val="24"/>
          <w:szCs w:val="24"/>
        </w:rPr>
        <w:t>CONSISTENCY WITH HUMAN RIGHTS</w:t>
      </w:r>
    </w:p>
    <w:p w14:paraId="192FFD1A" w14:textId="658460BC" w:rsidR="000172D8" w:rsidRDefault="00A136AE" w:rsidP="00A136AE">
      <w:pPr>
        <w:tabs>
          <w:tab w:val="left" w:pos="425"/>
        </w:tabs>
        <w:spacing w:before="120" w:after="120" w:line="276" w:lineRule="auto"/>
        <w:rPr>
          <w:rFonts w:ascii="Arial" w:hAnsi="Arial" w:cs="Arial"/>
          <w:sz w:val="24"/>
          <w:szCs w:val="24"/>
        </w:rPr>
      </w:pPr>
      <w:r w:rsidRPr="00173314">
        <w:rPr>
          <w:rFonts w:ascii="Arial" w:hAnsi="Arial" w:cs="Arial"/>
          <w:sz w:val="24"/>
          <w:szCs w:val="24"/>
        </w:rPr>
        <w:t xml:space="preserve">The Bill may both promote and limit the right to work. The right to work is promoted by the Insourcing Framework’s aim of delivering secure work through formal employment in the </w:t>
      </w:r>
      <w:r w:rsidR="005306AC">
        <w:rPr>
          <w:rFonts w:ascii="Arial" w:hAnsi="Arial" w:cs="Arial"/>
          <w:sz w:val="24"/>
          <w:szCs w:val="24"/>
        </w:rPr>
        <w:t>ACT Public Service</w:t>
      </w:r>
      <w:r w:rsidRPr="00173314">
        <w:rPr>
          <w:rFonts w:ascii="Arial" w:hAnsi="Arial" w:cs="Arial"/>
          <w:sz w:val="24"/>
          <w:szCs w:val="24"/>
        </w:rPr>
        <w:t xml:space="preserve">. </w:t>
      </w:r>
    </w:p>
    <w:p w14:paraId="5F1CD9DC" w14:textId="6CD15CD3" w:rsidR="00A136AE" w:rsidRPr="00173314" w:rsidRDefault="00A136AE" w:rsidP="00A136AE">
      <w:pPr>
        <w:tabs>
          <w:tab w:val="left" w:pos="425"/>
        </w:tabs>
        <w:spacing w:before="120" w:after="120" w:line="276" w:lineRule="auto"/>
        <w:rPr>
          <w:rFonts w:ascii="Arial" w:hAnsi="Arial" w:cs="Arial"/>
          <w:sz w:val="24"/>
          <w:szCs w:val="24"/>
        </w:rPr>
      </w:pPr>
      <w:r w:rsidRPr="00173314">
        <w:rPr>
          <w:rFonts w:ascii="Arial" w:hAnsi="Arial" w:cs="Arial"/>
          <w:sz w:val="24"/>
          <w:szCs w:val="24"/>
        </w:rPr>
        <w:t xml:space="preserve">The right to work may also be limited for some people outside of the </w:t>
      </w:r>
      <w:r w:rsidR="005306AC">
        <w:rPr>
          <w:rFonts w:ascii="Arial" w:hAnsi="Arial" w:cs="Arial"/>
          <w:sz w:val="24"/>
          <w:szCs w:val="24"/>
        </w:rPr>
        <w:t>ACT Public Service</w:t>
      </w:r>
      <w:r w:rsidRPr="00173314">
        <w:rPr>
          <w:rFonts w:ascii="Arial" w:hAnsi="Arial" w:cs="Arial"/>
          <w:sz w:val="24"/>
          <w:szCs w:val="24"/>
        </w:rPr>
        <w:t xml:space="preserve"> who would have previously engaged in contract or labour hire work through ACT Government procurement processes which outsource work. Any limitation of the right to work in this circumstance may be reasonably justified as promoting the legitimate aim of promoting secure and equal working conditions, and the measures are reasonable, necessary and proportionate to that aim as the legislation will allow for any workers previously benefiting from outsourcing to work within the </w:t>
      </w:r>
      <w:r w:rsidR="005306AC">
        <w:rPr>
          <w:rFonts w:ascii="Arial" w:hAnsi="Arial" w:cs="Arial"/>
          <w:sz w:val="24"/>
          <w:szCs w:val="24"/>
        </w:rPr>
        <w:t>ACT Public Service</w:t>
      </w:r>
      <w:r w:rsidRPr="00173314">
        <w:rPr>
          <w:rFonts w:ascii="Arial" w:hAnsi="Arial" w:cs="Arial"/>
          <w:sz w:val="24"/>
          <w:szCs w:val="24"/>
        </w:rPr>
        <w:t>.</w:t>
      </w:r>
    </w:p>
    <w:p w14:paraId="4682ECC6" w14:textId="77777777" w:rsidR="00173314" w:rsidRPr="00B0454F" w:rsidRDefault="00173314" w:rsidP="00173314">
      <w:pPr>
        <w:spacing w:after="0"/>
        <w:rPr>
          <w:rFonts w:ascii="Arial" w:hAnsi="Arial" w:cs="Arial"/>
          <w:b/>
          <w:bCs/>
          <w:sz w:val="24"/>
          <w:szCs w:val="24"/>
        </w:rPr>
      </w:pPr>
      <w:r w:rsidRPr="00B0454F">
        <w:rPr>
          <w:rFonts w:ascii="Arial" w:hAnsi="Arial" w:cs="Arial"/>
          <w:b/>
          <w:bCs/>
          <w:sz w:val="24"/>
          <w:szCs w:val="24"/>
        </w:rPr>
        <w:t xml:space="preserve">Rights engaged </w:t>
      </w:r>
    </w:p>
    <w:p w14:paraId="19CBFB42" w14:textId="77777777" w:rsidR="00173314" w:rsidRPr="005B6B0B" w:rsidRDefault="00173314" w:rsidP="00173314">
      <w:pPr>
        <w:shd w:val="clear" w:color="auto" w:fill="FFFFFF"/>
        <w:spacing w:before="240" w:after="120"/>
        <w:rPr>
          <w:rFonts w:ascii="Arial" w:hAnsi="Arial" w:cs="Arial"/>
          <w:color w:val="000000"/>
          <w:sz w:val="24"/>
          <w:szCs w:val="24"/>
          <w:lang w:eastAsia="en-AU"/>
        </w:rPr>
      </w:pPr>
      <w:r w:rsidRPr="005B6B0B">
        <w:rPr>
          <w:rFonts w:ascii="Arial" w:hAnsi="Arial" w:cs="Arial"/>
          <w:color w:val="000000"/>
          <w:sz w:val="24"/>
          <w:szCs w:val="24"/>
          <w:lang w:eastAsia="en-AU"/>
        </w:rPr>
        <w:t xml:space="preserve">The Bill engages and may promote the following rights under the </w:t>
      </w:r>
      <w:r w:rsidRPr="007402D8">
        <w:rPr>
          <w:rFonts w:ascii="Arial" w:hAnsi="Arial" w:cs="Arial"/>
          <w:i/>
          <w:iCs/>
          <w:color w:val="000000"/>
          <w:sz w:val="24"/>
          <w:szCs w:val="24"/>
          <w:lang w:eastAsia="en-AU"/>
        </w:rPr>
        <w:t>Human Rights Act 2004</w:t>
      </w:r>
      <w:r w:rsidRPr="005B6B0B">
        <w:rPr>
          <w:rFonts w:ascii="Arial" w:hAnsi="Arial" w:cs="Arial"/>
          <w:color w:val="000000"/>
          <w:sz w:val="24"/>
          <w:szCs w:val="24"/>
          <w:lang w:eastAsia="en-AU"/>
        </w:rPr>
        <w:t xml:space="preserve"> </w:t>
      </w:r>
      <w:r>
        <w:rPr>
          <w:rFonts w:ascii="Arial" w:hAnsi="Arial" w:cs="Arial"/>
          <w:color w:val="000000"/>
          <w:sz w:val="24"/>
          <w:szCs w:val="24"/>
          <w:lang w:eastAsia="en-AU"/>
        </w:rPr>
        <w:t xml:space="preserve">(HRA) </w:t>
      </w:r>
      <w:r w:rsidRPr="005B6B0B">
        <w:rPr>
          <w:rFonts w:ascii="Arial" w:hAnsi="Arial" w:cs="Arial"/>
          <w:color w:val="000000"/>
          <w:sz w:val="24"/>
          <w:szCs w:val="24"/>
          <w:lang w:eastAsia="en-AU"/>
        </w:rPr>
        <w:t>and is discussed under Rights Promoted in detail:</w:t>
      </w:r>
    </w:p>
    <w:p w14:paraId="2C997710" w14:textId="77777777" w:rsidR="00173314" w:rsidRPr="005B6B0B" w:rsidRDefault="00173314" w:rsidP="00173314">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Section 27B – Right to work and other work-related rights</w:t>
      </w:r>
    </w:p>
    <w:p w14:paraId="167975DC" w14:textId="1BA3C0B7" w:rsidR="00173314" w:rsidRPr="005B6B0B" w:rsidRDefault="00173314" w:rsidP="00173314">
      <w:pPr>
        <w:shd w:val="clear" w:color="auto" w:fill="FFFFFF"/>
        <w:spacing w:before="240" w:after="120"/>
        <w:rPr>
          <w:rFonts w:ascii="Arial" w:hAnsi="Arial" w:cs="Arial"/>
          <w:color w:val="000000"/>
          <w:sz w:val="24"/>
          <w:szCs w:val="24"/>
          <w:lang w:eastAsia="en-AU"/>
        </w:rPr>
      </w:pPr>
      <w:r w:rsidRPr="005B6B0B">
        <w:rPr>
          <w:rFonts w:ascii="Arial" w:hAnsi="Arial" w:cs="Arial"/>
          <w:color w:val="000000"/>
          <w:sz w:val="24"/>
          <w:szCs w:val="24"/>
          <w:lang w:eastAsia="en-AU"/>
        </w:rPr>
        <w:t xml:space="preserve">The </w:t>
      </w:r>
      <w:r w:rsidR="000172D8">
        <w:rPr>
          <w:rFonts w:ascii="Arial" w:hAnsi="Arial" w:cs="Arial"/>
          <w:color w:val="000000"/>
          <w:sz w:val="24"/>
          <w:szCs w:val="24"/>
          <w:lang w:eastAsia="en-AU"/>
        </w:rPr>
        <w:t>Bill</w:t>
      </w:r>
      <w:r w:rsidRPr="005B6B0B">
        <w:rPr>
          <w:rFonts w:ascii="Arial" w:hAnsi="Arial" w:cs="Arial"/>
          <w:color w:val="000000"/>
          <w:sz w:val="24"/>
          <w:szCs w:val="24"/>
          <w:lang w:eastAsia="en-AU"/>
        </w:rPr>
        <w:t xml:space="preserve"> engages and may limit the following rights under the </w:t>
      </w:r>
      <w:r>
        <w:rPr>
          <w:rFonts w:ascii="Arial" w:hAnsi="Arial" w:cs="Arial"/>
          <w:color w:val="000000"/>
          <w:sz w:val="24"/>
          <w:szCs w:val="24"/>
          <w:lang w:eastAsia="en-AU"/>
        </w:rPr>
        <w:t>HRA</w:t>
      </w:r>
      <w:r w:rsidRPr="005B6B0B">
        <w:rPr>
          <w:rFonts w:ascii="Arial" w:hAnsi="Arial" w:cs="Arial"/>
          <w:color w:val="000000"/>
          <w:sz w:val="24"/>
          <w:szCs w:val="24"/>
          <w:lang w:eastAsia="en-AU"/>
        </w:rPr>
        <w:t xml:space="preserve"> and is discussed under Rights Limited in detail:</w:t>
      </w:r>
    </w:p>
    <w:p w14:paraId="4E6E7F80" w14:textId="0AED2089" w:rsidR="00272C81" w:rsidRPr="00962670" w:rsidRDefault="00962670" w:rsidP="00272C81">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Section 27B – Right to work and other work-related rights</w:t>
      </w:r>
    </w:p>
    <w:p w14:paraId="602F5608" w14:textId="77777777" w:rsidR="000172D8" w:rsidRDefault="000172D8">
      <w:pPr>
        <w:rPr>
          <w:rFonts w:ascii="Arial" w:hAnsi="Arial" w:cs="Arial"/>
          <w:b/>
          <w:bCs/>
          <w:sz w:val="24"/>
          <w:szCs w:val="24"/>
        </w:rPr>
      </w:pPr>
      <w:r>
        <w:rPr>
          <w:rFonts w:ascii="Arial" w:hAnsi="Arial" w:cs="Arial"/>
          <w:b/>
          <w:bCs/>
          <w:sz w:val="24"/>
          <w:szCs w:val="24"/>
        </w:rPr>
        <w:br w:type="page"/>
      </w:r>
    </w:p>
    <w:p w14:paraId="76203813" w14:textId="610D8EE2" w:rsidR="00173314" w:rsidRDefault="00173314" w:rsidP="00173314">
      <w:pPr>
        <w:spacing w:before="240" w:after="240"/>
        <w:rPr>
          <w:rFonts w:ascii="Arial" w:hAnsi="Arial" w:cs="Arial"/>
          <w:b/>
          <w:bCs/>
          <w:sz w:val="24"/>
          <w:szCs w:val="24"/>
        </w:rPr>
      </w:pPr>
      <w:r w:rsidRPr="005B6B0B">
        <w:rPr>
          <w:rFonts w:ascii="Arial" w:hAnsi="Arial" w:cs="Arial"/>
          <w:b/>
          <w:bCs/>
          <w:sz w:val="24"/>
          <w:szCs w:val="24"/>
        </w:rPr>
        <w:lastRenderedPageBreak/>
        <w:t>Rights Promoted</w:t>
      </w:r>
    </w:p>
    <w:p w14:paraId="63FA57D6" w14:textId="3E554E9E" w:rsidR="00787386" w:rsidRPr="00787386" w:rsidRDefault="00787386" w:rsidP="00272C81">
      <w:pPr>
        <w:rPr>
          <w:rFonts w:ascii="Arial" w:hAnsi="Arial" w:cs="Arial"/>
          <w:sz w:val="24"/>
          <w:szCs w:val="24"/>
        </w:rPr>
      </w:pPr>
      <w:r>
        <w:rPr>
          <w:rFonts w:ascii="Arial" w:hAnsi="Arial" w:cs="Arial"/>
          <w:sz w:val="24"/>
          <w:szCs w:val="24"/>
        </w:rPr>
        <w:t xml:space="preserve">The amendments to the </w:t>
      </w:r>
      <w:r>
        <w:rPr>
          <w:rFonts w:ascii="Arial" w:hAnsi="Arial" w:cs="Arial"/>
          <w:i/>
          <w:iCs/>
          <w:sz w:val="24"/>
          <w:szCs w:val="24"/>
        </w:rPr>
        <w:t>Financial Management Act 1996</w:t>
      </w:r>
      <w:r>
        <w:rPr>
          <w:rFonts w:ascii="Arial" w:hAnsi="Arial" w:cs="Arial"/>
          <w:sz w:val="24"/>
          <w:szCs w:val="24"/>
        </w:rPr>
        <w:t xml:space="preserve"> promote the right to work and other work-related rights.</w:t>
      </w:r>
      <w:r w:rsidRPr="00787386">
        <w:rPr>
          <w:rFonts w:ascii="Arial" w:hAnsi="Arial" w:cs="Arial"/>
          <w:sz w:val="24"/>
          <w:szCs w:val="24"/>
        </w:rPr>
        <w:t xml:space="preserve"> </w:t>
      </w:r>
      <w:r w:rsidRPr="00173314">
        <w:rPr>
          <w:rFonts w:ascii="Arial" w:hAnsi="Arial" w:cs="Arial"/>
          <w:sz w:val="24"/>
          <w:szCs w:val="24"/>
        </w:rPr>
        <w:t xml:space="preserve">The right to work is promoted by the Insourcing Framework’s aim of delivering secure work through formal employment in the </w:t>
      </w:r>
      <w:r w:rsidR="005306AC">
        <w:rPr>
          <w:rFonts w:ascii="Arial" w:hAnsi="Arial" w:cs="Arial"/>
          <w:sz w:val="24"/>
          <w:szCs w:val="24"/>
        </w:rPr>
        <w:t>ACT Public Service</w:t>
      </w:r>
      <w:r w:rsidRPr="00173314">
        <w:rPr>
          <w:rFonts w:ascii="Arial" w:hAnsi="Arial" w:cs="Arial"/>
          <w:sz w:val="24"/>
          <w:szCs w:val="24"/>
        </w:rPr>
        <w:t>.</w:t>
      </w:r>
    </w:p>
    <w:p w14:paraId="273E6AAE" w14:textId="77777777" w:rsidR="00173314" w:rsidRPr="005B6B0B" w:rsidRDefault="00173314" w:rsidP="00173314">
      <w:pPr>
        <w:spacing w:before="240" w:after="240"/>
        <w:rPr>
          <w:rFonts w:ascii="Arial" w:hAnsi="Arial" w:cs="Arial"/>
          <w:b/>
          <w:bCs/>
          <w:sz w:val="24"/>
          <w:szCs w:val="24"/>
        </w:rPr>
      </w:pPr>
      <w:r>
        <w:rPr>
          <w:rFonts w:ascii="Arial" w:hAnsi="Arial" w:cs="Arial"/>
          <w:b/>
          <w:bCs/>
          <w:sz w:val="24"/>
          <w:szCs w:val="24"/>
        </w:rPr>
        <w:t>Rights Limited</w:t>
      </w:r>
    </w:p>
    <w:p w14:paraId="1298324A" w14:textId="77777777" w:rsidR="00173314" w:rsidRPr="005B6B0B" w:rsidRDefault="00173314" w:rsidP="00173314">
      <w:pPr>
        <w:shd w:val="clear" w:color="auto" w:fill="FFFFFF"/>
        <w:spacing w:before="240" w:after="120"/>
        <w:rPr>
          <w:rFonts w:ascii="Arial" w:hAnsi="Arial" w:cs="Arial"/>
          <w:color w:val="000000"/>
          <w:sz w:val="24"/>
          <w:szCs w:val="24"/>
          <w:lang w:eastAsia="en-AU"/>
        </w:rPr>
      </w:pPr>
      <w:r w:rsidRPr="005B6B0B">
        <w:rPr>
          <w:rFonts w:ascii="Arial" w:hAnsi="Arial" w:cs="Arial"/>
          <w:color w:val="000000"/>
          <w:sz w:val="24"/>
          <w:szCs w:val="24"/>
          <w:lang w:eastAsia="en-AU"/>
        </w:rPr>
        <w:t xml:space="preserve">The preamble to the </w:t>
      </w:r>
      <w:r>
        <w:rPr>
          <w:rFonts w:ascii="Arial" w:hAnsi="Arial" w:cs="Arial"/>
          <w:color w:val="000000"/>
          <w:sz w:val="24"/>
          <w:szCs w:val="24"/>
          <w:lang w:eastAsia="en-AU"/>
        </w:rPr>
        <w:t>HRA</w:t>
      </w:r>
      <w:r w:rsidRPr="005B6B0B">
        <w:rPr>
          <w:rFonts w:ascii="Arial" w:hAnsi="Arial" w:cs="Arial"/>
          <w:color w:val="000000"/>
          <w:sz w:val="24"/>
          <w:szCs w:val="24"/>
          <w:lang w:eastAsia="en-AU"/>
        </w:rPr>
        <w:t xml:space="preserve"> notes that few rights are absolute and that they may be subject only to the reasonable limits in law that can be demonstrably justified in a free and democratic society. Section 28 (2) of the </w:t>
      </w:r>
      <w:r>
        <w:rPr>
          <w:rFonts w:ascii="Arial" w:hAnsi="Arial" w:cs="Arial"/>
          <w:color w:val="000000"/>
          <w:sz w:val="24"/>
          <w:szCs w:val="24"/>
          <w:lang w:eastAsia="en-AU"/>
        </w:rPr>
        <w:t>HRA</w:t>
      </w:r>
      <w:r w:rsidRPr="005B6B0B">
        <w:rPr>
          <w:rFonts w:ascii="Arial" w:hAnsi="Arial" w:cs="Arial"/>
          <w:color w:val="000000"/>
          <w:sz w:val="24"/>
          <w:szCs w:val="24"/>
          <w:lang w:eastAsia="en-AU"/>
        </w:rPr>
        <w:t> contains the framework that is used to determine the acceptable limitations that may be placed on human rights.</w:t>
      </w:r>
    </w:p>
    <w:p w14:paraId="4181CC9C" w14:textId="26FA9E14" w:rsidR="00787386" w:rsidRPr="007402D8" w:rsidRDefault="00173314" w:rsidP="00173314">
      <w:pPr>
        <w:shd w:val="clear" w:color="auto" w:fill="FFFFFF"/>
        <w:spacing w:before="240" w:after="120"/>
        <w:rPr>
          <w:rFonts w:ascii="Arial" w:hAnsi="Arial" w:cs="Arial"/>
          <w:color w:val="000000"/>
          <w:sz w:val="24"/>
          <w:szCs w:val="24"/>
          <w:lang w:eastAsia="en-AU"/>
        </w:rPr>
      </w:pPr>
      <w:r w:rsidRPr="005B6B0B">
        <w:rPr>
          <w:rFonts w:ascii="Arial" w:hAnsi="Arial" w:cs="Arial"/>
          <w:color w:val="000000"/>
          <w:sz w:val="24"/>
          <w:szCs w:val="24"/>
          <w:lang w:eastAsia="en-AU"/>
        </w:rPr>
        <w:t>Section 28 of the </w:t>
      </w:r>
      <w:r>
        <w:rPr>
          <w:rFonts w:ascii="Arial" w:hAnsi="Arial" w:cs="Arial"/>
          <w:color w:val="000000"/>
          <w:sz w:val="24"/>
          <w:szCs w:val="24"/>
          <w:lang w:eastAsia="en-AU"/>
        </w:rPr>
        <w:t>HRA</w:t>
      </w:r>
      <w:r w:rsidRPr="005B6B0B">
        <w:rPr>
          <w:rFonts w:ascii="Arial" w:hAnsi="Arial" w:cs="Arial"/>
          <w:color w:val="000000"/>
          <w:sz w:val="24"/>
          <w:szCs w:val="24"/>
          <w:lang w:eastAsia="en-AU"/>
        </w:rPr>
        <w:t> requires that any limitation on a human right must be authorised by a Territory law, be based on evidence, and be reasonable to achieve a legitimate aim. Whether a limitation is reasonable depends on whether it is proportionate. Proportionality can be understood and assessed as explained in </w:t>
      </w:r>
      <w:r w:rsidRPr="007402D8">
        <w:rPr>
          <w:rFonts w:ascii="Arial" w:hAnsi="Arial" w:cs="Arial"/>
          <w:i/>
          <w:iCs/>
          <w:color w:val="000000"/>
          <w:sz w:val="24"/>
          <w:szCs w:val="24"/>
          <w:lang w:eastAsia="en-AU"/>
        </w:rPr>
        <w:t>R v Oakes</w:t>
      </w:r>
      <w:r w:rsidRPr="007402D8">
        <w:rPr>
          <w:rFonts w:ascii="Arial" w:hAnsi="Arial" w:cs="Arial"/>
          <w:color w:val="000000"/>
          <w:sz w:val="24"/>
          <w:szCs w:val="24"/>
          <w:lang w:eastAsia="en-AU"/>
        </w:rPr>
        <w:t>.</w:t>
      </w:r>
      <w:bookmarkStart w:id="0" w:name="_ftnref2"/>
      <w:bookmarkEnd w:id="0"/>
      <w:r w:rsidRPr="007402D8">
        <w:rPr>
          <w:rFonts w:ascii="Arial" w:hAnsi="Arial" w:cs="Arial"/>
          <w:color w:val="000000"/>
          <w:sz w:val="24"/>
          <w:szCs w:val="24"/>
          <w:vertAlign w:val="superscript"/>
          <w:lang w:eastAsia="en-AU"/>
        </w:rPr>
        <w:fldChar w:fldCharType="begin"/>
      </w:r>
      <w:r w:rsidRPr="007402D8">
        <w:rPr>
          <w:rFonts w:ascii="Arial" w:hAnsi="Arial" w:cs="Arial"/>
          <w:color w:val="000000"/>
          <w:sz w:val="24"/>
          <w:szCs w:val="24"/>
          <w:vertAlign w:val="superscript"/>
          <w:lang w:eastAsia="en-AU"/>
        </w:rPr>
        <w:instrText xml:space="preserve"> HYPERLINK "https://www.legislation.act.gov.au/View/GetHTMLFile/es/db_65006/20210916-77470/html/db_65006.html" \l "_ftn2" </w:instrText>
      </w:r>
      <w:r w:rsidRPr="007402D8">
        <w:rPr>
          <w:rFonts w:ascii="Arial" w:hAnsi="Arial" w:cs="Arial"/>
          <w:color w:val="000000"/>
          <w:sz w:val="24"/>
          <w:szCs w:val="24"/>
          <w:vertAlign w:val="superscript"/>
          <w:lang w:eastAsia="en-AU"/>
        </w:rPr>
        <w:fldChar w:fldCharType="separate"/>
      </w:r>
      <w:r w:rsidRPr="007402D8">
        <w:rPr>
          <w:vertAlign w:val="superscript"/>
          <w:lang w:eastAsia="en-AU"/>
        </w:rPr>
        <w:t>[2]</w:t>
      </w:r>
      <w:r w:rsidRPr="007402D8">
        <w:rPr>
          <w:rFonts w:ascii="Arial" w:hAnsi="Arial" w:cs="Arial"/>
          <w:color w:val="000000"/>
          <w:sz w:val="24"/>
          <w:szCs w:val="24"/>
          <w:vertAlign w:val="superscript"/>
          <w:lang w:eastAsia="en-AU"/>
        </w:rPr>
        <w:fldChar w:fldCharType="end"/>
      </w:r>
      <w:r w:rsidRPr="007402D8">
        <w:rPr>
          <w:rFonts w:ascii="Arial" w:hAnsi="Arial" w:cs="Arial"/>
          <w:color w:val="000000"/>
          <w:sz w:val="24"/>
          <w:szCs w:val="24"/>
          <w:lang w:eastAsia="en-AU"/>
        </w:rPr>
        <w:t> A party must show that:</w:t>
      </w:r>
    </w:p>
    <w:p w14:paraId="7D6E658A" w14:textId="2907584A" w:rsidR="00173314" w:rsidRPr="000172D8" w:rsidRDefault="00173314" w:rsidP="000172D8">
      <w:pPr>
        <w:pStyle w:val="NormalWeb"/>
        <w:shd w:val="clear" w:color="auto" w:fill="FFFFFF"/>
        <w:spacing w:before="240" w:beforeAutospacing="0" w:after="120" w:afterAutospacing="0" w:line="276" w:lineRule="auto"/>
        <w:ind w:left="720"/>
        <w:rPr>
          <w:rFonts w:ascii="Arial" w:hAnsi="Arial" w:cs="Arial"/>
          <w:color w:val="000000"/>
          <w:sz w:val="22"/>
          <w:szCs w:val="22"/>
        </w:rPr>
      </w:pPr>
      <w:r w:rsidRPr="005B6B0B">
        <w:rPr>
          <w:rFonts w:ascii="Arial" w:hAnsi="Arial" w:cs="Arial"/>
          <w:color w:val="000000"/>
          <w:sz w:val="22"/>
          <w:szCs w:val="22"/>
        </w:rPr>
        <w:t>[f]irst,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bookmarkStart w:id="1" w:name="_ftnref3"/>
      <w:bookmarkEnd w:id="1"/>
      <w:r w:rsidRPr="005B6B0B">
        <w:rPr>
          <w:rFonts w:ascii="Arial" w:hAnsi="Arial" w:cs="Arial"/>
          <w:color w:val="000000"/>
          <w:sz w:val="22"/>
          <w:szCs w:val="22"/>
        </w:rPr>
        <w:fldChar w:fldCharType="begin"/>
      </w:r>
      <w:r w:rsidRPr="005B6B0B">
        <w:rPr>
          <w:rFonts w:ascii="Arial" w:hAnsi="Arial" w:cs="Arial"/>
          <w:color w:val="000000"/>
          <w:sz w:val="22"/>
          <w:szCs w:val="22"/>
        </w:rPr>
        <w:instrText xml:space="preserve"> HYPERLINK "https://www.legislation.act.gov.au/View/GetHTMLFile/es/db_65006/20210916-77470/html/db_65006.html" \l "_ftn3" </w:instrText>
      </w:r>
      <w:r w:rsidRPr="005B6B0B">
        <w:rPr>
          <w:rFonts w:ascii="Arial" w:hAnsi="Arial" w:cs="Arial"/>
          <w:color w:val="000000"/>
          <w:sz w:val="22"/>
          <w:szCs w:val="22"/>
        </w:rPr>
        <w:fldChar w:fldCharType="separate"/>
      </w:r>
      <w:r w:rsidRPr="005B6B0B">
        <w:rPr>
          <w:rStyle w:val="Hyperlink"/>
          <w:rFonts w:ascii="Arial" w:hAnsi="Arial" w:cs="Arial"/>
          <w:color w:val="000000"/>
          <w:sz w:val="22"/>
          <w:szCs w:val="22"/>
          <w:vertAlign w:val="superscript"/>
        </w:rPr>
        <w:t>[3]</w:t>
      </w:r>
      <w:r w:rsidRPr="005B6B0B">
        <w:rPr>
          <w:rFonts w:ascii="Arial" w:hAnsi="Arial" w:cs="Arial"/>
          <w:color w:val="000000"/>
          <w:sz w:val="22"/>
          <w:szCs w:val="22"/>
        </w:rPr>
        <w:fldChar w:fldCharType="end"/>
      </w:r>
    </w:p>
    <w:p w14:paraId="7BE5CE29" w14:textId="4CE07F14" w:rsidR="0031783A" w:rsidRDefault="000E5DD9" w:rsidP="00787386">
      <w:pPr>
        <w:tabs>
          <w:tab w:val="left" w:pos="425"/>
        </w:tabs>
        <w:spacing w:before="120" w:after="120" w:line="276" w:lineRule="auto"/>
        <w:rPr>
          <w:rFonts w:ascii="Arial" w:hAnsi="Arial" w:cs="Arial"/>
          <w:sz w:val="24"/>
          <w:szCs w:val="24"/>
        </w:rPr>
      </w:pPr>
      <w:r>
        <w:rPr>
          <w:rFonts w:ascii="Arial" w:hAnsi="Arial" w:cs="Arial"/>
          <w:b/>
          <w:bCs/>
          <w:i/>
          <w:sz w:val="24"/>
          <w:szCs w:val="24"/>
        </w:rPr>
        <w:t xml:space="preserve">1. </w:t>
      </w:r>
      <w:r w:rsidR="0031783A" w:rsidRPr="00414921">
        <w:rPr>
          <w:rFonts w:ascii="Arial" w:hAnsi="Arial" w:cs="Arial"/>
          <w:b/>
          <w:bCs/>
          <w:i/>
          <w:sz w:val="24"/>
          <w:szCs w:val="24"/>
        </w:rPr>
        <w:t>Nature of the right and the limitation (s</w:t>
      </w:r>
      <w:r w:rsidR="0031783A">
        <w:rPr>
          <w:rFonts w:ascii="Arial" w:hAnsi="Arial" w:cs="Arial"/>
          <w:b/>
          <w:bCs/>
          <w:i/>
          <w:sz w:val="24"/>
          <w:szCs w:val="24"/>
        </w:rPr>
        <w:t xml:space="preserve">s </w:t>
      </w:r>
      <w:r w:rsidR="0031783A" w:rsidRPr="00414921">
        <w:rPr>
          <w:rFonts w:ascii="Arial" w:hAnsi="Arial" w:cs="Arial"/>
          <w:b/>
          <w:bCs/>
          <w:i/>
          <w:sz w:val="24"/>
          <w:szCs w:val="24"/>
        </w:rPr>
        <w:t>28</w:t>
      </w:r>
      <w:r w:rsidR="0031783A">
        <w:rPr>
          <w:rFonts w:ascii="Arial" w:hAnsi="Arial" w:cs="Arial"/>
          <w:b/>
          <w:bCs/>
          <w:i/>
          <w:sz w:val="24"/>
          <w:szCs w:val="24"/>
        </w:rPr>
        <w:t>(2)</w:t>
      </w:r>
      <w:r w:rsidR="0031783A" w:rsidRPr="00414921">
        <w:rPr>
          <w:rFonts w:ascii="Arial" w:hAnsi="Arial" w:cs="Arial"/>
          <w:b/>
          <w:bCs/>
          <w:i/>
          <w:sz w:val="24"/>
          <w:szCs w:val="24"/>
        </w:rPr>
        <w:t>(a) and</w:t>
      </w:r>
      <w:r w:rsidR="0031783A">
        <w:rPr>
          <w:rFonts w:ascii="Arial" w:hAnsi="Arial" w:cs="Arial"/>
          <w:b/>
          <w:bCs/>
          <w:i/>
          <w:sz w:val="24"/>
          <w:szCs w:val="24"/>
        </w:rPr>
        <w:t xml:space="preserve"> </w:t>
      </w:r>
      <w:r w:rsidR="0031783A" w:rsidRPr="00414921">
        <w:rPr>
          <w:rFonts w:ascii="Arial" w:hAnsi="Arial" w:cs="Arial"/>
          <w:b/>
          <w:bCs/>
          <w:i/>
          <w:sz w:val="24"/>
          <w:szCs w:val="24"/>
        </w:rPr>
        <w:t>(c))</w:t>
      </w:r>
    </w:p>
    <w:p w14:paraId="40484963" w14:textId="77777777" w:rsidR="0031783A" w:rsidRDefault="0031783A" w:rsidP="00787386">
      <w:pPr>
        <w:tabs>
          <w:tab w:val="left" w:pos="425"/>
        </w:tabs>
        <w:spacing w:before="120" w:after="120" w:line="276" w:lineRule="auto"/>
        <w:rPr>
          <w:rFonts w:ascii="Arial" w:hAnsi="Arial" w:cs="Arial"/>
          <w:sz w:val="24"/>
          <w:szCs w:val="24"/>
        </w:rPr>
      </w:pPr>
      <w:r>
        <w:rPr>
          <w:rFonts w:ascii="Arial" w:hAnsi="Arial" w:cs="Arial"/>
          <w:sz w:val="24"/>
          <w:szCs w:val="24"/>
        </w:rPr>
        <w:t xml:space="preserve">The right to work is set out at section 27B of the Act. </w:t>
      </w:r>
    </w:p>
    <w:p w14:paraId="02E3DCDD" w14:textId="30342BAA" w:rsidR="0031783A" w:rsidRDefault="0031783A" w:rsidP="00787386">
      <w:pPr>
        <w:tabs>
          <w:tab w:val="left" w:pos="425"/>
        </w:tabs>
        <w:spacing w:before="120" w:after="120" w:line="276" w:lineRule="auto"/>
        <w:rPr>
          <w:rFonts w:ascii="Arial" w:hAnsi="Arial" w:cs="Arial"/>
          <w:sz w:val="24"/>
          <w:szCs w:val="24"/>
        </w:rPr>
      </w:pPr>
      <w:r>
        <w:rPr>
          <w:rFonts w:ascii="Arial" w:hAnsi="Arial" w:cs="Arial"/>
          <w:sz w:val="24"/>
          <w:szCs w:val="24"/>
        </w:rPr>
        <w:t xml:space="preserve">Subsection 27B(1) particularly sets out that every has the right to work, including the right to choose their occupation or profession freely. </w:t>
      </w:r>
    </w:p>
    <w:p w14:paraId="5C7BE449" w14:textId="65612672" w:rsidR="0031783A" w:rsidRDefault="0031783A" w:rsidP="00787386">
      <w:pPr>
        <w:tabs>
          <w:tab w:val="left" w:pos="425"/>
        </w:tabs>
        <w:spacing w:before="120" w:after="120" w:line="276" w:lineRule="auto"/>
        <w:rPr>
          <w:rFonts w:ascii="Arial" w:hAnsi="Arial" w:cs="Arial"/>
          <w:sz w:val="24"/>
          <w:szCs w:val="24"/>
        </w:rPr>
      </w:pPr>
      <w:r>
        <w:rPr>
          <w:rFonts w:ascii="Arial" w:hAnsi="Arial" w:cs="Arial"/>
          <w:sz w:val="24"/>
          <w:szCs w:val="24"/>
        </w:rPr>
        <w:t xml:space="preserve">Subsection 27B(2) sets out that everyone has the right to the enjoyment of just and favourable conditions of work. </w:t>
      </w:r>
    </w:p>
    <w:p w14:paraId="5B0CDE98" w14:textId="020ABA12" w:rsidR="0031783A" w:rsidRDefault="0031783A" w:rsidP="00787386">
      <w:pPr>
        <w:tabs>
          <w:tab w:val="left" w:pos="425"/>
        </w:tabs>
        <w:spacing w:before="120" w:after="120" w:line="276" w:lineRule="auto"/>
        <w:rPr>
          <w:rFonts w:ascii="Arial" w:hAnsi="Arial" w:cs="Arial"/>
          <w:sz w:val="24"/>
          <w:szCs w:val="24"/>
        </w:rPr>
      </w:pPr>
      <w:r>
        <w:rPr>
          <w:rFonts w:ascii="Arial" w:hAnsi="Arial" w:cs="Arial"/>
          <w:sz w:val="24"/>
          <w:szCs w:val="24"/>
        </w:rPr>
        <w:t>Subsection 27B(5) sets out that everyone is entitled to enjoy the rights set out at section 27B without discrimination.</w:t>
      </w:r>
    </w:p>
    <w:p w14:paraId="56BDB5F9" w14:textId="25FB55CE" w:rsidR="000E5DD9" w:rsidRDefault="00787386" w:rsidP="00787386">
      <w:pPr>
        <w:tabs>
          <w:tab w:val="left" w:pos="425"/>
        </w:tabs>
        <w:spacing w:before="120" w:after="120" w:line="276" w:lineRule="auto"/>
        <w:rPr>
          <w:rFonts w:ascii="Arial" w:hAnsi="Arial" w:cs="Arial"/>
          <w:sz w:val="24"/>
          <w:szCs w:val="24"/>
        </w:rPr>
      </w:pPr>
      <w:r w:rsidRPr="00173314">
        <w:rPr>
          <w:rFonts w:ascii="Arial" w:hAnsi="Arial" w:cs="Arial"/>
          <w:sz w:val="24"/>
          <w:szCs w:val="24"/>
        </w:rPr>
        <w:t>The right to work may be limited</w:t>
      </w:r>
      <w:r>
        <w:rPr>
          <w:rFonts w:ascii="Arial" w:hAnsi="Arial" w:cs="Arial"/>
          <w:sz w:val="24"/>
          <w:szCs w:val="24"/>
        </w:rPr>
        <w:t xml:space="preserve"> by the operation of the Act</w:t>
      </w:r>
      <w:r w:rsidRPr="00173314">
        <w:rPr>
          <w:rFonts w:ascii="Arial" w:hAnsi="Arial" w:cs="Arial"/>
          <w:sz w:val="24"/>
          <w:szCs w:val="24"/>
        </w:rPr>
        <w:t xml:space="preserve"> for some people outside of the </w:t>
      </w:r>
      <w:r w:rsidR="005306AC">
        <w:rPr>
          <w:rFonts w:ascii="Arial" w:hAnsi="Arial" w:cs="Arial"/>
          <w:sz w:val="24"/>
          <w:szCs w:val="24"/>
        </w:rPr>
        <w:t>ACT Public Service</w:t>
      </w:r>
      <w:r w:rsidRPr="00173314">
        <w:rPr>
          <w:rFonts w:ascii="Arial" w:hAnsi="Arial" w:cs="Arial"/>
          <w:sz w:val="24"/>
          <w:szCs w:val="24"/>
        </w:rPr>
        <w:t xml:space="preserve"> who would have previously engaged in contract or labour hire work through ACT Government procurement processes which outsource work. </w:t>
      </w:r>
    </w:p>
    <w:p w14:paraId="2260FCF3" w14:textId="665114D0" w:rsidR="000E5DD9" w:rsidRPr="000E5DD9" w:rsidRDefault="000E5DD9" w:rsidP="000E5DD9">
      <w:pPr>
        <w:pStyle w:val="ListParagraph2"/>
        <w:numPr>
          <w:ilvl w:val="0"/>
          <w:numId w:val="0"/>
        </w:numPr>
        <w:spacing w:line="240" w:lineRule="auto"/>
        <w:rPr>
          <w:rFonts w:ascii="Arial" w:hAnsi="Arial" w:cs="Arial"/>
          <w:b/>
          <w:bCs/>
          <w:i/>
        </w:rPr>
      </w:pPr>
      <w:r>
        <w:rPr>
          <w:rFonts w:ascii="Arial" w:hAnsi="Arial" w:cs="Arial"/>
          <w:b/>
          <w:bCs/>
          <w:i/>
        </w:rPr>
        <w:t xml:space="preserve">2. </w:t>
      </w:r>
      <w:r w:rsidRPr="000E5DD9">
        <w:rPr>
          <w:rFonts w:ascii="Arial" w:hAnsi="Arial" w:cs="Arial"/>
          <w:b/>
          <w:bCs/>
          <w:i/>
        </w:rPr>
        <w:t>Legitimate purpose (s 28(2)(b))</w:t>
      </w:r>
    </w:p>
    <w:p w14:paraId="778F3F54" w14:textId="42415597" w:rsidR="00787386" w:rsidRPr="00173314" w:rsidRDefault="00787386" w:rsidP="00787386">
      <w:pPr>
        <w:tabs>
          <w:tab w:val="left" w:pos="425"/>
        </w:tabs>
        <w:spacing w:before="120" w:after="120" w:line="276" w:lineRule="auto"/>
        <w:rPr>
          <w:rFonts w:ascii="Arial" w:hAnsi="Arial" w:cs="Arial"/>
          <w:sz w:val="24"/>
          <w:szCs w:val="24"/>
        </w:rPr>
      </w:pPr>
      <w:r w:rsidRPr="00173314">
        <w:rPr>
          <w:rFonts w:ascii="Arial" w:hAnsi="Arial" w:cs="Arial"/>
          <w:sz w:val="24"/>
          <w:szCs w:val="24"/>
        </w:rPr>
        <w:t xml:space="preserve">Any limitation of the right to work in this circumstance may be reasonably justified as promoting the legitimate aim of promoting secure and equal working conditions, and the measures are reasonable, necessary and proportionate to that aim as the </w:t>
      </w:r>
      <w:r w:rsidRPr="00173314">
        <w:rPr>
          <w:rFonts w:ascii="Arial" w:hAnsi="Arial" w:cs="Arial"/>
          <w:sz w:val="24"/>
          <w:szCs w:val="24"/>
        </w:rPr>
        <w:lastRenderedPageBreak/>
        <w:t xml:space="preserve">legislation will allow for any workers previously benefiting from outsourcing to work within the </w:t>
      </w:r>
      <w:r w:rsidR="005306AC">
        <w:rPr>
          <w:rFonts w:ascii="Arial" w:hAnsi="Arial" w:cs="Arial"/>
          <w:sz w:val="24"/>
          <w:szCs w:val="24"/>
        </w:rPr>
        <w:t>ACT Public Service</w:t>
      </w:r>
      <w:r w:rsidRPr="00173314">
        <w:rPr>
          <w:rFonts w:ascii="Arial" w:hAnsi="Arial" w:cs="Arial"/>
          <w:sz w:val="24"/>
          <w:szCs w:val="24"/>
        </w:rPr>
        <w:t>.</w:t>
      </w:r>
    </w:p>
    <w:p w14:paraId="4B8C73BB" w14:textId="6B22053A" w:rsidR="000E5DD9" w:rsidRPr="000E5DD9" w:rsidRDefault="000E5DD9" w:rsidP="000E5DD9">
      <w:pPr>
        <w:pStyle w:val="ListParagraph2"/>
        <w:numPr>
          <w:ilvl w:val="0"/>
          <w:numId w:val="0"/>
        </w:numPr>
        <w:spacing w:line="240" w:lineRule="auto"/>
        <w:rPr>
          <w:rFonts w:ascii="Arial" w:hAnsi="Arial" w:cs="Arial"/>
          <w:b/>
          <w:bCs/>
          <w:i/>
        </w:rPr>
      </w:pPr>
      <w:r>
        <w:rPr>
          <w:rFonts w:ascii="Arial" w:hAnsi="Arial" w:cs="Arial"/>
          <w:b/>
          <w:bCs/>
          <w:i/>
        </w:rPr>
        <w:t xml:space="preserve">3. </w:t>
      </w:r>
      <w:r w:rsidRPr="000E5DD9">
        <w:rPr>
          <w:rFonts w:ascii="Arial" w:hAnsi="Arial" w:cs="Arial"/>
          <w:b/>
          <w:bCs/>
          <w:i/>
        </w:rPr>
        <w:t>Rational connection between the limitation and the purpose (s 28(2)(d))</w:t>
      </w:r>
    </w:p>
    <w:p w14:paraId="7C8B4621" w14:textId="132F74CA" w:rsidR="0031783A" w:rsidRDefault="0031783A" w:rsidP="000E5DD9">
      <w:pPr>
        <w:spacing w:after="0" w:line="240" w:lineRule="auto"/>
        <w:rPr>
          <w:rFonts w:ascii="Arial" w:hAnsi="Arial" w:cs="Arial"/>
          <w:b/>
          <w:bCs/>
          <w:i/>
          <w:sz w:val="24"/>
          <w:szCs w:val="24"/>
        </w:rPr>
      </w:pPr>
    </w:p>
    <w:p w14:paraId="25E5CA90" w14:textId="4BCA2FB1" w:rsidR="000E5DD9" w:rsidRDefault="000E5DD9" w:rsidP="000E5DD9">
      <w:pPr>
        <w:spacing w:after="0" w:line="240" w:lineRule="auto"/>
        <w:rPr>
          <w:rFonts w:ascii="Arial" w:hAnsi="Arial" w:cs="Arial"/>
          <w:sz w:val="24"/>
          <w:szCs w:val="24"/>
        </w:rPr>
      </w:pPr>
      <w:r>
        <w:rPr>
          <w:rFonts w:ascii="Arial" w:hAnsi="Arial" w:cs="Arial"/>
          <w:iCs/>
          <w:sz w:val="24"/>
          <w:szCs w:val="24"/>
        </w:rPr>
        <w:t xml:space="preserve">The Bill provides for the establishment of an Insourcing Framework that will </w:t>
      </w:r>
      <w:r>
        <w:rPr>
          <w:rFonts w:ascii="Arial" w:hAnsi="Arial" w:cs="Arial"/>
          <w:sz w:val="24"/>
          <w:szCs w:val="24"/>
        </w:rPr>
        <w:t>evaluate whether services or works required by a public sector entity should be provided by the public sec</w:t>
      </w:r>
      <w:r w:rsidRPr="000E5DD9">
        <w:rPr>
          <w:rFonts w:ascii="Arial" w:hAnsi="Arial" w:cs="Arial"/>
          <w:sz w:val="24"/>
          <w:szCs w:val="24"/>
        </w:rPr>
        <w:t>tor or</w:t>
      </w:r>
      <w:r>
        <w:rPr>
          <w:rFonts w:ascii="Arial" w:hAnsi="Arial" w:cs="Arial"/>
          <w:sz w:val="24"/>
          <w:szCs w:val="24"/>
        </w:rPr>
        <w:t xml:space="preserve"> an external provider. The Bill can be read as supporting the freedoms set out in 27B(1), being the right to choose their occupation or profession freely by delivering the possibility of employment with the </w:t>
      </w:r>
      <w:r w:rsidR="005306AC">
        <w:rPr>
          <w:rFonts w:ascii="Arial" w:hAnsi="Arial" w:cs="Arial"/>
          <w:sz w:val="24"/>
          <w:szCs w:val="24"/>
        </w:rPr>
        <w:t>ACT Public Service</w:t>
      </w:r>
      <w:r>
        <w:rPr>
          <w:rFonts w:ascii="Arial" w:hAnsi="Arial" w:cs="Arial"/>
          <w:sz w:val="24"/>
          <w:szCs w:val="24"/>
        </w:rPr>
        <w:t xml:space="preserve">, which delivers the right set out at subsection 27B(2), being the right to the enjoyment of just and favourable conditions of work. The </w:t>
      </w:r>
      <w:r w:rsidR="005306AC">
        <w:rPr>
          <w:rFonts w:ascii="Arial" w:hAnsi="Arial" w:cs="Arial"/>
          <w:sz w:val="24"/>
          <w:szCs w:val="24"/>
        </w:rPr>
        <w:t>ACT Public Service</w:t>
      </w:r>
      <w:r>
        <w:rPr>
          <w:rFonts w:ascii="Arial" w:hAnsi="Arial" w:cs="Arial"/>
          <w:sz w:val="24"/>
          <w:szCs w:val="24"/>
        </w:rPr>
        <w:t xml:space="preserve"> has previously insourced work conducted by the private sector, with the effect being more just and favourable work conditions. </w:t>
      </w:r>
    </w:p>
    <w:p w14:paraId="1A19C9E3" w14:textId="77777777" w:rsidR="000E5DD9" w:rsidRPr="000E5DD9" w:rsidRDefault="000E5DD9" w:rsidP="000E5DD9">
      <w:pPr>
        <w:rPr>
          <w:rFonts w:ascii="Arial" w:hAnsi="Arial" w:cs="Arial"/>
          <w:i/>
          <w:color w:val="FF0000"/>
          <w:sz w:val="24"/>
          <w:szCs w:val="24"/>
        </w:rPr>
      </w:pPr>
    </w:p>
    <w:p w14:paraId="6A62DA03" w14:textId="0E3C6B49" w:rsidR="000E5DD9" w:rsidRPr="000E5DD9" w:rsidRDefault="000E5DD9" w:rsidP="000E5DD9">
      <w:pPr>
        <w:spacing w:after="0" w:line="240" w:lineRule="auto"/>
        <w:rPr>
          <w:rFonts w:ascii="Arial" w:hAnsi="Arial" w:cs="Arial"/>
          <w:b/>
          <w:bCs/>
          <w:i/>
          <w:sz w:val="24"/>
          <w:szCs w:val="24"/>
        </w:rPr>
      </w:pPr>
      <w:r>
        <w:rPr>
          <w:rFonts w:ascii="Arial" w:hAnsi="Arial" w:cs="Arial"/>
          <w:b/>
          <w:bCs/>
          <w:i/>
        </w:rPr>
        <w:t>4</w:t>
      </w:r>
      <w:r>
        <w:rPr>
          <w:rFonts w:ascii="Arial" w:hAnsi="Arial" w:cs="Arial"/>
          <w:b/>
          <w:bCs/>
          <w:i/>
          <w:sz w:val="24"/>
          <w:szCs w:val="24"/>
        </w:rPr>
        <w:t xml:space="preserve">. </w:t>
      </w:r>
      <w:r w:rsidRPr="000E5DD9">
        <w:rPr>
          <w:rFonts w:ascii="Arial" w:hAnsi="Arial" w:cs="Arial"/>
          <w:b/>
          <w:bCs/>
          <w:i/>
          <w:sz w:val="24"/>
          <w:szCs w:val="24"/>
        </w:rPr>
        <w:t>Proportionality (s 28(2)(e))</w:t>
      </w:r>
    </w:p>
    <w:p w14:paraId="6E89088C" w14:textId="29B9E8E1" w:rsidR="000E5DD9" w:rsidRDefault="000E5DD9" w:rsidP="000E5DD9">
      <w:pPr>
        <w:spacing w:after="0" w:line="240" w:lineRule="auto"/>
        <w:rPr>
          <w:rFonts w:ascii="Arial" w:hAnsi="Arial" w:cs="Arial"/>
          <w:sz w:val="24"/>
          <w:szCs w:val="24"/>
        </w:rPr>
      </w:pPr>
    </w:p>
    <w:p w14:paraId="5C27B862" w14:textId="1B7DF2D2" w:rsidR="005306AC" w:rsidRDefault="005306AC" w:rsidP="000E5DD9">
      <w:pPr>
        <w:spacing w:after="0" w:line="240" w:lineRule="auto"/>
        <w:rPr>
          <w:rFonts w:ascii="Arial" w:hAnsi="Arial" w:cs="Arial"/>
          <w:sz w:val="24"/>
          <w:szCs w:val="24"/>
        </w:rPr>
      </w:pPr>
      <w:r>
        <w:rPr>
          <w:rFonts w:ascii="Arial" w:hAnsi="Arial" w:cs="Arial"/>
          <w:sz w:val="24"/>
          <w:szCs w:val="24"/>
        </w:rPr>
        <w:t xml:space="preserve">The Bill provides for the establishment of an Insourcing Framework that will evaluate whether services or works required by a public sector entity should be provided by the public sector or an external provider. </w:t>
      </w:r>
    </w:p>
    <w:p w14:paraId="49D9226D" w14:textId="2A0A9C05" w:rsidR="005306AC" w:rsidRDefault="005306AC" w:rsidP="000E5DD9">
      <w:pPr>
        <w:spacing w:after="0" w:line="240" w:lineRule="auto"/>
        <w:rPr>
          <w:rFonts w:ascii="Arial" w:hAnsi="Arial" w:cs="Arial"/>
          <w:sz w:val="24"/>
          <w:szCs w:val="24"/>
        </w:rPr>
      </w:pPr>
    </w:p>
    <w:p w14:paraId="74103F49" w14:textId="23F419D5" w:rsidR="005306AC" w:rsidRPr="000E5DD9" w:rsidRDefault="005306AC" w:rsidP="000E5DD9">
      <w:pPr>
        <w:spacing w:after="0" w:line="240" w:lineRule="auto"/>
        <w:rPr>
          <w:rFonts w:ascii="Arial" w:hAnsi="Arial" w:cs="Arial"/>
          <w:sz w:val="24"/>
          <w:szCs w:val="24"/>
        </w:rPr>
      </w:pPr>
      <w:r>
        <w:rPr>
          <w:rFonts w:ascii="Arial" w:hAnsi="Arial" w:cs="Arial"/>
          <w:sz w:val="24"/>
          <w:szCs w:val="24"/>
        </w:rPr>
        <w:t>The impact of this Bill on the right to work as outlined at 27B is proportional. The Insourcing Framework established by the Bill will evaluate whether work should be undertaken inside or outside the ACT Public Service. Work that has always been conducted by the ACT Public Service will not be affected by the operation of the Bill. Work that was conducted externally may be brought within the ACT Public Service under the operation of the Bill.  Given the rights and entitlements provided to members of the ACT Public Service the impact of the Bill on the section 27B right to work can be reasonably considered to be proportional.</w:t>
      </w:r>
    </w:p>
    <w:p w14:paraId="5508C82D" w14:textId="77777777" w:rsidR="0031783A" w:rsidRDefault="0031783A" w:rsidP="0031783A">
      <w:pPr>
        <w:pStyle w:val="ListParagraph"/>
        <w:ind w:left="360"/>
        <w:rPr>
          <w:rFonts w:ascii="Arial" w:hAnsi="Arial" w:cs="Arial"/>
          <w:i/>
          <w:color w:val="FF0000"/>
          <w:sz w:val="24"/>
          <w:szCs w:val="24"/>
        </w:rPr>
      </w:pPr>
    </w:p>
    <w:p w14:paraId="34C529C5" w14:textId="77777777" w:rsidR="005306AC" w:rsidRDefault="005306AC">
      <w:pPr>
        <w:rPr>
          <w:rFonts w:ascii="Arial" w:eastAsiaTheme="majorEastAsia" w:hAnsi="Arial" w:cs="Arial"/>
          <w:b/>
          <w:bCs/>
          <w:color w:val="000000" w:themeColor="text1"/>
          <w:sz w:val="24"/>
          <w:szCs w:val="24"/>
          <w:lang w:eastAsia="en-AU"/>
        </w:rPr>
      </w:pPr>
      <w:bookmarkStart w:id="2" w:name="OLE_LINK1"/>
      <w:r>
        <w:rPr>
          <w:rFonts w:ascii="Arial" w:hAnsi="Arial" w:cs="Arial"/>
          <w:b/>
          <w:bCs/>
          <w:color w:val="000000" w:themeColor="text1"/>
          <w:sz w:val="24"/>
          <w:szCs w:val="24"/>
          <w:lang w:eastAsia="en-AU"/>
        </w:rPr>
        <w:br w:type="page"/>
      </w:r>
    </w:p>
    <w:p w14:paraId="502A055A" w14:textId="668FC6A9" w:rsidR="00E230D5" w:rsidRPr="00962670" w:rsidRDefault="00962670" w:rsidP="00E230D5">
      <w:pPr>
        <w:pStyle w:val="Heading2"/>
        <w:ind w:left="-108"/>
        <w:jc w:val="center"/>
        <w:rPr>
          <w:rFonts w:ascii="Arial" w:hAnsi="Arial" w:cs="Arial"/>
          <w:b/>
          <w:bCs/>
          <w:i/>
          <w:iCs/>
          <w:color w:val="000000" w:themeColor="text1"/>
          <w:sz w:val="24"/>
          <w:szCs w:val="24"/>
        </w:rPr>
      </w:pPr>
      <w:r w:rsidRPr="00962670">
        <w:rPr>
          <w:rFonts w:ascii="Arial" w:hAnsi="Arial" w:cs="Arial"/>
          <w:b/>
          <w:bCs/>
          <w:color w:val="000000" w:themeColor="text1"/>
          <w:sz w:val="24"/>
          <w:szCs w:val="24"/>
          <w:lang w:eastAsia="en-AU"/>
        </w:rPr>
        <w:lastRenderedPageBreak/>
        <w:t xml:space="preserve">FINANCIAL MANAGEMENT </w:t>
      </w:r>
      <w:r w:rsidR="00E230D5" w:rsidRPr="00962670">
        <w:rPr>
          <w:rFonts w:ascii="Arial" w:hAnsi="Arial" w:cs="Arial"/>
          <w:b/>
          <w:bCs/>
          <w:color w:val="000000" w:themeColor="text1"/>
          <w:sz w:val="24"/>
          <w:szCs w:val="24"/>
          <w:lang w:eastAsia="en-AU"/>
        </w:rPr>
        <w:t>AMENDMENT Bill 2021</w:t>
      </w:r>
      <w:r w:rsidRPr="00962670">
        <w:rPr>
          <w:rFonts w:ascii="Arial" w:hAnsi="Arial" w:cs="Arial"/>
          <w:b/>
          <w:bCs/>
          <w:color w:val="000000" w:themeColor="text1"/>
          <w:sz w:val="24"/>
          <w:szCs w:val="24"/>
          <w:lang w:eastAsia="en-AU"/>
        </w:rPr>
        <w:t xml:space="preserve"> (NO 2)</w:t>
      </w:r>
    </w:p>
    <w:bookmarkEnd w:id="2"/>
    <w:p w14:paraId="771C1CE4" w14:textId="77777777" w:rsidR="00E230D5" w:rsidRPr="00962670" w:rsidRDefault="00E230D5" w:rsidP="00E230D5">
      <w:pPr>
        <w:pStyle w:val="Heading4"/>
        <w:ind w:left="-108"/>
        <w:jc w:val="center"/>
        <w:rPr>
          <w:rFonts w:ascii="Arial" w:hAnsi="Arial" w:cs="Arial"/>
          <w:color w:val="000000" w:themeColor="text1"/>
          <w:sz w:val="24"/>
          <w:szCs w:val="24"/>
        </w:rPr>
      </w:pPr>
      <w:r w:rsidRPr="00962670">
        <w:rPr>
          <w:rFonts w:ascii="Arial" w:hAnsi="Arial" w:cs="Arial"/>
          <w:color w:val="000000" w:themeColor="text1"/>
          <w:sz w:val="24"/>
          <w:szCs w:val="24"/>
        </w:rPr>
        <w:t>Human Rights Act 2004 - Compatibility Statement</w:t>
      </w:r>
    </w:p>
    <w:p w14:paraId="0C8D56CF" w14:textId="77777777" w:rsidR="00E230D5" w:rsidRPr="00962670" w:rsidRDefault="00E230D5" w:rsidP="00E230D5">
      <w:pPr>
        <w:rPr>
          <w:rFonts w:ascii="Arial" w:hAnsi="Arial" w:cs="Arial"/>
          <w:sz w:val="24"/>
          <w:szCs w:val="24"/>
        </w:rPr>
      </w:pPr>
    </w:p>
    <w:p w14:paraId="2547FFF8" w14:textId="77777777" w:rsidR="00E230D5" w:rsidRPr="00962670" w:rsidRDefault="00E230D5" w:rsidP="00E230D5">
      <w:pPr>
        <w:rPr>
          <w:rFonts w:ascii="Arial" w:hAnsi="Arial" w:cs="Arial"/>
          <w:sz w:val="24"/>
          <w:szCs w:val="24"/>
        </w:rPr>
      </w:pPr>
    </w:p>
    <w:p w14:paraId="56338C7B" w14:textId="48DFEC9B" w:rsidR="00E230D5" w:rsidRPr="00962670" w:rsidRDefault="00E230D5" w:rsidP="00E230D5">
      <w:pPr>
        <w:rPr>
          <w:rFonts w:ascii="Arial" w:hAnsi="Arial" w:cs="Arial"/>
          <w:sz w:val="24"/>
          <w:szCs w:val="24"/>
        </w:rPr>
      </w:pPr>
      <w:r w:rsidRPr="00962670">
        <w:rPr>
          <w:rFonts w:ascii="Arial" w:hAnsi="Arial" w:cs="Arial"/>
          <w:sz w:val="24"/>
          <w:szCs w:val="24"/>
        </w:rPr>
        <w:t xml:space="preserve">In accordance with section 37 of the </w:t>
      </w:r>
      <w:r w:rsidRPr="00962670">
        <w:rPr>
          <w:rFonts w:ascii="Arial" w:hAnsi="Arial" w:cs="Arial"/>
          <w:i/>
          <w:iCs/>
          <w:sz w:val="24"/>
          <w:szCs w:val="24"/>
        </w:rPr>
        <w:t>Human Rights Act 2004</w:t>
      </w:r>
      <w:r w:rsidRPr="00962670">
        <w:rPr>
          <w:rFonts w:ascii="Arial" w:hAnsi="Arial" w:cs="Arial"/>
          <w:sz w:val="24"/>
          <w:szCs w:val="24"/>
        </w:rPr>
        <w:t xml:space="preserve"> I have examined the</w:t>
      </w:r>
      <w:r w:rsidRPr="00962670">
        <w:rPr>
          <w:rFonts w:ascii="Arial" w:hAnsi="Arial" w:cs="Arial"/>
          <w:b/>
          <w:sz w:val="24"/>
          <w:szCs w:val="24"/>
        </w:rPr>
        <w:t xml:space="preserve"> Financial Management Amendment Bill No 2</w:t>
      </w:r>
      <w:r w:rsidRPr="00962670">
        <w:rPr>
          <w:rFonts w:ascii="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962670">
        <w:rPr>
          <w:rFonts w:ascii="Arial" w:hAnsi="Arial" w:cs="Arial"/>
          <w:b/>
          <w:sz w:val="24"/>
          <w:szCs w:val="24"/>
        </w:rPr>
        <w:t xml:space="preserve"> is</w:t>
      </w:r>
      <w:r w:rsidRPr="00962670">
        <w:rPr>
          <w:rFonts w:ascii="Arial" w:hAnsi="Arial" w:cs="Arial"/>
          <w:sz w:val="24"/>
          <w:szCs w:val="24"/>
        </w:rPr>
        <w:t xml:space="preserve"> consistent with the </w:t>
      </w:r>
      <w:r w:rsidRPr="00962670">
        <w:rPr>
          <w:rFonts w:ascii="Arial" w:hAnsi="Arial" w:cs="Arial"/>
          <w:i/>
          <w:iCs/>
          <w:sz w:val="24"/>
          <w:szCs w:val="24"/>
        </w:rPr>
        <w:t>Human Rights Act 2004.</w:t>
      </w:r>
    </w:p>
    <w:p w14:paraId="12A13E27" w14:textId="77777777" w:rsidR="00E230D5" w:rsidRPr="00962670" w:rsidRDefault="00E230D5" w:rsidP="00E230D5">
      <w:pPr>
        <w:rPr>
          <w:rFonts w:ascii="Arial" w:hAnsi="Arial" w:cs="Arial"/>
          <w:sz w:val="24"/>
          <w:szCs w:val="24"/>
        </w:rPr>
      </w:pPr>
    </w:p>
    <w:p w14:paraId="4EDA0E1F" w14:textId="77777777" w:rsidR="00E230D5" w:rsidRPr="00962670" w:rsidRDefault="00E230D5" w:rsidP="00E230D5">
      <w:pPr>
        <w:rPr>
          <w:rFonts w:ascii="Arial" w:hAnsi="Arial" w:cs="Arial"/>
          <w:sz w:val="24"/>
          <w:szCs w:val="24"/>
        </w:rPr>
      </w:pPr>
    </w:p>
    <w:p w14:paraId="1E5C9EB2" w14:textId="77777777" w:rsidR="00E230D5" w:rsidRPr="00962670" w:rsidRDefault="00E230D5" w:rsidP="00E230D5">
      <w:pPr>
        <w:rPr>
          <w:rFonts w:ascii="Arial" w:hAnsi="Arial" w:cs="Arial"/>
          <w:sz w:val="24"/>
          <w:szCs w:val="24"/>
        </w:rPr>
      </w:pPr>
      <w:r w:rsidRPr="00962670">
        <w:rPr>
          <w:rFonts w:ascii="Arial" w:hAnsi="Arial" w:cs="Arial"/>
          <w:sz w:val="24"/>
          <w:szCs w:val="24"/>
        </w:rPr>
        <w:t>………………………………………………….</w:t>
      </w:r>
    </w:p>
    <w:p w14:paraId="6240C790" w14:textId="4DF317E0" w:rsidR="00E230D5" w:rsidRPr="00962670" w:rsidRDefault="00E230D5" w:rsidP="00E230D5">
      <w:pPr>
        <w:rPr>
          <w:rFonts w:ascii="Arial" w:hAnsi="Arial" w:cs="Arial"/>
          <w:sz w:val="24"/>
          <w:szCs w:val="24"/>
        </w:rPr>
      </w:pPr>
      <w:r w:rsidRPr="00962670">
        <w:rPr>
          <w:rFonts w:ascii="Arial" w:hAnsi="Arial" w:cs="Arial"/>
          <w:sz w:val="24"/>
          <w:szCs w:val="24"/>
        </w:rPr>
        <w:t>Shane Rattenbury MLA</w:t>
      </w:r>
      <w:r w:rsidRPr="00962670">
        <w:rPr>
          <w:rFonts w:ascii="Arial" w:hAnsi="Arial" w:cs="Arial"/>
          <w:sz w:val="24"/>
          <w:szCs w:val="24"/>
        </w:rPr>
        <w:br/>
        <w:t>Attorney-General</w:t>
      </w:r>
    </w:p>
    <w:p w14:paraId="01E7CC83" w14:textId="77777777" w:rsidR="00E230D5" w:rsidRDefault="00E230D5">
      <w:pPr>
        <w:rPr>
          <w:rFonts w:cstheme="minorHAnsi"/>
        </w:rPr>
      </w:pPr>
      <w:r>
        <w:rPr>
          <w:rFonts w:cstheme="minorHAnsi"/>
        </w:rPr>
        <w:br w:type="page"/>
      </w:r>
    </w:p>
    <w:p w14:paraId="06DFCAA7" w14:textId="77777777" w:rsidR="00E230D5" w:rsidRPr="00E230D5" w:rsidRDefault="00E230D5" w:rsidP="00E230D5">
      <w:pPr>
        <w:pStyle w:val="Heading2"/>
        <w:pageBreakBefore/>
        <w:spacing w:before="240" w:after="240"/>
        <w:rPr>
          <w:rFonts w:ascii="Arial" w:hAnsi="Arial" w:cs="Arial"/>
          <w:b/>
          <w:bCs/>
          <w:color w:val="000000" w:themeColor="text1"/>
          <w:sz w:val="24"/>
          <w:szCs w:val="24"/>
        </w:rPr>
      </w:pPr>
      <w:r w:rsidRPr="00E230D5">
        <w:rPr>
          <w:rFonts w:ascii="Arial" w:hAnsi="Arial" w:cs="Arial"/>
          <w:b/>
          <w:bCs/>
          <w:color w:val="000000" w:themeColor="text1"/>
          <w:sz w:val="24"/>
          <w:szCs w:val="24"/>
        </w:rPr>
        <w:lastRenderedPageBreak/>
        <w:t>CLAUSE NOTES</w:t>
      </w:r>
    </w:p>
    <w:p w14:paraId="526E0E95" w14:textId="77777777" w:rsidR="00E230D5" w:rsidRPr="00E230D5" w:rsidRDefault="00E230D5" w:rsidP="00E230D5">
      <w:pPr>
        <w:rPr>
          <w:rFonts w:ascii="Arial" w:hAnsi="Arial" w:cs="Arial"/>
          <w:sz w:val="24"/>
          <w:szCs w:val="24"/>
        </w:rPr>
      </w:pPr>
    </w:p>
    <w:p w14:paraId="63324085" w14:textId="77777777" w:rsidR="00E230D5" w:rsidRPr="00E230D5" w:rsidRDefault="00E230D5" w:rsidP="00E230D5">
      <w:pPr>
        <w:pStyle w:val="Heading2"/>
        <w:rPr>
          <w:rFonts w:ascii="Arial" w:hAnsi="Arial" w:cs="Arial"/>
          <w:b/>
          <w:bCs/>
          <w:color w:val="000000" w:themeColor="text1"/>
          <w:sz w:val="24"/>
          <w:szCs w:val="24"/>
        </w:rPr>
      </w:pPr>
      <w:r w:rsidRPr="00E230D5">
        <w:rPr>
          <w:rFonts w:ascii="Arial" w:hAnsi="Arial" w:cs="Arial"/>
          <w:b/>
          <w:bCs/>
          <w:color w:val="000000" w:themeColor="text1"/>
          <w:sz w:val="24"/>
          <w:szCs w:val="24"/>
        </w:rPr>
        <w:t>Part 1</w:t>
      </w:r>
      <w:r w:rsidRPr="00E230D5">
        <w:rPr>
          <w:rFonts w:ascii="Arial" w:hAnsi="Arial" w:cs="Arial"/>
          <w:b/>
          <w:bCs/>
          <w:color w:val="000000" w:themeColor="text1"/>
          <w:sz w:val="24"/>
          <w:szCs w:val="24"/>
        </w:rPr>
        <w:tab/>
      </w:r>
      <w:r w:rsidRPr="00E230D5">
        <w:rPr>
          <w:rFonts w:ascii="Arial" w:hAnsi="Arial" w:cs="Arial"/>
          <w:b/>
          <w:bCs/>
          <w:color w:val="000000" w:themeColor="text1"/>
          <w:sz w:val="24"/>
          <w:szCs w:val="24"/>
        </w:rPr>
        <w:tab/>
        <w:t xml:space="preserve">Preliminary </w:t>
      </w:r>
    </w:p>
    <w:p w14:paraId="19E218B8" w14:textId="77777777" w:rsidR="00E230D5" w:rsidRPr="00E230D5" w:rsidRDefault="00E230D5" w:rsidP="00E230D5">
      <w:pPr>
        <w:pStyle w:val="Heading3"/>
        <w:rPr>
          <w:rFonts w:ascii="Arial" w:hAnsi="Arial" w:cs="Arial"/>
          <w:b/>
          <w:bCs/>
          <w:color w:val="000000" w:themeColor="text1"/>
        </w:rPr>
      </w:pPr>
      <w:r w:rsidRPr="00E230D5">
        <w:rPr>
          <w:rFonts w:ascii="Arial" w:hAnsi="Arial" w:cs="Arial"/>
          <w:b/>
          <w:bCs/>
          <w:color w:val="000000" w:themeColor="text1"/>
        </w:rPr>
        <w:t>Clause 1</w:t>
      </w:r>
      <w:r w:rsidRPr="00E230D5">
        <w:rPr>
          <w:rFonts w:ascii="Arial" w:hAnsi="Arial" w:cs="Arial"/>
          <w:b/>
          <w:bCs/>
          <w:color w:val="000000" w:themeColor="text1"/>
        </w:rPr>
        <w:tab/>
        <w:t>Name of Act</w:t>
      </w:r>
    </w:p>
    <w:p w14:paraId="3235AC91" w14:textId="22AEC37D" w:rsidR="00272C81" w:rsidRDefault="00272C81" w:rsidP="00272C81">
      <w:pPr>
        <w:rPr>
          <w:rFonts w:ascii="Arial" w:hAnsi="Arial" w:cs="Arial"/>
          <w:sz w:val="24"/>
          <w:szCs w:val="24"/>
        </w:rPr>
      </w:pPr>
    </w:p>
    <w:p w14:paraId="258E67E8" w14:textId="1668E061" w:rsidR="00E230D5" w:rsidRDefault="00E230D5" w:rsidP="00272C81">
      <w:pPr>
        <w:rPr>
          <w:rFonts w:ascii="Arial" w:hAnsi="Arial" w:cs="Arial"/>
          <w:sz w:val="24"/>
          <w:szCs w:val="24"/>
        </w:rPr>
      </w:pPr>
      <w:r>
        <w:rPr>
          <w:rFonts w:ascii="Arial" w:hAnsi="Arial" w:cs="Arial"/>
          <w:sz w:val="24"/>
          <w:szCs w:val="24"/>
        </w:rPr>
        <w:t xml:space="preserve">This clause is a formal provision setting out the name of the Act as the </w:t>
      </w:r>
      <w:r>
        <w:rPr>
          <w:rFonts w:ascii="Arial" w:hAnsi="Arial" w:cs="Arial"/>
          <w:i/>
          <w:iCs/>
          <w:sz w:val="24"/>
          <w:szCs w:val="24"/>
        </w:rPr>
        <w:t>Financial Management Amendment Bill 2021</w:t>
      </w:r>
      <w:r>
        <w:rPr>
          <w:rFonts w:ascii="Arial" w:hAnsi="Arial" w:cs="Arial"/>
          <w:sz w:val="24"/>
          <w:szCs w:val="24"/>
        </w:rPr>
        <w:t xml:space="preserve"> (the Act).</w:t>
      </w:r>
    </w:p>
    <w:p w14:paraId="50749FEF" w14:textId="25288498" w:rsidR="00E230D5" w:rsidRDefault="00E230D5" w:rsidP="00272C81">
      <w:pPr>
        <w:rPr>
          <w:rFonts w:ascii="Arial" w:hAnsi="Arial" w:cs="Arial"/>
          <w:sz w:val="24"/>
          <w:szCs w:val="24"/>
        </w:rPr>
      </w:pPr>
    </w:p>
    <w:p w14:paraId="0EDEAD82" w14:textId="0FB31950" w:rsidR="00E230D5" w:rsidRPr="00E230D5" w:rsidRDefault="00E230D5" w:rsidP="00E230D5">
      <w:pPr>
        <w:pStyle w:val="Heading3"/>
        <w:rPr>
          <w:rFonts w:ascii="Arial" w:hAnsi="Arial" w:cs="Arial"/>
          <w:b/>
          <w:bCs/>
          <w:color w:val="000000" w:themeColor="text1"/>
        </w:rPr>
      </w:pPr>
      <w:r w:rsidRPr="00E230D5">
        <w:rPr>
          <w:rFonts w:ascii="Arial" w:hAnsi="Arial" w:cs="Arial"/>
          <w:b/>
          <w:bCs/>
          <w:color w:val="000000" w:themeColor="text1"/>
        </w:rPr>
        <w:t xml:space="preserve">Clause </w:t>
      </w:r>
      <w:r>
        <w:rPr>
          <w:rFonts w:ascii="Arial" w:hAnsi="Arial" w:cs="Arial"/>
          <w:b/>
          <w:bCs/>
          <w:color w:val="000000" w:themeColor="text1"/>
        </w:rPr>
        <w:t>2</w:t>
      </w:r>
      <w:r w:rsidRPr="00E230D5">
        <w:rPr>
          <w:rFonts w:ascii="Arial" w:hAnsi="Arial" w:cs="Arial"/>
          <w:b/>
          <w:bCs/>
          <w:color w:val="000000" w:themeColor="text1"/>
        </w:rPr>
        <w:tab/>
      </w:r>
      <w:r>
        <w:rPr>
          <w:rFonts w:ascii="Arial" w:hAnsi="Arial" w:cs="Arial"/>
          <w:b/>
          <w:bCs/>
          <w:color w:val="000000" w:themeColor="text1"/>
        </w:rPr>
        <w:t>Commencement</w:t>
      </w:r>
    </w:p>
    <w:p w14:paraId="1E737CDC" w14:textId="3C799107" w:rsidR="00E230D5" w:rsidRDefault="00E230D5" w:rsidP="00272C81">
      <w:pPr>
        <w:rPr>
          <w:rFonts w:ascii="Arial" w:hAnsi="Arial" w:cs="Arial"/>
          <w:sz w:val="24"/>
          <w:szCs w:val="24"/>
          <w:u w:val="single"/>
        </w:rPr>
      </w:pPr>
    </w:p>
    <w:p w14:paraId="1EBD9495" w14:textId="2C8C5DDC" w:rsidR="00F453A8" w:rsidRDefault="00F453A8" w:rsidP="00272C81">
      <w:pPr>
        <w:rPr>
          <w:rFonts w:ascii="Arial" w:hAnsi="Arial" w:cs="Arial"/>
          <w:sz w:val="24"/>
          <w:szCs w:val="24"/>
        </w:rPr>
      </w:pPr>
      <w:r>
        <w:rPr>
          <w:rFonts w:ascii="Arial" w:hAnsi="Arial" w:cs="Arial"/>
          <w:sz w:val="24"/>
          <w:szCs w:val="24"/>
        </w:rPr>
        <w:t>This clause provides for the commencement of the Act. The Act will commence on a day fixed by the minister by written notice. If the Act has not commenced within 6 months beginning on the day the Act is notified, the Act automatically commences on the first day after that period.</w:t>
      </w:r>
    </w:p>
    <w:p w14:paraId="1FF98CE7" w14:textId="439F3470" w:rsidR="00F453A8" w:rsidRDefault="00F453A8" w:rsidP="00272C81">
      <w:pPr>
        <w:rPr>
          <w:rFonts w:ascii="Arial" w:hAnsi="Arial" w:cs="Arial"/>
          <w:sz w:val="24"/>
          <w:szCs w:val="24"/>
        </w:rPr>
      </w:pPr>
    </w:p>
    <w:p w14:paraId="18C20BF3" w14:textId="5927B562" w:rsidR="00F453A8" w:rsidRPr="00E230D5" w:rsidRDefault="00F453A8" w:rsidP="00F453A8">
      <w:pPr>
        <w:pStyle w:val="Heading3"/>
        <w:rPr>
          <w:rFonts w:ascii="Arial" w:hAnsi="Arial" w:cs="Arial"/>
          <w:b/>
          <w:bCs/>
          <w:color w:val="000000" w:themeColor="text1"/>
        </w:rPr>
      </w:pPr>
      <w:r w:rsidRPr="00E230D5">
        <w:rPr>
          <w:rFonts w:ascii="Arial" w:hAnsi="Arial" w:cs="Arial"/>
          <w:b/>
          <w:bCs/>
          <w:color w:val="000000" w:themeColor="text1"/>
        </w:rPr>
        <w:t xml:space="preserve">Clause </w:t>
      </w:r>
      <w:r>
        <w:rPr>
          <w:rFonts w:ascii="Arial" w:hAnsi="Arial" w:cs="Arial"/>
          <w:b/>
          <w:bCs/>
          <w:color w:val="000000" w:themeColor="text1"/>
        </w:rPr>
        <w:t>3</w:t>
      </w:r>
      <w:r w:rsidRPr="00E230D5">
        <w:rPr>
          <w:rFonts w:ascii="Arial" w:hAnsi="Arial" w:cs="Arial"/>
          <w:b/>
          <w:bCs/>
          <w:color w:val="000000" w:themeColor="text1"/>
        </w:rPr>
        <w:tab/>
      </w:r>
      <w:r>
        <w:rPr>
          <w:rFonts w:ascii="Arial" w:hAnsi="Arial" w:cs="Arial"/>
          <w:b/>
          <w:bCs/>
          <w:color w:val="000000" w:themeColor="text1"/>
        </w:rPr>
        <w:t>Legislation amended</w:t>
      </w:r>
    </w:p>
    <w:p w14:paraId="17216D20" w14:textId="63665A7A" w:rsidR="00E230D5" w:rsidRDefault="00E230D5" w:rsidP="00272C81">
      <w:pPr>
        <w:rPr>
          <w:u w:val="single"/>
        </w:rPr>
      </w:pPr>
    </w:p>
    <w:p w14:paraId="68A9DE0C" w14:textId="1BD3C265" w:rsidR="00F453A8" w:rsidRDefault="00F453A8" w:rsidP="00272C81">
      <w:pPr>
        <w:rPr>
          <w:rFonts w:ascii="Arial" w:hAnsi="Arial" w:cs="Arial"/>
          <w:sz w:val="24"/>
          <w:szCs w:val="24"/>
        </w:rPr>
      </w:pPr>
      <w:r>
        <w:rPr>
          <w:rFonts w:ascii="Arial" w:hAnsi="Arial" w:cs="Arial"/>
          <w:sz w:val="24"/>
          <w:szCs w:val="24"/>
        </w:rPr>
        <w:t xml:space="preserve">This clause is a formal provision identifying that the Act amends the </w:t>
      </w:r>
      <w:r>
        <w:rPr>
          <w:rFonts w:ascii="Arial" w:hAnsi="Arial" w:cs="Arial"/>
          <w:i/>
          <w:iCs/>
          <w:sz w:val="24"/>
          <w:szCs w:val="24"/>
        </w:rPr>
        <w:t>Financial Management Act 1996</w:t>
      </w:r>
      <w:r>
        <w:rPr>
          <w:rFonts w:ascii="Arial" w:hAnsi="Arial" w:cs="Arial"/>
          <w:sz w:val="24"/>
          <w:szCs w:val="24"/>
        </w:rPr>
        <w:t>.</w:t>
      </w:r>
    </w:p>
    <w:p w14:paraId="25D54A79" w14:textId="0296DD20" w:rsidR="00F453A8" w:rsidRDefault="00F453A8" w:rsidP="00272C81">
      <w:pPr>
        <w:rPr>
          <w:rFonts w:ascii="Arial" w:hAnsi="Arial" w:cs="Arial"/>
          <w:sz w:val="24"/>
          <w:szCs w:val="24"/>
        </w:rPr>
      </w:pPr>
    </w:p>
    <w:p w14:paraId="56C29508" w14:textId="313C8A74" w:rsidR="00F453A8" w:rsidRPr="00E230D5" w:rsidRDefault="00F453A8" w:rsidP="00F453A8">
      <w:pPr>
        <w:pStyle w:val="Heading3"/>
        <w:rPr>
          <w:rFonts w:ascii="Arial" w:hAnsi="Arial" w:cs="Arial"/>
          <w:b/>
          <w:bCs/>
          <w:color w:val="000000" w:themeColor="text1"/>
        </w:rPr>
      </w:pPr>
      <w:r w:rsidRPr="00E230D5">
        <w:rPr>
          <w:rFonts w:ascii="Arial" w:hAnsi="Arial" w:cs="Arial"/>
          <w:b/>
          <w:bCs/>
          <w:color w:val="000000" w:themeColor="text1"/>
        </w:rPr>
        <w:t xml:space="preserve">Clause </w:t>
      </w:r>
      <w:r>
        <w:rPr>
          <w:rFonts w:ascii="Arial" w:hAnsi="Arial" w:cs="Arial"/>
          <w:b/>
          <w:bCs/>
          <w:color w:val="000000" w:themeColor="text1"/>
        </w:rPr>
        <w:t>4</w:t>
      </w:r>
      <w:r w:rsidRPr="00E230D5">
        <w:rPr>
          <w:rFonts w:ascii="Arial" w:hAnsi="Arial" w:cs="Arial"/>
          <w:b/>
          <w:bCs/>
          <w:color w:val="000000" w:themeColor="text1"/>
        </w:rPr>
        <w:tab/>
      </w:r>
      <w:r>
        <w:rPr>
          <w:rFonts w:ascii="Arial" w:hAnsi="Arial" w:cs="Arial"/>
          <w:b/>
          <w:bCs/>
          <w:color w:val="000000" w:themeColor="text1"/>
        </w:rPr>
        <w:t>Insertion of new part</w:t>
      </w:r>
      <w:r w:rsidR="00962670">
        <w:rPr>
          <w:rFonts w:ascii="Arial" w:hAnsi="Arial" w:cs="Arial"/>
          <w:b/>
          <w:bCs/>
          <w:color w:val="000000" w:themeColor="text1"/>
        </w:rPr>
        <w:t xml:space="preserve"> 9A</w:t>
      </w:r>
    </w:p>
    <w:p w14:paraId="70ADCDF1" w14:textId="2A344294" w:rsidR="00F453A8" w:rsidRDefault="00F453A8" w:rsidP="00272C81">
      <w:pPr>
        <w:rPr>
          <w:rFonts w:ascii="Arial" w:hAnsi="Arial" w:cs="Arial"/>
          <w:sz w:val="24"/>
          <w:szCs w:val="24"/>
        </w:rPr>
      </w:pPr>
    </w:p>
    <w:p w14:paraId="31EAEC54" w14:textId="12EAA2B1" w:rsidR="00F453A8" w:rsidRDefault="00F453A8" w:rsidP="00272C81">
      <w:pPr>
        <w:rPr>
          <w:rFonts w:ascii="Arial" w:hAnsi="Arial" w:cs="Arial"/>
          <w:sz w:val="24"/>
          <w:szCs w:val="24"/>
        </w:rPr>
      </w:pPr>
      <w:r>
        <w:rPr>
          <w:rFonts w:ascii="Arial" w:hAnsi="Arial" w:cs="Arial"/>
          <w:sz w:val="24"/>
          <w:szCs w:val="24"/>
        </w:rPr>
        <w:t xml:space="preserve">This clause introduces a new Part 9A into the </w:t>
      </w:r>
      <w:r>
        <w:rPr>
          <w:rFonts w:ascii="Arial" w:hAnsi="Arial" w:cs="Arial"/>
          <w:i/>
          <w:iCs/>
          <w:sz w:val="24"/>
          <w:szCs w:val="24"/>
        </w:rPr>
        <w:t>Financial Management Act 1996</w:t>
      </w:r>
      <w:r>
        <w:rPr>
          <w:rFonts w:ascii="Arial" w:hAnsi="Arial" w:cs="Arial"/>
          <w:sz w:val="24"/>
          <w:szCs w:val="24"/>
        </w:rPr>
        <w:t xml:space="preserve">. Part 9A establishes the Insourcing Framework in the Act. </w:t>
      </w:r>
    </w:p>
    <w:p w14:paraId="4E700E28" w14:textId="2796ACF8" w:rsidR="00F453A8" w:rsidRDefault="00F453A8" w:rsidP="00272C81">
      <w:pPr>
        <w:rPr>
          <w:rFonts w:ascii="Arial" w:hAnsi="Arial" w:cs="Arial"/>
          <w:sz w:val="24"/>
          <w:szCs w:val="24"/>
        </w:rPr>
      </w:pPr>
      <w:r>
        <w:rPr>
          <w:rFonts w:ascii="Arial" w:hAnsi="Arial" w:cs="Arial"/>
          <w:sz w:val="24"/>
          <w:szCs w:val="24"/>
        </w:rPr>
        <w:t>Section 126 defines public sector entities.</w:t>
      </w:r>
    </w:p>
    <w:p w14:paraId="5A765D64" w14:textId="154CB647" w:rsidR="00F453A8" w:rsidRDefault="00F453A8" w:rsidP="00272C81">
      <w:pPr>
        <w:rPr>
          <w:rFonts w:ascii="Arial" w:hAnsi="Arial" w:cs="Arial"/>
          <w:sz w:val="24"/>
          <w:szCs w:val="24"/>
        </w:rPr>
      </w:pPr>
      <w:r>
        <w:rPr>
          <w:rFonts w:ascii="Arial" w:hAnsi="Arial" w:cs="Arial"/>
          <w:sz w:val="24"/>
          <w:szCs w:val="24"/>
        </w:rPr>
        <w:t xml:space="preserve">Section 127 outlines that responsible public sector entity chief executive officers are to ensure compliance with Part 9A, and outlines who the chief executive officers are in the public sector. </w:t>
      </w:r>
    </w:p>
    <w:p w14:paraId="3AF973C5" w14:textId="2F958F2B" w:rsidR="00F453A8" w:rsidRDefault="00F453A8" w:rsidP="00272C81">
      <w:pPr>
        <w:rPr>
          <w:rFonts w:ascii="Arial" w:hAnsi="Arial" w:cs="Arial"/>
          <w:sz w:val="24"/>
          <w:szCs w:val="24"/>
        </w:rPr>
      </w:pPr>
      <w:r>
        <w:rPr>
          <w:rFonts w:ascii="Arial" w:hAnsi="Arial" w:cs="Arial"/>
          <w:sz w:val="24"/>
          <w:szCs w:val="24"/>
        </w:rPr>
        <w:t xml:space="preserve">Section 128 outlines that the Chief </w:t>
      </w:r>
      <w:r w:rsidRPr="00BE108D">
        <w:rPr>
          <w:rFonts w:ascii="Arial" w:hAnsi="Arial" w:cs="Arial"/>
          <w:sz w:val="24"/>
          <w:szCs w:val="24"/>
        </w:rPr>
        <w:t xml:space="preserve">Minister must determine the Insourcing Framework which is to evaluate whether services or works required by a public sector entity should be provided by the public sector </w:t>
      </w:r>
      <w:r w:rsidR="00E96247" w:rsidRPr="00BE108D">
        <w:rPr>
          <w:rFonts w:ascii="Arial" w:hAnsi="Arial" w:cs="Arial"/>
          <w:sz w:val="24"/>
          <w:szCs w:val="24"/>
        </w:rPr>
        <w:t xml:space="preserve">or </w:t>
      </w:r>
      <w:r w:rsidRPr="00BE108D">
        <w:rPr>
          <w:rFonts w:ascii="Arial" w:hAnsi="Arial" w:cs="Arial"/>
          <w:sz w:val="24"/>
          <w:szCs w:val="24"/>
        </w:rPr>
        <w:t>an external provider. It also outlines that the determination of the Insourcing Framework is</w:t>
      </w:r>
      <w:r>
        <w:rPr>
          <w:rFonts w:ascii="Arial" w:hAnsi="Arial" w:cs="Arial"/>
          <w:sz w:val="24"/>
          <w:szCs w:val="24"/>
        </w:rPr>
        <w:t xml:space="preserve"> to be achieved through a Notifiable Instrument. </w:t>
      </w:r>
    </w:p>
    <w:p w14:paraId="15711FBB" w14:textId="5F40F0EF" w:rsidR="00F453A8" w:rsidRDefault="00F453A8" w:rsidP="00272C81">
      <w:pPr>
        <w:rPr>
          <w:rFonts w:ascii="Arial" w:hAnsi="Arial" w:cs="Arial"/>
          <w:sz w:val="24"/>
          <w:szCs w:val="24"/>
        </w:rPr>
      </w:pPr>
      <w:r>
        <w:rPr>
          <w:rFonts w:ascii="Arial" w:hAnsi="Arial" w:cs="Arial"/>
          <w:sz w:val="24"/>
          <w:szCs w:val="24"/>
        </w:rPr>
        <w:t xml:space="preserve">Section 129 outlines the circumstances in which a public sector entity must evaluate whether their required services or works are to be evaluated by the Insourcing Framework. </w:t>
      </w:r>
    </w:p>
    <w:p w14:paraId="5967F9D5" w14:textId="3D8D9362" w:rsidR="00F453A8" w:rsidRDefault="00F453A8" w:rsidP="00272C81">
      <w:pPr>
        <w:rPr>
          <w:rFonts w:ascii="Arial" w:hAnsi="Arial" w:cs="Arial"/>
          <w:sz w:val="24"/>
          <w:szCs w:val="24"/>
        </w:rPr>
      </w:pPr>
      <w:r>
        <w:rPr>
          <w:rFonts w:ascii="Arial" w:hAnsi="Arial" w:cs="Arial"/>
          <w:sz w:val="24"/>
          <w:szCs w:val="24"/>
        </w:rPr>
        <w:lastRenderedPageBreak/>
        <w:t xml:space="preserve">Section </w:t>
      </w:r>
      <w:r w:rsidRPr="00BE108D">
        <w:rPr>
          <w:rFonts w:ascii="Arial" w:hAnsi="Arial" w:cs="Arial"/>
          <w:sz w:val="24"/>
          <w:szCs w:val="24"/>
        </w:rPr>
        <w:t xml:space="preserve">129A provides that the Chief Minister may give a direction to a public sector entity in relation to </w:t>
      </w:r>
      <w:r w:rsidR="00962670" w:rsidRPr="00BE108D">
        <w:rPr>
          <w:rFonts w:ascii="Arial" w:hAnsi="Arial" w:cs="Arial"/>
          <w:sz w:val="24"/>
          <w:szCs w:val="24"/>
        </w:rPr>
        <w:t>that</w:t>
      </w:r>
      <w:r w:rsidRPr="00BE108D">
        <w:rPr>
          <w:rFonts w:ascii="Arial" w:hAnsi="Arial" w:cs="Arial"/>
          <w:sz w:val="24"/>
          <w:szCs w:val="24"/>
        </w:rPr>
        <w:t xml:space="preserve"> public sector entity’s obligations under section 129</w:t>
      </w:r>
      <w:r w:rsidR="00962670" w:rsidRPr="00BE108D">
        <w:rPr>
          <w:rFonts w:ascii="Arial" w:hAnsi="Arial" w:cs="Arial"/>
          <w:sz w:val="24"/>
          <w:szCs w:val="24"/>
        </w:rPr>
        <w:t xml:space="preserve"> and any other matter under Part 9A. </w:t>
      </w:r>
      <w:r w:rsidR="007B2E40" w:rsidRPr="00BE108D">
        <w:rPr>
          <w:rFonts w:ascii="Arial" w:hAnsi="Arial" w:cs="Arial"/>
          <w:sz w:val="24"/>
          <w:szCs w:val="24"/>
        </w:rPr>
        <w:t>D</w:t>
      </w:r>
      <w:r w:rsidR="00962670" w:rsidRPr="00BE108D">
        <w:rPr>
          <w:rFonts w:ascii="Arial" w:hAnsi="Arial" w:cs="Arial"/>
          <w:sz w:val="24"/>
          <w:szCs w:val="24"/>
        </w:rPr>
        <w:t>irections under</w:t>
      </w:r>
      <w:r w:rsidR="00962670">
        <w:rPr>
          <w:rFonts w:ascii="Arial" w:hAnsi="Arial" w:cs="Arial"/>
          <w:sz w:val="24"/>
          <w:szCs w:val="24"/>
        </w:rPr>
        <w:t xml:space="preserve"> section 129A are to be notifiable instruments. </w:t>
      </w:r>
    </w:p>
    <w:p w14:paraId="5ACBC97A" w14:textId="116DD858" w:rsidR="00962670" w:rsidRDefault="00962670" w:rsidP="00962670">
      <w:pPr>
        <w:pStyle w:val="Heading3"/>
        <w:rPr>
          <w:rFonts w:ascii="Arial" w:hAnsi="Arial" w:cs="Arial"/>
          <w:b/>
          <w:bCs/>
          <w:i/>
          <w:iCs/>
          <w:color w:val="000000" w:themeColor="text1"/>
        </w:rPr>
      </w:pPr>
      <w:r w:rsidRPr="00E230D5">
        <w:rPr>
          <w:rFonts w:ascii="Arial" w:hAnsi="Arial" w:cs="Arial"/>
          <w:b/>
          <w:bCs/>
          <w:color w:val="000000" w:themeColor="text1"/>
        </w:rPr>
        <w:t xml:space="preserve">Clause </w:t>
      </w:r>
      <w:r>
        <w:rPr>
          <w:rFonts w:ascii="Arial" w:hAnsi="Arial" w:cs="Arial"/>
          <w:b/>
          <w:bCs/>
          <w:color w:val="000000" w:themeColor="text1"/>
        </w:rPr>
        <w:t>5</w:t>
      </w:r>
      <w:r w:rsidRPr="00E230D5">
        <w:rPr>
          <w:rFonts w:ascii="Arial" w:hAnsi="Arial" w:cs="Arial"/>
          <w:b/>
          <w:bCs/>
          <w:color w:val="000000" w:themeColor="text1"/>
        </w:rPr>
        <w:tab/>
      </w:r>
      <w:r>
        <w:rPr>
          <w:rFonts w:ascii="Arial" w:hAnsi="Arial" w:cs="Arial"/>
          <w:b/>
          <w:bCs/>
          <w:color w:val="000000" w:themeColor="text1"/>
        </w:rPr>
        <w:t xml:space="preserve">Dictionary, new definition of </w:t>
      </w:r>
      <w:r>
        <w:rPr>
          <w:rFonts w:ascii="Arial" w:hAnsi="Arial" w:cs="Arial"/>
          <w:b/>
          <w:bCs/>
          <w:i/>
          <w:iCs/>
          <w:color w:val="000000" w:themeColor="text1"/>
        </w:rPr>
        <w:t>public sector entity</w:t>
      </w:r>
    </w:p>
    <w:p w14:paraId="3E11608A" w14:textId="3BB16D4B" w:rsidR="00962670" w:rsidRDefault="00962670" w:rsidP="00962670"/>
    <w:p w14:paraId="20BAA3F3" w14:textId="3F13320A" w:rsidR="00962670" w:rsidRPr="00962670" w:rsidRDefault="00962670" w:rsidP="00962670">
      <w:pPr>
        <w:rPr>
          <w:rFonts w:ascii="Arial" w:hAnsi="Arial" w:cs="Arial"/>
          <w:sz w:val="24"/>
          <w:szCs w:val="24"/>
        </w:rPr>
      </w:pPr>
      <w:r>
        <w:rPr>
          <w:rFonts w:ascii="Arial" w:hAnsi="Arial" w:cs="Arial"/>
          <w:sz w:val="24"/>
          <w:szCs w:val="24"/>
        </w:rPr>
        <w:t xml:space="preserve">This clause inserts into the dictionary of the </w:t>
      </w:r>
      <w:r>
        <w:rPr>
          <w:rFonts w:ascii="Arial" w:hAnsi="Arial" w:cs="Arial"/>
          <w:i/>
          <w:iCs/>
          <w:sz w:val="24"/>
          <w:szCs w:val="24"/>
        </w:rPr>
        <w:t>Financial Management Act 1996</w:t>
      </w:r>
      <w:r>
        <w:rPr>
          <w:rFonts w:ascii="Arial" w:hAnsi="Arial" w:cs="Arial"/>
          <w:sz w:val="24"/>
          <w:szCs w:val="24"/>
        </w:rPr>
        <w:t xml:space="preserve"> a definition for public sector entity, which refers to new section 126. </w:t>
      </w:r>
    </w:p>
    <w:p w14:paraId="29130C4E" w14:textId="77777777" w:rsidR="00962670" w:rsidRDefault="00962670" w:rsidP="00272C81">
      <w:pPr>
        <w:rPr>
          <w:rFonts w:ascii="Arial" w:hAnsi="Arial" w:cs="Arial"/>
          <w:sz w:val="24"/>
          <w:szCs w:val="24"/>
        </w:rPr>
      </w:pPr>
    </w:p>
    <w:p w14:paraId="3C44D22D" w14:textId="373FDD78" w:rsidR="00F453A8" w:rsidRDefault="00F453A8" w:rsidP="00272C81">
      <w:pPr>
        <w:rPr>
          <w:rFonts w:ascii="Arial" w:hAnsi="Arial" w:cs="Arial"/>
          <w:sz w:val="24"/>
          <w:szCs w:val="24"/>
        </w:rPr>
      </w:pPr>
    </w:p>
    <w:p w14:paraId="28200542" w14:textId="77777777" w:rsidR="00F453A8" w:rsidRPr="00F453A8" w:rsidRDefault="00F453A8" w:rsidP="00272C81">
      <w:pPr>
        <w:rPr>
          <w:rFonts w:ascii="Arial" w:hAnsi="Arial" w:cs="Arial"/>
          <w:sz w:val="24"/>
          <w:szCs w:val="24"/>
        </w:rPr>
      </w:pPr>
    </w:p>
    <w:sectPr w:rsidR="00F453A8" w:rsidRPr="00F453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A682" w14:textId="77777777" w:rsidR="00962670" w:rsidRDefault="00962670" w:rsidP="00962670">
      <w:pPr>
        <w:spacing w:after="0" w:line="240" w:lineRule="auto"/>
      </w:pPr>
      <w:r>
        <w:separator/>
      </w:r>
    </w:p>
  </w:endnote>
  <w:endnote w:type="continuationSeparator" w:id="0">
    <w:p w14:paraId="592539EB" w14:textId="77777777" w:rsidR="00962670" w:rsidRDefault="00962670" w:rsidP="0096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48D2" w14:textId="77777777" w:rsidR="00635F00" w:rsidRDefault="00635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445320"/>
      <w:docPartObj>
        <w:docPartGallery w:val="Page Numbers (Bottom of Page)"/>
        <w:docPartUnique/>
      </w:docPartObj>
    </w:sdtPr>
    <w:sdtEndPr>
      <w:rPr>
        <w:noProof/>
      </w:rPr>
    </w:sdtEndPr>
    <w:sdtContent>
      <w:p w14:paraId="4EED9B21" w14:textId="1F72354A" w:rsidR="00962670" w:rsidRDefault="009626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98BC39" w14:textId="42EA4FE7" w:rsidR="00962670" w:rsidRPr="00635F00" w:rsidRDefault="00635F00" w:rsidP="00635F00">
    <w:pPr>
      <w:pStyle w:val="Footer"/>
      <w:jc w:val="center"/>
      <w:rPr>
        <w:rFonts w:ascii="Arial" w:hAnsi="Arial" w:cs="Arial"/>
        <w:sz w:val="14"/>
      </w:rPr>
    </w:pPr>
    <w:r w:rsidRPr="00635F0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6205" w14:textId="77777777" w:rsidR="00635F00" w:rsidRDefault="00635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B012" w14:textId="77777777" w:rsidR="00962670" w:rsidRDefault="00962670" w:rsidP="00962670">
      <w:pPr>
        <w:spacing w:after="0" w:line="240" w:lineRule="auto"/>
      </w:pPr>
      <w:r>
        <w:separator/>
      </w:r>
    </w:p>
  </w:footnote>
  <w:footnote w:type="continuationSeparator" w:id="0">
    <w:p w14:paraId="0A34EC8F" w14:textId="77777777" w:rsidR="00962670" w:rsidRDefault="00962670" w:rsidP="0096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255A" w14:textId="77777777" w:rsidR="00635F00" w:rsidRDefault="00635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35A" w14:textId="77777777" w:rsidR="00635F00" w:rsidRDefault="00635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D433" w14:textId="77777777" w:rsidR="00635F00" w:rsidRDefault="00635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D2D4E21"/>
    <w:multiLevelType w:val="hybridMultilevel"/>
    <w:tmpl w:val="284666BA"/>
    <w:lvl w:ilvl="0" w:tplc="0C090001">
      <w:start w:val="1"/>
      <w:numFmt w:val="bullet"/>
      <w:lvlText w:val=""/>
      <w:lvlJc w:val="left"/>
      <w:pPr>
        <w:ind w:left="720" w:hanging="360"/>
      </w:pPr>
      <w:rPr>
        <w:rFonts w:ascii="Symbol" w:hAnsi="Symbol" w:hint="default"/>
        <w:i w:val="0"/>
        <w:iCs w:val="0"/>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78540D"/>
    <w:multiLevelType w:val="hybridMultilevel"/>
    <w:tmpl w:val="B9D0F3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A6675D"/>
    <w:multiLevelType w:val="hybridMultilevel"/>
    <w:tmpl w:val="5630FC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5F4F8D"/>
    <w:multiLevelType w:val="hybridMultilevel"/>
    <w:tmpl w:val="981A9628"/>
    <w:lvl w:ilvl="0" w:tplc="B868FAD4">
      <w:start w:val="1"/>
      <w:numFmt w:val="decimal"/>
      <w:lvlText w:val="%1)"/>
      <w:lvlJc w:val="left"/>
      <w:pPr>
        <w:ind w:left="720" w:hanging="360"/>
      </w:pPr>
      <w:rPr>
        <w:b w:val="0"/>
        <w:bCs/>
        <w:i w:val="0"/>
      </w:rPr>
    </w:lvl>
    <w:lvl w:ilvl="1" w:tplc="660E9464">
      <w:start w:val="1"/>
      <w:numFmt w:val="lowerLetter"/>
      <w:lvlText w:val="%2."/>
      <w:lvlJc w:val="left"/>
      <w:pPr>
        <w:ind w:left="1440" w:hanging="360"/>
      </w:pPr>
      <w:rPr>
        <w:b w:val="0"/>
        <w:bCs/>
      </w:rPr>
    </w:lvl>
    <w:lvl w:ilvl="2" w:tplc="2316843C">
      <w:start w:val="1"/>
      <w:numFmt w:val="lowerRoman"/>
      <w:lvlText w:val="%3."/>
      <w:lvlJc w:val="left"/>
      <w:pPr>
        <w:ind w:left="2160" w:hanging="180"/>
      </w:pPr>
      <w:rPr>
        <w:rFonts w:hint="default"/>
        <w:b w:val="0"/>
        <w:bCs/>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2"/>
    </w:lvlOverride>
  </w:num>
  <w:num w:numId="8">
    <w:abstractNumId w:val="1"/>
    <w:lvlOverride w:ilvl="0">
      <w:startOverride w:val="1"/>
    </w:lvlOverride>
    <w:lvlOverride w:ilvl="1">
      <w:startOverride w:val="1"/>
    </w:lvlOverride>
    <w:lvlOverride w:ilvl="2">
      <w:startOverride w:val="1"/>
    </w:lvlOverride>
    <w:lvlOverride w:ilvl="3">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81"/>
    <w:rsid w:val="000172D8"/>
    <w:rsid w:val="000E5DD9"/>
    <w:rsid w:val="00173314"/>
    <w:rsid w:val="00235AB1"/>
    <w:rsid w:val="00272C81"/>
    <w:rsid w:val="0031783A"/>
    <w:rsid w:val="005306AC"/>
    <w:rsid w:val="00635F00"/>
    <w:rsid w:val="00787386"/>
    <w:rsid w:val="007B2E40"/>
    <w:rsid w:val="00962670"/>
    <w:rsid w:val="00A136AE"/>
    <w:rsid w:val="00BE108D"/>
    <w:rsid w:val="00CD5AF1"/>
    <w:rsid w:val="00DA6D1E"/>
    <w:rsid w:val="00E22AE8"/>
    <w:rsid w:val="00E230D5"/>
    <w:rsid w:val="00E96247"/>
    <w:rsid w:val="00F453A8"/>
    <w:rsid w:val="00FC1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7172B"/>
  <w15:chartTrackingRefBased/>
  <w15:docId w15:val="{8763A9FA-8D7D-4182-9476-D5772203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314"/>
    <w:pPr>
      <w:keepNext/>
      <w:keepLines/>
      <w:spacing w:before="120" w:after="120" w:line="240" w:lineRule="auto"/>
      <w:outlineLvl w:val="0"/>
    </w:pPr>
    <w:rPr>
      <w:rFonts w:ascii="Arial" w:eastAsiaTheme="majorEastAsia" w:hAnsi="Arial" w:cs="Times New Roman"/>
      <w:b/>
      <w:bCs/>
      <w:sz w:val="28"/>
      <w:szCs w:val="28"/>
    </w:rPr>
  </w:style>
  <w:style w:type="paragraph" w:styleId="Heading2">
    <w:name w:val="heading 2"/>
    <w:basedOn w:val="Normal"/>
    <w:next w:val="Normal"/>
    <w:link w:val="Heading2Char"/>
    <w:uiPriority w:val="9"/>
    <w:semiHidden/>
    <w:unhideWhenUsed/>
    <w:qFormat/>
    <w:rsid w:val="001733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0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230D5"/>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272C81"/>
    <w:pPr>
      <w:ind w:left="720"/>
      <w:contextualSpacing/>
    </w:pPr>
  </w:style>
  <w:style w:type="paragraph" w:customStyle="1" w:styleId="ListParagraph2">
    <w:name w:val="List Paragraph 2"/>
    <w:basedOn w:val="ListParagraph"/>
    <w:qFormat/>
    <w:rsid w:val="00272C81"/>
    <w:pPr>
      <w:numPr>
        <w:ilvl w:val="1"/>
        <w:numId w:val="4"/>
      </w:numPr>
      <w:tabs>
        <w:tab w:val="left" w:pos="851"/>
      </w:tabs>
      <w:spacing w:after="0" w:line="276" w:lineRule="auto"/>
      <w:contextualSpacing w:val="0"/>
    </w:pPr>
    <w:rPr>
      <w:rFonts w:ascii="Calibri" w:eastAsia="Times New Roman" w:hAnsi="Calibri" w:cs="Calibri"/>
      <w:sz w:val="24"/>
      <w:szCs w:val="24"/>
    </w:rPr>
  </w:style>
  <w:style w:type="paragraph" w:customStyle="1" w:styleId="ListParagraph3">
    <w:name w:val="List Paragraph 3"/>
    <w:basedOn w:val="ListParagraph2"/>
    <w:qFormat/>
    <w:rsid w:val="00272C81"/>
    <w:pPr>
      <w:numPr>
        <w:ilvl w:val="2"/>
      </w:numPr>
      <w:tabs>
        <w:tab w:val="clear" w:pos="851"/>
        <w:tab w:val="left" w:pos="1701"/>
      </w:tabs>
      <w:spacing w:before="60"/>
    </w:pPr>
  </w:style>
  <w:style w:type="character" w:customStyle="1" w:styleId="Heading1Char">
    <w:name w:val="Heading 1 Char"/>
    <w:basedOn w:val="DefaultParagraphFont"/>
    <w:link w:val="Heading1"/>
    <w:uiPriority w:val="9"/>
    <w:rsid w:val="00173314"/>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semiHidden/>
    <w:rsid w:val="00173314"/>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173314"/>
  </w:style>
  <w:style w:type="character" w:styleId="Hyperlink">
    <w:name w:val="Hyperlink"/>
    <w:basedOn w:val="DefaultParagraphFont"/>
    <w:uiPriority w:val="99"/>
    <w:semiHidden/>
    <w:rsid w:val="00173314"/>
    <w:rPr>
      <w:rFonts w:cs="Times New Roman"/>
      <w:color w:val="0000FF"/>
      <w:u w:val="single"/>
    </w:rPr>
  </w:style>
  <w:style w:type="paragraph" w:styleId="NormalWeb">
    <w:name w:val="Normal (Web)"/>
    <w:basedOn w:val="Normal"/>
    <w:uiPriority w:val="99"/>
    <w:unhideWhenUsed/>
    <w:rsid w:val="001733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rsid w:val="00E230D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230D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62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70"/>
  </w:style>
  <w:style w:type="paragraph" w:styleId="Footer">
    <w:name w:val="footer"/>
    <w:basedOn w:val="Normal"/>
    <w:link w:val="FooterChar"/>
    <w:uiPriority w:val="99"/>
    <w:unhideWhenUsed/>
    <w:rsid w:val="00962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70"/>
  </w:style>
  <w:style w:type="paragraph" w:styleId="FootnoteText">
    <w:name w:val="footnote text"/>
    <w:basedOn w:val="Normal"/>
    <w:link w:val="FootnoteTextChar"/>
    <w:uiPriority w:val="99"/>
    <w:rsid w:val="0031783A"/>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3178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3178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9299</Characters>
  <Application>Microsoft Office Word</Application>
  <DocSecurity>0</DocSecurity>
  <Lines>238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EmmaC</dc:creator>
  <cp:keywords/>
  <dc:description/>
  <cp:lastModifiedBy>Moxon, KarenL</cp:lastModifiedBy>
  <cp:revision>4</cp:revision>
  <dcterms:created xsi:type="dcterms:W3CDTF">2021-11-30T23:18:00Z</dcterms:created>
  <dcterms:modified xsi:type="dcterms:W3CDTF">2021-11-30T23:18:00Z</dcterms:modified>
</cp:coreProperties>
</file>