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8060" w14:textId="77777777" w:rsidR="00440BD3" w:rsidRPr="00F36316" w:rsidRDefault="00440BD3" w:rsidP="00440BD3">
      <w:pPr>
        <w:rPr>
          <w:rFonts w:ascii="Arial" w:hAnsi="Arial" w:cs="Arial"/>
          <w:szCs w:val="20"/>
        </w:rPr>
      </w:pPr>
      <w:bookmarkStart w:id="0" w:name="_Toc44738651"/>
      <w:r w:rsidRPr="00F36316">
        <w:rPr>
          <w:rFonts w:ascii="Arial" w:hAnsi="Arial" w:cs="Arial"/>
          <w:szCs w:val="20"/>
        </w:rPr>
        <w:t xml:space="preserve">Australian Capital Territory </w:t>
      </w:r>
    </w:p>
    <w:p w14:paraId="685CE433" w14:textId="5DFDAFE7" w:rsidR="00440BD3" w:rsidRDefault="00440BD3" w:rsidP="00440BD3">
      <w:pPr>
        <w:pStyle w:val="Billname"/>
        <w:spacing w:before="500"/>
      </w:pPr>
      <w:r>
        <w:t xml:space="preserve">Gaming Machine </w:t>
      </w:r>
      <w:r w:rsidRPr="00C114AA">
        <w:t>(</w:t>
      </w:r>
      <w:r>
        <w:t>Emergency Community Purpose Contribution</w:t>
      </w:r>
      <w:r w:rsidRPr="002415DD">
        <w:t>—</w:t>
      </w:r>
      <w:r w:rsidR="00D958CB">
        <w:t>Local Live Performance Industry</w:t>
      </w:r>
      <w:r>
        <w:t>)</w:t>
      </w:r>
      <w:r w:rsidRPr="00C114AA">
        <w:t xml:space="preserve"> </w:t>
      </w:r>
      <w:r>
        <w:t>Declaration 202</w:t>
      </w:r>
      <w:r w:rsidR="009B6E45">
        <w:t>1</w:t>
      </w:r>
      <w:r w:rsidR="00C54D79">
        <w:t xml:space="preserve"> (No 2)</w:t>
      </w:r>
    </w:p>
    <w:p w14:paraId="2060D31E" w14:textId="237956D6" w:rsidR="00440BD3" w:rsidRPr="00DF3842" w:rsidRDefault="00440BD3" w:rsidP="00440BD3">
      <w:pPr>
        <w:spacing w:before="240" w:after="60"/>
        <w:rPr>
          <w:rFonts w:ascii="Arial" w:hAnsi="Arial" w:cs="Arial"/>
          <w:b/>
          <w:bCs/>
        </w:rPr>
      </w:pPr>
      <w:r>
        <w:rPr>
          <w:rFonts w:ascii="Arial" w:hAnsi="Arial" w:cs="Arial"/>
          <w:b/>
          <w:bCs/>
        </w:rPr>
        <w:t>Disallowable</w:t>
      </w:r>
      <w:r w:rsidRPr="00F36316">
        <w:rPr>
          <w:rFonts w:ascii="Arial" w:hAnsi="Arial" w:cs="Arial"/>
          <w:b/>
          <w:bCs/>
        </w:rPr>
        <w:t xml:space="preserve"> </w:t>
      </w:r>
      <w:r>
        <w:rPr>
          <w:rFonts w:ascii="Arial" w:hAnsi="Arial" w:cs="Arial"/>
          <w:b/>
          <w:bCs/>
        </w:rPr>
        <w:t>I</w:t>
      </w:r>
      <w:r w:rsidRPr="00F36316">
        <w:rPr>
          <w:rFonts w:ascii="Arial" w:hAnsi="Arial" w:cs="Arial"/>
          <w:b/>
          <w:bCs/>
        </w:rPr>
        <w:t xml:space="preserve">nstrument </w:t>
      </w:r>
      <w:r w:rsidR="009B6E45">
        <w:rPr>
          <w:rFonts w:ascii="Arial" w:hAnsi="Arial" w:cs="Arial"/>
          <w:b/>
          <w:bCs/>
        </w:rPr>
        <w:t>D</w:t>
      </w:r>
      <w:r w:rsidR="009B6E45" w:rsidRPr="00F36316">
        <w:rPr>
          <w:rFonts w:ascii="Arial" w:hAnsi="Arial" w:cs="Arial"/>
          <w:b/>
          <w:bCs/>
        </w:rPr>
        <w:t>I20</w:t>
      </w:r>
      <w:r w:rsidR="009B6E45">
        <w:rPr>
          <w:rFonts w:ascii="Arial" w:hAnsi="Arial" w:cs="Arial"/>
          <w:b/>
          <w:bCs/>
        </w:rPr>
        <w:t>21</w:t>
      </w:r>
      <w:r w:rsidR="00DF3842" w:rsidRPr="00DF3842">
        <w:rPr>
          <w:rFonts w:ascii="Arial" w:hAnsi="Arial" w:cs="Arial"/>
          <w:b/>
          <w:bCs/>
        </w:rPr>
        <w:t>-273</w:t>
      </w:r>
    </w:p>
    <w:p w14:paraId="207A8FAE" w14:textId="0482937D" w:rsidR="00440BD3" w:rsidRPr="001373FB" w:rsidRDefault="00440BD3" w:rsidP="00440BD3">
      <w:pPr>
        <w:spacing w:before="240" w:after="60"/>
      </w:pPr>
      <w:r w:rsidRPr="001373FB">
        <w:t xml:space="preserve">made under the  </w:t>
      </w:r>
    </w:p>
    <w:p w14:paraId="18E6D1D1" w14:textId="77777777" w:rsidR="00440BD3" w:rsidRDefault="00440BD3" w:rsidP="00440BD3">
      <w:pPr>
        <w:pStyle w:val="CoverActName"/>
        <w:spacing w:after="0"/>
        <w:rPr>
          <w:sz w:val="20"/>
          <w:szCs w:val="20"/>
        </w:rPr>
      </w:pPr>
      <w:r>
        <w:rPr>
          <w:iCs/>
          <w:sz w:val="20"/>
          <w:szCs w:val="20"/>
        </w:rPr>
        <w:t>Gaming Machine Act 2004</w:t>
      </w:r>
      <w:r w:rsidRPr="00291A9A">
        <w:rPr>
          <w:sz w:val="20"/>
          <w:szCs w:val="20"/>
        </w:rPr>
        <w:t>, s</w:t>
      </w:r>
      <w:r>
        <w:rPr>
          <w:sz w:val="20"/>
          <w:szCs w:val="20"/>
        </w:rPr>
        <w:t>166A</w:t>
      </w:r>
      <w:r w:rsidRPr="00291A9A">
        <w:rPr>
          <w:sz w:val="20"/>
          <w:szCs w:val="20"/>
        </w:rPr>
        <w:t xml:space="preserve"> (</w:t>
      </w:r>
      <w:r>
        <w:rPr>
          <w:sz w:val="20"/>
          <w:szCs w:val="20"/>
        </w:rPr>
        <w:t>Emergency community purpose contribution declaration</w:t>
      </w:r>
      <w:r w:rsidRPr="00291A9A">
        <w:rPr>
          <w:sz w:val="20"/>
          <w:szCs w:val="20"/>
        </w:rPr>
        <w:t>)</w:t>
      </w:r>
    </w:p>
    <w:p w14:paraId="304BA135" w14:textId="05CD3D55" w:rsidR="00CE35BB" w:rsidRDefault="00CE35BB" w:rsidP="006B21F4">
      <w:pPr>
        <w:jc w:val="both"/>
      </w:pPr>
    </w:p>
    <w:p w14:paraId="60743403" w14:textId="77777777" w:rsidR="00CE35BB" w:rsidRDefault="00CE35BB" w:rsidP="006B21F4">
      <w:pPr>
        <w:pStyle w:val="Heading3"/>
        <w:jc w:val="both"/>
      </w:pPr>
      <w:r>
        <w:t>EXPLANATORY STATEMENT</w:t>
      </w:r>
    </w:p>
    <w:p w14:paraId="64FC350C" w14:textId="77777777" w:rsidR="00CE35BB" w:rsidRDefault="00CE35BB" w:rsidP="006B21F4">
      <w:pPr>
        <w:jc w:val="both"/>
      </w:pPr>
    </w:p>
    <w:p w14:paraId="59C4D73E" w14:textId="77777777" w:rsidR="005357EA" w:rsidRDefault="005357EA" w:rsidP="006B21F4">
      <w:pPr>
        <w:pStyle w:val="N-line3"/>
        <w:pBdr>
          <w:top w:val="single" w:sz="12" w:space="1" w:color="auto"/>
          <w:bottom w:val="none" w:sz="0" w:space="0" w:color="auto"/>
        </w:pBdr>
        <w:rPr>
          <w:b/>
          <w:bCs/>
          <w:u w:val="single"/>
        </w:rPr>
      </w:pPr>
    </w:p>
    <w:p w14:paraId="3A8C0505" w14:textId="3828B6D3" w:rsidR="00CE35BB" w:rsidRPr="002E208B" w:rsidRDefault="00DE2FA6" w:rsidP="006B21F4">
      <w:pPr>
        <w:pStyle w:val="N-line3"/>
        <w:pBdr>
          <w:top w:val="single" w:sz="12" w:space="1" w:color="auto"/>
          <w:bottom w:val="none" w:sz="0" w:space="0" w:color="auto"/>
        </w:pBdr>
        <w:rPr>
          <w:b/>
          <w:bCs/>
          <w:u w:val="single"/>
        </w:rPr>
      </w:pPr>
      <w:r w:rsidRPr="002E208B">
        <w:rPr>
          <w:b/>
          <w:bCs/>
          <w:u w:val="single"/>
        </w:rPr>
        <w:t xml:space="preserve">Overview and </w:t>
      </w:r>
      <w:r w:rsidR="005357EA">
        <w:rPr>
          <w:b/>
          <w:bCs/>
          <w:u w:val="single"/>
        </w:rPr>
        <w:t>P</w:t>
      </w:r>
      <w:r w:rsidRPr="002E208B">
        <w:rPr>
          <w:b/>
          <w:bCs/>
          <w:u w:val="single"/>
        </w:rPr>
        <w:t xml:space="preserve">urpose of this </w:t>
      </w:r>
      <w:r w:rsidR="005357EA">
        <w:rPr>
          <w:b/>
          <w:bCs/>
          <w:u w:val="single"/>
        </w:rPr>
        <w:t>D</w:t>
      </w:r>
      <w:r w:rsidRPr="002E208B">
        <w:rPr>
          <w:b/>
          <w:bCs/>
          <w:u w:val="single"/>
        </w:rPr>
        <w:t xml:space="preserve">eclaration </w:t>
      </w:r>
    </w:p>
    <w:p w14:paraId="54D4E11F" w14:textId="2482FAD6" w:rsidR="00DE2FA6" w:rsidRDefault="00DE2FA6" w:rsidP="00DE2FA6"/>
    <w:p w14:paraId="5332BFEF" w14:textId="51E8401D" w:rsidR="00DE2FA6" w:rsidRDefault="00DE2FA6" w:rsidP="000F6985">
      <w:r>
        <w:t xml:space="preserve">The </w:t>
      </w:r>
      <w:r w:rsidRPr="0021273C">
        <w:rPr>
          <w:i/>
          <w:iCs/>
        </w:rPr>
        <w:t>Gaming Machine (Emergency Community Purpose Contribution—</w:t>
      </w:r>
      <w:r w:rsidRPr="009503E8">
        <w:rPr>
          <w:i/>
          <w:iCs/>
        </w:rPr>
        <w:t>Local Live Performance Industry</w:t>
      </w:r>
      <w:r w:rsidRPr="0021273C">
        <w:rPr>
          <w:i/>
          <w:iCs/>
        </w:rPr>
        <w:t>) Declaration </w:t>
      </w:r>
      <w:r w:rsidR="009B6E45" w:rsidRPr="0021273C">
        <w:rPr>
          <w:i/>
          <w:iCs/>
        </w:rPr>
        <w:t>202</w:t>
      </w:r>
      <w:r w:rsidR="009B6E45">
        <w:rPr>
          <w:i/>
          <w:iCs/>
        </w:rPr>
        <w:t>1</w:t>
      </w:r>
      <w:r w:rsidR="009B6E45">
        <w:t xml:space="preserve"> </w:t>
      </w:r>
      <w:r w:rsidR="00C54D79" w:rsidRPr="00C54D79">
        <w:rPr>
          <w:i/>
          <w:iCs/>
        </w:rPr>
        <w:t>(No 2)</w:t>
      </w:r>
      <w:r w:rsidR="00C54D79">
        <w:t xml:space="preserve"> </w:t>
      </w:r>
      <w:r>
        <w:t>provides for contributions made to</w:t>
      </w:r>
      <w:r w:rsidR="005357EA">
        <w:t xml:space="preserve">, or for the benefit of, </w:t>
      </w:r>
      <w:r>
        <w:t xml:space="preserve">a member of the local live performance industry for the purpose of providing music or other live entertainment (other than sport) for club members and patrons, to be community purpose contributions for the purpose of providing relief or assistance to the community in relation to a </w:t>
      </w:r>
      <w:r w:rsidR="00BD330F">
        <w:rPr>
          <w:color w:val="000000"/>
        </w:rPr>
        <w:t>coronavirus disease 2019 (COVID-19) </w:t>
      </w:r>
      <w:r>
        <w:t>emergency.</w:t>
      </w:r>
    </w:p>
    <w:p w14:paraId="156ABA20" w14:textId="77777777" w:rsidR="006F7313" w:rsidRDefault="006F7313" w:rsidP="000F6985"/>
    <w:p w14:paraId="3DFA2BA3" w14:textId="5FE7E95B" w:rsidR="004B61CD" w:rsidRDefault="00AC0104" w:rsidP="000F6985">
      <w:r>
        <w:t xml:space="preserve">In light of the outbreak </w:t>
      </w:r>
      <w:r>
        <w:rPr>
          <w:color w:val="000000"/>
        </w:rPr>
        <w:t>of COVID-19 in the Australian Capital Territory (</w:t>
      </w:r>
      <w:r w:rsidR="00323C14">
        <w:rPr>
          <w:color w:val="000000"/>
        </w:rPr>
        <w:t>the Territory</w:t>
      </w:r>
      <w:r>
        <w:rPr>
          <w:color w:val="000000"/>
        </w:rPr>
        <w:t>) in 2021, and the associated restrictions introduced by the public health emergency directions</w:t>
      </w:r>
      <w:r>
        <w:t>, t</w:t>
      </w:r>
      <w:r w:rsidR="00B33246">
        <w:t>h</w:t>
      </w:r>
      <w:r w:rsidR="00080714">
        <w:t>e</w:t>
      </w:r>
      <w:r w:rsidR="00B33246">
        <w:t xml:space="preserve"> declaration extends the period of time for which clubs can claim contributions made to or for the local live performance industry as community purpose contributions.</w:t>
      </w:r>
      <w:r w:rsidR="004B61CD">
        <w:t xml:space="preserve"> </w:t>
      </w:r>
      <w:r>
        <w:t>The declaration has been extended until 30 June 2022 to assist</w:t>
      </w:r>
      <w:r w:rsidR="00112A9F" w:rsidRPr="00112A9F">
        <w:t xml:space="preserve"> economic recovery for clubs and the local live performance industry</w:t>
      </w:r>
      <w:r w:rsidR="00112A9F">
        <w:t>.</w:t>
      </w:r>
    </w:p>
    <w:p w14:paraId="5EF02618" w14:textId="3DF23EFC" w:rsidR="000D7A2C" w:rsidRDefault="000D7A2C" w:rsidP="000F6985"/>
    <w:p w14:paraId="11672257" w14:textId="1A906ADD" w:rsidR="000D7A2C" w:rsidRDefault="000D7A2C" w:rsidP="000F6985">
      <w:pPr>
        <w:rPr>
          <w:b/>
          <w:bCs/>
          <w:u w:val="single"/>
        </w:rPr>
      </w:pPr>
      <w:r>
        <w:rPr>
          <w:b/>
          <w:bCs/>
          <w:u w:val="single"/>
        </w:rPr>
        <w:t>Retrospectivity</w:t>
      </w:r>
    </w:p>
    <w:p w14:paraId="31606C1D" w14:textId="5B20677B" w:rsidR="000D7A2C" w:rsidRDefault="000D7A2C" w:rsidP="000F6985">
      <w:pPr>
        <w:rPr>
          <w:b/>
          <w:bCs/>
          <w:u w:val="single"/>
        </w:rPr>
      </w:pPr>
    </w:p>
    <w:p w14:paraId="3106B57D" w14:textId="116A4B61" w:rsidR="00112A9F" w:rsidRDefault="000D7A2C" w:rsidP="000F6985">
      <w:r w:rsidRPr="000D7A2C">
        <w:t xml:space="preserve">Notwithstanding this instrument’s notification date, it is taken to have commenced on 1 </w:t>
      </w:r>
      <w:r>
        <w:t>December 2021</w:t>
      </w:r>
      <w:r w:rsidRPr="000D7A2C">
        <w:t>.</w:t>
      </w:r>
      <w:r>
        <w:t xml:space="preserve"> </w:t>
      </w:r>
    </w:p>
    <w:p w14:paraId="35DA86F4" w14:textId="1B7819C2" w:rsidR="000D7A2C" w:rsidRDefault="000D7A2C" w:rsidP="000F6985"/>
    <w:p w14:paraId="6980D628" w14:textId="1CE637F5" w:rsidR="000D7A2C" w:rsidRDefault="000D7A2C" w:rsidP="000F6985">
      <w:pPr>
        <w:rPr>
          <w:color w:val="000000"/>
          <w:shd w:val="clear" w:color="auto" w:fill="FFFFFF"/>
        </w:rPr>
      </w:pPr>
      <w:r>
        <w:rPr>
          <w:color w:val="000000"/>
          <w:shd w:val="clear" w:color="auto" w:fill="FFFFFF"/>
        </w:rPr>
        <w:t>Section 76 of the </w:t>
      </w:r>
      <w:r>
        <w:rPr>
          <w:i/>
          <w:iCs/>
          <w:color w:val="000000"/>
          <w:shd w:val="clear" w:color="auto" w:fill="FFFFFF"/>
        </w:rPr>
        <w:t>Legislation Act 2001</w:t>
      </w:r>
      <w:r>
        <w:rPr>
          <w:color w:val="000000"/>
          <w:shd w:val="clear" w:color="auto" w:fill="FFFFFF"/>
        </w:rPr>
        <w:t> (the Legislation Act) provides that non-prejudicial provisions may commence retrospectively. Section 76 (4) of the Legislation Act notes that a provision is “prejudicial” if it operates adverse to the rights of individuals or if it imposes liabilities on individuals. Section 76 (4) further provides that retrospectivity that is prejudicial to the Territory or to a territory authority or instrumentality is permitted.</w:t>
      </w:r>
    </w:p>
    <w:p w14:paraId="46FD6840" w14:textId="02954C93" w:rsidR="000D7A2C" w:rsidRDefault="000D7A2C" w:rsidP="000F6985">
      <w:pPr>
        <w:rPr>
          <w:color w:val="000000"/>
          <w:shd w:val="clear" w:color="auto" w:fill="FFFFFF"/>
        </w:rPr>
      </w:pPr>
    </w:p>
    <w:p w14:paraId="34A75767" w14:textId="62A6AF5C" w:rsidR="000D7A2C" w:rsidRDefault="000D7A2C" w:rsidP="000F6985">
      <w:r>
        <w:t>Retrospective commencement of the provisions in the Declaration will have a non-prejudicial effect. The</w:t>
      </w:r>
      <w:r w:rsidRPr="00960BF6">
        <w:t xml:space="preserve"> </w:t>
      </w:r>
      <w:r>
        <w:t>D</w:t>
      </w:r>
      <w:r w:rsidRPr="00960BF6">
        <w:t>eclaration extends the period of time for which clubs can claim contributions made to or for the local live performance industry as community purpose contributions</w:t>
      </w:r>
      <w:r>
        <w:t xml:space="preserve"> and this will not adversely affect any person’s rights or impose liabilities.</w:t>
      </w:r>
    </w:p>
    <w:p w14:paraId="07C30395" w14:textId="77777777" w:rsidR="000D7A2C" w:rsidRDefault="000D7A2C" w:rsidP="000F6985"/>
    <w:p w14:paraId="5A243E34" w14:textId="77777777" w:rsidR="00432CF1" w:rsidRDefault="00432CF1" w:rsidP="00246E0C">
      <w:pPr>
        <w:jc w:val="both"/>
        <w:rPr>
          <w:b/>
          <w:bCs/>
          <w:u w:val="single"/>
        </w:rPr>
      </w:pPr>
    </w:p>
    <w:p w14:paraId="4E3502D8" w14:textId="77777777" w:rsidR="00432CF1" w:rsidRDefault="00432CF1" w:rsidP="00246E0C">
      <w:pPr>
        <w:jc w:val="both"/>
        <w:rPr>
          <w:b/>
          <w:bCs/>
          <w:u w:val="single"/>
        </w:rPr>
      </w:pPr>
    </w:p>
    <w:p w14:paraId="71FFE0C4" w14:textId="3B7337EB" w:rsidR="00BC11BE" w:rsidRPr="00107940" w:rsidRDefault="00BC11BE" w:rsidP="00246E0C">
      <w:pPr>
        <w:jc w:val="both"/>
        <w:rPr>
          <w:b/>
          <w:bCs/>
          <w:u w:val="single"/>
        </w:rPr>
      </w:pPr>
      <w:r w:rsidRPr="00107940">
        <w:rPr>
          <w:b/>
          <w:bCs/>
          <w:u w:val="single"/>
        </w:rPr>
        <w:lastRenderedPageBreak/>
        <w:t>Background</w:t>
      </w:r>
    </w:p>
    <w:p w14:paraId="1C5FE734" w14:textId="77777777" w:rsidR="00BC11BE" w:rsidRDefault="00BC11BE" w:rsidP="00246E0C">
      <w:pPr>
        <w:jc w:val="both"/>
      </w:pPr>
    </w:p>
    <w:p w14:paraId="09F82EAC" w14:textId="39C86594" w:rsidR="00A113E9" w:rsidRDefault="00440BD3" w:rsidP="000F6985">
      <w:r>
        <w:t xml:space="preserve">Part 12 of the </w:t>
      </w:r>
      <w:r w:rsidR="00246E0C">
        <w:rPr>
          <w:i/>
          <w:iCs/>
        </w:rPr>
        <w:t xml:space="preserve">Gaming Machine Act 2004 </w:t>
      </w:r>
      <w:r w:rsidR="00246E0C">
        <w:t>(the Act)</w:t>
      </w:r>
      <w:r w:rsidR="00246E0C">
        <w:rPr>
          <w:i/>
          <w:iCs/>
        </w:rPr>
        <w:t xml:space="preserve"> </w:t>
      </w:r>
      <w:r>
        <w:t>provides for community contributions.</w:t>
      </w:r>
      <w:r w:rsidR="00A113E9">
        <w:t xml:space="preserve"> A club is required to make community purpose contributions of at least eight per cent of </w:t>
      </w:r>
      <w:r w:rsidR="005B5B42">
        <w:t>the</w:t>
      </w:r>
      <w:r w:rsidR="00A113E9">
        <w:t xml:space="preserve"> net gaming machine revenue </w:t>
      </w:r>
      <w:r w:rsidR="00F5756B">
        <w:t xml:space="preserve">that </w:t>
      </w:r>
      <w:r w:rsidR="005B5B42">
        <w:t>the club receives in</w:t>
      </w:r>
      <w:r w:rsidR="00A113E9">
        <w:t xml:space="preserve"> a reporting year.</w:t>
      </w:r>
    </w:p>
    <w:p w14:paraId="2FE471DA" w14:textId="77777777" w:rsidR="00EC5DAD" w:rsidRDefault="00EC5DAD" w:rsidP="000F6985"/>
    <w:p w14:paraId="55D17A0D" w14:textId="706DB43E" w:rsidR="00EC5DAD" w:rsidRDefault="00301F18" w:rsidP="000F6985">
      <w:r>
        <w:t xml:space="preserve">The </w:t>
      </w:r>
      <w:r w:rsidRPr="00EC5DAD">
        <w:rPr>
          <w:i/>
          <w:iCs/>
        </w:rPr>
        <w:t>COVID-19 Emergency Response Act 2020</w:t>
      </w:r>
      <w:r>
        <w:t xml:space="preserve"> inserted new section 166A into the Act</w:t>
      </w:r>
      <w:r w:rsidR="007C4181">
        <w:t xml:space="preserve">, under which the Minister may make </w:t>
      </w:r>
      <w:r>
        <w:t>an</w:t>
      </w:r>
      <w:r w:rsidR="00EC5DAD" w:rsidRPr="00EC5DAD">
        <w:rPr>
          <w:i/>
          <w:iCs/>
        </w:rPr>
        <w:t xml:space="preserve"> </w:t>
      </w:r>
      <w:r w:rsidR="00EC5DAD" w:rsidRPr="00975385">
        <w:rPr>
          <w:i/>
          <w:iCs/>
        </w:rPr>
        <w:t>emergency community purpose contribution declaration</w:t>
      </w:r>
      <w:r w:rsidR="00EC5DAD">
        <w:t>.</w:t>
      </w:r>
    </w:p>
    <w:p w14:paraId="218B238B" w14:textId="77777777" w:rsidR="00EC5DAD" w:rsidRDefault="00EC5DAD" w:rsidP="000F6985"/>
    <w:p w14:paraId="3DFB9F88" w14:textId="7313C1E6" w:rsidR="004E3121" w:rsidRPr="001013D7" w:rsidRDefault="001013D7" w:rsidP="000F6985">
      <w:r>
        <w:t>Under an emergency community purpose contribution declaration, the Minister may declare that a contribution by a club is a community purpose contribution, despite anything else in the Act.</w:t>
      </w:r>
      <w:r w:rsidR="0012003F">
        <w:t xml:space="preserve"> </w:t>
      </w:r>
      <w:r w:rsidRPr="001013D7">
        <w:t xml:space="preserve">In accordance with section 104 of the </w:t>
      </w:r>
      <w:r w:rsidRPr="001013D7">
        <w:rPr>
          <w:i/>
          <w:iCs/>
        </w:rPr>
        <w:t>Legislation Act 2001</w:t>
      </w:r>
      <w:r w:rsidRPr="001013D7">
        <w:t xml:space="preserve">, </w:t>
      </w:r>
      <w:r>
        <w:t>a</w:t>
      </w:r>
      <w:r w:rsidRPr="001013D7">
        <w:t xml:space="preserve"> reference to </w:t>
      </w:r>
      <w:r>
        <w:t>an Act</w:t>
      </w:r>
      <w:r w:rsidRPr="001013D7">
        <w:t xml:space="preserve"> includes a reference to statutory instruments made or in force under the Act, including any regulation. Part 9 of the </w:t>
      </w:r>
      <w:r w:rsidRPr="001013D7">
        <w:rPr>
          <w:i/>
          <w:iCs/>
        </w:rPr>
        <w:t>Gaming Machine Regulation 2004</w:t>
      </w:r>
      <w:r>
        <w:t xml:space="preserve"> </w:t>
      </w:r>
      <w:r w:rsidR="00E976E0">
        <w:t xml:space="preserve">(the Regulation) </w:t>
      </w:r>
      <w:r w:rsidRPr="001013D7">
        <w:t xml:space="preserve">includes provisions relating to community purpose contributions. As a result, </w:t>
      </w:r>
      <w:r w:rsidR="0031101A">
        <w:t xml:space="preserve">the making of </w:t>
      </w:r>
      <w:r w:rsidR="00F5756B">
        <w:t>a</w:t>
      </w:r>
      <w:r w:rsidR="0031101A">
        <w:t xml:space="preserve"> declaration</w:t>
      </w:r>
      <w:r w:rsidR="00F5756B">
        <w:t xml:space="preserve"> under section 166A of the Act</w:t>
      </w:r>
      <w:r w:rsidRPr="001013D7">
        <w:t xml:space="preserve"> </w:t>
      </w:r>
      <w:r w:rsidR="0031101A">
        <w:t>has</w:t>
      </w:r>
      <w:r w:rsidRPr="001013D7">
        <w:t xml:space="preserve"> the effect that</w:t>
      </w:r>
      <w:r w:rsidR="0031101A">
        <w:t xml:space="preserve"> the</w:t>
      </w:r>
      <w:r w:rsidRPr="001013D7">
        <w:t xml:space="preserve"> declared contribution is an emergency community purpose contribution</w:t>
      </w:r>
      <w:r>
        <w:t>,</w:t>
      </w:r>
      <w:r w:rsidRPr="001013D7">
        <w:t xml:space="preserve"> even where the Act or Regulation provides otherwise.</w:t>
      </w:r>
    </w:p>
    <w:p w14:paraId="32E6609F" w14:textId="4FF87DFE" w:rsidR="001013D7" w:rsidRPr="001013D7" w:rsidRDefault="001013D7" w:rsidP="000F6985"/>
    <w:p w14:paraId="60944652" w14:textId="60ECE97A" w:rsidR="001013D7" w:rsidRDefault="001013D7" w:rsidP="000F6985">
      <w:pPr>
        <w:keepNext/>
        <w:spacing w:after="120"/>
      </w:pPr>
      <w:r>
        <w:t>A declaration may only be made if a COVID-19 emergency is in force or was in force at any time in the previous 12 months.</w:t>
      </w:r>
      <w:r w:rsidR="0031101A">
        <w:t xml:space="preserve"> </w:t>
      </w:r>
      <w:r>
        <w:t>Under section 164 of the Act, a COVID-19 emergency means:</w:t>
      </w:r>
    </w:p>
    <w:p w14:paraId="335AAA21" w14:textId="77777777" w:rsidR="001013D7" w:rsidRPr="0031101A" w:rsidRDefault="001013D7" w:rsidP="000F6985">
      <w:pPr>
        <w:spacing w:after="120"/>
      </w:pPr>
      <w:r w:rsidRPr="0031101A">
        <w:t xml:space="preserve">(a) a state of emergency declared under the </w:t>
      </w:r>
      <w:r w:rsidRPr="0031101A">
        <w:rPr>
          <w:i/>
          <w:iCs/>
        </w:rPr>
        <w:t>Emergencies Act 2004</w:t>
      </w:r>
      <w:r w:rsidRPr="0031101A">
        <w:t xml:space="preserve">, section 156 because of the coronavirus disease 2019 (COVID-19); or </w:t>
      </w:r>
    </w:p>
    <w:p w14:paraId="383D94DF" w14:textId="77777777" w:rsidR="001013D7" w:rsidRDefault="001013D7" w:rsidP="000F6985">
      <w:r w:rsidRPr="0031101A">
        <w:t xml:space="preserve">(b) an emergency declared under the </w:t>
      </w:r>
      <w:r w:rsidRPr="0031101A">
        <w:rPr>
          <w:i/>
          <w:iCs/>
        </w:rPr>
        <w:t>Public Health Act 1997</w:t>
      </w:r>
      <w:r w:rsidRPr="0031101A">
        <w:t>, section 119 (including any extension or further extension) because of the coronavirus disease 2019 (COVID-19).</w:t>
      </w:r>
    </w:p>
    <w:p w14:paraId="2D850388" w14:textId="77777777" w:rsidR="001013D7" w:rsidRDefault="001013D7" w:rsidP="000F6985"/>
    <w:p w14:paraId="38C53CD3" w14:textId="6223C785" w:rsidR="00484412" w:rsidRDefault="0021273C" w:rsidP="00567928">
      <w:pPr>
        <w:keepLines/>
        <w:rPr>
          <w:sz w:val="23"/>
          <w:szCs w:val="23"/>
        </w:rPr>
      </w:pPr>
      <w:r>
        <w:t>The definition of community purpose in section 166 of the Act has been amended to include ‘providing relief or assistance to the community in relation to a COVID-19 emergency.’</w:t>
      </w:r>
      <w:r w:rsidR="00567928">
        <w:t xml:space="preserve"> </w:t>
      </w:r>
      <w:r w:rsidR="00761557">
        <w:t xml:space="preserve">Under </w:t>
      </w:r>
      <w:r w:rsidR="00761557" w:rsidRPr="00761557">
        <w:t>section 165 of the Act</w:t>
      </w:r>
      <w:r w:rsidR="00761557">
        <w:t xml:space="preserve">, the </w:t>
      </w:r>
      <w:r w:rsidR="00761557" w:rsidRPr="00F5756B">
        <w:rPr>
          <w:i/>
          <w:iCs/>
        </w:rPr>
        <w:t>community</w:t>
      </w:r>
      <w:r w:rsidR="00761557">
        <w:t xml:space="preserve"> includes</w:t>
      </w:r>
      <w:r w:rsidR="00761557" w:rsidRPr="00761557">
        <w:t xml:space="preserve"> people living in the </w:t>
      </w:r>
      <w:r w:rsidR="00323C14">
        <w:t>Territory</w:t>
      </w:r>
      <w:r w:rsidR="00761557" w:rsidRPr="00761557">
        <w:t xml:space="preserve"> or surrounding region</w:t>
      </w:r>
      <w:r w:rsidR="00761557">
        <w:t>.</w:t>
      </w:r>
      <w:r w:rsidR="00567928">
        <w:t xml:space="preserve"> </w:t>
      </w:r>
      <w:r w:rsidR="00484412">
        <w:t xml:space="preserve">Section 166 (2) of the Act sets out contributions that are not community purpose contributions. The </w:t>
      </w:r>
      <w:r w:rsidR="00484412" w:rsidRPr="00E725EA">
        <w:rPr>
          <w:i/>
          <w:iCs/>
        </w:rPr>
        <w:t>COVID-19 Emergency Response Legislation Amendment Act 2020</w:t>
      </w:r>
      <w:r w:rsidR="00484412">
        <w:t xml:space="preserve"> inserted new section 166 (2A) into the Act, which disapplies these limitations in relation to </w:t>
      </w:r>
      <w:r w:rsidR="00484412">
        <w:rPr>
          <w:sz w:val="23"/>
          <w:szCs w:val="23"/>
        </w:rPr>
        <w:t>an emergency community purpose contribution.</w:t>
      </w:r>
    </w:p>
    <w:p w14:paraId="677C9CCB" w14:textId="77777777" w:rsidR="001013D7" w:rsidRDefault="001013D7" w:rsidP="000F6985">
      <w:pPr>
        <w:rPr>
          <w:rFonts w:asciiTheme="minorHAnsi" w:hAnsiTheme="minorHAnsi" w:cstheme="minorHAnsi"/>
        </w:rPr>
      </w:pPr>
    </w:p>
    <w:p w14:paraId="484CEE71" w14:textId="3EB8137D" w:rsidR="001013D7" w:rsidRPr="0031101A" w:rsidRDefault="00484412" w:rsidP="000F6985">
      <w:pPr>
        <w:rPr>
          <w:bCs/>
        </w:rPr>
      </w:pPr>
      <w:r w:rsidRPr="0031101A">
        <w:rPr>
          <w:bCs/>
        </w:rPr>
        <w:t xml:space="preserve">An emergency community purpose contribution declaration </w:t>
      </w:r>
      <w:r w:rsidR="001013D7" w:rsidRPr="0031101A">
        <w:t xml:space="preserve">may apply to anything that happens at any time during the reporting year in which the declaration is made. </w:t>
      </w:r>
      <w:r w:rsidR="001013D7" w:rsidRPr="0031101A">
        <w:rPr>
          <w:bCs/>
        </w:rPr>
        <w:t>A reporting year for community contributions purposes is defined in section 164 of the Act. Clubs do not all report on a standard (July</w:t>
      </w:r>
      <w:r w:rsidR="001013D7" w:rsidRPr="0031101A">
        <w:rPr>
          <w:bCs/>
        </w:rPr>
        <w:noBreakHyphen/>
        <w:t>June) financial year.</w:t>
      </w:r>
    </w:p>
    <w:p w14:paraId="4BCD38A4" w14:textId="77777777" w:rsidR="0021273C" w:rsidRDefault="0021273C" w:rsidP="000F6985">
      <w:pPr>
        <w:rPr>
          <w:bCs/>
        </w:rPr>
      </w:pPr>
    </w:p>
    <w:p w14:paraId="2C303702" w14:textId="789D0503" w:rsidR="0021273C" w:rsidRPr="0021273C" w:rsidRDefault="00BC11BE" w:rsidP="000F6985">
      <w:r w:rsidRPr="0031101A">
        <w:rPr>
          <w:bCs/>
        </w:rPr>
        <w:t>A</w:t>
      </w:r>
      <w:r w:rsidR="00484412">
        <w:rPr>
          <w:bCs/>
        </w:rPr>
        <w:t xml:space="preserve"> declaration</w:t>
      </w:r>
      <w:r w:rsidRPr="0031101A">
        <w:rPr>
          <w:bCs/>
        </w:rPr>
        <w:t xml:space="preserve"> has effect for the period stated in the declaration and may be subject to any conditions declared by the Minister.</w:t>
      </w:r>
    </w:p>
    <w:p w14:paraId="7BFEAA5A" w14:textId="1163EC6C" w:rsidR="00975385" w:rsidRDefault="00975385" w:rsidP="000F6985"/>
    <w:p w14:paraId="4EAC2253" w14:textId="7B8B3B39" w:rsidR="00E15E24" w:rsidRDefault="001013D7" w:rsidP="000F6985">
      <w:r>
        <w:t>Under section 172</w:t>
      </w:r>
      <w:r w:rsidR="0079659E">
        <w:t xml:space="preserve"> </w:t>
      </w:r>
      <w:r>
        <w:t xml:space="preserve">(2A) of the Act, clubs must </w:t>
      </w:r>
      <w:r w:rsidR="00BC11BE">
        <w:t xml:space="preserve">include in their annual </w:t>
      </w:r>
      <w:r>
        <w:t xml:space="preserve">report the percentage of net gaming machine revenue that was </w:t>
      </w:r>
      <w:r w:rsidR="002B0870">
        <w:t>contributed</w:t>
      </w:r>
      <w:r>
        <w:t xml:space="preserve"> for the purpose of providing relief or assistance to the community in relation to a COVID-19 emergency. This includes any emergency community purpose contributions.</w:t>
      </w:r>
      <w:r w:rsidR="00BC11BE">
        <w:t xml:space="preserve"> This requirement applies to annual reports for reporting years that end after 23 March 2020</w:t>
      </w:r>
      <w:r w:rsidR="00C919B1">
        <w:t>.</w:t>
      </w:r>
      <w:r w:rsidR="00E15E24">
        <w:t xml:space="preserve"> </w:t>
      </w:r>
    </w:p>
    <w:p w14:paraId="6D5C2EBA" w14:textId="77777777" w:rsidR="00E15E24" w:rsidRDefault="00E15E24" w:rsidP="000F6985"/>
    <w:p w14:paraId="41719C8A" w14:textId="5CB446EB" w:rsidR="001013D7" w:rsidRDefault="00E15E24" w:rsidP="000F6985">
      <w:r>
        <w:lastRenderedPageBreak/>
        <w:t>Where a club with gross gaming machine revenue of less than $200,000 per annum does not prepare an annual report, community purpose contribution information must be set out in a written statement attached to the club’s certified income and expenditure statement (section</w:t>
      </w:r>
      <w:r w:rsidR="00F9111D">
        <w:t> </w:t>
      </w:r>
      <w:r>
        <w:t>172</w:t>
      </w:r>
      <w:r w:rsidR="0079659E">
        <w:t xml:space="preserve"> </w:t>
      </w:r>
      <w:r>
        <w:t>(3) of the Act). For clubs with gross gaming revenue of $200,000 per annum or more, this information must be set out in an audited community purpose contribution statement included in a club’s annual report (section 74A of the Regulation).</w:t>
      </w:r>
    </w:p>
    <w:p w14:paraId="140688F2" w14:textId="77777777" w:rsidR="001013D7" w:rsidRDefault="001013D7" w:rsidP="000F6985"/>
    <w:p w14:paraId="29D96E65" w14:textId="73A5955A" w:rsidR="004E3121" w:rsidRPr="00F94C50" w:rsidRDefault="00BC11BE" w:rsidP="000F6985">
      <w:r>
        <w:t>A</w:t>
      </w:r>
      <w:r w:rsidR="004E3121">
        <w:t xml:space="preserve"> declaration </w:t>
      </w:r>
      <w:r>
        <w:t xml:space="preserve">under section 166A is </w:t>
      </w:r>
      <w:r w:rsidR="004E3121" w:rsidRPr="00206673">
        <w:t>a disallowable instrument</w:t>
      </w:r>
      <w:r>
        <w:t xml:space="preserve"> and must be tabled in the Legislative Assembly.</w:t>
      </w:r>
      <w:r w:rsidR="001F14EC">
        <w:t xml:space="preserve"> </w:t>
      </w:r>
      <w:r w:rsidR="00450097">
        <w:t xml:space="preserve">Section 3A of the </w:t>
      </w:r>
      <w:r w:rsidR="00450097" w:rsidRPr="00450097">
        <w:rPr>
          <w:i/>
          <w:iCs/>
        </w:rPr>
        <w:t>COVID-19 Emergency Response Act 2020</w:t>
      </w:r>
      <w:r w:rsidR="00450097">
        <w:t xml:space="preserve"> requires that a disallowable instrument made under a power given under a COVID-19 measure is </w:t>
      </w:r>
      <w:r w:rsidR="00F14C76" w:rsidRPr="00F14C76">
        <w:t>presented not later than the second sitting day after its notification day</w:t>
      </w:r>
      <w:r w:rsidR="00450097">
        <w:t xml:space="preserve"> or it is taken to be repealed.</w:t>
      </w:r>
    </w:p>
    <w:p w14:paraId="6ADDD628" w14:textId="77777777" w:rsidR="00AC0104" w:rsidRDefault="00AC0104" w:rsidP="00246E0C">
      <w:pPr>
        <w:jc w:val="both"/>
        <w:rPr>
          <w:b/>
          <w:bCs/>
          <w:u w:val="single"/>
        </w:rPr>
      </w:pPr>
    </w:p>
    <w:p w14:paraId="74E139F6" w14:textId="06B863EB" w:rsidR="0021273C" w:rsidRPr="00107940" w:rsidRDefault="00F5756B" w:rsidP="00246E0C">
      <w:pPr>
        <w:jc w:val="both"/>
        <w:rPr>
          <w:b/>
          <w:bCs/>
          <w:u w:val="single"/>
        </w:rPr>
      </w:pPr>
      <w:r>
        <w:rPr>
          <w:b/>
          <w:bCs/>
          <w:u w:val="single"/>
        </w:rPr>
        <w:t>T</w:t>
      </w:r>
      <w:r w:rsidR="0021273C" w:rsidRPr="00107940">
        <w:rPr>
          <w:b/>
          <w:bCs/>
          <w:u w:val="single"/>
        </w:rPr>
        <w:t>his Declaration</w:t>
      </w:r>
    </w:p>
    <w:p w14:paraId="72300871" w14:textId="21013E7E" w:rsidR="0021273C" w:rsidRDefault="0021273C" w:rsidP="00246E0C">
      <w:pPr>
        <w:jc w:val="both"/>
      </w:pPr>
    </w:p>
    <w:p w14:paraId="57FB5E11" w14:textId="77777777" w:rsidR="008E6ECD" w:rsidRDefault="008E6ECD" w:rsidP="008E6ECD">
      <w:r>
        <w:t xml:space="preserve">This </w:t>
      </w:r>
      <w:r w:rsidRPr="0021273C">
        <w:rPr>
          <w:i/>
          <w:iCs/>
        </w:rPr>
        <w:t>Gaming Machine (Emergency Community Purpose Contribution—</w:t>
      </w:r>
      <w:r w:rsidRPr="009503E8">
        <w:rPr>
          <w:i/>
          <w:iCs/>
        </w:rPr>
        <w:t>Local Live Performance Industry</w:t>
      </w:r>
      <w:r w:rsidRPr="0021273C">
        <w:rPr>
          <w:i/>
          <w:iCs/>
        </w:rPr>
        <w:t>) Declaration 202</w:t>
      </w:r>
      <w:r>
        <w:rPr>
          <w:i/>
          <w:iCs/>
        </w:rPr>
        <w:t>1 (No 2)</w:t>
      </w:r>
      <w:r>
        <w:t xml:space="preserve"> </w:t>
      </w:r>
      <w:bookmarkStart w:id="1" w:name="_Hlk77256306"/>
      <w:r>
        <w:t>provides for contributions made to, or for the benefit of, a member of the local live performance industry for the purpose of providing music or other live entertainment (other than sport) for club members and patrons, to be community purpose contributions for the purpose of providing relief or assistance to the community in relation to a COVID-19 emergen</w:t>
      </w:r>
      <w:bookmarkEnd w:id="1"/>
      <w:r>
        <w:t>cy.</w:t>
      </w:r>
    </w:p>
    <w:p w14:paraId="0491DB5C" w14:textId="77777777" w:rsidR="008E6ECD" w:rsidRDefault="008E6ECD" w:rsidP="000F6985"/>
    <w:p w14:paraId="0609E9BC" w14:textId="5481A855" w:rsidR="00C919B1" w:rsidRDefault="00793E86" w:rsidP="000F6985">
      <w:r>
        <w:t>A COVID-19 emergency is currently in force</w:t>
      </w:r>
      <w:r w:rsidR="008F21E4">
        <w:t xml:space="preserve"> under</w:t>
      </w:r>
      <w:r>
        <w:t xml:space="preserve"> t</w:t>
      </w:r>
      <w:r w:rsidR="00C919B1" w:rsidRPr="0031101A">
        <w:t xml:space="preserve">he </w:t>
      </w:r>
      <w:r w:rsidR="00C919B1" w:rsidRPr="0031101A">
        <w:rPr>
          <w:i/>
          <w:iCs/>
        </w:rPr>
        <w:t>Public Health (Emergency) Declaration 2020 (No 1)</w:t>
      </w:r>
      <w:r w:rsidR="00D9730A">
        <w:t xml:space="preserve"> [</w:t>
      </w:r>
      <w:r w:rsidR="00C919B1" w:rsidRPr="0031101A">
        <w:t>NI2020-153</w:t>
      </w:r>
      <w:r w:rsidR="00D9730A">
        <w:t>]</w:t>
      </w:r>
      <w:r w:rsidR="00C919B1" w:rsidRPr="0031101A">
        <w:t>.</w:t>
      </w:r>
    </w:p>
    <w:p w14:paraId="45589136" w14:textId="77777777" w:rsidR="00C919B1" w:rsidRDefault="00C919B1" w:rsidP="000F6985"/>
    <w:p w14:paraId="2631AF6C" w14:textId="37F8B69B" w:rsidR="00D9730A" w:rsidRDefault="00B14696" w:rsidP="0012282E">
      <w:r w:rsidRPr="00D9730A">
        <w:t xml:space="preserve">In response to the 2021 COVID-19 outbreak in the </w:t>
      </w:r>
      <w:r w:rsidR="00323C14">
        <w:t>Territory</w:t>
      </w:r>
      <w:r w:rsidRPr="00D9730A">
        <w:t xml:space="preserve">, the </w:t>
      </w:r>
      <w:r w:rsidR="00323C14">
        <w:t>Territory</w:t>
      </w:r>
      <w:r w:rsidRPr="00D9730A">
        <w:t xml:space="preserve"> Government ordered a lockdown between 12 August 2021 and 14 October 2021.</w:t>
      </w:r>
      <w:r>
        <w:t xml:space="preserve"> The local live performance industry has been, </w:t>
      </w:r>
      <w:r w:rsidRPr="00D03633">
        <w:t>and continues to be, affected</w:t>
      </w:r>
      <w:r>
        <w:t xml:space="preserve"> by public health restrictions on certain activities as a result of the COVID-19 emergency. </w:t>
      </w:r>
      <w:r w:rsidRPr="00B14696">
        <w:rPr>
          <w:color w:val="000000"/>
        </w:rPr>
        <w:t>The relevant public health emergency direction at the time of this declaration is the </w:t>
      </w:r>
      <w:r w:rsidR="0012003F" w:rsidRPr="00B14696">
        <w:rPr>
          <w:i/>
          <w:iCs/>
        </w:rPr>
        <w:t xml:space="preserve">Public Health (Restricted Activities) Emergency Direction 2021 (No </w:t>
      </w:r>
      <w:r w:rsidR="0012003F">
        <w:rPr>
          <w:i/>
          <w:iCs/>
        </w:rPr>
        <w:t>7</w:t>
      </w:r>
      <w:r w:rsidR="0012003F" w:rsidRPr="00B14696">
        <w:rPr>
          <w:i/>
          <w:iCs/>
        </w:rPr>
        <w:t>)</w:t>
      </w:r>
      <w:r w:rsidR="0012003F" w:rsidRPr="00B14696" w:rsidDel="00AA3018">
        <w:t xml:space="preserve"> </w:t>
      </w:r>
      <w:r w:rsidR="0012003F" w:rsidRPr="00B14696">
        <w:t>[NI2021-6</w:t>
      </w:r>
      <w:r w:rsidR="0012003F">
        <w:t>9</w:t>
      </w:r>
      <w:r w:rsidR="0012003F" w:rsidRPr="00B14696">
        <w:t>4]</w:t>
      </w:r>
      <w:r w:rsidRPr="00B14696">
        <w:rPr>
          <w:color w:val="000000"/>
        </w:rPr>
        <w:t xml:space="preserve">. </w:t>
      </w:r>
      <w:r>
        <w:rPr>
          <w:color w:val="000000"/>
        </w:rPr>
        <w:t xml:space="preserve">The </w:t>
      </w:r>
      <w:r w:rsidR="0009507D">
        <w:rPr>
          <w:color w:val="000000"/>
        </w:rPr>
        <w:t>direction</w:t>
      </w:r>
      <w:r>
        <w:rPr>
          <w:color w:val="000000"/>
        </w:rPr>
        <w:t xml:space="preserve"> sets out restrictions to limit the spread of COVID-19 in the </w:t>
      </w:r>
      <w:r w:rsidR="00323C14">
        <w:rPr>
          <w:color w:val="000000"/>
        </w:rPr>
        <w:t>Territory</w:t>
      </w:r>
      <w:r>
        <w:rPr>
          <w:color w:val="000000"/>
        </w:rPr>
        <w:t xml:space="preserve">, including that </w:t>
      </w:r>
      <w:r>
        <w:t>d</w:t>
      </w:r>
      <w:r w:rsidRPr="00344730">
        <w:t>ensity limits for individual club industry venues will vary based on the activities undertaken at the venue</w:t>
      </w:r>
      <w:r>
        <w:rPr>
          <w:color w:val="000000"/>
        </w:rPr>
        <w:t>.</w:t>
      </w:r>
    </w:p>
    <w:p w14:paraId="3189B26E" w14:textId="0A8EE97A" w:rsidR="00B14696" w:rsidRDefault="00B14696" w:rsidP="0012282E"/>
    <w:p w14:paraId="49AF80EE" w14:textId="77777777" w:rsidR="00E976E0" w:rsidRDefault="00E976E0" w:rsidP="000F6985">
      <w:pPr>
        <w:keepNext/>
      </w:pPr>
      <w:r>
        <w:t>Under the</w:t>
      </w:r>
      <w:r w:rsidRPr="00E976E0">
        <w:t xml:space="preserve"> Regulation</w:t>
      </w:r>
      <w:r>
        <w:t>, the following contributions are not community purpose contributions:</w:t>
      </w:r>
    </w:p>
    <w:p w14:paraId="6CF1FF21" w14:textId="78101922" w:rsidR="00E976E0" w:rsidRPr="00B46549" w:rsidRDefault="00B52426" w:rsidP="00E976E0">
      <w:pPr>
        <w:pStyle w:val="CS-Paragraphnumbering"/>
        <w:numPr>
          <w:ilvl w:val="0"/>
          <w:numId w:val="16"/>
        </w:numPr>
        <w:spacing w:before="240" w:line="240" w:lineRule="auto"/>
        <w:ind w:left="1134" w:hanging="425"/>
        <w:rPr>
          <w:rFonts w:ascii="Times New Roman" w:hAnsi="Times New Roman" w:cs="Times New Roman"/>
        </w:rPr>
      </w:pPr>
      <w:bookmarkStart w:id="2" w:name="_Hlk77169401"/>
      <w:r>
        <w:rPr>
          <w:rFonts w:ascii="Times New Roman" w:hAnsi="Times New Roman" w:cs="Times New Roman"/>
          <w:lang w:val="en-GB"/>
        </w:rPr>
        <w:t xml:space="preserve">expenditure on </w:t>
      </w:r>
      <w:r w:rsidR="00E976E0" w:rsidRPr="00B46549">
        <w:rPr>
          <w:rFonts w:ascii="Times New Roman" w:hAnsi="Times New Roman" w:cs="Times New Roman"/>
          <w:lang w:val="en-GB"/>
        </w:rPr>
        <w:t xml:space="preserve">professional entertainment or </w:t>
      </w:r>
      <w:r w:rsidR="00E976E0" w:rsidRPr="00B46549">
        <w:rPr>
          <w:rFonts w:ascii="Times New Roman" w:hAnsi="Times New Roman" w:cs="Times New Roman"/>
        </w:rPr>
        <w:t xml:space="preserve">social or entertainment activities of a </w:t>
      </w:r>
      <w:r w:rsidR="0074302E">
        <w:rPr>
          <w:rFonts w:ascii="Times New Roman" w:hAnsi="Times New Roman" w:cs="Times New Roman"/>
        </w:rPr>
        <w:t>club</w:t>
      </w:r>
      <w:r w:rsidR="00E976E0" w:rsidRPr="00B46549">
        <w:rPr>
          <w:rFonts w:ascii="Times New Roman" w:hAnsi="Times New Roman" w:cs="Times New Roman"/>
        </w:rPr>
        <w:t>, for members or patrons)</w:t>
      </w:r>
      <w:r w:rsidR="000107A1">
        <w:rPr>
          <w:rFonts w:ascii="Times New Roman" w:hAnsi="Times New Roman" w:cs="Times New Roman"/>
        </w:rPr>
        <w:t xml:space="preserve"> (</w:t>
      </w:r>
      <w:r w:rsidR="00E976E0" w:rsidRPr="00B46549">
        <w:rPr>
          <w:rFonts w:ascii="Times New Roman" w:hAnsi="Times New Roman" w:cs="Times New Roman"/>
        </w:rPr>
        <w:t>section 67 (1) (c))</w:t>
      </w:r>
      <w:r w:rsidR="00E976E0">
        <w:rPr>
          <w:rFonts w:ascii="Times New Roman" w:hAnsi="Times New Roman" w:cs="Times New Roman"/>
        </w:rPr>
        <w:t>; and</w:t>
      </w:r>
    </w:p>
    <w:p w14:paraId="1AD57892" w14:textId="02CF837C" w:rsidR="00E976E0" w:rsidRPr="00B46549" w:rsidRDefault="00E976E0" w:rsidP="005357EA">
      <w:pPr>
        <w:pStyle w:val="CS-Paragraphnumbering"/>
        <w:numPr>
          <w:ilvl w:val="0"/>
          <w:numId w:val="16"/>
        </w:numPr>
        <w:spacing w:before="240" w:after="0" w:line="240" w:lineRule="auto"/>
        <w:ind w:left="1134" w:hanging="425"/>
        <w:rPr>
          <w:rFonts w:ascii="Times New Roman" w:hAnsi="Times New Roman" w:cs="Times New Roman"/>
        </w:rPr>
      </w:pPr>
      <w:r w:rsidRPr="00B46549">
        <w:rPr>
          <w:rFonts w:ascii="Times New Roman" w:hAnsi="Times New Roman" w:cs="Times New Roman"/>
        </w:rPr>
        <w:t xml:space="preserve">a contribution for remuneration, allowances or other entitlements for people employed by a </w:t>
      </w:r>
      <w:r w:rsidR="0074302E">
        <w:rPr>
          <w:rFonts w:ascii="Times New Roman" w:hAnsi="Times New Roman" w:cs="Times New Roman"/>
        </w:rPr>
        <w:t>club</w:t>
      </w:r>
      <w:r w:rsidR="0074302E" w:rsidRPr="00B46549">
        <w:rPr>
          <w:rFonts w:ascii="Times New Roman" w:hAnsi="Times New Roman" w:cs="Times New Roman"/>
        </w:rPr>
        <w:t xml:space="preserve"> </w:t>
      </w:r>
      <w:r w:rsidRPr="00B46549">
        <w:rPr>
          <w:rFonts w:ascii="Times New Roman" w:hAnsi="Times New Roman" w:cs="Times New Roman"/>
        </w:rPr>
        <w:t>or a recipient unless otherwise allowable as a community purpose contribution (</w:t>
      </w:r>
      <w:r>
        <w:rPr>
          <w:rFonts w:ascii="Times New Roman" w:hAnsi="Times New Roman" w:cs="Times New Roman"/>
        </w:rPr>
        <w:t xml:space="preserve">section </w:t>
      </w:r>
      <w:r w:rsidRPr="00B46549">
        <w:rPr>
          <w:rFonts w:ascii="Times New Roman" w:hAnsi="Times New Roman" w:cs="Times New Roman"/>
        </w:rPr>
        <w:t>69 (1) (c)).</w:t>
      </w:r>
    </w:p>
    <w:bookmarkEnd w:id="2"/>
    <w:p w14:paraId="0A7F3BF4" w14:textId="77777777" w:rsidR="00E976E0" w:rsidRDefault="00E976E0" w:rsidP="00E976E0">
      <w:pPr>
        <w:jc w:val="both"/>
      </w:pPr>
    </w:p>
    <w:p w14:paraId="4E2BBAFC" w14:textId="5DF12F24" w:rsidR="00E976E0" w:rsidRDefault="00E976E0" w:rsidP="000F6985">
      <w:r>
        <w:t>The restriction on entertainment claims under section 67 (1) (c) is made under section 166 (2)</w:t>
      </w:r>
      <w:r>
        <w:rPr>
          <w:sz w:val="22"/>
          <w:szCs w:val="22"/>
        </w:rPr>
        <w:t> </w:t>
      </w:r>
      <w:r>
        <w:t xml:space="preserve">(c) of the Act, as it is expenditure on the </w:t>
      </w:r>
      <w:r w:rsidR="0074302E">
        <w:t xml:space="preserve">club’s </w:t>
      </w:r>
      <w:r>
        <w:t>business activities prescribed by regulation.</w:t>
      </w:r>
    </w:p>
    <w:p w14:paraId="7EB129FD" w14:textId="77777777" w:rsidR="00E976E0" w:rsidRDefault="00E976E0" w:rsidP="000F6985"/>
    <w:p w14:paraId="6DA4C3F2" w14:textId="77777777" w:rsidR="00E976E0" w:rsidRDefault="00E976E0" w:rsidP="000F6985">
      <w:r w:rsidRPr="00E21872">
        <w:t>The restriction on employee remuneration claims under section 69 (1) (c) is made under section 166 (2) (j) of the Act, being any other contribution prescribed by regulation not to be a community purpose contribution.</w:t>
      </w:r>
    </w:p>
    <w:p w14:paraId="64FE10A0" w14:textId="77777777" w:rsidR="00E976E0" w:rsidRDefault="00E976E0" w:rsidP="000F6985"/>
    <w:p w14:paraId="01D0B1C1" w14:textId="77777777" w:rsidR="00E976E0" w:rsidRDefault="00E976E0" w:rsidP="000F6985">
      <w:r>
        <w:lastRenderedPageBreak/>
        <w:t>As noted above, section 166 (2A) of the Act disapplies the limitations in section 166 (2) of the Act, and therefore the limitations in section 67 (1) (c) and section 69 (1) (c) of the Regulation, in relation to an emergency community purpose contribution declared under section 166A.</w:t>
      </w:r>
    </w:p>
    <w:p w14:paraId="3E3FF49B" w14:textId="77777777" w:rsidR="00E976E0" w:rsidRDefault="00E976E0" w:rsidP="000F6985"/>
    <w:p w14:paraId="3697C0B1" w14:textId="77777777" w:rsidR="00E976E0" w:rsidRDefault="00E976E0" w:rsidP="000F6985">
      <w:r>
        <w:t>In addition, as noted above, section 166A provides that under an emergency community purpose contribution declaration, the Minister may declare that a contribution by a club is a community purpose contribution, despite anything else in the Act.</w:t>
      </w:r>
    </w:p>
    <w:p w14:paraId="5AAD695A" w14:textId="77777777" w:rsidR="00E976E0" w:rsidRDefault="00E976E0" w:rsidP="000F6985"/>
    <w:p w14:paraId="214195EB" w14:textId="77777777" w:rsidR="00112A9F" w:rsidRDefault="00112A9F" w:rsidP="000F6985">
      <w:bookmarkStart w:id="3" w:name="_Hlk49249748"/>
    </w:p>
    <w:bookmarkEnd w:id="3"/>
    <w:p w14:paraId="5498CF49" w14:textId="5076DB1A" w:rsidR="00107940" w:rsidRDefault="00B537FB" w:rsidP="00351FA2">
      <w:pPr>
        <w:keepNext/>
        <w:spacing w:after="120"/>
        <w:jc w:val="both"/>
        <w:rPr>
          <w:u w:val="single"/>
        </w:rPr>
      </w:pPr>
      <w:r>
        <w:rPr>
          <w:u w:val="single"/>
        </w:rPr>
        <w:t xml:space="preserve">Local </w:t>
      </w:r>
      <w:r w:rsidR="002253FE">
        <w:rPr>
          <w:u w:val="single"/>
        </w:rPr>
        <w:t>Live Performance Industry</w:t>
      </w:r>
    </w:p>
    <w:p w14:paraId="32475A28" w14:textId="2A4F84DB" w:rsidR="00EE587C" w:rsidRDefault="00EE587C" w:rsidP="000F6985">
      <w:pPr>
        <w:keepNext/>
      </w:pPr>
      <w:r>
        <w:t xml:space="preserve">The </w:t>
      </w:r>
      <w:r w:rsidR="00144027">
        <w:t>contributions</w:t>
      </w:r>
      <w:r>
        <w:t xml:space="preserve"> must be made </w:t>
      </w:r>
      <w:r w:rsidR="00B537FB">
        <w:t>to</w:t>
      </w:r>
      <w:r w:rsidR="00BB6882">
        <w:t>, or for the benefit of,</w:t>
      </w:r>
      <w:r w:rsidR="00B537FB">
        <w:t xml:space="preserve"> </w:t>
      </w:r>
      <w:r w:rsidR="002F1CE7">
        <w:t xml:space="preserve">a member of </w:t>
      </w:r>
      <w:r w:rsidR="00B537FB">
        <w:t>the local live performance industry</w:t>
      </w:r>
      <w:r w:rsidR="00107940">
        <w:t>.</w:t>
      </w:r>
    </w:p>
    <w:p w14:paraId="414F1599" w14:textId="11FC7251" w:rsidR="00107940" w:rsidRDefault="00107940" w:rsidP="000F6985"/>
    <w:p w14:paraId="5B8A2F5C" w14:textId="77777777" w:rsidR="00BB6882" w:rsidRPr="00BB6882" w:rsidRDefault="00B537FB" w:rsidP="000F6985">
      <w:r>
        <w:t xml:space="preserve">For the purposes of this declaration, </w:t>
      </w:r>
      <w:r w:rsidR="00BB6882">
        <w:t xml:space="preserve">a </w:t>
      </w:r>
      <w:r w:rsidR="00BB6882" w:rsidRPr="00BB6882">
        <w:rPr>
          <w:i/>
          <w:iCs/>
        </w:rPr>
        <w:t>member of the local live performance industry</w:t>
      </w:r>
      <w:r w:rsidR="00BB6882" w:rsidRPr="00BB6882">
        <w:t xml:space="preserve"> </w:t>
      </w:r>
      <w:r w:rsidR="00BB6882" w:rsidRPr="00B755D4">
        <w:t>means a person performing or working in the local live performance industry.</w:t>
      </w:r>
    </w:p>
    <w:p w14:paraId="3BEFAF86" w14:textId="77777777" w:rsidR="00BB6882" w:rsidRDefault="00BB6882" w:rsidP="000F6985"/>
    <w:p w14:paraId="28B7FADC" w14:textId="4CD1CEAA" w:rsidR="00B537FB" w:rsidRDefault="00BB6882" w:rsidP="000F6985">
      <w:r>
        <w:t>T</w:t>
      </w:r>
      <w:r w:rsidR="00B537FB">
        <w:t xml:space="preserve">he </w:t>
      </w:r>
      <w:r w:rsidR="002253FE" w:rsidRPr="00B537FB">
        <w:rPr>
          <w:i/>
          <w:iCs/>
        </w:rPr>
        <w:t xml:space="preserve">local live </w:t>
      </w:r>
      <w:r w:rsidR="002253FE" w:rsidRPr="00960C96">
        <w:rPr>
          <w:i/>
          <w:iCs/>
        </w:rPr>
        <w:t>perform</w:t>
      </w:r>
      <w:r w:rsidR="00B537FB" w:rsidRPr="00960C96">
        <w:rPr>
          <w:i/>
          <w:iCs/>
        </w:rPr>
        <w:t>ance industry</w:t>
      </w:r>
      <w:r w:rsidR="00EE587C">
        <w:t xml:space="preserve"> </w:t>
      </w:r>
      <w:r w:rsidR="00B537FB">
        <w:t xml:space="preserve">means </w:t>
      </w:r>
      <w:bookmarkStart w:id="4" w:name="_Hlk77256431"/>
      <w:r w:rsidR="002F1CE7">
        <w:t>those</w:t>
      </w:r>
      <w:r w:rsidR="00B537FB">
        <w:t xml:space="preserve"> people</w:t>
      </w:r>
      <w:r w:rsidR="00943CBE">
        <w:t xml:space="preserve"> </w:t>
      </w:r>
      <w:r w:rsidR="00B537FB">
        <w:t xml:space="preserve">in </w:t>
      </w:r>
      <w:r w:rsidR="00943CBE">
        <w:t>the community who</w:t>
      </w:r>
      <w:r w:rsidR="002F1CE7">
        <w:t>—</w:t>
      </w:r>
      <w:r w:rsidR="004674AC">
        <w:br/>
      </w:r>
    </w:p>
    <w:p w14:paraId="623EEB6F" w14:textId="6F845C9E" w:rsidR="002F1CE7" w:rsidRPr="002A769B" w:rsidRDefault="002F1CE7" w:rsidP="0074302E">
      <w:pPr>
        <w:pStyle w:val="ListParagraph"/>
        <w:numPr>
          <w:ilvl w:val="0"/>
          <w:numId w:val="20"/>
        </w:numPr>
        <w:spacing w:after="160" w:line="259" w:lineRule="auto"/>
        <w:ind w:left="567" w:hanging="567"/>
      </w:pPr>
      <w:r>
        <w:t>p</w:t>
      </w:r>
      <w:r w:rsidRPr="002A769B">
        <w:t>erform</w:t>
      </w:r>
      <w:r>
        <w:t xml:space="preserve"> </w:t>
      </w:r>
      <w:r w:rsidRPr="002A769B">
        <w:t xml:space="preserve">music or </w:t>
      </w:r>
      <w:r>
        <w:t xml:space="preserve">other live </w:t>
      </w:r>
      <w:r w:rsidRPr="002A769B">
        <w:t>entertainment</w:t>
      </w:r>
      <w:r>
        <w:t xml:space="preserve"> (other than sport) </w:t>
      </w:r>
      <w:r w:rsidRPr="002A769B">
        <w:t xml:space="preserve">before an audience; or </w:t>
      </w:r>
    </w:p>
    <w:p w14:paraId="22DAE92D" w14:textId="6F2ECFE7" w:rsidR="002F1CE7" w:rsidRDefault="002F1CE7" w:rsidP="0074302E">
      <w:pPr>
        <w:pStyle w:val="ListParagraph"/>
        <w:numPr>
          <w:ilvl w:val="0"/>
          <w:numId w:val="20"/>
        </w:numPr>
        <w:spacing w:after="160" w:line="259" w:lineRule="auto"/>
        <w:ind w:left="567" w:hanging="567"/>
      </w:pPr>
      <w:r>
        <w:t>are</w:t>
      </w:r>
      <w:r w:rsidRPr="002A769B">
        <w:t xml:space="preserve"> employed in</w:t>
      </w:r>
      <w:r>
        <w:t xml:space="preserve"> 1 or more of the following areas in relation to the performance of music or </w:t>
      </w:r>
      <w:r w:rsidR="00BB6882">
        <w:t xml:space="preserve">other </w:t>
      </w:r>
      <w:r>
        <w:t>live entertainment (other than sport):</w:t>
      </w:r>
    </w:p>
    <w:p w14:paraId="433033BF" w14:textId="77777777" w:rsidR="002F1CE7" w:rsidRDefault="002F1CE7" w:rsidP="0074302E">
      <w:pPr>
        <w:pStyle w:val="ListParagraph"/>
        <w:numPr>
          <w:ilvl w:val="2"/>
          <w:numId w:val="17"/>
        </w:numPr>
        <w:spacing w:after="160" w:line="259" w:lineRule="auto"/>
        <w:ind w:left="1560" w:hanging="426"/>
        <w:contextualSpacing/>
      </w:pPr>
      <w:r w:rsidRPr="002A769B">
        <w:t>producing</w:t>
      </w:r>
      <w:r>
        <w:t xml:space="preserve">, </w:t>
      </w:r>
      <w:r w:rsidRPr="002A769B">
        <w:t>including pre-production and post-production</w:t>
      </w:r>
      <w:r>
        <w:t xml:space="preserve">; </w:t>
      </w:r>
    </w:p>
    <w:p w14:paraId="2B3DFC68" w14:textId="77777777" w:rsidR="002F1CE7" w:rsidRDefault="002F1CE7" w:rsidP="0074302E">
      <w:pPr>
        <w:pStyle w:val="ListParagraph"/>
        <w:numPr>
          <w:ilvl w:val="2"/>
          <w:numId w:val="17"/>
        </w:numPr>
        <w:spacing w:after="160" w:line="259" w:lineRule="auto"/>
        <w:ind w:left="1560" w:hanging="426"/>
        <w:contextualSpacing/>
      </w:pPr>
      <w:r w:rsidRPr="002A769B">
        <w:t>staging</w:t>
      </w:r>
      <w:r>
        <w:t>;</w:t>
      </w:r>
    </w:p>
    <w:p w14:paraId="0408E957" w14:textId="77777777" w:rsidR="002F1CE7" w:rsidRDefault="002F1CE7" w:rsidP="0074302E">
      <w:pPr>
        <w:pStyle w:val="ListParagraph"/>
        <w:numPr>
          <w:ilvl w:val="2"/>
          <w:numId w:val="17"/>
        </w:numPr>
        <w:spacing w:after="160" w:line="259" w:lineRule="auto"/>
        <w:ind w:left="1560" w:hanging="426"/>
        <w:contextualSpacing/>
      </w:pPr>
      <w:r w:rsidRPr="002A769B">
        <w:t>lighting</w:t>
      </w:r>
      <w:r>
        <w:t>;</w:t>
      </w:r>
      <w:r w:rsidRPr="002A769B">
        <w:t xml:space="preserve"> </w:t>
      </w:r>
    </w:p>
    <w:p w14:paraId="64EC73FD" w14:textId="77777777" w:rsidR="002F1CE7" w:rsidRPr="00B46549" w:rsidRDefault="002F1CE7" w:rsidP="0074302E">
      <w:pPr>
        <w:pStyle w:val="ListParagraph"/>
        <w:numPr>
          <w:ilvl w:val="2"/>
          <w:numId w:val="17"/>
        </w:numPr>
        <w:spacing w:after="160" w:line="259" w:lineRule="auto"/>
        <w:ind w:left="1560" w:hanging="426"/>
        <w:contextualSpacing/>
      </w:pPr>
      <w:r>
        <w:t xml:space="preserve">crewing; </w:t>
      </w:r>
    </w:p>
    <w:p w14:paraId="5E2A9264" w14:textId="77777777" w:rsidR="002F1CE7" w:rsidRDefault="002F1CE7" w:rsidP="0074302E">
      <w:pPr>
        <w:pStyle w:val="ListParagraph"/>
        <w:numPr>
          <w:ilvl w:val="2"/>
          <w:numId w:val="17"/>
        </w:numPr>
        <w:spacing w:after="160" w:line="259" w:lineRule="auto"/>
        <w:ind w:left="1560" w:hanging="426"/>
        <w:contextualSpacing/>
      </w:pPr>
      <w:r>
        <w:t xml:space="preserve">providing </w:t>
      </w:r>
      <w:r w:rsidRPr="002A769B">
        <w:t xml:space="preserve">audio </w:t>
      </w:r>
      <w:r>
        <w:t>or</w:t>
      </w:r>
      <w:r w:rsidRPr="002A769B">
        <w:t xml:space="preserve"> </w:t>
      </w:r>
      <w:proofErr w:type="spellStart"/>
      <w:r w:rsidRPr="002A769B">
        <w:t>audiovisual</w:t>
      </w:r>
      <w:proofErr w:type="spellEnd"/>
      <w:r>
        <w:t xml:space="preserve"> equipment;</w:t>
      </w:r>
    </w:p>
    <w:p w14:paraId="223EEC3C" w14:textId="77777777" w:rsidR="002F1CE7" w:rsidRPr="002A769B" w:rsidRDefault="002F1CE7" w:rsidP="0074302E">
      <w:pPr>
        <w:pStyle w:val="ListParagraph"/>
        <w:numPr>
          <w:ilvl w:val="2"/>
          <w:numId w:val="17"/>
        </w:numPr>
        <w:spacing w:after="160" w:line="259" w:lineRule="auto"/>
        <w:ind w:left="1560" w:hanging="426"/>
        <w:contextualSpacing/>
      </w:pPr>
      <w:r w:rsidRPr="002A769B">
        <w:t>administering;</w:t>
      </w:r>
    </w:p>
    <w:p w14:paraId="62F96E78" w14:textId="77777777" w:rsidR="002F1CE7" w:rsidRDefault="002F1CE7" w:rsidP="0074302E">
      <w:pPr>
        <w:pStyle w:val="ListParagraph"/>
        <w:numPr>
          <w:ilvl w:val="2"/>
          <w:numId w:val="17"/>
        </w:numPr>
        <w:spacing w:after="160" w:line="259" w:lineRule="auto"/>
        <w:ind w:left="1560" w:hanging="426"/>
        <w:contextualSpacing/>
      </w:pPr>
      <w:r w:rsidRPr="002A769B">
        <w:t>programming</w:t>
      </w:r>
      <w:r>
        <w:t>;</w:t>
      </w:r>
    </w:p>
    <w:p w14:paraId="160FE609" w14:textId="77777777" w:rsidR="002F1CE7" w:rsidRDefault="002F1CE7" w:rsidP="0074302E">
      <w:pPr>
        <w:pStyle w:val="ListParagraph"/>
        <w:numPr>
          <w:ilvl w:val="2"/>
          <w:numId w:val="17"/>
        </w:numPr>
        <w:spacing w:after="160" w:line="259" w:lineRule="auto"/>
        <w:ind w:left="1560" w:hanging="426"/>
        <w:contextualSpacing/>
      </w:pPr>
      <w:r w:rsidRPr="002A769B">
        <w:t>manufactur</w:t>
      </w:r>
      <w:r>
        <w:t>ing sets or props;</w:t>
      </w:r>
      <w:r w:rsidRPr="002A769B">
        <w:t xml:space="preserve"> </w:t>
      </w:r>
    </w:p>
    <w:p w14:paraId="7AF8A515" w14:textId="7C584426" w:rsidR="002F1CE7" w:rsidRPr="002A769B" w:rsidRDefault="002F1CE7" w:rsidP="00BB6882">
      <w:pPr>
        <w:pStyle w:val="ListParagraph"/>
        <w:numPr>
          <w:ilvl w:val="2"/>
          <w:numId w:val="17"/>
        </w:numPr>
        <w:spacing w:line="259" w:lineRule="auto"/>
        <w:ind w:left="1559" w:hanging="425"/>
        <w:contextualSpacing/>
      </w:pPr>
      <w:r w:rsidRPr="002A769B">
        <w:t xml:space="preserve">otherwise </w:t>
      </w:r>
      <w:r>
        <w:t xml:space="preserve">assisting with the performance of music or </w:t>
      </w:r>
      <w:r w:rsidR="00BB6882">
        <w:t xml:space="preserve">other </w:t>
      </w:r>
      <w:r>
        <w:t>live entertainment (other than sport)</w:t>
      </w:r>
      <w:r w:rsidRPr="002A769B">
        <w:t>.</w:t>
      </w:r>
    </w:p>
    <w:bookmarkEnd w:id="4"/>
    <w:p w14:paraId="7D28E882" w14:textId="77777777" w:rsidR="00BB6882" w:rsidRDefault="00BB6882" w:rsidP="00107940">
      <w:pPr>
        <w:jc w:val="both"/>
      </w:pPr>
    </w:p>
    <w:p w14:paraId="3D11EF39" w14:textId="40F03119" w:rsidR="007E3DF3" w:rsidRDefault="00AB7C62" w:rsidP="000F6985">
      <w:r>
        <w:t>As noted above, u</w:t>
      </w:r>
      <w:r w:rsidR="007E3DF3">
        <w:t xml:space="preserve">nder section 165 of the </w:t>
      </w:r>
      <w:r w:rsidR="002F1CE7">
        <w:t>Act</w:t>
      </w:r>
      <w:r w:rsidR="007E3DF3">
        <w:t xml:space="preserve">, the term </w:t>
      </w:r>
      <w:r w:rsidR="007E3DF3" w:rsidRPr="002F1CE7">
        <w:rPr>
          <w:i/>
          <w:iCs/>
        </w:rPr>
        <w:t>community</w:t>
      </w:r>
      <w:r w:rsidR="007E3DF3">
        <w:t xml:space="preserve"> </w:t>
      </w:r>
      <w:r>
        <w:t>includes</w:t>
      </w:r>
      <w:r w:rsidR="007E3DF3">
        <w:t xml:space="preserve"> </w:t>
      </w:r>
      <w:bookmarkStart w:id="5" w:name="_Hlk77257722"/>
      <w:r w:rsidR="007E3DF3">
        <w:t xml:space="preserve">people living in the </w:t>
      </w:r>
      <w:r w:rsidR="00323C14">
        <w:t>Territory</w:t>
      </w:r>
      <w:r w:rsidR="007E3DF3">
        <w:t xml:space="preserve"> or surrounding region.</w:t>
      </w:r>
    </w:p>
    <w:bookmarkEnd w:id="5"/>
    <w:p w14:paraId="1DB1A547" w14:textId="77777777" w:rsidR="007E3DF3" w:rsidRDefault="007E3DF3" w:rsidP="000F6985"/>
    <w:p w14:paraId="75CD8D13" w14:textId="2F32814A" w:rsidR="007E3DF3" w:rsidRPr="007E3DF3" w:rsidRDefault="007E3DF3" w:rsidP="000F6985">
      <w:r>
        <w:t>The dictionary of the</w:t>
      </w:r>
      <w:r w:rsidR="002F1CE7">
        <w:t xml:space="preserve"> Act</w:t>
      </w:r>
      <w:r>
        <w:t xml:space="preserve"> provides that the term </w:t>
      </w:r>
      <w:r>
        <w:rPr>
          <w:i/>
          <w:iCs/>
        </w:rPr>
        <w:t>employ</w:t>
      </w:r>
      <w:r>
        <w:t xml:space="preserve"> includes engage. This means that contractors as well as employees in the local live performance industry are included </w:t>
      </w:r>
      <w:r w:rsidR="002F1CE7">
        <w:t xml:space="preserve">under this </w:t>
      </w:r>
      <w:r w:rsidR="0074302E">
        <w:t>declaration</w:t>
      </w:r>
      <w:r>
        <w:t>.</w:t>
      </w:r>
    </w:p>
    <w:p w14:paraId="3A60602F" w14:textId="77777777" w:rsidR="007E3DF3" w:rsidRDefault="007E3DF3" w:rsidP="00E976E0">
      <w:pPr>
        <w:jc w:val="both"/>
      </w:pPr>
    </w:p>
    <w:p w14:paraId="49AF0FC0" w14:textId="7541D34C" w:rsidR="00EE587C" w:rsidRDefault="00AF260E" w:rsidP="0074302E">
      <w:pPr>
        <w:keepNext/>
        <w:spacing w:after="120"/>
        <w:jc w:val="both"/>
        <w:rPr>
          <w:u w:val="single"/>
        </w:rPr>
      </w:pPr>
      <w:r>
        <w:rPr>
          <w:u w:val="single"/>
        </w:rPr>
        <w:t>Contributions</w:t>
      </w:r>
    </w:p>
    <w:p w14:paraId="30564CCB" w14:textId="06A7BAA5" w:rsidR="00661EAD" w:rsidRDefault="00661EAD" w:rsidP="000F6985">
      <w:r>
        <w:t xml:space="preserve">As with other contributions made under the scheme, contributions </w:t>
      </w:r>
      <w:r w:rsidR="00713C4C">
        <w:t>made to</w:t>
      </w:r>
      <w:r w:rsidR="005357EA">
        <w:t>, or for the benefit of,</w:t>
      </w:r>
      <w:r w:rsidR="00713C4C">
        <w:t xml:space="preserve"> a member of the local live performance industry </w:t>
      </w:r>
      <w:r>
        <w:t>can be either monetary or in-kind.</w:t>
      </w:r>
    </w:p>
    <w:p w14:paraId="77B64D20" w14:textId="27B9C893" w:rsidR="00661EAD" w:rsidRDefault="00661EAD" w:rsidP="000F6985"/>
    <w:p w14:paraId="39674CF1" w14:textId="77777777" w:rsidR="00432CF1" w:rsidRDefault="00661EAD" w:rsidP="000F6985">
      <w:r>
        <w:t xml:space="preserve">For clubs or club groups that are not a small or medium club or small or medium club group (as defined under section </w:t>
      </w:r>
      <w:r w:rsidR="00AE00AE">
        <w:t>157A of the Act)</w:t>
      </w:r>
      <w:r>
        <w:t xml:space="preserve">, a minimum percentage of the </w:t>
      </w:r>
      <w:r w:rsidR="0074302E">
        <w:t xml:space="preserve">club’s </w:t>
      </w:r>
      <w:r>
        <w:t xml:space="preserve">net revenue must be a contribution of money. </w:t>
      </w:r>
    </w:p>
    <w:p w14:paraId="76DB334B" w14:textId="62BAF574" w:rsidR="00713C4C" w:rsidRPr="0031101A" w:rsidRDefault="00661EAD" w:rsidP="000F6985">
      <w:pPr>
        <w:rPr>
          <w:bCs/>
        </w:rPr>
      </w:pPr>
      <w:r>
        <w:lastRenderedPageBreak/>
        <w:t xml:space="preserve">This minimum percentage </w:t>
      </w:r>
      <w:bookmarkStart w:id="6" w:name="_Hlk77591875"/>
      <w:r>
        <w:t xml:space="preserve">is 5 per cent for </w:t>
      </w:r>
      <w:r w:rsidR="00AE00AE">
        <w:t xml:space="preserve">each </w:t>
      </w:r>
      <w:r>
        <w:t>reporting year</w:t>
      </w:r>
      <w:r w:rsidR="00AE00AE">
        <w:t xml:space="preserve"> that ends after 30 June 2019 and before 1 July 2021, and </w:t>
      </w:r>
      <w:r>
        <w:t>6 per cent</w:t>
      </w:r>
      <w:r w:rsidR="00AE00AE">
        <w:t xml:space="preserve"> otherwise</w:t>
      </w:r>
      <w:bookmarkEnd w:id="6"/>
      <w:r w:rsidR="00AE00AE">
        <w:t>.</w:t>
      </w:r>
      <w:r w:rsidR="00713C4C">
        <w:t xml:space="preserve"> As noted above, </w:t>
      </w:r>
      <w:r w:rsidR="00713C4C">
        <w:rPr>
          <w:bCs/>
        </w:rPr>
        <w:t>c</w:t>
      </w:r>
      <w:r w:rsidR="00713C4C" w:rsidRPr="0031101A">
        <w:rPr>
          <w:bCs/>
        </w:rPr>
        <w:t>lubs do not all report on a standard (July</w:t>
      </w:r>
      <w:r w:rsidR="00713C4C" w:rsidRPr="0031101A">
        <w:rPr>
          <w:bCs/>
        </w:rPr>
        <w:noBreakHyphen/>
        <w:t>June) financial year</w:t>
      </w:r>
      <w:r w:rsidR="00713C4C">
        <w:rPr>
          <w:bCs/>
        </w:rPr>
        <w:t>.</w:t>
      </w:r>
    </w:p>
    <w:p w14:paraId="40E92C57" w14:textId="524BB696" w:rsidR="00661EAD" w:rsidRDefault="00661EAD" w:rsidP="000F6985"/>
    <w:p w14:paraId="187F5998" w14:textId="38A532F8" w:rsidR="00AE00AE" w:rsidRDefault="0074302E" w:rsidP="000F6985">
      <w:r>
        <w:t>Division 9.5 of t</w:t>
      </w:r>
      <w:r w:rsidR="00AE00AE">
        <w:t>he</w:t>
      </w:r>
      <w:r w:rsidR="00AE00AE" w:rsidRPr="0074302E">
        <w:t xml:space="preserve"> </w:t>
      </w:r>
      <w:r w:rsidRPr="0074302E">
        <w:t>Regulation</w:t>
      </w:r>
      <w:r w:rsidR="00AE00AE">
        <w:t xml:space="preserve"> </w:t>
      </w:r>
      <w:r w:rsidR="00BB7762">
        <w:t>provides for working out of the value and timing of community purpose contributions. These requirements are made under section 167 (7) of the Act and are not disapplied by section 166 (2A) of the Act.</w:t>
      </w:r>
    </w:p>
    <w:p w14:paraId="4FA5DF83" w14:textId="39E619D0" w:rsidR="00BB7762" w:rsidRDefault="00BB7762" w:rsidP="00AE00AE">
      <w:pPr>
        <w:jc w:val="both"/>
      </w:pPr>
    </w:p>
    <w:p w14:paraId="4558399C" w14:textId="68567FF2" w:rsidR="00296141" w:rsidRDefault="00BB7762" w:rsidP="000F6985">
      <w:r>
        <w:t xml:space="preserve">Section 69I requires the </w:t>
      </w:r>
      <w:r w:rsidR="0074302E">
        <w:t xml:space="preserve">club </w:t>
      </w:r>
      <w:r>
        <w:t xml:space="preserve">to deduct from a community purpose contribution a fee or other amount charged in relation to an activity or event held by a club or at a facility owned by a club. </w:t>
      </w:r>
      <w:r w:rsidR="00296141">
        <w:t xml:space="preserve">This requirement applies where the fee or other amount charged is received by the </w:t>
      </w:r>
      <w:r w:rsidR="0074302E">
        <w:t xml:space="preserve">club </w:t>
      </w:r>
      <w:r w:rsidR="00296141">
        <w:t xml:space="preserve">or an associated organisation of the </w:t>
      </w:r>
      <w:r w:rsidR="0074302E">
        <w:t>club</w:t>
      </w:r>
      <w:r w:rsidR="00296141">
        <w:t>. It does not apply, for example, where an entry fee is paid to the performer rather than the club.</w:t>
      </w:r>
    </w:p>
    <w:p w14:paraId="73D4BF89" w14:textId="77777777" w:rsidR="00296141" w:rsidRDefault="00296141" w:rsidP="000F6985"/>
    <w:p w14:paraId="689CD40A" w14:textId="4F229484" w:rsidR="00AE00AE" w:rsidRDefault="00BB7762" w:rsidP="000F6985">
      <w:r>
        <w:t xml:space="preserve">Where the </w:t>
      </w:r>
      <w:r w:rsidR="0074302E">
        <w:t xml:space="preserve">club </w:t>
      </w:r>
      <w:r w:rsidR="00296141">
        <w:t xml:space="preserve">has a clear written record of the amount received by the </w:t>
      </w:r>
      <w:r w:rsidR="0074302E">
        <w:t xml:space="preserve">club </w:t>
      </w:r>
      <w:r w:rsidR="00296141">
        <w:t>or an associated organisation, the value of the contribution must exclude that amount.</w:t>
      </w:r>
    </w:p>
    <w:p w14:paraId="70F38021" w14:textId="488769E0" w:rsidR="00296141" w:rsidRDefault="00296141" w:rsidP="000F6985"/>
    <w:p w14:paraId="0DF581D5" w14:textId="65587744" w:rsidR="00296141" w:rsidRDefault="00296141" w:rsidP="000F6985">
      <w:r>
        <w:t xml:space="preserve">If the </w:t>
      </w:r>
      <w:r w:rsidR="0074302E">
        <w:t xml:space="preserve">club </w:t>
      </w:r>
      <w:r>
        <w:t>does not have a clear written record of the amount received, the contribution is taken to have a value of $0. This provision encourage</w:t>
      </w:r>
      <w:r w:rsidR="009517B7">
        <w:t>s</w:t>
      </w:r>
      <w:r>
        <w:t xml:space="preserve"> clubs to keep proper records of amounts received in relation to events and activities.</w:t>
      </w:r>
    </w:p>
    <w:p w14:paraId="54F55C34" w14:textId="63DF08EF" w:rsidR="00296141" w:rsidRDefault="00296141" w:rsidP="000F6985"/>
    <w:p w14:paraId="341714BD" w14:textId="195BB52A" w:rsidR="00BB7762" w:rsidRPr="0074302E" w:rsidRDefault="00BB7762" w:rsidP="000F6985">
      <w:r>
        <w:t xml:space="preserve">Section 69J establishes </w:t>
      </w:r>
      <w:r w:rsidR="00296141">
        <w:t xml:space="preserve">that a monetary </w:t>
      </w:r>
      <w:r w:rsidRPr="0074302E">
        <w:t>community purpose contribution is mad</w:t>
      </w:r>
      <w:r w:rsidR="00296141" w:rsidRPr="0074302E">
        <w:t>e when the money is given and not when the thing for which the money is given is provided or agreed to</w:t>
      </w:r>
      <w:r w:rsidRPr="0074302E">
        <w:t>.</w:t>
      </w:r>
    </w:p>
    <w:p w14:paraId="03CCC736" w14:textId="77777777" w:rsidR="00BB7762" w:rsidRPr="0074302E" w:rsidRDefault="00BB7762" w:rsidP="000F6985"/>
    <w:p w14:paraId="6B8C86E6" w14:textId="4DCA5E65" w:rsidR="00BB7762" w:rsidRPr="0074302E" w:rsidRDefault="00BB7762" w:rsidP="000F6985">
      <w:pPr>
        <w:keepLines/>
      </w:pPr>
      <w:r w:rsidRPr="0074302E">
        <w:t xml:space="preserve">Section 69K sets out </w:t>
      </w:r>
      <w:r w:rsidR="00296141">
        <w:t xml:space="preserve">that </w:t>
      </w:r>
      <w:r w:rsidR="0074302E">
        <w:t xml:space="preserve">clubs </w:t>
      </w:r>
      <w:r w:rsidR="00296141">
        <w:t xml:space="preserve">must </w:t>
      </w:r>
      <w:r w:rsidRPr="0074302E">
        <w:t>work out the value of in-kind community purpose contributions</w:t>
      </w:r>
      <w:r w:rsidR="00296141">
        <w:t xml:space="preserve"> using either the cost of providing the contribution or the market value of the contribution, and that the </w:t>
      </w:r>
      <w:r w:rsidR="0074302E">
        <w:t xml:space="preserve">club </w:t>
      </w:r>
      <w:r w:rsidR="00296141">
        <w:t>must keep records of its workings and evidence of its costs and market valuations.</w:t>
      </w:r>
    </w:p>
    <w:p w14:paraId="7DFA89BE" w14:textId="77777777" w:rsidR="007E3DF3" w:rsidRPr="00A037CA" w:rsidRDefault="007E3DF3" w:rsidP="00A037CA">
      <w:pPr>
        <w:jc w:val="both"/>
      </w:pPr>
    </w:p>
    <w:p w14:paraId="11AFB477" w14:textId="6BEA835F" w:rsidR="00AB1A2A" w:rsidRPr="00AB1A2A" w:rsidRDefault="00AB1A2A" w:rsidP="00AB1A2A">
      <w:pPr>
        <w:keepNext/>
        <w:spacing w:after="120"/>
        <w:jc w:val="both"/>
        <w:rPr>
          <w:u w:val="single"/>
        </w:rPr>
      </w:pPr>
      <w:r w:rsidRPr="00AB1A2A">
        <w:rPr>
          <w:u w:val="single"/>
        </w:rPr>
        <w:t xml:space="preserve">Other </w:t>
      </w:r>
      <w:r w:rsidR="00F5756B">
        <w:rPr>
          <w:u w:val="single"/>
        </w:rPr>
        <w:t>Requirements</w:t>
      </w:r>
      <w:r w:rsidRPr="00AB1A2A">
        <w:rPr>
          <w:u w:val="single"/>
        </w:rPr>
        <w:t xml:space="preserve"> of th</w:t>
      </w:r>
      <w:r w:rsidR="00F5756B">
        <w:rPr>
          <w:u w:val="single"/>
        </w:rPr>
        <w:t>is</w:t>
      </w:r>
      <w:r w:rsidRPr="00AB1A2A">
        <w:rPr>
          <w:u w:val="single"/>
        </w:rPr>
        <w:t xml:space="preserve"> Declaration</w:t>
      </w:r>
    </w:p>
    <w:p w14:paraId="47DE391E" w14:textId="615ABAE0" w:rsidR="00C919B1" w:rsidRDefault="00C919B1" w:rsidP="000F6985">
      <w:r>
        <w:t>Only contributions that are made after</w:t>
      </w:r>
      <w:r w:rsidR="00AE00AE">
        <w:t xml:space="preserve"> on or after the instrument’s commencement day and on or before 3</w:t>
      </w:r>
      <w:r w:rsidR="007B3D4D">
        <w:t>0</w:t>
      </w:r>
      <w:r w:rsidR="00AE00AE">
        <w:t xml:space="preserve"> </w:t>
      </w:r>
      <w:r w:rsidR="00B976F8">
        <w:t>June 2022</w:t>
      </w:r>
      <w:r w:rsidR="00AE00AE">
        <w:t xml:space="preserve"> </w:t>
      </w:r>
      <w:r>
        <w:t>are community purpose contributions under this declaration.</w:t>
      </w:r>
    </w:p>
    <w:p w14:paraId="0DCAD255" w14:textId="38F3C991" w:rsidR="00761557" w:rsidRDefault="00761557" w:rsidP="000F6985"/>
    <w:p w14:paraId="600DD3DE" w14:textId="2861647E" w:rsidR="0074302E" w:rsidRDefault="00EE587C" w:rsidP="000F6985">
      <w:r w:rsidRPr="000B7E48">
        <w:t xml:space="preserve">The </w:t>
      </w:r>
      <w:r w:rsidR="0025333B" w:rsidRPr="000B7E48">
        <w:t xml:space="preserve">club </w:t>
      </w:r>
      <w:r w:rsidRPr="000B7E48">
        <w:t xml:space="preserve">must reduce the amount of a community purpose contribution claimed by the amount of any other assistance or relief </w:t>
      </w:r>
      <w:r w:rsidR="002253FE">
        <w:t xml:space="preserve">the </w:t>
      </w:r>
      <w:r w:rsidR="0074302E">
        <w:t xml:space="preserve">club </w:t>
      </w:r>
      <w:r w:rsidR="002253FE">
        <w:t xml:space="preserve">has </w:t>
      </w:r>
      <w:r w:rsidRPr="000B7E48">
        <w:t>received</w:t>
      </w:r>
      <w:bookmarkStart w:id="7" w:name="_Hlk48568110"/>
      <w:r w:rsidR="00E165CA">
        <w:t xml:space="preserve"> </w:t>
      </w:r>
      <w:r w:rsidRPr="000B7E48">
        <w:t xml:space="preserve">from the Commonwealth or the </w:t>
      </w:r>
      <w:bookmarkEnd w:id="7"/>
      <w:r w:rsidR="00323C14">
        <w:t>Territory</w:t>
      </w:r>
      <w:r w:rsidRPr="000B7E48">
        <w:t xml:space="preserve">, however described, </w:t>
      </w:r>
      <w:r w:rsidR="00661EAD">
        <w:t xml:space="preserve">for the </w:t>
      </w:r>
      <w:r w:rsidR="00E165CA">
        <w:t>local live performance</w:t>
      </w:r>
      <w:r w:rsidR="00661EAD">
        <w:t xml:space="preserve"> industry.</w:t>
      </w:r>
      <w:r w:rsidR="00AE00AE">
        <w:t xml:space="preserve"> </w:t>
      </w:r>
      <w:r w:rsidR="00713C4C">
        <w:t xml:space="preserve">As it is the </w:t>
      </w:r>
      <w:r w:rsidR="0074302E">
        <w:t xml:space="preserve">club </w:t>
      </w:r>
      <w:r w:rsidR="00713C4C">
        <w:t>that has an obligation to make community contributions under the Act, t</w:t>
      </w:r>
      <w:r w:rsidR="00AE00AE">
        <w:t xml:space="preserve">his requirement is limited to assistance received by the </w:t>
      </w:r>
      <w:r w:rsidR="00517B9D">
        <w:t>club and</w:t>
      </w:r>
      <w:r w:rsidR="00AE00AE">
        <w:t xml:space="preserve"> does not extend to assistance provided directly to performers or industry workers.</w:t>
      </w:r>
    </w:p>
    <w:p w14:paraId="641DAE3B" w14:textId="77777777" w:rsidR="0074302E" w:rsidRDefault="0074302E" w:rsidP="000F6985"/>
    <w:p w14:paraId="01AC7870" w14:textId="774907FA" w:rsidR="00CE10D8" w:rsidRDefault="00EE587C" w:rsidP="00FA39F2">
      <w:r>
        <w:t xml:space="preserve">The </w:t>
      </w:r>
      <w:r w:rsidR="0025333B">
        <w:t xml:space="preserve">club </w:t>
      </w:r>
      <w:r>
        <w:t xml:space="preserve">must keep </w:t>
      </w:r>
      <w:r w:rsidR="00D55B23">
        <w:t xml:space="preserve">a </w:t>
      </w:r>
      <w:r>
        <w:t>record of any amount paid</w:t>
      </w:r>
      <w:r w:rsidR="00B641E3">
        <w:t>, or the value of any in-kind contribution made, to</w:t>
      </w:r>
      <w:r w:rsidR="005124B4" w:rsidRPr="005357EA">
        <w:t>, or for the benefit of, a member of</w:t>
      </w:r>
      <w:r w:rsidR="00B641E3">
        <w:t xml:space="preserve"> </w:t>
      </w:r>
      <w:r w:rsidR="007E3DF3">
        <w:t xml:space="preserve">the </w:t>
      </w:r>
      <w:r w:rsidR="00E165CA">
        <w:t>local live performance</w:t>
      </w:r>
      <w:r w:rsidR="007E3DF3">
        <w:t xml:space="preserve"> industry</w:t>
      </w:r>
      <w:r>
        <w:t xml:space="preserve"> that is claimed as a community purpose contribution.</w:t>
      </w:r>
      <w:bookmarkEnd w:id="0"/>
    </w:p>
    <w:sectPr w:rsidR="00CE10D8" w:rsidSect="00BB6882">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134"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E76F" w14:textId="77777777" w:rsidR="00F31CCA" w:rsidRDefault="00F31CCA">
      <w:r>
        <w:separator/>
      </w:r>
    </w:p>
  </w:endnote>
  <w:endnote w:type="continuationSeparator" w:id="0">
    <w:p w14:paraId="7162554E" w14:textId="77777777" w:rsidR="00F31CCA" w:rsidRDefault="00F3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463C" w14:textId="77777777" w:rsidR="0003296C" w:rsidRDefault="00032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153200"/>
      <w:docPartObj>
        <w:docPartGallery w:val="Page Numbers (Bottom of Page)"/>
        <w:docPartUnique/>
      </w:docPartObj>
    </w:sdtPr>
    <w:sdtEndPr>
      <w:rPr>
        <w:noProof/>
        <w:sz w:val="20"/>
        <w:szCs w:val="20"/>
      </w:rPr>
    </w:sdtEndPr>
    <w:sdtContent>
      <w:p w14:paraId="0CF9E736" w14:textId="258CE95F" w:rsidR="00DF3842" w:rsidRDefault="00793E86" w:rsidP="00DF3842">
        <w:pPr>
          <w:pStyle w:val="Footer"/>
          <w:jc w:val="right"/>
          <w:rPr>
            <w:noProof/>
            <w:sz w:val="20"/>
            <w:szCs w:val="20"/>
          </w:rPr>
        </w:pPr>
        <w:r w:rsidRPr="00793E86">
          <w:rPr>
            <w:sz w:val="20"/>
            <w:szCs w:val="20"/>
          </w:rPr>
          <w:fldChar w:fldCharType="begin"/>
        </w:r>
        <w:r w:rsidRPr="00793E86">
          <w:rPr>
            <w:sz w:val="20"/>
            <w:szCs w:val="20"/>
          </w:rPr>
          <w:instrText xml:space="preserve"> PAGE   \* MERGEFORMAT </w:instrText>
        </w:r>
        <w:r w:rsidRPr="00793E86">
          <w:rPr>
            <w:sz w:val="20"/>
            <w:szCs w:val="20"/>
          </w:rPr>
          <w:fldChar w:fldCharType="separate"/>
        </w:r>
        <w:r w:rsidRPr="00793E86">
          <w:rPr>
            <w:noProof/>
            <w:sz w:val="20"/>
            <w:szCs w:val="20"/>
          </w:rPr>
          <w:t>2</w:t>
        </w:r>
        <w:r w:rsidRPr="00793E86">
          <w:rPr>
            <w:noProof/>
            <w:sz w:val="20"/>
            <w:szCs w:val="20"/>
          </w:rPr>
          <w:fldChar w:fldCharType="end"/>
        </w:r>
      </w:p>
    </w:sdtContent>
  </w:sdt>
  <w:p w14:paraId="29E1AA92" w14:textId="51595A56" w:rsidR="0003296C" w:rsidRPr="0003296C" w:rsidRDefault="0003296C" w:rsidP="0003296C">
    <w:pPr>
      <w:pStyle w:val="Footer"/>
      <w:jc w:val="center"/>
      <w:rPr>
        <w:rFonts w:ascii="Arial" w:hAnsi="Arial" w:cs="Arial"/>
        <w:noProof/>
        <w:sz w:val="14"/>
        <w:szCs w:val="20"/>
      </w:rPr>
    </w:pPr>
    <w:r w:rsidRPr="0003296C">
      <w:rPr>
        <w:rFonts w:ascii="Arial" w:hAnsi="Arial" w:cs="Arial"/>
        <w:noProof/>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BB6C" w14:textId="0CA809CE" w:rsidR="00EC6339" w:rsidRPr="0003296C" w:rsidRDefault="0003296C" w:rsidP="0003296C">
    <w:pPr>
      <w:pStyle w:val="Footer"/>
      <w:jc w:val="center"/>
      <w:rPr>
        <w:rFonts w:ascii="Arial" w:hAnsi="Arial" w:cs="Arial"/>
        <w:sz w:val="14"/>
      </w:rPr>
    </w:pPr>
    <w:r w:rsidRPr="0003296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F4FC" w14:textId="77777777" w:rsidR="00F31CCA" w:rsidRDefault="00F31CCA">
      <w:r>
        <w:separator/>
      </w:r>
    </w:p>
  </w:footnote>
  <w:footnote w:type="continuationSeparator" w:id="0">
    <w:p w14:paraId="3219E53A" w14:textId="77777777" w:rsidR="00F31CCA" w:rsidRDefault="00F3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4418" w14:textId="77777777" w:rsidR="0003296C" w:rsidRDefault="00032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023E" w14:textId="77777777" w:rsidR="0003296C" w:rsidRDefault="00032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AB29" w14:textId="77777777" w:rsidR="0003296C" w:rsidRDefault="00032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8AB"/>
    <w:multiLevelType w:val="hybridMultilevel"/>
    <w:tmpl w:val="FCEA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7075A"/>
    <w:multiLevelType w:val="hybridMultilevel"/>
    <w:tmpl w:val="403CA8CE"/>
    <w:lvl w:ilvl="0" w:tplc="FAAC2F56">
      <w:start w:val="3"/>
      <w:numFmt w:val="bullet"/>
      <w:lvlText w:val="-"/>
      <w:lvlJc w:val="left"/>
      <w:pPr>
        <w:ind w:left="1080" w:hanging="360"/>
      </w:pPr>
      <w:rPr>
        <w:rFonts w:ascii="Times New Roman" w:eastAsia="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7A66124"/>
    <w:multiLevelType w:val="multilevel"/>
    <w:tmpl w:val="BCF0B3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8D0927"/>
    <w:multiLevelType w:val="hybridMultilevel"/>
    <w:tmpl w:val="3E663EB4"/>
    <w:lvl w:ilvl="0" w:tplc="0D04CFCC">
      <w:start w:val="1"/>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D1856"/>
    <w:multiLevelType w:val="hybridMultilevel"/>
    <w:tmpl w:val="9A206140"/>
    <w:lvl w:ilvl="0" w:tplc="55E81170">
      <w:start w:val="1"/>
      <w:numFmt w:val="bullet"/>
      <w:lvlText w:val=""/>
      <w:lvlJc w:val="left"/>
      <w:pPr>
        <w:tabs>
          <w:tab w:val="num" w:pos="927"/>
        </w:tabs>
        <w:ind w:left="851" w:hanging="284"/>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90945"/>
    <w:multiLevelType w:val="multilevel"/>
    <w:tmpl w:val="BCF0B3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245CE9"/>
    <w:multiLevelType w:val="hybridMultilevel"/>
    <w:tmpl w:val="C08C5472"/>
    <w:lvl w:ilvl="0" w:tplc="553E9AB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9436F7"/>
    <w:multiLevelType w:val="hybridMultilevel"/>
    <w:tmpl w:val="ECE0E560"/>
    <w:lvl w:ilvl="0" w:tplc="B814838A">
      <w:start w:val="1"/>
      <w:numFmt w:val="lowerLetter"/>
      <w:lvlText w:val="(%1)"/>
      <w:lvlJc w:val="left"/>
      <w:pPr>
        <w:ind w:left="1778" w:hanging="360"/>
      </w:pPr>
      <w:rPr>
        <w:rFonts w:hint="default"/>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 w15:restartNumberingAfterBreak="0">
    <w:nsid w:val="335872B8"/>
    <w:multiLevelType w:val="hybridMultilevel"/>
    <w:tmpl w:val="39944286"/>
    <w:lvl w:ilvl="0" w:tplc="6DBAF65E">
      <w:start w:val="1"/>
      <w:numFmt w:val="decimal"/>
      <w:pStyle w:val="CS-Paragraphnumbering"/>
      <w:lvlText w:val="%1."/>
      <w:lvlJc w:val="left"/>
      <w:pPr>
        <w:ind w:left="928"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AE5993"/>
    <w:multiLevelType w:val="hybridMultilevel"/>
    <w:tmpl w:val="75B28CEA"/>
    <w:lvl w:ilvl="0" w:tplc="DE48112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292A4F"/>
    <w:multiLevelType w:val="hybridMultilevel"/>
    <w:tmpl w:val="E0387DB8"/>
    <w:lvl w:ilvl="0" w:tplc="0FDCCAE8">
      <w:start w:val="1"/>
      <w:numFmt w:val="lowerLetter"/>
      <w:lvlText w:val="(%1)"/>
      <w:lvlJc w:val="left"/>
      <w:pPr>
        <w:ind w:left="1444" w:hanging="735"/>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45145732"/>
    <w:multiLevelType w:val="hybridMultilevel"/>
    <w:tmpl w:val="BE28BD58"/>
    <w:lvl w:ilvl="0" w:tplc="042686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2" w15:restartNumberingAfterBreak="0">
    <w:nsid w:val="4BB529AC"/>
    <w:multiLevelType w:val="hybridMultilevel"/>
    <w:tmpl w:val="B42EE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032191"/>
    <w:multiLevelType w:val="hybridMultilevel"/>
    <w:tmpl w:val="44E8E88E"/>
    <w:lvl w:ilvl="0" w:tplc="5E3E0176">
      <w:start w:val="1"/>
      <w:numFmt w:val="bullet"/>
      <w:pStyle w:val="CSTalkingPoints"/>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7533DA"/>
    <w:multiLevelType w:val="hybridMultilevel"/>
    <w:tmpl w:val="FB9E77B0"/>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E193B5D"/>
    <w:multiLevelType w:val="hybridMultilevel"/>
    <w:tmpl w:val="A4EA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576B0B"/>
    <w:multiLevelType w:val="hybridMultilevel"/>
    <w:tmpl w:val="5282A6D6"/>
    <w:lvl w:ilvl="0" w:tplc="347A84E8">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A824099"/>
    <w:multiLevelType w:val="hybridMultilevel"/>
    <w:tmpl w:val="DF567CD8"/>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D2C09AE"/>
    <w:multiLevelType w:val="hybridMultilevel"/>
    <w:tmpl w:val="BA2CCF88"/>
    <w:lvl w:ilvl="0" w:tplc="DE48112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C409C2"/>
    <w:multiLevelType w:val="hybridMultilevel"/>
    <w:tmpl w:val="EC4CACB4"/>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0B5133C"/>
    <w:multiLevelType w:val="multilevel"/>
    <w:tmpl w:val="0E2024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B1C23CC"/>
    <w:multiLevelType w:val="hybridMultilevel"/>
    <w:tmpl w:val="E5A6C5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2" w15:restartNumberingAfterBreak="0">
    <w:nsid w:val="7FC217CE"/>
    <w:multiLevelType w:val="multilevel"/>
    <w:tmpl w:val="B900C3FA"/>
    <w:lvl w:ilvl="0">
      <w:start w:val="7"/>
      <w:numFmt w:val="lowerLetter"/>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4"/>
  </w:num>
  <w:num w:numId="2">
    <w:abstractNumId w:val="17"/>
  </w:num>
  <w:num w:numId="3">
    <w:abstractNumId w:val="19"/>
  </w:num>
  <w:num w:numId="4">
    <w:abstractNumId w:val="16"/>
  </w:num>
  <w:num w:numId="5">
    <w:abstractNumId w:val="4"/>
  </w:num>
  <w:num w:numId="6">
    <w:abstractNumId w:val="11"/>
  </w:num>
  <w:num w:numId="7">
    <w:abstractNumId w:val="3"/>
  </w:num>
  <w:num w:numId="8">
    <w:abstractNumId w:val="0"/>
  </w:num>
  <w:num w:numId="9">
    <w:abstractNumId w:val="1"/>
  </w:num>
  <w:num w:numId="10">
    <w:abstractNumId w:val="15"/>
  </w:num>
  <w:num w:numId="11">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0"/>
  </w:num>
  <w:num w:numId="15">
    <w:abstractNumId w:val="8"/>
  </w:num>
  <w:num w:numId="16">
    <w:abstractNumId w:val="21"/>
  </w:num>
  <w:num w:numId="17">
    <w:abstractNumId w:val="2"/>
  </w:num>
  <w:num w:numId="18">
    <w:abstractNumId w:val="20"/>
  </w:num>
  <w:num w:numId="19">
    <w:abstractNumId w:val="5"/>
  </w:num>
  <w:num w:numId="20">
    <w:abstractNumId w:val="7"/>
  </w:num>
  <w:num w:numId="21">
    <w:abstractNumId w:val="12"/>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2B"/>
    <w:rsid w:val="00003AE4"/>
    <w:rsid w:val="000107A1"/>
    <w:rsid w:val="0001199C"/>
    <w:rsid w:val="00012A90"/>
    <w:rsid w:val="00015A9C"/>
    <w:rsid w:val="00020854"/>
    <w:rsid w:val="000219F4"/>
    <w:rsid w:val="00021C84"/>
    <w:rsid w:val="00024CB1"/>
    <w:rsid w:val="0002572B"/>
    <w:rsid w:val="00027139"/>
    <w:rsid w:val="000328C8"/>
    <w:rsid w:val="0003296C"/>
    <w:rsid w:val="00037D81"/>
    <w:rsid w:val="000438B1"/>
    <w:rsid w:val="00063AF2"/>
    <w:rsid w:val="0007549B"/>
    <w:rsid w:val="00080714"/>
    <w:rsid w:val="0008533B"/>
    <w:rsid w:val="0009065F"/>
    <w:rsid w:val="0009067E"/>
    <w:rsid w:val="00090BF7"/>
    <w:rsid w:val="00092BB6"/>
    <w:rsid w:val="0009507D"/>
    <w:rsid w:val="00095BA5"/>
    <w:rsid w:val="000A0EEF"/>
    <w:rsid w:val="000A396A"/>
    <w:rsid w:val="000B41F1"/>
    <w:rsid w:val="000B7E48"/>
    <w:rsid w:val="000C07AA"/>
    <w:rsid w:val="000D52F3"/>
    <w:rsid w:val="000D533F"/>
    <w:rsid w:val="000D7A2C"/>
    <w:rsid w:val="000E4CF2"/>
    <w:rsid w:val="000E60AA"/>
    <w:rsid w:val="000E6864"/>
    <w:rsid w:val="000E759A"/>
    <w:rsid w:val="000F6985"/>
    <w:rsid w:val="000F7E31"/>
    <w:rsid w:val="001013D7"/>
    <w:rsid w:val="00103089"/>
    <w:rsid w:val="00106260"/>
    <w:rsid w:val="00106306"/>
    <w:rsid w:val="00107940"/>
    <w:rsid w:val="00110FC0"/>
    <w:rsid w:val="00112A9F"/>
    <w:rsid w:val="00115D4F"/>
    <w:rsid w:val="001168E6"/>
    <w:rsid w:val="0012003F"/>
    <w:rsid w:val="0012282E"/>
    <w:rsid w:val="001267B3"/>
    <w:rsid w:val="00144027"/>
    <w:rsid w:val="00144984"/>
    <w:rsid w:val="001449C6"/>
    <w:rsid w:val="001472D5"/>
    <w:rsid w:val="00152CFD"/>
    <w:rsid w:val="001555FA"/>
    <w:rsid w:val="001647FC"/>
    <w:rsid w:val="00174A59"/>
    <w:rsid w:val="001750CA"/>
    <w:rsid w:val="001911F9"/>
    <w:rsid w:val="001955AE"/>
    <w:rsid w:val="0019751F"/>
    <w:rsid w:val="001A4183"/>
    <w:rsid w:val="001A5C1B"/>
    <w:rsid w:val="001A6955"/>
    <w:rsid w:val="001A7856"/>
    <w:rsid w:val="001B251D"/>
    <w:rsid w:val="001B275B"/>
    <w:rsid w:val="001C704B"/>
    <w:rsid w:val="001D6A27"/>
    <w:rsid w:val="001D6F55"/>
    <w:rsid w:val="001E77F4"/>
    <w:rsid w:val="001F14EC"/>
    <w:rsid w:val="001F3822"/>
    <w:rsid w:val="001F575C"/>
    <w:rsid w:val="0020111E"/>
    <w:rsid w:val="00206F6D"/>
    <w:rsid w:val="00212423"/>
    <w:rsid w:val="0021273C"/>
    <w:rsid w:val="002233C5"/>
    <w:rsid w:val="002253FE"/>
    <w:rsid w:val="00226E00"/>
    <w:rsid w:val="00231A9A"/>
    <w:rsid w:val="00234EF0"/>
    <w:rsid w:val="00236585"/>
    <w:rsid w:val="0023727D"/>
    <w:rsid w:val="00240E3F"/>
    <w:rsid w:val="00245C13"/>
    <w:rsid w:val="00246E0C"/>
    <w:rsid w:val="0025333B"/>
    <w:rsid w:val="00254164"/>
    <w:rsid w:val="002615E3"/>
    <w:rsid w:val="002620DE"/>
    <w:rsid w:val="00264F68"/>
    <w:rsid w:val="00271938"/>
    <w:rsid w:val="00276E8D"/>
    <w:rsid w:val="00277BEB"/>
    <w:rsid w:val="00280CE2"/>
    <w:rsid w:val="00287F64"/>
    <w:rsid w:val="00296141"/>
    <w:rsid w:val="002A2F40"/>
    <w:rsid w:val="002B0870"/>
    <w:rsid w:val="002B2389"/>
    <w:rsid w:val="002B33D0"/>
    <w:rsid w:val="002B495F"/>
    <w:rsid w:val="002B566F"/>
    <w:rsid w:val="002B77C6"/>
    <w:rsid w:val="002C0567"/>
    <w:rsid w:val="002C7375"/>
    <w:rsid w:val="002D07EA"/>
    <w:rsid w:val="002D796F"/>
    <w:rsid w:val="002E07D3"/>
    <w:rsid w:val="002E208B"/>
    <w:rsid w:val="002E3856"/>
    <w:rsid w:val="002E3934"/>
    <w:rsid w:val="002E463C"/>
    <w:rsid w:val="002F1CE7"/>
    <w:rsid w:val="002F1F60"/>
    <w:rsid w:val="002F36E3"/>
    <w:rsid w:val="002F5E06"/>
    <w:rsid w:val="002F7B07"/>
    <w:rsid w:val="00301F18"/>
    <w:rsid w:val="00301FE9"/>
    <w:rsid w:val="0031101A"/>
    <w:rsid w:val="00323C14"/>
    <w:rsid w:val="0032588A"/>
    <w:rsid w:val="0034027A"/>
    <w:rsid w:val="00347A85"/>
    <w:rsid w:val="00351FA2"/>
    <w:rsid w:val="003547E4"/>
    <w:rsid w:val="0035756B"/>
    <w:rsid w:val="00357D95"/>
    <w:rsid w:val="00360EFB"/>
    <w:rsid w:val="00361A73"/>
    <w:rsid w:val="00365326"/>
    <w:rsid w:val="003778E2"/>
    <w:rsid w:val="0038117C"/>
    <w:rsid w:val="00391A74"/>
    <w:rsid w:val="003A37B1"/>
    <w:rsid w:val="003A5901"/>
    <w:rsid w:val="003B629D"/>
    <w:rsid w:val="003C1E9B"/>
    <w:rsid w:val="003D6C5F"/>
    <w:rsid w:val="003D7176"/>
    <w:rsid w:val="003D763E"/>
    <w:rsid w:val="003E28A4"/>
    <w:rsid w:val="003E4F88"/>
    <w:rsid w:val="003E64F5"/>
    <w:rsid w:val="003F4874"/>
    <w:rsid w:val="00403F00"/>
    <w:rsid w:val="0041060A"/>
    <w:rsid w:val="00415D57"/>
    <w:rsid w:val="004270D5"/>
    <w:rsid w:val="00432CF1"/>
    <w:rsid w:val="00440BD3"/>
    <w:rsid w:val="00440DE3"/>
    <w:rsid w:val="004417B6"/>
    <w:rsid w:val="004432F8"/>
    <w:rsid w:val="00444673"/>
    <w:rsid w:val="0044674C"/>
    <w:rsid w:val="00450097"/>
    <w:rsid w:val="00451EC8"/>
    <w:rsid w:val="0045473C"/>
    <w:rsid w:val="004674AC"/>
    <w:rsid w:val="00470E22"/>
    <w:rsid w:val="00474423"/>
    <w:rsid w:val="00475A48"/>
    <w:rsid w:val="00484412"/>
    <w:rsid w:val="004A0410"/>
    <w:rsid w:val="004A488D"/>
    <w:rsid w:val="004B454E"/>
    <w:rsid w:val="004B61CD"/>
    <w:rsid w:val="004C2192"/>
    <w:rsid w:val="004C4138"/>
    <w:rsid w:val="004C41A6"/>
    <w:rsid w:val="004D0EB1"/>
    <w:rsid w:val="004E3121"/>
    <w:rsid w:val="004E76A4"/>
    <w:rsid w:val="004F217D"/>
    <w:rsid w:val="00502ECF"/>
    <w:rsid w:val="005110BE"/>
    <w:rsid w:val="005124B4"/>
    <w:rsid w:val="0051546C"/>
    <w:rsid w:val="00517B9D"/>
    <w:rsid w:val="00520086"/>
    <w:rsid w:val="0052129F"/>
    <w:rsid w:val="00525744"/>
    <w:rsid w:val="005357EA"/>
    <w:rsid w:val="0054400C"/>
    <w:rsid w:val="005467E0"/>
    <w:rsid w:val="00553699"/>
    <w:rsid w:val="0055534D"/>
    <w:rsid w:val="005559EE"/>
    <w:rsid w:val="00556C73"/>
    <w:rsid w:val="00564C14"/>
    <w:rsid w:val="00567094"/>
    <w:rsid w:val="00567928"/>
    <w:rsid w:val="00567B01"/>
    <w:rsid w:val="005724D1"/>
    <w:rsid w:val="00572875"/>
    <w:rsid w:val="00573FAA"/>
    <w:rsid w:val="005775A9"/>
    <w:rsid w:val="0058044A"/>
    <w:rsid w:val="00580E39"/>
    <w:rsid w:val="00587D42"/>
    <w:rsid w:val="005A45D5"/>
    <w:rsid w:val="005A4AA8"/>
    <w:rsid w:val="005A55BF"/>
    <w:rsid w:val="005B3BC0"/>
    <w:rsid w:val="005B4918"/>
    <w:rsid w:val="005B5B42"/>
    <w:rsid w:val="005C03A7"/>
    <w:rsid w:val="005C38D4"/>
    <w:rsid w:val="005C46FA"/>
    <w:rsid w:val="005D179F"/>
    <w:rsid w:val="005D7AC6"/>
    <w:rsid w:val="005E1F6B"/>
    <w:rsid w:val="005E203B"/>
    <w:rsid w:val="005E68C0"/>
    <w:rsid w:val="005F13D5"/>
    <w:rsid w:val="005F74A7"/>
    <w:rsid w:val="00605C44"/>
    <w:rsid w:val="00613A75"/>
    <w:rsid w:val="006176A5"/>
    <w:rsid w:val="006200D4"/>
    <w:rsid w:val="00621085"/>
    <w:rsid w:val="00630E06"/>
    <w:rsid w:val="00636460"/>
    <w:rsid w:val="0064023A"/>
    <w:rsid w:val="00646E43"/>
    <w:rsid w:val="006551EF"/>
    <w:rsid w:val="006619A0"/>
    <w:rsid w:val="00661EAD"/>
    <w:rsid w:val="006700DC"/>
    <w:rsid w:val="00681150"/>
    <w:rsid w:val="006841D0"/>
    <w:rsid w:val="006866D9"/>
    <w:rsid w:val="0069477D"/>
    <w:rsid w:val="006A5EFA"/>
    <w:rsid w:val="006B21F4"/>
    <w:rsid w:val="006B3778"/>
    <w:rsid w:val="006B6270"/>
    <w:rsid w:val="006C28B5"/>
    <w:rsid w:val="006C2F7E"/>
    <w:rsid w:val="006C5A7A"/>
    <w:rsid w:val="006D01DD"/>
    <w:rsid w:val="006D05D3"/>
    <w:rsid w:val="006D11D5"/>
    <w:rsid w:val="006E0F2A"/>
    <w:rsid w:val="006E2E14"/>
    <w:rsid w:val="006F0C8B"/>
    <w:rsid w:val="006F1E1D"/>
    <w:rsid w:val="006F4FC9"/>
    <w:rsid w:val="006F7313"/>
    <w:rsid w:val="006F7D35"/>
    <w:rsid w:val="0070440E"/>
    <w:rsid w:val="00704FBF"/>
    <w:rsid w:val="00705368"/>
    <w:rsid w:val="0071056F"/>
    <w:rsid w:val="00712EC1"/>
    <w:rsid w:val="00713C4C"/>
    <w:rsid w:val="00714603"/>
    <w:rsid w:val="007164DD"/>
    <w:rsid w:val="00716F85"/>
    <w:rsid w:val="007231A3"/>
    <w:rsid w:val="00723DB7"/>
    <w:rsid w:val="007260C6"/>
    <w:rsid w:val="00735326"/>
    <w:rsid w:val="00735531"/>
    <w:rsid w:val="0074302E"/>
    <w:rsid w:val="00744AF5"/>
    <w:rsid w:val="00746834"/>
    <w:rsid w:val="0074686E"/>
    <w:rsid w:val="00761557"/>
    <w:rsid w:val="00771172"/>
    <w:rsid w:val="00774D5F"/>
    <w:rsid w:val="00792857"/>
    <w:rsid w:val="00793E86"/>
    <w:rsid w:val="0079659E"/>
    <w:rsid w:val="00797638"/>
    <w:rsid w:val="007A421A"/>
    <w:rsid w:val="007B3D4D"/>
    <w:rsid w:val="007B4393"/>
    <w:rsid w:val="007B4B51"/>
    <w:rsid w:val="007B6608"/>
    <w:rsid w:val="007B6D6B"/>
    <w:rsid w:val="007C30BC"/>
    <w:rsid w:val="007C4181"/>
    <w:rsid w:val="007D6963"/>
    <w:rsid w:val="007E2B0F"/>
    <w:rsid w:val="007E3DF3"/>
    <w:rsid w:val="007E7D78"/>
    <w:rsid w:val="007F5A69"/>
    <w:rsid w:val="00801AF8"/>
    <w:rsid w:val="0080382F"/>
    <w:rsid w:val="008048F6"/>
    <w:rsid w:val="00804B90"/>
    <w:rsid w:val="008057A3"/>
    <w:rsid w:val="00806A1B"/>
    <w:rsid w:val="00807D21"/>
    <w:rsid w:val="00845E35"/>
    <w:rsid w:val="00847E72"/>
    <w:rsid w:val="00854646"/>
    <w:rsid w:val="00854772"/>
    <w:rsid w:val="008547FF"/>
    <w:rsid w:val="00860C8A"/>
    <w:rsid w:val="00860D0F"/>
    <w:rsid w:val="00863A2A"/>
    <w:rsid w:val="00874B9D"/>
    <w:rsid w:val="0087628B"/>
    <w:rsid w:val="00877B2D"/>
    <w:rsid w:val="00883E97"/>
    <w:rsid w:val="00884E6F"/>
    <w:rsid w:val="00885462"/>
    <w:rsid w:val="00891D32"/>
    <w:rsid w:val="008A0CEC"/>
    <w:rsid w:val="008A30A3"/>
    <w:rsid w:val="008A3164"/>
    <w:rsid w:val="008A7368"/>
    <w:rsid w:val="008A7873"/>
    <w:rsid w:val="008C15D4"/>
    <w:rsid w:val="008C5D5B"/>
    <w:rsid w:val="008D2C21"/>
    <w:rsid w:val="008E33D0"/>
    <w:rsid w:val="008E5208"/>
    <w:rsid w:val="008E6ECD"/>
    <w:rsid w:val="008F21E4"/>
    <w:rsid w:val="009058EB"/>
    <w:rsid w:val="00916384"/>
    <w:rsid w:val="009168E2"/>
    <w:rsid w:val="009173C1"/>
    <w:rsid w:val="009223D7"/>
    <w:rsid w:val="00924D82"/>
    <w:rsid w:val="00925EB2"/>
    <w:rsid w:val="0092666E"/>
    <w:rsid w:val="00931307"/>
    <w:rsid w:val="00933A89"/>
    <w:rsid w:val="00933D69"/>
    <w:rsid w:val="0093723F"/>
    <w:rsid w:val="00940140"/>
    <w:rsid w:val="009433B8"/>
    <w:rsid w:val="00943CBE"/>
    <w:rsid w:val="009455FC"/>
    <w:rsid w:val="00947F53"/>
    <w:rsid w:val="009503E8"/>
    <w:rsid w:val="00950945"/>
    <w:rsid w:val="009517B7"/>
    <w:rsid w:val="0095370D"/>
    <w:rsid w:val="009574B2"/>
    <w:rsid w:val="00957980"/>
    <w:rsid w:val="00960C96"/>
    <w:rsid w:val="00962E3B"/>
    <w:rsid w:val="00963D57"/>
    <w:rsid w:val="00967A29"/>
    <w:rsid w:val="00970226"/>
    <w:rsid w:val="00972878"/>
    <w:rsid w:val="00974DB1"/>
    <w:rsid w:val="00975385"/>
    <w:rsid w:val="009962B1"/>
    <w:rsid w:val="009A1599"/>
    <w:rsid w:val="009B23A9"/>
    <w:rsid w:val="009B39D2"/>
    <w:rsid w:val="009B40A5"/>
    <w:rsid w:val="009B6E45"/>
    <w:rsid w:val="009D53C4"/>
    <w:rsid w:val="009E4385"/>
    <w:rsid w:val="00A037CA"/>
    <w:rsid w:val="00A113E9"/>
    <w:rsid w:val="00A12C85"/>
    <w:rsid w:val="00A138C6"/>
    <w:rsid w:val="00A145DD"/>
    <w:rsid w:val="00A160C5"/>
    <w:rsid w:val="00A252B7"/>
    <w:rsid w:val="00A4468B"/>
    <w:rsid w:val="00A45F5D"/>
    <w:rsid w:val="00A4680E"/>
    <w:rsid w:val="00A4723F"/>
    <w:rsid w:val="00A53AE6"/>
    <w:rsid w:val="00A548B2"/>
    <w:rsid w:val="00A753C3"/>
    <w:rsid w:val="00A82C81"/>
    <w:rsid w:val="00A92006"/>
    <w:rsid w:val="00A97A86"/>
    <w:rsid w:val="00AA3A0F"/>
    <w:rsid w:val="00AB1A2A"/>
    <w:rsid w:val="00AB3985"/>
    <w:rsid w:val="00AB6067"/>
    <w:rsid w:val="00AB7C62"/>
    <w:rsid w:val="00AC0104"/>
    <w:rsid w:val="00AC5078"/>
    <w:rsid w:val="00AC58F1"/>
    <w:rsid w:val="00AC5FD0"/>
    <w:rsid w:val="00AD2E74"/>
    <w:rsid w:val="00AD4B74"/>
    <w:rsid w:val="00AE00AE"/>
    <w:rsid w:val="00AE05E4"/>
    <w:rsid w:val="00AE350D"/>
    <w:rsid w:val="00AF0BB4"/>
    <w:rsid w:val="00AF260E"/>
    <w:rsid w:val="00AF5B0A"/>
    <w:rsid w:val="00AF5DD3"/>
    <w:rsid w:val="00B009C3"/>
    <w:rsid w:val="00B0329C"/>
    <w:rsid w:val="00B104F0"/>
    <w:rsid w:val="00B132D3"/>
    <w:rsid w:val="00B14696"/>
    <w:rsid w:val="00B15F33"/>
    <w:rsid w:val="00B33246"/>
    <w:rsid w:val="00B420AB"/>
    <w:rsid w:val="00B46063"/>
    <w:rsid w:val="00B52426"/>
    <w:rsid w:val="00B537FB"/>
    <w:rsid w:val="00B61FC0"/>
    <w:rsid w:val="00B641E3"/>
    <w:rsid w:val="00B7034A"/>
    <w:rsid w:val="00B77A07"/>
    <w:rsid w:val="00B846DB"/>
    <w:rsid w:val="00B96EA2"/>
    <w:rsid w:val="00B976F8"/>
    <w:rsid w:val="00BA62CF"/>
    <w:rsid w:val="00BB0CF5"/>
    <w:rsid w:val="00BB16CA"/>
    <w:rsid w:val="00BB30A6"/>
    <w:rsid w:val="00BB38D9"/>
    <w:rsid w:val="00BB476C"/>
    <w:rsid w:val="00BB6001"/>
    <w:rsid w:val="00BB6882"/>
    <w:rsid w:val="00BB6CB9"/>
    <w:rsid w:val="00BB7762"/>
    <w:rsid w:val="00BC11BE"/>
    <w:rsid w:val="00BC20B1"/>
    <w:rsid w:val="00BD330F"/>
    <w:rsid w:val="00BD692B"/>
    <w:rsid w:val="00BD77CA"/>
    <w:rsid w:val="00BE122B"/>
    <w:rsid w:val="00BE1ED4"/>
    <w:rsid w:val="00BE3C1E"/>
    <w:rsid w:val="00BE602F"/>
    <w:rsid w:val="00BE7337"/>
    <w:rsid w:val="00BF145F"/>
    <w:rsid w:val="00BF1857"/>
    <w:rsid w:val="00BF1867"/>
    <w:rsid w:val="00BF7C90"/>
    <w:rsid w:val="00C164DD"/>
    <w:rsid w:val="00C20800"/>
    <w:rsid w:val="00C27AA4"/>
    <w:rsid w:val="00C31580"/>
    <w:rsid w:val="00C31974"/>
    <w:rsid w:val="00C41A49"/>
    <w:rsid w:val="00C54D79"/>
    <w:rsid w:val="00C7293C"/>
    <w:rsid w:val="00C76941"/>
    <w:rsid w:val="00C851CE"/>
    <w:rsid w:val="00C919B1"/>
    <w:rsid w:val="00CA0574"/>
    <w:rsid w:val="00CA662D"/>
    <w:rsid w:val="00CB0702"/>
    <w:rsid w:val="00CB6D14"/>
    <w:rsid w:val="00CB6E09"/>
    <w:rsid w:val="00CC3801"/>
    <w:rsid w:val="00CC5D48"/>
    <w:rsid w:val="00CE0DC6"/>
    <w:rsid w:val="00CE10D8"/>
    <w:rsid w:val="00CE35BB"/>
    <w:rsid w:val="00CE3654"/>
    <w:rsid w:val="00CF0375"/>
    <w:rsid w:val="00CF08E1"/>
    <w:rsid w:val="00CF0ECD"/>
    <w:rsid w:val="00CF1456"/>
    <w:rsid w:val="00D03633"/>
    <w:rsid w:val="00D06640"/>
    <w:rsid w:val="00D06FCD"/>
    <w:rsid w:val="00D10961"/>
    <w:rsid w:val="00D22DEA"/>
    <w:rsid w:val="00D336B0"/>
    <w:rsid w:val="00D34B00"/>
    <w:rsid w:val="00D444E6"/>
    <w:rsid w:val="00D5394B"/>
    <w:rsid w:val="00D55B23"/>
    <w:rsid w:val="00D569F1"/>
    <w:rsid w:val="00D57830"/>
    <w:rsid w:val="00D657F4"/>
    <w:rsid w:val="00D7005F"/>
    <w:rsid w:val="00D70FEA"/>
    <w:rsid w:val="00D723A9"/>
    <w:rsid w:val="00D72B50"/>
    <w:rsid w:val="00D74E89"/>
    <w:rsid w:val="00D75B60"/>
    <w:rsid w:val="00D76E20"/>
    <w:rsid w:val="00D86025"/>
    <w:rsid w:val="00D908F1"/>
    <w:rsid w:val="00D91333"/>
    <w:rsid w:val="00D93C9C"/>
    <w:rsid w:val="00D958CB"/>
    <w:rsid w:val="00D9730A"/>
    <w:rsid w:val="00DA03FA"/>
    <w:rsid w:val="00DA6026"/>
    <w:rsid w:val="00DA73CC"/>
    <w:rsid w:val="00DB2E56"/>
    <w:rsid w:val="00DB4750"/>
    <w:rsid w:val="00DD704B"/>
    <w:rsid w:val="00DE1AB8"/>
    <w:rsid w:val="00DE2FA6"/>
    <w:rsid w:val="00DE4337"/>
    <w:rsid w:val="00DE591C"/>
    <w:rsid w:val="00DE6DB2"/>
    <w:rsid w:val="00DF21E5"/>
    <w:rsid w:val="00DF2607"/>
    <w:rsid w:val="00DF2F46"/>
    <w:rsid w:val="00DF3842"/>
    <w:rsid w:val="00E0109F"/>
    <w:rsid w:val="00E064DD"/>
    <w:rsid w:val="00E11A01"/>
    <w:rsid w:val="00E15E24"/>
    <w:rsid w:val="00E165CA"/>
    <w:rsid w:val="00E21872"/>
    <w:rsid w:val="00E2427C"/>
    <w:rsid w:val="00E31AF1"/>
    <w:rsid w:val="00E44452"/>
    <w:rsid w:val="00E51479"/>
    <w:rsid w:val="00E643A8"/>
    <w:rsid w:val="00E70128"/>
    <w:rsid w:val="00E74CF9"/>
    <w:rsid w:val="00E76E62"/>
    <w:rsid w:val="00E85B84"/>
    <w:rsid w:val="00E91F7A"/>
    <w:rsid w:val="00E971CC"/>
    <w:rsid w:val="00E976E0"/>
    <w:rsid w:val="00EA04D3"/>
    <w:rsid w:val="00EA4763"/>
    <w:rsid w:val="00EA75F5"/>
    <w:rsid w:val="00EB2527"/>
    <w:rsid w:val="00EB5F55"/>
    <w:rsid w:val="00EC34CD"/>
    <w:rsid w:val="00EC5DAD"/>
    <w:rsid w:val="00EC6339"/>
    <w:rsid w:val="00ED629D"/>
    <w:rsid w:val="00EE15DA"/>
    <w:rsid w:val="00EE587C"/>
    <w:rsid w:val="00EF152D"/>
    <w:rsid w:val="00EF698D"/>
    <w:rsid w:val="00F03444"/>
    <w:rsid w:val="00F06709"/>
    <w:rsid w:val="00F1342D"/>
    <w:rsid w:val="00F13BA6"/>
    <w:rsid w:val="00F14C76"/>
    <w:rsid w:val="00F161EC"/>
    <w:rsid w:val="00F30920"/>
    <w:rsid w:val="00F3133E"/>
    <w:rsid w:val="00F31CCA"/>
    <w:rsid w:val="00F353B7"/>
    <w:rsid w:val="00F40BFD"/>
    <w:rsid w:val="00F46E31"/>
    <w:rsid w:val="00F47FF6"/>
    <w:rsid w:val="00F515B4"/>
    <w:rsid w:val="00F54F39"/>
    <w:rsid w:val="00F54FE7"/>
    <w:rsid w:val="00F550F2"/>
    <w:rsid w:val="00F5756B"/>
    <w:rsid w:val="00F602D2"/>
    <w:rsid w:val="00F604EE"/>
    <w:rsid w:val="00F61E27"/>
    <w:rsid w:val="00F65AB2"/>
    <w:rsid w:val="00F7011A"/>
    <w:rsid w:val="00F75517"/>
    <w:rsid w:val="00F84959"/>
    <w:rsid w:val="00F869A6"/>
    <w:rsid w:val="00F86CA2"/>
    <w:rsid w:val="00F90C96"/>
    <w:rsid w:val="00F9111D"/>
    <w:rsid w:val="00F94A69"/>
    <w:rsid w:val="00FA35AE"/>
    <w:rsid w:val="00FA39F2"/>
    <w:rsid w:val="00FA4CF4"/>
    <w:rsid w:val="00FB11EF"/>
    <w:rsid w:val="00FB4447"/>
    <w:rsid w:val="00FB61C4"/>
    <w:rsid w:val="00FB759F"/>
    <w:rsid w:val="00FD19AA"/>
    <w:rsid w:val="00FD25F4"/>
    <w:rsid w:val="00FD77B2"/>
    <w:rsid w:val="00FE019B"/>
    <w:rsid w:val="00FE14C3"/>
    <w:rsid w:val="00FF15E7"/>
    <w:rsid w:val="00FF7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9C7EC"/>
  <w14:defaultImageDpi w14:val="0"/>
  <w15:docId w15:val="{07F4001D-2DC9-49D8-BEFB-7552D34C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annotation text" w:uiPriority="99"/>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annotation reference" w:uiPriority="99"/>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270"/>
    <w:rPr>
      <w:sz w:val="24"/>
      <w:szCs w:val="24"/>
      <w:lang w:eastAsia="en-US"/>
    </w:rPr>
  </w:style>
  <w:style w:type="paragraph" w:styleId="Heading1">
    <w:name w:val="heading 1"/>
    <w:basedOn w:val="Normal"/>
    <w:next w:val="Normal"/>
    <w:link w:val="Heading1Char"/>
    <w:uiPriority w:val="9"/>
    <w:qFormat/>
    <w:rsid w:val="006B6270"/>
    <w:pPr>
      <w:keepNext/>
      <w:spacing w:before="6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6B6270"/>
    <w:pPr>
      <w:keepNext/>
      <w:jc w:val="center"/>
      <w:outlineLvl w:val="1"/>
    </w:pPr>
    <w:rPr>
      <w:b/>
      <w:bCs/>
    </w:rPr>
  </w:style>
  <w:style w:type="paragraph" w:styleId="Heading3">
    <w:name w:val="heading 3"/>
    <w:basedOn w:val="Normal"/>
    <w:next w:val="Normal"/>
    <w:link w:val="Heading3Char"/>
    <w:uiPriority w:val="9"/>
    <w:qFormat/>
    <w:rsid w:val="006B6270"/>
    <w:pPr>
      <w:keepNext/>
      <w:outlineLvl w:val="2"/>
    </w:pPr>
    <w:rPr>
      <w:rFonts w:ascii="Arial" w:hAnsi="Arial" w:cs="Arial"/>
      <w:b/>
      <w:bCs/>
      <w:sz w:val="28"/>
      <w:szCs w:val="28"/>
    </w:rPr>
  </w:style>
  <w:style w:type="paragraph" w:styleId="Heading4">
    <w:name w:val="heading 4"/>
    <w:basedOn w:val="Normal"/>
    <w:next w:val="Normal"/>
    <w:link w:val="Heading4Char"/>
    <w:uiPriority w:val="9"/>
    <w:qFormat/>
    <w:rsid w:val="006B627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6270"/>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locked/>
    <w:rsid w:val="006B6270"/>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6B6270"/>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sid w:val="006B6270"/>
    <w:rPr>
      <w:rFonts w:ascii="Calibri" w:hAnsi="Calibri" w:cs="Times New Roman"/>
      <w:b/>
      <w:bCs/>
      <w:sz w:val="28"/>
      <w:szCs w:val="28"/>
      <w:lang w:val="x-none" w:eastAsia="en-US"/>
    </w:rPr>
  </w:style>
  <w:style w:type="paragraph" w:customStyle="1" w:styleId="Billname">
    <w:name w:val="Billname"/>
    <w:basedOn w:val="Normal"/>
    <w:rsid w:val="006B6270"/>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rsid w:val="006B6270"/>
    <w:pPr>
      <w:pBdr>
        <w:bottom w:val="single" w:sz="12" w:space="1" w:color="auto"/>
      </w:pBdr>
      <w:jc w:val="both"/>
    </w:pPr>
  </w:style>
  <w:style w:type="paragraph" w:customStyle="1" w:styleId="madeunder">
    <w:name w:val="made under"/>
    <w:basedOn w:val="Normal"/>
    <w:rsid w:val="006B6270"/>
    <w:pPr>
      <w:spacing w:before="180" w:after="60"/>
      <w:jc w:val="both"/>
    </w:pPr>
  </w:style>
  <w:style w:type="paragraph" w:customStyle="1" w:styleId="CoverActName">
    <w:name w:val="CoverActName"/>
    <w:basedOn w:val="Normal"/>
    <w:rsid w:val="006B6270"/>
    <w:pPr>
      <w:tabs>
        <w:tab w:val="left" w:pos="2600"/>
      </w:tabs>
      <w:spacing w:before="200" w:after="60"/>
      <w:jc w:val="both"/>
    </w:pPr>
    <w:rPr>
      <w:rFonts w:ascii="Arial" w:hAnsi="Arial" w:cs="Arial"/>
      <w:b/>
      <w:bCs/>
    </w:rPr>
  </w:style>
  <w:style w:type="paragraph" w:styleId="BodyTextIndent">
    <w:name w:val="Body Text Indent"/>
    <w:basedOn w:val="Normal"/>
    <w:link w:val="BodyTextIndentChar"/>
    <w:uiPriority w:val="99"/>
    <w:rsid w:val="006B6270"/>
    <w:pPr>
      <w:ind w:left="567"/>
    </w:pPr>
    <w:rPr>
      <w:rFonts w:ascii="CG Times (WN)" w:hAnsi="CG Times (WN)"/>
      <w:lang w:val="en-GB"/>
    </w:rPr>
  </w:style>
  <w:style w:type="character" w:customStyle="1" w:styleId="BodyTextIndentChar">
    <w:name w:val="Body Text Indent Char"/>
    <w:basedOn w:val="DefaultParagraphFont"/>
    <w:link w:val="BodyTextIndent"/>
    <w:uiPriority w:val="99"/>
    <w:semiHidden/>
    <w:locked/>
    <w:rsid w:val="006B6270"/>
    <w:rPr>
      <w:rFonts w:cs="Times New Roman"/>
      <w:sz w:val="24"/>
      <w:szCs w:val="24"/>
      <w:lang w:val="x-none" w:eastAsia="en-US"/>
    </w:rPr>
  </w:style>
  <w:style w:type="paragraph" w:customStyle="1" w:styleId="Amain">
    <w:name w:val="A main"/>
    <w:basedOn w:val="Normal"/>
    <w:rsid w:val="006B6270"/>
    <w:pPr>
      <w:tabs>
        <w:tab w:val="right" w:pos="500"/>
        <w:tab w:val="left" w:pos="700"/>
      </w:tabs>
      <w:spacing w:before="80" w:after="60"/>
      <w:ind w:left="700" w:hanging="700"/>
      <w:jc w:val="both"/>
      <w:outlineLvl w:val="5"/>
    </w:pPr>
  </w:style>
  <w:style w:type="paragraph" w:styleId="Header">
    <w:name w:val="header"/>
    <w:basedOn w:val="Normal"/>
    <w:link w:val="HeaderChar"/>
    <w:uiPriority w:val="99"/>
    <w:rsid w:val="006B6270"/>
    <w:pPr>
      <w:tabs>
        <w:tab w:val="center" w:pos="4153"/>
        <w:tab w:val="right" w:pos="8306"/>
      </w:tabs>
    </w:pPr>
  </w:style>
  <w:style w:type="character" w:customStyle="1" w:styleId="HeaderChar">
    <w:name w:val="Header Char"/>
    <w:basedOn w:val="DefaultParagraphFont"/>
    <w:link w:val="Header"/>
    <w:uiPriority w:val="99"/>
    <w:locked/>
    <w:rsid w:val="006B6270"/>
    <w:rPr>
      <w:rFonts w:cs="Times New Roman"/>
      <w:sz w:val="24"/>
      <w:szCs w:val="24"/>
      <w:lang w:val="x-none" w:eastAsia="en-US"/>
    </w:rPr>
  </w:style>
  <w:style w:type="paragraph" w:styleId="Footer">
    <w:name w:val="footer"/>
    <w:basedOn w:val="Normal"/>
    <w:link w:val="FooterChar"/>
    <w:uiPriority w:val="99"/>
    <w:rsid w:val="006B6270"/>
    <w:pPr>
      <w:tabs>
        <w:tab w:val="center" w:pos="4153"/>
        <w:tab w:val="right" w:pos="8306"/>
      </w:tabs>
    </w:pPr>
  </w:style>
  <w:style w:type="character" w:customStyle="1" w:styleId="FooterChar">
    <w:name w:val="Footer Char"/>
    <w:basedOn w:val="DefaultParagraphFont"/>
    <w:link w:val="Footer"/>
    <w:uiPriority w:val="99"/>
    <w:locked/>
    <w:rsid w:val="006B6270"/>
    <w:rPr>
      <w:rFonts w:cs="Times New Roman"/>
      <w:sz w:val="24"/>
      <w:szCs w:val="24"/>
      <w:lang w:val="x-none" w:eastAsia="en-US"/>
    </w:rPr>
  </w:style>
  <w:style w:type="character" w:styleId="PageNumber">
    <w:name w:val="page number"/>
    <w:basedOn w:val="DefaultParagraphFont"/>
    <w:uiPriority w:val="99"/>
    <w:rsid w:val="006B6270"/>
    <w:rPr>
      <w:rFonts w:cs="Times New Roman"/>
    </w:rPr>
  </w:style>
  <w:style w:type="paragraph" w:styleId="BalloonText">
    <w:name w:val="Balloon Text"/>
    <w:basedOn w:val="Normal"/>
    <w:link w:val="BalloonTextChar"/>
    <w:uiPriority w:val="99"/>
    <w:semiHidden/>
    <w:rsid w:val="00DB2E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270"/>
    <w:rPr>
      <w:rFonts w:ascii="Tahoma" w:hAnsi="Tahoma" w:cs="Tahoma"/>
      <w:sz w:val="16"/>
      <w:szCs w:val="16"/>
      <w:lang w:val="x-none" w:eastAsia="en-US"/>
    </w:rPr>
  </w:style>
  <w:style w:type="paragraph" w:styleId="FootnoteText">
    <w:name w:val="footnote text"/>
    <w:basedOn w:val="Normal"/>
    <w:link w:val="FootnoteTextChar"/>
    <w:uiPriority w:val="99"/>
    <w:rsid w:val="003D6C5F"/>
    <w:rPr>
      <w:sz w:val="20"/>
      <w:szCs w:val="20"/>
    </w:rPr>
  </w:style>
  <w:style w:type="character" w:customStyle="1" w:styleId="FootnoteTextChar">
    <w:name w:val="Footnote Text Char"/>
    <w:basedOn w:val="DefaultParagraphFont"/>
    <w:link w:val="FootnoteText"/>
    <w:uiPriority w:val="99"/>
    <w:locked/>
    <w:rsid w:val="003D6C5F"/>
    <w:rPr>
      <w:rFonts w:cs="Times New Roman"/>
      <w:lang w:val="x-none" w:eastAsia="en-US"/>
    </w:rPr>
  </w:style>
  <w:style w:type="character" w:styleId="FootnoteReference">
    <w:name w:val="footnote reference"/>
    <w:basedOn w:val="DefaultParagraphFont"/>
    <w:uiPriority w:val="99"/>
    <w:rsid w:val="003D6C5F"/>
    <w:rPr>
      <w:rFonts w:cs="Times New Roman"/>
      <w:vertAlign w:val="superscript"/>
    </w:rPr>
  </w:style>
  <w:style w:type="paragraph" w:styleId="ListParagraph">
    <w:name w:val="List Paragraph"/>
    <w:basedOn w:val="Normal"/>
    <w:uiPriority w:val="34"/>
    <w:qFormat/>
    <w:rsid w:val="00FE14C3"/>
    <w:pPr>
      <w:ind w:left="720"/>
    </w:pPr>
  </w:style>
  <w:style w:type="paragraph" w:customStyle="1" w:styleId="LongTitle">
    <w:name w:val="LongTitle"/>
    <w:basedOn w:val="Normal"/>
    <w:uiPriority w:val="99"/>
    <w:rsid w:val="00947F53"/>
    <w:pPr>
      <w:spacing w:before="240" w:after="60"/>
      <w:jc w:val="both"/>
    </w:pPr>
    <w:rPr>
      <w:rFonts w:eastAsiaTheme="minorEastAsia"/>
    </w:rPr>
  </w:style>
  <w:style w:type="paragraph" w:customStyle="1" w:styleId="Default">
    <w:name w:val="Default"/>
    <w:rsid w:val="001013D7"/>
    <w:pPr>
      <w:autoSpaceDE w:val="0"/>
      <w:autoSpaceDN w:val="0"/>
      <w:adjustRightInd w:val="0"/>
    </w:pPr>
    <w:rPr>
      <w:color w:val="000000"/>
      <w:sz w:val="24"/>
      <w:szCs w:val="24"/>
    </w:rPr>
  </w:style>
  <w:style w:type="paragraph" w:customStyle="1" w:styleId="xmsolistparagraph">
    <w:name w:val="x_msolistparagraph"/>
    <w:basedOn w:val="Normal"/>
    <w:rsid w:val="00BC11BE"/>
    <w:pPr>
      <w:spacing w:after="200" w:line="250" w:lineRule="atLeast"/>
      <w:ind w:left="720"/>
    </w:pPr>
    <w:rPr>
      <w:rFonts w:ascii="Calibri" w:eastAsiaTheme="minorHAnsi" w:hAnsi="Calibri" w:cs="Calibri"/>
      <w:sz w:val="22"/>
      <w:szCs w:val="22"/>
      <w:lang w:eastAsia="en-AU"/>
    </w:rPr>
  </w:style>
  <w:style w:type="character" w:styleId="Hyperlink">
    <w:name w:val="Hyperlink"/>
    <w:basedOn w:val="DefaultParagraphFont"/>
    <w:rsid w:val="00234EF0"/>
    <w:rPr>
      <w:color w:val="0000FF" w:themeColor="hyperlink"/>
      <w:u w:val="single"/>
    </w:rPr>
  </w:style>
  <w:style w:type="character" w:styleId="UnresolvedMention">
    <w:name w:val="Unresolved Mention"/>
    <w:basedOn w:val="DefaultParagraphFont"/>
    <w:uiPriority w:val="99"/>
    <w:semiHidden/>
    <w:unhideWhenUsed/>
    <w:rsid w:val="00234EF0"/>
    <w:rPr>
      <w:color w:val="605E5C"/>
      <w:shd w:val="clear" w:color="auto" w:fill="E1DFDD"/>
    </w:rPr>
  </w:style>
  <w:style w:type="paragraph" w:customStyle="1" w:styleId="aNote">
    <w:name w:val="aNote"/>
    <w:basedOn w:val="Normal"/>
    <w:link w:val="aNoteChar"/>
    <w:rsid w:val="00A12C85"/>
    <w:pPr>
      <w:spacing w:before="140"/>
      <w:ind w:left="1900" w:hanging="800"/>
      <w:jc w:val="both"/>
    </w:pPr>
    <w:rPr>
      <w:sz w:val="20"/>
      <w:szCs w:val="20"/>
    </w:rPr>
  </w:style>
  <w:style w:type="character" w:customStyle="1" w:styleId="charItals">
    <w:name w:val="charItals"/>
    <w:basedOn w:val="DefaultParagraphFont"/>
    <w:rsid w:val="00A12C85"/>
    <w:rPr>
      <w:i/>
    </w:rPr>
  </w:style>
  <w:style w:type="character" w:customStyle="1" w:styleId="aNoteChar">
    <w:name w:val="aNote Char"/>
    <w:basedOn w:val="DefaultParagraphFont"/>
    <w:link w:val="aNote"/>
    <w:locked/>
    <w:rsid w:val="00A12C85"/>
    <w:rPr>
      <w:lang w:eastAsia="en-US"/>
    </w:rPr>
  </w:style>
  <w:style w:type="character" w:customStyle="1" w:styleId="charCitHyperlinkAbbrev">
    <w:name w:val="charCitHyperlinkAbbrev"/>
    <w:basedOn w:val="Hyperlink"/>
    <w:uiPriority w:val="1"/>
    <w:rsid w:val="00A12C85"/>
    <w:rPr>
      <w:color w:val="0000FF" w:themeColor="hyperlink"/>
      <w:u w:val="none"/>
    </w:rPr>
  </w:style>
  <w:style w:type="character" w:styleId="CommentReference">
    <w:name w:val="annotation reference"/>
    <w:basedOn w:val="DefaultParagraphFont"/>
    <w:uiPriority w:val="99"/>
    <w:rsid w:val="005C03A7"/>
    <w:rPr>
      <w:sz w:val="16"/>
      <w:szCs w:val="16"/>
    </w:rPr>
  </w:style>
  <w:style w:type="paragraph" w:styleId="CommentText">
    <w:name w:val="annotation text"/>
    <w:basedOn w:val="Normal"/>
    <w:link w:val="CommentTextChar"/>
    <w:uiPriority w:val="99"/>
    <w:rsid w:val="005C03A7"/>
    <w:rPr>
      <w:sz w:val="20"/>
      <w:szCs w:val="20"/>
    </w:rPr>
  </w:style>
  <w:style w:type="character" w:customStyle="1" w:styleId="CommentTextChar">
    <w:name w:val="Comment Text Char"/>
    <w:basedOn w:val="DefaultParagraphFont"/>
    <w:link w:val="CommentText"/>
    <w:uiPriority w:val="99"/>
    <w:rsid w:val="005C03A7"/>
    <w:rPr>
      <w:lang w:eastAsia="en-US"/>
    </w:rPr>
  </w:style>
  <w:style w:type="paragraph" w:styleId="CommentSubject">
    <w:name w:val="annotation subject"/>
    <w:basedOn w:val="CommentText"/>
    <w:next w:val="CommentText"/>
    <w:link w:val="CommentSubjectChar"/>
    <w:rsid w:val="005C03A7"/>
    <w:rPr>
      <w:b/>
      <w:bCs/>
    </w:rPr>
  </w:style>
  <w:style w:type="character" w:customStyle="1" w:styleId="CommentSubjectChar">
    <w:name w:val="Comment Subject Char"/>
    <w:basedOn w:val="CommentTextChar"/>
    <w:link w:val="CommentSubject"/>
    <w:rsid w:val="005C03A7"/>
    <w:rPr>
      <w:b/>
      <w:bCs/>
      <w:lang w:eastAsia="en-US"/>
    </w:rPr>
  </w:style>
  <w:style w:type="paragraph" w:customStyle="1" w:styleId="CS-Paragraphnumbering">
    <w:name w:val="CS - Paragraph numbering"/>
    <w:basedOn w:val="Normal"/>
    <w:rsid w:val="00CE10D8"/>
    <w:pPr>
      <w:numPr>
        <w:numId w:val="15"/>
      </w:numPr>
      <w:spacing w:after="120" w:line="276" w:lineRule="auto"/>
      <w:ind w:right="-45"/>
    </w:pPr>
    <w:rPr>
      <w:rFonts w:asciiTheme="minorHAnsi" w:eastAsiaTheme="minorHAnsi" w:hAnsiTheme="minorHAnsi" w:cstheme="minorBidi"/>
    </w:rPr>
  </w:style>
  <w:style w:type="paragraph" w:styleId="Revision">
    <w:name w:val="Revision"/>
    <w:hidden/>
    <w:uiPriority w:val="99"/>
    <w:semiHidden/>
    <w:rsid w:val="006176A5"/>
    <w:rPr>
      <w:sz w:val="24"/>
      <w:szCs w:val="24"/>
      <w:lang w:eastAsia="en-US"/>
    </w:rPr>
  </w:style>
  <w:style w:type="paragraph" w:styleId="NormalWeb">
    <w:name w:val="Normal (Web)"/>
    <w:basedOn w:val="Normal"/>
    <w:uiPriority w:val="99"/>
    <w:unhideWhenUsed/>
    <w:rsid w:val="00112A9F"/>
    <w:pPr>
      <w:spacing w:before="100" w:beforeAutospacing="1" w:after="100" w:afterAutospacing="1"/>
    </w:pPr>
    <w:rPr>
      <w:lang w:eastAsia="en-AU"/>
    </w:rPr>
  </w:style>
  <w:style w:type="paragraph" w:customStyle="1" w:styleId="CSTalkingPoints">
    <w:name w:val="CS Talking Points"/>
    <w:basedOn w:val="Normal"/>
    <w:qFormat/>
    <w:rsid w:val="00B14696"/>
    <w:pPr>
      <w:numPr>
        <w:numId w:val="23"/>
      </w:numPr>
      <w:spacing w:after="120"/>
    </w:pPr>
    <w:rPr>
      <w:rFonts w:asciiTheme="minorHAnsi" w:eastAsiaTheme="minorHAnsi" w:hAnsiTheme="minorHAnsi" w:cstheme="minorBidi"/>
      <w:sz w:val="28"/>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1270">
      <w:bodyDiv w:val="1"/>
      <w:marLeft w:val="0"/>
      <w:marRight w:val="0"/>
      <w:marTop w:val="0"/>
      <w:marBottom w:val="0"/>
      <w:divBdr>
        <w:top w:val="none" w:sz="0" w:space="0" w:color="auto"/>
        <w:left w:val="none" w:sz="0" w:space="0" w:color="auto"/>
        <w:bottom w:val="none" w:sz="0" w:space="0" w:color="auto"/>
        <w:right w:val="none" w:sz="0" w:space="0" w:color="auto"/>
      </w:divBdr>
      <w:divsChild>
        <w:div w:id="750545310">
          <w:marLeft w:val="0"/>
          <w:marRight w:val="0"/>
          <w:marTop w:val="0"/>
          <w:marBottom w:val="0"/>
          <w:divBdr>
            <w:top w:val="none" w:sz="0" w:space="0" w:color="auto"/>
            <w:left w:val="none" w:sz="0" w:space="0" w:color="auto"/>
            <w:bottom w:val="none" w:sz="0" w:space="0" w:color="auto"/>
            <w:right w:val="none" w:sz="0" w:space="0" w:color="auto"/>
          </w:divBdr>
        </w:div>
        <w:div w:id="1966766757">
          <w:marLeft w:val="0"/>
          <w:marRight w:val="0"/>
          <w:marTop w:val="0"/>
          <w:marBottom w:val="0"/>
          <w:divBdr>
            <w:top w:val="none" w:sz="0" w:space="0" w:color="auto"/>
            <w:left w:val="none" w:sz="0" w:space="0" w:color="auto"/>
            <w:bottom w:val="none" w:sz="0" w:space="0" w:color="auto"/>
            <w:right w:val="none" w:sz="0" w:space="0" w:color="auto"/>
          </w:divBdr>
        </w:div>
        <w:div w:id="804156367">
          <w:marLeft w:val="0"/>
          <w:marRight w:val="0"/>
          <w:marTop w:val="0"/>
          <w:marBottom w:val="0"/>
          <w:divBdr>
            <w:top w:val="none" w:sz="0" w:space="0" w:color="auto"/>
            <w:left w:val="none" w:sz="0" w:space="0" w:color="auto"/>
            <w:bottom w:val="none" w:sz="0" w:space="0" w:color="auto"/>
            <w:right w:val="none" w:sz="0" w:space="0" w:color="auto"/>
          </w:divBdr>
        </w:div>
        <w:div w:id="1769351364">
          <w:marLeft w:val="0"/>
          <w:marRight w:val="0"/>
          <w:marTop w:val="0"/>
          <w:marBottom w:val="0"/>
          <w:divBdr>
            <w:top w:val="none" w:sz="0" w:space="0" w:color="auto"/>
            <w:left w:val="none" w:sz="0" w:space="0" w:color="auto"/>
            <w:bottom w:val="none" w:sz="0" w:space="0" w:color="auto"/>
            <w:right w:val="none" w:sz="0" w:space="0" w:color="auto"/>
          </w:divBdr>
        </w:div>
        <w:div w:id="19744158">
          <w:marLeft w:val="0"/>
          <w:marRight w:val="0"/>
          <w:marTop w:val="0"/>
          <w:marBottom w:val="0"/>
          <w:divBdr>
            <w:top w:val="none" w:sz="0" w:space="0" w:color="auto"/>
            <w:left w:val="none" w:sz="0" w:space="0" w:color="auto"/>
            <w:bottom w:val="none" w:sz="0" w:space="0" w:color="auto"/>
            <w:right w:val="none" w:sz="0" w:space="0" w:color="auto"/>
          </w:divBdr>
        </w:div>
        <w:div w:id="1454248702">
          <w:marLeft w:val="0"/>
          <w:marRight w:val="0"/>
          <w:marTop w:val="0"/>
          <w:marBottom w:val="0"/>
          <w:divBdr>
            <w:top w:val="none" w:sz="0" w:space="0" w:color="auto"/>
            <w:left w:val="none" w:sz="0" w:space="0" w:color="auto"/>
            <w:bottom w:val="none" w:sz="0" w:space="0" w:color="auto"/>
            <w:right w:val="none" w:sz="0" w:space="0" w:color="auto"/>
          </w:divBdr>
        </w:div>
        <w:div w:id="908032380">
          <w:marLeft w:val="0"/>
          <w:marRight w:val="0"/>
          <w:marTop w:val="0"/>
          <w:marBottom w:val="0"/>
          <w:divBdr>
            <w:top w:val="none" w:sz="0" w:space="0" w:color="auto"/>
            <w:left w:val="none" w:sz="0" w:space="0" w:color="auto"/>
            <w:bottom w:val="none" w:sz="0" w:space="0" w:color="auto"/>
            <w:right w:val="none" w:sz="0" w:space="0" w:color="auto"/>
          </w:divBdr>
        </w:div>
        <w:div w:id="1129014094">
          <w:marLeft w:val="0"/>
          <w:marRight w:val="0"/>
          <w:marTop w:val="0"/>
          <w:marBottom w:val="0"/>
          <w:divBdr>
            <w:top w:val="none" w:sz="0" w:space="0" w:color="auto"/>
            <w:left w:val="none" w:sz="0" w:space="0" w:color="auto"/>
            <w:bottom w:val="none" w:sz="0" w:space="0" w:color="auto"/>
            <w:right w:val="none" w:sz="0" w:space="0" w:color="auto"/>
          </w:divBdr>
        </w:div>
        <w:div w:id="1486629831">
          <w:marLeft w:val="0"/>
          <w:marRight w:val="0"/>
          <w:marTop w:val="0"/>
          <w:marBottom w:val="0"/>
          <w:divBdr>
            <w:top w:val="none" w:sz="0" w:space="0" w:color="auto"/>
            <w:left w:val="none" w:sz="0" w:space="0" w:color="auto"/>
            <w:bottom w:val="none" w:sz="0" w:space="0" w:color="auto"/>
            <w:right w:val="none" w:sz="0" w:space="0" w:color="auto"/>
          </w:divBdr>
        </w:div>
      </w:divsChild>
    </w:div>
    <w:div w:id="765155461">
      <w:bodyDiv w:val="1"/>
      <w:marLeft w:val="0"/>
      <w:marRight w:val="0"/>
      <w:marTop w:val="0"/>
      <w:marBottom w:val="0"/>
      <w:divBdr>
        <w:top w:val="none" w:sz="0" w:space="0" w:color="auto"/>
        <w:left w:val="none" w:sz="0" w:space="0" w:color="auto"/>
        <w:bottom w:val="none" w:sz="0" w:space="0" w:color="auto"/>
        <w:right w:val="none" w:sz="0" w:space="0" w:color="auto"/>
      </w:divBdr>
    </w:div>
    <w:div w:id="815415341">
      <w:bodyDiv w:val="1"/>
      <w:marLeft w:val="0"/>
      <w:marRight w:val="0"/>
      <w:marTop w:val="0"/>
      <w:marBottom w:val="0"/>
      <w:divBdr>
        <w:top w:val="none" w:sz="0" w:space="0" w:color="auto"/>
        <w:left w:val="none" w:sz="0" w:space="0" w:color="auto"/>
        <w:bottom w:val="none" w:sz="0" w:space="0" w:color="auto"/>
        <w:right w:val="none" w:sz="0" w:space="0" w:color="auto"/>
      </w:divBdr>
    </w:div>
    <w:div w:id="1006861201">
      <w:marLeft w:val="0"/>
      <w:marRight w:val="0"/>
      <w:marTop w:val="0"/>
      <w:marBottom w:val="0"/>
      <w:divBdr>
        <w:top w:val="none" w:sz="0" w:space="0" w:color="auto"/>
        <w:left w:val="none" w:sz="0" w:space="0" w:color="auto"/>
        <w:bottom w:val="none" w:sz="0" w:space="0" w:color="auto"/>
        <w:right w:val="none" w:sz="0" w:space="0" w:color="auto"/>
      </w:divBdr>
    </w:div>
    <w:div w:id="1091776803">
      <w:bodyDiv w:val="1"/>
      <w:marLeft w:val="0"/>
      <w:marRight w:val="0"/>
      <w:marTop w:val="0"/>
      <w:marBottom w:val="0"/>
      <w:divBdr>
        <w:top w:val="none" w:sz="0" w:space="0" w:color="auto"/>
        <w:left w:val="none" w:sz="0" w:space="0" w:color="auto"/>
        <w:bottom w:val="none" w:sz="0" w:space="0" w:color="auto"/>
        <w:right w:val="none" w:sz="0" w:space="0" w:color="auto"/>
      </w:divBdr>
      <w:divsChild>
        <w:div w:id="847866412">
          <w:marLeft w:val="0"/>
          <w:marRight w:val="0"/>
          <w:marTop w:val="0"/>
          <w:marBottom w:val="0"/>
          <w:divBdr>
            <w:top w:val="none" w:sz="0" w:space="0" w:color="auto"/>
            <w:left w:val="none" w:sz="0" w:space="0" w:color="auto"/>
            <w:bottom w:val="none" w:sz="0" w:space="0" w:color="auto"/>
            <w:right w:val="none" w:sz="0" w:space="0" w:color="auto"/>
          </w:divBdr>
        </w:div>
        <w:div w:id="1147168858">
          <w:marLeft w:val="0"/>
          <w:marRight w:val="0"/>
          <w:marTop w:val="0"/>
          <w:marBottom w:val="0"/>
          <w:divBdr>
            <w:top w:val="none" w:sz="0" w:space="0" w:color="auto"/>
            <w:left w:val="none" w:sz="0" w:space="0" w:color="auto"/>
            <w:bottom w:val="none" w:sz="0" w:space="0" w:color="auto"/>
            <w:right w:val="none" w:sz="0" w:space="0" w:color="auto"/>
          </w:divBdr>
        </w:div>
        <w:div w:id="1561667825">
          <w:marLeft w:val="0"/>
          <w:marRight w:val="0"/>
          <w:marTop w:val="0"/>
          <w:marBottom w:val="0"/>
          <w:divBdr>
            <w:top w:val="none" w:sz="0" w:space="0" w:color="auto"/>
            <w:left w:val="none" w:sz="0" w:space="0" w:color="auto"/>
            <w:bottom w:val="none" w:sz="0" w:space="0" w:color="auto"/>
            <w:right w:val="none" w:sz="0" w:space="0" w:color="auto"/>
          </w:divBdr>
        </w:div>
        <w:div w:id="977760939">
          <w:marLeft w:val="0"/>
          <w:marRight w:val="0"/>
          <w:marTop w:val="0"/>
          <w:marBottom w:val="0"/>
          <w:divBdr>
            <w:top w:val="none" w:sz="0" w:space="0" w:color="auto"/>
            <w:left w:val="none" w:sz="0" w:space="0" w:color="auto"/>
            <w:bottom w:val="none" w:sz="0" w:space="0" w:color="auto"/>
            <w:right w:val="none" w:sz="0" w:space="0" w:color="auto"/>
          </w:divBdr>
        </w:div>
      </w:divsChild>
    </w:div>
    <w:div w:id="20697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2092</Words>
  <Characters>11139</Characters>
  <Application>Microsoft Office Word</Application>
  <DocSecurity>0</DocSecurity>
  <Lines>233</Lines>
  <Paragraphs>68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Moxon, KarenL</cp:lastModifiedBy>
  <cp:revision>4</cp:revision>
  <cp:lastPrinted>2020-08-18T00:28:00Z</cp:lastPrinted>
  <dcterms:created xsi:type="dcterms:W3CDTF">2021-12-06T04:36:00Z</dcterms:created>
  <dcterms:modified xsi:type="dcterms:W3CDTF">2021-12-06T04:36:00Z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8646064</vt:lpwstr>
  </property>
  <property fmtid="{D5CDD505-2E9C-101B-9397-08002B2CF9AE}" pid="4" name="JMSREQUIREDCHECKIN">
    <vt:lpwstr/>
  </property>
</Properties>
</file>