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B7832" w14:textId="77777777" w:rsidR="000954C3" w:rsidRPr="00CF17D3" w:rsidRDefault="000954C3" w:rsidP="000954C3">
      <w:pPr>
        <w:shd w:val="clear" w:color="auto" w:fill="FFFFFF"/>
        <w:spacing w:before="120" w:after="700" w:line="240" w:lineRule="auto"/>
        <w:rPr>
          <w:rFonts w:eastAsia="Times New Roman" w:cstheme="minorHAnsi"/>
          <w:color w:val="000000"/>
          <w:sz w:val="24"/>
          <w:szCs w:val="24"/>
          <w:lang w:eastAsia="en-AU"/>
        </w:rPr>
      </w:pPr>
      <w:bookmarkStart w:id="0" w:name="_Toc44738651"/>
      <w:r w:rsidRPr="00CF17D3">
        <w:rPr>
          <w:rFonts w:eastAsia="Times New Roman" w:cstheme="minorHAnsi"/>
          <w:color w:val="000000"/>
          <w:sz w:val="24"/>
          <w:szCs w:val="24"/>
          <w:lang w:eastAsia="en-AU"/>
        </w:rPr>
        <w:t>Australian Capital Territory</w:t>
      </w:r>
      <w:bookmarkEnd w:id="0"/>
    </w:p>
    <w:p w14:paraId="7C2F1C95" w14:textId="56DA52F4" w:rsidR="000954C3" w:rsidRPr="00CF17D3" w:rsidRDefault="000954C3" w:rsidP="651B0C3A">
      <w:pPr>
        <w:shd w:val="clear" w:color="auto" w:fill="FFFFFF" w:themeFill="background1"/>
        <w:spacing w:after="200" w:line="414" w:lineRule="atLeast"/>
        <w:rPr>
          <w:rFonts w:eastAsia="Times New Roman"/>
          <w:color w:val="000000"/>
          <w:sz w:val="36"/>
          <w:szCs w:val="36"/>
          <w:lang w:eastAsia="en-AU"/>
        </w:rPr>
      </w:pPr>
      <w:r w:rsidRPr="305EE302">
        <w:rPr>
          <w:rFonts w:eastAsia="Times New Roman"/>
          <w:b/>
          <w:bCs/>
          <w:color w:val="000000" w:themeColor="text1"/>
          <w:sz w:val="36"/>
          <w:szCs w:val="36"/>
          <w:lang w:eastAsia="en-AU"/>
        </w:rPr>
        <w:t>Crimes (Surveillance Devices) </w:t>
      </w:r>
      <w:r w:rsidR="00AF1347" w:rsidRPr="305EE302">
        <w:rPr>
          <w:rFonts w:eastAsia="Times New Roman"/>
          <w:b/>
          <w:bCs/>
          <w:color w:val="000000" w:themeColor="text1"/>
          <w:sz w:val="36"/>
          <w:szCs w:val="36"/>
          <w:lang w:eastAsia="en-AU"/>
        </w:rPr>
        <w:t>Body-w</w:t>
      </w:r>
      <w:r w:rsidRPr="305EE302">
        <w:rPr>
          <w:rFonts w:eastAsia="Times New Roman"/>
          <w:b/>
          <w:bCs/>
          <w:color w:val="000000" w:themeColor="text1"/>
          <w:sz w:val="36"/>
          <w:szCs w:val="36"/>
          <w:lang w:eastAsia="en-AU"/>
        </w:rPr>
        <w:t xml:space="preserve">orn </w:t>
      </w:r>
      <w:r w:rsidR="5A363BBC" w:rsidRPr="305EE302">
        <w:rPr>
          <w:rFonts w:eastAsia="Times New Roman"/>
          <w:b/>
          <w:bCs/>
          <w:color w:val="000000" w:themeColor="text1"/>
          <w:sz w:val="36"/>
          <w:szCs w:val="36"/>
          <w:lang w:eastAsia="en-AU"/>
        </w:rPr>
        <w:t>C</w:t>
      </w:r>
      <w:r w:rsidRPr="305EE302">
        <w:rPr>
          <w:rFonts w:eastAsia="Times New Roman"/>
          <w:b/>
          <w:bCs/>
          <w:color w:val="000000" w:themeColor="text1"/>
          <w:sz w:val="36"/>
          <w:szCs w:val="36"/>
          <w:lang w:eastAsia="en-AU"/>
        </w:rPr>
        <w:t>ameras Guidelines 202</w:t>
      </w:r>
      <w:r w:rsidR="31879B4F" w:rsidRPr="305EE302">
        <w:rPr>
          <w:rFonts w:eastAsia="Times New Roman"/>
          <w:b/>
          <w:bCs/>
          <w:color w:val="000000" w:themeColor="text1"/>
          <w:sz w:val="36"/>
          <w:szCs w:val="36"/>
          <w:lang w:eastAsia="en-AU"/>
        </w:rPr>
        <w:t>2</w:t>
      </w:r>
    </w:p>
    <w:p w14:paraId="36687B3D" w14:textId="05CB4656" w:rsidR="000954C3" w:rsidRPr="00CF17D3" w:rsidRDefault="000954C3" w:rsidP="000954C3">
      <w:pPr>
        <w:shd w:val="clear" w:color="auto" w:fill="FFFFFF"/>
        <w:spacing w:after="200" w:line="322" w:lineRule="atLeast"/>
        <w:rPr>
          <w:rFonts w:eastAsia="Times New Roman" w:cstheme="minorHAnsi"/>
          <w:color w:val="000000"/>
          <w:sz w:val="28"/>
          <w:szCs w:val="28"/>
          <w:lang w:eastAsia="en-AU"/>
        </w:rPr>
      </w:pPr>
      <w:r w:rsidRPr="00CF17D3">
        <w:rPr>
          <w:rFonts w:eastAsia="Times New Roman" w:cstheme="minorHAnsi"/>
          <w:b/>
          <w:bCs/>
          <w:color w:val="000000"/>
          <w:sz w:val="28"/>
          <w:szCs w:val="28"/>
          <w:lang w:eastAsia="en-AU"/>
        </w:rPr>
        <w:t>Disallowable Instrument D</w:t>
      </w:r>
      <w:r w:rsidR="001007A8">
        <w:rPr>
          <w:rFonts w:eastAsia="Times New Roman" w:cstheme="minorHAnsi"/>
          <w:b/>
          <w:bCs/>
          <w:color w:val="000000"/>
          <w:sz w:val="28"/>
          <w:szCs w:val="28"/>
          <w:lang w:eastAsia="en-AU"/>
        </w:rPr>
        <w:t>2022-9</w:t>
      </w:r>
    </w:p>
    <w:p w14:paraId="614C976B" w14:textId="77777777" w:rsidR="000954C3" w:rsidRPr="00CF17D3" w:rsidRDefault="000954C3" w:rsidP="000954C3">
      <w:pPr>
        <w:shd w:val="clear" w:color="auto" w:fill="FFFFFF"/>
        <w:spacing w:before="300" w:after="320" w:line="240" w:lineRule="auto"/>
        <w:jc w:val="both"/>
        <w:rPr>
          <w:rFonts w:eastAsia="Times New Roman" w:cstheme="minorHAnsi"/>
          <w:color w:val="000000"/>
          <w:sz w:val="24"/>
          <w:szCs w:val="24"/>
          <w:lang w:eastAsia="en-AU"/>
        </w:rPr>
      </w:pPr>
      <w:r w:rsidRPr="00CF17D3">
        <w:rPr>
          <w:rFonts w:eastAsia="Times New Roman" w:cstheme="minorHAnsi"/>
          <w:color w:val="000000"/>
          <w:sz w:val="24"/>
          <w:szCs w:val="24"/>
          <w:lang w:eastAsia="en-AU"/>
        </w:rPr>
        <w:t>made under the </w:t>
      </w:r>
    </w:p>
    <w:p w14:paraId="5259CFEB" w14:textId="2854122F" w:rsidR="000954C3" w:rsidRPr="00CF17D3" w:rsidRDefault="000954C3" w:rsidP="305EE302">
      <w:pPr>
        <w:shd w:val="clear" w:color="auto" w:fill="FFFFFF" w:themeFill="background1"/>
        <w:spacing w:after="200" w:line="240" w:lineRule="auto"/>
        <w:rPr>
          <w:rFonts w:eastAsia="Times New Roman"/>
          <w:color w:val="000000"/>
          <w:lang w:eastAsia="en-AU"/>
        </w:rPr>
      </w:pPr>
      <w:r w:rsidRPr="305EE302">
        <w:rPr>
          <w:rFonts w:eastAsia="Times New Roman"/>
          <w:b/>
          <w:bCs/>
          <w:color w:val="000000" w:themeColor="text1"/>
          <w:lang w:eastAsia="en-AU"/>
        </w:rPr>
        <w:t>Crimes (Surveillance Devices) Act 2010, s43C (</w:t>
      </w:r>
      <w:r w:rsidR="00AF1347" w:rsidRPr="305EE302">
        <w:rPr>
          <w:rFonts w:eastAsia="Times New Roman"/>
          <w:b/>
          <w:bCs/>
          <w:color w:val="000000" w:themeColor="text1"/>
          <w:lang w:eastAsia="en-AU"/>
        </w:rPr>
        <w:t>Body-w</w:t>
      </w:r>
      <w:r w:rsidRPr="305EE302">
        <w:rPr>
          <w:rFonts w:eastAsia="Times New Roman"/>
          <w:b/>
          <w:bCs/>
          <w:color w:val="000000" w:themeColor="text1"/>
          <w:lang w:eastAsia="en-AU"/>
        </w:rPr>
        <w:t xml:space="preserve">orn </w:t>
      </w:r>
      <w:r w:rsidR="4EAD79C2" w:rsidRPr="305EE302">
        <w:rPr>
          <w:rFonts w:eastAsia="Times New Roman"/>
          <w:b/>
          <w:bCs/>
          <w:color w:val="000000" w:themeColor="text1"/>
          <w:lang w:eastAsia="en-AU"/>
        </w:rPr>
        <w:t>C</w:t>
      </w:r>
      <w:r w:rsidRPr="305EE302">
        <w:rPr>
          <w:rFonts w:eastAsia="Times New Roman"/>
          <w:b/>
          <w:bCs/>
          <w:color w:val="000000" w:themeColor="text1"/>
          <w:lang w:eastAsia="en-AU"/>
        </w:rPr>
        <w:t>ameras Guidelines)</w:t>
      </w:r>
    </w:p>
    <w:p w14:paraId="5A8A415D" w14:textId="77777777" w:rsidR="000954C3" w:rsidRPr="00CF17D3" w:rsidRDefault="000954C3" w:rsidP="000954C3">
      <w:pPr>
        <w:shd w:val="clear" w:color="auto" w:fill="FFFFFF"/>
        <w:spacing w:before="420" w:after="0" w:line="240" w:lineRule="auto"/>
        <w:ind w:right="565"/>
        <w:outlineLvl w:val="2"/>
        <w:rPr>
          <w:rFonts w:eastAsia="Times New Roman" w:cstheme="minorHAnsi"/>
          <w:b/>
          <w:bCs/>
          <w:color w:val="000000"/>
          <w:sz w:val="28"/>
          <w:szCs w:val="28"/>
          <w:lang w:eastAsia="en-AU"/>
        </w:rPr>
      </w:pPr>
      <w:r w:rsidRPr="00CF17D3">
        <w:rPr>
          <w:rFonts w:eastAsia="Times New Roman" w:cstheme="minorHAnsi"/>
          <w:b/>
          <w:bCs/>
          <w:color w:val="000000"/>
          <w:sz w:val="28"/>
          <w:szCs w:val="28"/>
          <w:lang w:eastAsia="en-AU"/>
        </w:rPr>
        <w:t>EXPLANATORY STATEMENT</w:t>
      </w:r>
    </w:p>
    <w:p w14:paraId="04FA6235" w14:textId="77777777" w:rsidR="000954C3" w:rsidRPr="00CF17D3" w:rsidRDefault="000954C3" w:rsidP="000954C3">
      <w:pPr>
        <w:shd w:val="clear" w:color="auto" w:fill="FFFFFF"/>
        <w:spacing w:after="0" w:line="240" w:lineRule="auto"/>
        <w:jc w:val="both"/>
        <w:rPr>
          <w:rFonts w:eastAsia="Times New Roman" w:cstheme="minorHAnsi"/>
          <w:color w:val="000000"/>
          <w:sz w:val="24"/>
          <w:szCs w:val="24"/>
          <w:lang w:eastAsia="en-AU"/>
        </w:rPr>
      </w:pPr>
      <w:r w:rsidRPr="00CF17D3">
        <w:rPr>
          <w:rFonts w:eastAsia="Times New Roman" w:cstheme="minorHAnsi"/>
          <w:color w:val="000000"/>
          <w:sz w:val="24"/>
          <w:szCs w:val="24"/>
          <w:lang w:eastAsia="en-AU"/>
        </w:rPr>
        <w:t> </w:t>
      </w:r>
    </w:p>
    <w:p w14:paraId="1496416E" w14:textId="77777777" w:rsidR="000954C3" w:rsidRPr="00CF17D3" w:rsidRDefault="000954C3" w:rsidP="000954C3">
      <w:pPr>
        <w:pBdr>
          <w:top w:val="single" w:sz="12" w:space="1" w:color="000000"/>
        </w:pBdr>
        <w:shd w:val="clear" w:color="auto" w:fill="FFFFFF"/>
        <w:spacing w:after="0" w:line="240" w:lineRule="auto"/>
        <w:jc w:val="both"/>
        <w:rPr>
          <w:rFonts w:eastAsia="Times New Roman" w:cstheme="minorHAnsi"/>
          <w:color w:val="000000"/>
          <w:sz w:val="24"/>
          <w:szCs w:val="24"/>
          <w:lang w:eastAsia="en-AU"/>
        </w:rPr>
      </w:pPr>
      <w:r w:rsidRPr="00CF17D3">
        <w:rPr>
          <w:rFonts w:eastAsia="Times New Roman" w:cstheme="minorHAnsi"/>
          <w:color w:val="000000"/>
          <w:sz w:val="24"/>
          <w:szCs w:val="24"/>
          <w:lang w:eastAsia="en-AU"/>
        </w:rPr>
        <w:t> </w:t>
      </w:r>
    </w:p>
    <w:p w14:paraId="6358D8F3" w14:textId="77777777" w:rsidR="005D2105" w:rsidRDefault="00AF1347" w:rsidP="000954C3">
      <w:pPr>
        <w:shd w:val="clear" w:color="auto" w:fill="FFFFFF"/>
        <w:spacing w:after="0" w:line="240" w:lineRule="auto"/>
        <w:rPr>
          <w:rFonts w:eastAsia="Times New Roman" w:cstheme="minorHAnsi"/>
          <w:color w:val="000000"/>
          <w:lang w:eastAsia="en-AU"/>
        </w:rPr>
      </w:pPr>
      <w:r>
        <w:rPr>
          <w:rFonts w:eastAsia="Times New Roman" w:cstheme="minorHAnsi"/>
          <w:color w:val="000000"/>
          <w:lang w:eastAsia="en-AU"/>
        </w:rPr>
        <w:t>A body worn camera (BWC) is a device that is capable of recording visual images and sound which is utilised by police</w:t>
      </w:r>
      <w:r w:rsidR="00BB65F6">
        <w:rPr>
          <w:rFonts w:eastAsia="Times New Roman" w:cstheme="minorHAnsi"/>
          <w:color w:val="000000"/>
          <w:lang w:eastAsia="en-AU"/>
        </w:rPr>
        <w:t xml:space="preserve"> officers</w:t>
      </w:r>
      <w:r>
        <w:rPr>
          <w:rFonts w:eastAsia="Times New Roman" w:cstheme="minorHAnsi"/>
          <w:color w:val="000000"/>
          <w:lang w:eastAsia="en-AU"/>
        </w:rPr>
        <w:t xml:space="preserve"> to create an objective and contemporaneous record of events, critical incidents, and interactions with members of the community during the course of their duties.</w:t>
      </w:r>
    </w:p>
    <w:p w14:paraId="6287C0C3" w14:textId="77777777" w:rsidR="00AF1347" w:rsidRDefault="00AF1347" w:rsidP="000954C3">
      <w:pPr>
        <w:shd w:val="clear" w:color="auto" w:fill="FFFFFF"/>
        <w:spacing w:after="0" w:line="240" w:lineRule="auto"/>
        <w:rPr>
          <w:rFonts w:eastAsia="Times New Roman" w:cstheme="minorHAnsi"/>
          <w:color w:val="000000"/>
          <w:lang w:eastAsia="en-AU"/>
        </w:rPr>
      </w:pPr>
    </w:p>
    <w:p w14:paraId="0CFAD48E" w14:textId="5807AD33" w:rsidR="000954C3" w:rsidRPr="00AF1347" w:rsidRDefault="00AF1347" w:rsidP="00AF1347">
      <w:r>
        <w:t xml:space="preserve">Section 43B of the </w:t>
      </w:r>
      <w:r w:rsidRPr="2C99C10A">
        <w:rPr>
          <w:i/>
          <w:iCs/>
        </w:rPr>
        <w:t>Crimes (Surveillance Devices) Act 2010</w:t>
      </w:r>
      <w:r w:rsidRPr="2C99C10A">
        <w:t xml:space="preserve"> (the Act)</w:t>
      </w:r>
      <w:r w:rsidRPr="2C99C10A">
        <w:rPr>
          <w:i/>
          <w:iCs/>
        </w:rPr>
        <w:t xml:space="preserve"> </w:t>
      </w:r>
      <w:r>
        <w:t>now</w:t>
      </w:r>
      <w:r w:rsidRPr="2C99C10A">
        <w:rPr>
          <w:i/>
          <w:iCs/>
        </w:rPr>
        <w:t xml:space="preserve"> </w:t>
      </w:r>
      <w:r>
        <w:t xml:space="preserve">provides the primary </w:t>
      </w:r>
      <w:r w:rsidR="00A95399">
        <w:t xml:space="preserve">legislative </w:t>
      </w:r>
      <w:r>
        <w:t>authority and obligations for police</w:t>
      </w:r>
      <w:r w:rsidR="00BB65F6">
        <w:t xml:space="preserve"> officers</w:t>
      </w:r>
      <w:r>
        <w:t xml:space="preserve"> in the ACT to use a BWC.  Generally under the Act, police</w:t>
      </w:r>
      <w:r w:rsidR="00BB65F6">
        <w:t xml:space="preserve"> officers</w:t>
      </w:r>
      <w:r>
        <w:t xml:space="preserve"> are now permitted to use</w:t>
      </w:r>
      <w:r w:rsidR="00BB65F6">
        <w:t xml:space="preserve"> </w:t>
      </w:r>
      <w:r>
        <w:t xml:space="preserve">(record) </w:t>
      </w:r>
      <w:r w:rsidR="3DA3D23E">
        <w:t xml:space="preserve">with a </w:t>
      </w:r>
      <w:r>
        <w:t>BWC in public, and in private premises where they can lawfully be present in the execution of their duties.</w:t>
      </w:r>
      <w:r w:rsidR="000954C3" w:rsidRPr="2C99C10A">
        <w:rPr>
          <w:rFonts w:eastAsia="Times New Roman"/>
          <w:color w:val="000000" w:themeColor="text1"/>
          <w:lang w:eastAsia="en-AU"/>
        </w:rPr>
        <w:t> </w:t>
      </w:r>
    </w:p>
    <w:p w14:paraId="0DB90BA7" w14:textId="2A67F586" w:rsidR="00BB65F6" w:rsidRDefault="00BB65F6" w:rsidP="00BB65F6">
      <w:r>
        <w:t>Section 43C</w:t>
      </w:r>
      <w:r w:rsidR="00AF1347">
        <w:t xml:space="preserve"> of the Act requires creation of guidelines regarding the use of BWCs by police</w:t>
      </w:r>
      <w:r>
        <w:t xml:space="preserve"> officers</w:t>
      </w:r>
      <w:r w:rsidR="00AF1347">
        <w:t xml:space="preserve">.  These guidelines are in the form of a Disallowable Instrument.  This is a </w:t>
      </w:r>
      <w:r>
        <w:t>publicly available</w:t>
      </w:r>
      <w:r w:rsidR="00AF1347">
        <w:t xml:space="preserve"> guideline issued by the chief police officer</w:t>
      </w:r>
      <w:r>
        <w:t xml:space="preserve"> in accordance with the Act</w:t>
      </w:r>
      <w:r w:rsidR="00AF1347">
        <w:t xml:space="preserve">, and </w:t>
      </w:r>
      <w:r>
        <w:t>provides guidance on the use of BWCs by police officers in the performance of their duties, and to assist the ACT community in understanding how police use BWCs and their rights involved in their use.</w:t>
      </w:r>
    </w:p>
    <w:p w14:paraId="0F00C4C3" w14:textId="6CF6E3D2" w:rsidR="000954C3" w:rsidRDefault="00BB65F6" w:rsidP="000954C3">
      <w:pPr>
        <w:shd w:val="clear" w:color="auto" w:fill="FFFFFF"/>
        <w:spacing w:after="0" w:line="240" w:lineRule="auto"/>
      </w:pPr>
      <w:r>
        <w:t>The guidelines detail</w:t>
      </w:r>
      <w:r w:rsidR="00AF1347" w:rsidRPr="00AF25AE">
        <w:t xml:space="preserve"> when a BWC </w:t>
      </w:r>
      <w:r w:rsidR="00184108">
        <w:t>must/may</w:t>
      </w:r>
      <w:r w:rsidR="00AF1347" w:rsidRPr="00AF25AE">
        <w:t xml:space="preserve"> be used, human rights consideration</w:t>
      </w:r>
      <w:r w:rsidR="00AF1347">
        <w:t>s</w:t>
      </w:r>
      <w:r w:rsidR="00AF1347" w:rsidRPr="00AF25AE">
        <w:t xml:space="preserve"> when making </w:t>
      </w:r>
      <w:r w:rsidR="00AF1347">
        <w:t>a</w:t>
      </w:r>
      <w:r w:rsidR="00AF1347" w:rsidRPr="00AF25AE">
        <w:t xml:space="preserve"> decision </w:t>
      </w:r>
      <w:r w:rsidR="00AF1347">
        <w:t xml:space="preserve">to record, </w:t>
      </w:r>
      <w:r w:rsidR="00AF1347" w:rsidRPr="00AF25AE">
        <w:t xml:space="preserve">as well as storage, use and disposal requirements for BWC </w:t>
      </w:r>
      <w:r w:rsidR="008B2F02">
        <w:t>recordings</w:t>
      </w:r>
      <w:r w:rsidR="00AF1347" w:rsidRPr="00AF25AE">
        <w:t xml:space="preserve">.  </w:t>
      </w:r>
      <w:r w:rsidR="00C17769">
        <w:t xml:space="preserve">The guidelines are issued by the Chief Police Officer in consultation with the director-general.  </w:t>
      </w:r>
      <w:r>
        <w:t>Police officers are required to comply</w:t>
      </w:r>
      <w:r w:rsidR="00AF1347" w:rsidRPr="00AF25AE">
        <w:t xml:space="preserve"> with the requirements </w:t>
      </w:r>
      <w:r w:rsidR="00AF1347">
        <w:t>of</w:t>
      </w:r>
      <w:r>
        <w:t xml:space="preserve"> the gu</w:t>
      </w:r>
      <w:r w:rsidR="00AF1347" w:rsidRPr="00AF25AE">
        <w:t>ideline</w:t>
      </w:r>
      <w:r>
        <w:t>s</w:t>
      </w:r>
      <w:r w:rsidR="00AF1347" w:rsidRPr="00AF25AE">
        <w:t>.</w:t>
      </w:r>
    </w:p>
    <w:p w14:paraId="2B891E12" w14:textId="77777777" w:rsidR="00BB65F6" w:rsidRPr="00CF17D3" w:rsidRDefault="00BB65F6" w:rsidP="000954C3">
      <w:pPr>
        <w:shd w:val="clear" w:color="auto" w:fill="FFFFFF"/>
        <w:spacing w:after="0" w:line="240" w:lineRule="auto"/>
        <w:rPr>
          <w:rFonts w:eastAsia="Times New Roman" w:cstheme="minorHAnsi"/>
          <w:color w:val="000000"/>
          <w:lang w:eastAsia="en-AU"/>
        </w:rPr>
      </w:pPr>
    </w:p>
    <w:p w14:paraId="465358FA" w14:textId="77777777" w:rsidR="000954C3" w:rsidRPr="00CF17D3" w:rsidRDefault="000954C3" w:rsidP="000954C3">
      <w:pPr>
        <w:shd w:val="clear" w:color="auto" w:fill="FFFFFF"/>
        <w:spacing w:after="0" w:line="240" w:lineRule="auto"/>
        <w:rPr>
          <w:rFonts w:eastAsia="Times New Roman" w:cstheme="minorHAnsi"/>
          <w:color w:val="000000"/>
          <w:lang w:eastAsia="en-AU"/>
        </w:rPr>
      </w:pPr>
      <w:r w:rsidRPr="00CF17D3">
        <w:rPr>
          <w:rFonts w:eastAsia="Times New Roman" w:cstheme="minorHAnsi"/>
          <w:color w:val="000000"/>
          <w:lang w:eastAsia="en-AU"/>
        </w:rPr>
        <w:t>A regulatory impact statement is not required as this instrument does not impose appreciable costs on the community or a part of the community (see s 34 (1) </w:t>
      </w:r>
      <w:r w:rsidRPr="00CF17D3">
        <w:rPr>
          <w:rFonts w:eastAsia="Times New Roman" w:cstheme="minorHAnsi"/>
          <w:i/>
          <w:iCs/>
          <w:color w:val="000000"/>
          <w:lang w:eastAsia="en-AU"/>
        </w:rPr>
        <w:t>Legislation Act 2001</w:t>
      </w:r>
      <w:r w:rsidR="00491712">
        <w:rPr>
          <w:rFonts w:eastAsia="Times New Roman" w:cstheme="minorHAnsi"/>
          <w:color w:val="000000"/>
          <w:lang w:eastAsia="en-AU"/>
        </w:rPr>
        <w:t>).</w:t>
      </w:r>
    </w:p>
    <w:p w14:paraId="068950C1" w14:textId="77777777" w:rsidR="000954C3" w:rsidRPr="00CF17D3" w:rsidRDefault="000954C3" w:rsidP="000954C3">
      <w:pPr>
        <w:shd w:val="clear" w:color="auto" w:fill="FFFFFF"/>
        <w:spacing w:after="0" w:line="240" w:lineRule="auto"/>
        <w:rPr>
          <w:rFonts w:eastAsia="Times New Roman" w:cstheme="minorHAnsi"/>
          <w:color w:val="000000"/>
          <w:lang w:eastAsia="en-AU"/>
        </w:rPr>
      </w:pPr>
      <w:r w:rsidRPr="00CF17D3">
        <w:rPr>
          <w:rFonts w:eastAsia="Times New Roman" w:cstheme="minorHAnsi"/>
          <w:color w:val="000000"/>
          <w:lang w:eastAsia="en-AU"/>
        </w:rPr>
        <w:t> </w:t>
      </w:r>
    </w:p>
    <w:p w14:paraId="5CEBBF19" w14:textId="77777777" w:rsidR="000954C3" w:rsidRPr="00CF17D3" w:rsidRDefault="000954C3" w:rsidP="000954C3">
      <w:pPr>
        <w:shd w:val="clear" w:color="auto" w:fill="FFFFFF"/>
        <w:spacing w:after="120" w:line="240" w:lineRule="auto"/>
        <w:rPr>
          <w:rFonts w:eastAsia="Times New Roman" w:cstheme="minorHAnsi"/>
          <w:color w:val="000000"/>
          <w:lang w:eastAsia="en-AU"/>
        </w:rPr>
      </w:pPr>
      <w:r w:rsidRPr="00CF17D3">
        <w:rPr>
          <w:rFonts w:eastAsia="Times New Roman" w:cstheme="minorHAnsi"/>
          <w:b/>
          <w:bCs/>
          <w:color w:val="000000"/>
          <w:lang w:eastAsia="en-AU"/>
        </w:rPr>
        <w:t>Clause Notes</w:t>
      </w:r>
    </w:p>
    <w:p w14:paraId="5B0F0AC1" w14:textId="1B09AACB" w:rsidR="000954C3" w:rsidRPr="00CF17D3" w:rsidRDefault="000954C3" w:rsidP="459B8B3E">
      <w:pPr>
        <w:shd w:val="clear" w:color="auto" w:fill="FFFFFF" w:themeFill="background1"/>
        <w:spacing w:after="200" w:line="240" w:lineRule="auto"/>
        <w:rPr>
          <w:rFonts w:eastAsia="Times New Roman"/>
          <w:color w:val="000000"/>
          <w:lang w:eastAsia="en-AU"/>
        </w:rPr>
      </w:pPr>
      <w:r w:rsidRPr="305EE302">
        <w:rPr>
          <w:rFonts w:eastAsia="Times New Roman"/>
          <w:b/>
          <w:bCs/>
          <w:color w:val="000000" w:themeColor="text1"/>
          <w:lang w:eastAsia="en-AU"/>
        </w:rPr>
        <w:t>Clause 1 </w:t>
      </w:r>
      <w:r w:rsidRPr="305EE302">
        <w:rPr>
          <w:rFonts w:eastAsia="Times New Roman"/>
          <w:color w:val="000000" w:themeColor="text1"/>
          <w:lang w:eastAsia="en-AU"/>
        </w:rPr>
        <w:t>names the instrument the </w:t>
      </w:r>
      <w:r w:rsidRPr="305EE302">
        <w:rPr>
          <w:rFonts w:eastAsia="Times New Roman"/>
          <w:i/>
          <w:iCs/>
          <w:color w:val="000000" w:themeColor="text1"/>
          <w:lang w:eastAsia="en-AU"/>
        </w:rPr>
        <w:t xml:space="preserve">Crimes (Surveillance Devices) Body-worn </w:t>
      </w:r>
      <w:r w:rsidR="3F52117B" w:rsidRPr="305EE302">
        <w:rPr>
          <w:rFonts w:eastAsia="Times New Roman"/>
          <w:i/>
          <w:iCs/>
          <w:color w:val="000000" w:themeColor="text1"/>
          <w:lang w:eastAsia="en-AU"/>
        </w:rPr>
        <w:t>C</w:t>
      </w:r>
      <w:r w:rsidRPr="305EE302">
        <w:rPr>
          <w:rFonts w:eastAsia="Times New Roman"/>
          <w:i/>
          <w:iCs/>
          <w:color w:val="000000" w:themeColor="text1"/>
          <w:lang w:eastAsia="en-AU"/>
        </w:rPr>
        <w:t>ameras Guidelines 202</w:t>
      </w:r>
      <w:r w:rsidR="1BE13C5C" w:rsidRPr="305EE302">
        <w:rPr>
          <w:rFonts w:eastAsia="Times New Roman"/>
          <w:i/>
          <w:iCs/>
          <w:color w:val="000000" w:themeColor="text1"/>
          <w:lang w:eastAsia="en-AU"/>
        </w:rPr>
        <w:t>2</w:t>
      </w:r>
      <w:r w:rsidR="3E3D257A" w:rsidRPr="305EE302">
        <w:rPr>
          <w:rFonts w:eastAsia="Times New Roman"/>
          <w:i/>
          <w:iCs/>
          <w:color w:val="000000" w:themeColor="text1"/>
          <w:lang w:eastAsia="en-AU"/>
        </w:rPr>
        <w:t>.</w:t>
      </w:r>
    </w:p>
    <w:p w14:paraId="6B1C84CC" w14:textId="65B1E4C3" w:rsidR="000954C3" w:rsidRPr="00CF17D3" w:rsidRDefault="000954C3" w:rsidP="1132749E">
      <w:pPr>
        <w:shd w:val="clear" w:color="auto" w:fill="FFFFFF" w:themeFill="background1"/>
        <w:spacing w:before="240" w:after="240" w:line="240" w:lineRule="auto"/>
        <w:rPr>
          <w:rFonts w:eastAsia="Times New Roman"/>
          <w:color w:val="000000"/>
          <w:lang w:eastAsia="en-AU"/>
        </w:rPr>
      </w:pPr>
      <w:r w:rsidRPr="305EE302">
        <w:rPr>
          <w:rFonts w:eastAsia="Times New Roman"/>
          <w:b/>
          <w:bCs/>
          <w:color w:val="000000" w:themeColor="text1"/>
          <w:lang w:eastAsia="en-AU"/>
        </w:rPr>
        <w:t>Clause 2</w:t>
      </w:r>
      <w:r w:rsidRPr="305EE302">
        <w:rPr>
          <w:rFonts w:eastAsia="Times New Roman"/>
          <w:color w:val="000000" w:themeColor="text1"/>
          <w:lang w:eastAsia="en-AU"/>
        </w:rPr>
        <w:t> states that the instrument</w:t>
      </w:r>
      <w:r w:rsidR="739B867E" w:rsidRPr="305EE302">
        <w:rPr>
          <w:rFonts w:ascii="Calibri" w:eastAsia="Calibri" w:hAnsi="Calibri" w:cs="Calibri"/>
          <w:color w:val="000000" w:themeColor="text1"/>
        </w:rPr>
        <w:t xml:space="preserve"> commences on the commencement of the Act, section 43C</w:t>
      </w:r>
      <w:r w:rsidRPr="305EE302">
        <w:rPr>
          <w:rFonts w:eastAsia="Times New Roman"/>
          <w:color w:val="000000" w:themeColor="text1"/>
          <w:lang w:eastAsia="en-AU"/>
        </w:rPr>
        <w:t>.</w:t>
      </w:r>
    </w:p>
    <w:p w14:paraId="401F7B86" w14:textId="3D0DD954" w:rsidR="000954C3" w:rsidRPr="00CF17D3" w:rsidRDefault="000954C3" w:rsidP="000954C3">
      <w:pPr>
        <w:shd w:val="clear" w:color="auto" w:fill="FFFFFF"/>
        <w:spacing w:before="240" w:after="240" w:line="240" w:lineRule="auto"/>
        <w:rPr>
          <w:rFonts w:eastAsia="Times New Roman" w:cstheme="minorHAnsi"/>
          <w:color w:val="000000"/>
          <w:lang w:eastAsia="en-AU"/>
        </w:rPr>
      </w:pPr>
      <w:r w:rsidRPr="00CF17D3">
        <w:rPr>
          <w:rFonts w:eastAsia="Times New Roman" w:cstheme="minorHAnsi"/>
          <w:b/>
          <w:bCs/>
          <w:color w:val="000000"/>
          <w:lang w:eastAsia="en-AU"/>
        </w:rPr>
        <w:t>Clause 3</w:t>
      </w:r>
      <w:r w:rsidRPr="00CF17D3">
        <w:rPr>
          <w:rFonts w:eastAsia="Times New Roman" w:cstheme="minorHAnsi"/>
          <w:color w:val="000000"/>
          <w:lang w:eastAsia="en-AU"/>
        </w:rPr>
        <w:t> </w:t>
      </w:r>
      <w:r w:rsidR="00B8419D">
        <w:rPr>
          <w:rFonts w:eastAsia="Times New Roman" w:cstheme="minorHAnsi"/>
          <w:color w:val="000000"/>
          <w:lang w:eastAsia="en-AU"/>
        </w:rPr>
        <w:t>provides</w:t>
      </w:r>
      <w:r w:rsidR="00A52910" w:rsidRPr="00CF17D3">
        <w:rPr>
          <w:rFonts w:eastAsia="Times New Roman" w:cstheme="minorHAnsi"/>
          <w:color w:val="000000"/>
          <w:lang w:eastAsia="en-AU"/>
        </w:rPr>
        <w:t xml:space="preserve"> </w:t>
      </w:r>
      <w:r w:rsidRPr="00CF17D3">
        <w:rPr>
          <w:rFonts w:eastAsia="Times New Roman" w:cstheme="minorHAnsi"/>
          <w:color w:val="000000"/>
          <w:lang w:eastAsia="en-AU"/>
        </w:rPr>
        <w:t>that</w:t>
      </w:r>
      <w:r w:rsidR="00B8419D">
        <w:rPr>
          <w:rFonts w:eastAsia="Times New Roman" w:cstheme="minorHAnsi"/>
          <w:color w:val="000000"/>
          <w:lang w:eastAsia="en-AU"/>
        </w:rPr>
        <w:t>, following consultation with the director-general,</w:t>
      </w:r>
      <w:r w:rsidRPr="00CF17D3">
        <w:rPr>
          <w:rFonts w:eastAsia="Times New Roman" w:cstheme="minorHAnsi"/>
          <w:color w:val="000000"/>
          <w:lang w:eastAsia="en-AU"/>
        </w:rPr>
        <w:t xml:space="preserve"> the </w:t>
      </w:r>
      <w:r w:rsidR="00B8419D">
        <w:rPr>
          <w:rFonts w:eastAsia="Times New Roman" w:cstheme="minorHAnsi"/>
          <w:color w:val="000000"/>
          <w:lang w:eastAsia="en-AU"/>
        </w:rPr>
        <w:t xml:space="preserve">chief police officer makes the </w:t>
      </w:r>
      <w:r w:rsidRPr="00CF17D3">
        <w:rPr>
          <w:rFonts w:eastAsia="Times New Roman" w:cstheme="minorHAnsi"/>
          <w:color w:val="000000"/>
          <w:lang w:eastAsia="en-AU"/>
        </w:rPr>
        <w:t>guideline</w:t>
      </w:r>
      <w:r w:rsidR="00B8419D">
        <w:rPr>
          <w:rFonts w:eastAsia="Times New Roman" w:cstheme="minorHAnsi"/>
          <w:color w:val="000000"/>
          <w:lang w:eastAsia="en-AU"/>
        </w:rPr>
        <w:t>s set out in the schedule,</w:t>
      </w:r>
      <w:r w:rsidRPr="00CF17D3">
        <w:rPr>
          <w:rFonts w:eastAsia="Times New Roman" w:cstheme="minorHAnsi"/>
          <w:color w:val="000000"/>
          <w:lang w:eastAsia="en-AU"/>
        </w:rPr>
        <w:t xml:space="preserve"> outlining the procedures for the use of body-worn cameras by police officers in the ACT.</w:t>
      </w:r>
    </w:p>
    <w:p w14:paraId="12D28F6F" w14:textId="6FA93ADB" w:rsidR="000954C3" w:rsidRPr="00CF17D3" w:rsidRDefault="000954C3" w:rsidP="000954C3">
      <w:pPr>
        <w:shd w:val="clear" w:color="auto" w:fill="FFFFFF"/>
        <w:spacing w:before="240" w:after="240" w:line="240" w:lineRule="auto"/>
        <w:rPr>
          <w:rFonts w:eastAsia="Times New Roman" w:cstheme="minorHAnsi"/>
          <w:color w:val="000000"/>
          <w:lang w:eastAsia="en-AU"/>
        </w:rPr>
      </w:pPr>
      <w:r w:rsidRPr="00CF17D3">
        <w:rPr>
          <w:rFonts w:eastAsia="Times New Roman" w:cstheme="minorHAnsi"/>
          <w:b/>
          <w:bCs/>
          <w:color w:val="000000"/>
          <w:lang w:eastAsia="en-AU"/>
        </w:rPr>
        <w:lastRenderedPageBreak/>
        <w:t>Clause 4</w:t>
      </w:r>
      <w:r w:rsidRPr="00CF17D3">
        <w:rPr>
          <w:rFonts w:eastAsia="Times New Roman" w:cstheme="minorHAnsi"/>
          <w:color w:val="000000"/>
          <w:lang w:eastAsia="en-AU"/>
        </w:rPr>
        <w:t> </w:t>
      </w:r>
      <w:r w:rsidR="00A52910">
        <w:rPr>
          <w:rFonts w:eastAsia="Times New Roman" w:cstheme="minorHAnsi"/>
          <w:color w:val="000000"/>
          <w:lang w:eastAsia="en-AU"/>
        </w:rPr>
        <w:t>sets out the</w:t>
      </w:r>
      <w:r w:rsidR="00A52910" w:rsidRPr="00CF17D3">
        <w:rPr>
          <w:rFonts w:eastAsia="Times New Roman" w:cstheme="minorHAnsi"/>
          <w:color w:val="000000"/>
          <w:lang w:eastAsia="en-AU"/>
        </w:rPr>
        <w:t xml:space="preserve"> </w:t>
      </w:r>
      <w:r w:rsidRPr="00CF17D3">
        <w:rPr>
          <w:rFonts w:eastAsia="Times New Roman" w:cstheme="minorHAnsi"/>
          <w:color w:val="000000"/>
          <w:lang w:eastAsia="en-AU"/>
        </w:rPr>
        <w:t xml:space="preserve">definitions </w:t>
      </w:r>
      <w:r w:rsidR="00A52910">
        <w:rPr>
          <w:rFonts w:eastAsia="Times New Roman" w:cstheme="minorHAnsi"/>
          <w:color w:val="000000"/>
          <w:lang w:eastAsia="en-AU"/>
        </w:rPr>
        <w:t xml:space="preserve">of terms </w:t>
      </w:r>
      <w:r w:rsidRPr="00CF17D3">
        <w:rPr>
          <w:rFonts w:eastAsia="Times New Roman" w:cstheme="minorHAnsi"/>
          <w:color w:val="000000"/>
          <w:lang w:eastAsia="en-AU"/>
        </w:rPr>
        <w:t>used in the guidelines.</w:t>
      </w:r>
    </w:p>
    <w:p w14:paraId="32D5614D" w14:textId="77777777" w:rsidR="000954C3" w:rsidRPr="00CF17D3" w:rsidRDefault="000954C3" w:rsidP="000954C3">
      <w:pPr>
        <w:shd w:val="clear" w:color="auto" w:fill="FFFFFF"/>
        <w:spacing w:before="240" w:after="240" w:line="240" w:lineRule="auto"/>
        <w:rPr>
          <w:rFonts w:eastAsia="Times New Roman" w:cstheme="minorHAnsi"/>
          <w:color w:val="000000"/>
          <w:lang w:eastAsia="en-AU"/>
        </w:rPr>
      </w:pPr>
      <w:r w:rsidRPr="00CF17D3">
        <w:rPr>
          <w:rFonts w:eastAsia="Times New Roman" w:cstheme="minorHAnsi"/>
          <w:color w:val="000000"/>
          <w:lang w:eastAsia="en-AU"/>
        </w:rPr>
        <w:t>The</w:t>
      </w:r>
      <w:r w:rsidRPr="00CF17D3">
        <w:rPr>
          <w:rFonts w:eastAsia="Times New Roman" w:cstheme="minorHAnsi"/>
          <w:b/>
          <w:bCs/>
          <w:color w:val="000000"/>
          <w:lang w:eastAsia="en-AU"/>
        </w:rPr>
        <w:t> Schedule</w:t>
      </w:r>
      <w:r w:rsidRPr="00CF17D3">
        <w:rPr>
          <w:rFonts w:eastAsia="Times New Roman" w:cstheme="minorHAnsi"/>
          <w:color w:val="000000"/>
          <w:lang w:eastAsia="en-AU"/>
        </w:rPr>
        <w:t> provides the guidelines within the following headings:</w:t>
      </w:r>
    </w:p>
    <w:p w14:paraId="3F02A7DB" w14:textId="62382E4A" w:rsidR="0005795E" w:rsidRPr="004F16B3" w:rsidRDefault="0005795E" w:rsidP="0005795E">
      <w:pPr>
        <w:rPr>
          <w:i/>
        </w:rPr>
      </w:pPr>
      <w:r>
        <w:rPr>
          <w:i/>
        </w:rPr>
        <w:t xml:space="preserve">Part </w:t>
      </w:r>
      <w:r w:rsidR="00437D2D">
        <w:rPr>
          <w:i/>
        </w:rPr>
        <w:t xml:space="preserve">1 </w:t>
      </w:r>
      <w:r>
        <w:rPr>
          <w:i/>
        </w:rPr>
        <w:t>– Purpose</w:t>
      </w:r>
    </w:p>
    <w:p w14:paraId="48A941E9" w14:textId="4F49A4C0" w:rsidR="00CF17D3" w:rsidRDefault="000B707A" w:rsidP="00CF17D3">
      <w:r>
        <w:t>This part outlines</w:t>
      </w:r>
      <w:r w:rsidR="00CF17D3">
        <w:t xml:space="preserve"> </w:t>
      </w:r>
      <w:r w:rsidR="00666D3E">
        <w:t>the dual purpose of the guidelines to provide guidance on the use of body-worn camera’s (BWCs) by police officers in the performance of their duties, and to assist the ACT community in understanding how police use BWCs and their rights involved in their use.</w:t>
      </w:r>
    </w:p>
    <w:p w14:paraId="205252BA" w14:textId="77777777" w:rsidR="00CF17D3" w:rsidRPr="004F16B3" w:rsidRDefault="00CF17D3" w:rsidP="00CF17D3">
      <w:pPr>
        <w:rPr>
          <w:i/>
        </w:rPr>
      </w:pPr>
      <w:r w:rsidRPr="004F16B3">
        <w:rPr>
          <w:i/>
        </w:rPr>
        <w:t>Part 2 – Scope</w:t>
      </w:r>
    </w:p>
    <w:p w14:paraId="113C5D33" w14:textId="77777777" w:rsidR="00CF17D3" w:rsidRDefault="00CF17D3" w:rsidP="00CF17D3">
      <w:r>
        <w:t xml:space="preserve">This part provides </w:t>
      </w:r>
      <w:r w:rsidR="000B707A">
        <w:t>the extent of the application of the guidelines within the ACT.</w:t>
      </w:r>
    </w:p>
    <w:p w14:paraId="53D026C6" w14:textId="77777777" w:rsidR="00CF17D3" w:rsidRPr="004F16B3" w:rsidRDefault="00CF17D3" w:rsidP="00CF17D3">
      <w:pPr>
        <w:rPr>
          <w:i/>
        </w:rPr>
      </w:pPr>
      <w:r w:rsidRPr="004F16B3">
        <w:rPr>
          <w:i/>
        </w:rPr>
        <w:t>Part 3 – Principles and Governance</w:t>
      </w:r>
    </w:p>
    <w:p w14:paraId="736C4B13" w14:textId="77777777" w:rsidR="00CF17D3" w:rsidRDefault="00CF17D3" w:rsidP="00CF17D3">
      <w:r>
        <w:t xml:space="preserve">This part </w:t>
      </w:r>
      <w:r w:rsidR="000B707A">
        <w:t>details the relevant legislation that the guidelines reference and how BWC use by police officers is further managed.</w:t>
      </w:r>
    </w:p>
    <w:p w14:paraId="1C890D3E" w14:textId="652FFB39" w:rsidR="00CF17D3" w:rsidRPr="004F16B3" w:rsidRDefault="00CF17D3" w:rsidP="00CF17D3">
      <w:pPr>
        <w:rPr>
          <w:i/>
        </w:rPr>
      </w:pPr>
      <w:r w:rsidRPr="004F16B3">
        <w:rPr>
          <w:i/>
        </w:rPr>
        <w:t xml:space="preserve">Part 4 – </w:t>
      </w:r>
      <w:r w:rsidR="009A5885">
        <w:rPr>
          <w:i/>
        </w:rPr>
        <w:t>Use of a BWC</w:t>
      </w:r>
    </w:p>
    <w:p w14:paraId="50CDC862" w14:textId="77777777" w:rsidR="000B707A" w:rsidRDefault="000B707A" w:rsidP="00CF17D3">
      <w:r>
        <w:t xml:space="preserve">This part details </w:t>
      </w:r>
      <w:r w:rsidR="007D2D74">
        <w:t>the considerations that are relevant to the decision of when and h</w:t>
      </w:r>
      <w:r w:rsidR="00D417BA">
        <w:t>ow to record by police officers, in accordance with the Act.</w:t>
      </w:r>
      <w:r w:rsidR="007D2D74">
        <w:t xml:space="preserve">  This includes:</w:t>
      </w:r>
    </w:p>
    <w:p w14:paraId="444B229D" w14:textId="77777777" w:rsidR="009A5885" w:rsidRDefault="00CF17D3" w:rsidP="007D2D74">
      <w:pPr>
        <w:pStyle w:val="ListParagraph"/>
        <w:numPr>
          <w:ilvl w:val="0"/>
          <w:numId w:val="1"/>
        </w:numPr>
      </w:pPr>
      <w:r>
        <w:t>Circumstances of use</w:t>
      </w:r>
      <w:r w:rsidR="007D2D74">
        <w:t xml:space="preserve"> – provides detailed explanation and examples</w:t>
      </w:r>
      <w:r w:rsidR="0005795E">
        <w:t xml:space="preserve"> of situations </w:t>
      </w:r>
      <w:r w:rsidR="009A5885">
        <w:t xml:space="preserve">of </w:t>
      </w:r>
      <w:r w:rsidR="007D2D74">
        <w:t>when and how, a police officer</w:t>
      </w:r>
      <w:r w:rsidR="009A5885">
        <w:t>;</w:t>
      </w:r>
    </w:p>
    <w:p w14:paraId="018D2EAC" w14:textId="0F8BADB1" w:rsidR="00CF17D3" w:rsidRDefault="007D2D74" w:rsidP="009A5885">
      <w:pPr>
        <w:pStyle w:val="ListParagraph"/>
        <w:numPr>
          <w:ilvl w:val="1"/>
          <w:numId w:val="1"/>
        </w:numPr>
      </w:pPr>
      <w:r>
        <w:t xml:space="preserve">‘must’ use a BWC </w:t>
      </w:r>
      <w:r w:rsidR="009A5885">
        <w:t>to record;</w:t>
      </w:r>
    </w:p>
    <w:p w14:paraId="642A443E" w14:textId="60833D30" w:rsidR="009A5885" w:rsidRDefault="009A5885" w:rsidP="009A5885">
      <w:pPr>
        <w:pStyle w:val="ListParagraph"/>
        <w:numPr>
          <w:ilvl w:val="1"/>
          <w:numId w:val="1"/>
        </w:numPr>
      </w:pPr>
      <w:r>
        <w:t>‘may’ choose to use a BWC to record.</w:t>
      </w:r>
    </w:p>
    <w:p w14:paraId="20443283" w14:textId="77777777" w:rsidR="007D2D74" w:rsidRDefault="007D2D74" w:rsidP="007D2D74">
      <w:pPr>
        <w:pStyle w:val="ListParagraph"/>
      </w:pPr>
    </w:p>
    <w:p w14:paraId="73527DA4" w14:textId="77777777" w:rsidR="00CF17D3" w:rsidRDefault="00CF17D3" w:rsidP="007D2D74">
      <w:pPr>
        <w:pStyle w:val="ListParagraph"/>
        <w:numPr>
          <w:ilvl w:val="0"/>
          <w:numId w:val="1"/>
        </w:numPr>
      </w:pPr>
      <w:r>
        <w:t>Overt use of a BWC</w:t>
      </w:r>
      <w:r w:rsidR="007D2D74">
        <w:t xml:space="preserve"> – provides detailed explanation and examples </w:t>
      </w:r>
      <w:r w:rsidR="0005795E">
        <w:t>of situations how</w:t>
      </w:r>
      <w:r w:rsidR="007D2D74">
        <w:t xml:space="preserve"> a police officer must ensure the use of BWC is overt;</w:t>
      </w:r>
    </w:p>
    <w:p w14:paraId="3EAAEECF" w14:textId="77777777" w:rsidR="007D2D74" w:rsidRDefault="007D2D74" w:rsidP="007D2D74">
      <w:pPr>
        <w:pStyle w:val="ListParagraph"/>
      </w:pPr>
    </w:p>
    <w:p w14:paraId="630CF6DE" w14:textId="5E4872D9" w:rsidR="005972AA" w:rsidRPr="005972AA" w:rsidRDefault="00CF17D3">
      <w:pPr>
        <w:pStyle w:val="ListParagraph"/>
        <w:numPr>
          <w:ilvl w:val="0"/>
          <w:numId w:val="1"/>
        </w:numPr>
      </w:pPr>
      <w:r>
        <w:t>Ceasing use</w:t>
      </w:r>
      <w:r w:rsidR="007D2D74">
        <w:t xml:space="preserve"> – provides circumstances of when a police officer may ‘cease’</w:t>
      </w:r>
      <w:r w:rsidR="00D417BA">
        <w:t xml:space="preserve"> (stop) recording.</w:t>
      </w:r>
    </w:p>
    <w:p w14:paraId="4BAA65B7" w14:textId="2054BBDB" w:rsidR="005972AA" w:rsidRPr="005972AA" w:rsidRDefault="00FA66EF" w:rsidP="009A5885">
      <w:r>
        <w:t xml:space="preserve">For instance, </w:t>
      </w:r>
      <w:r w:rsidR="00100084">
        <w:t>p</w:t>
      </w:r>
      <w:r w:rsidR="005972AA">
        <w:t xml:space="preserve">olice </w:t>
      </w:r>
      <w:r w:rsidR="005972AA" w:rsidRPr="009A5885">
        <w:t>officers exercising a right of entry in residential premises should, as far as practicable, seek to avoid recording anything more than is necessary given their purpose for entering the residence.</w:t>
      </w:r>
    </w:p>
    <w:p w14:paraId="71A4D91A" w14:textId="77777777" w:rsidR="00CF17D3" w:rsidRPr="007D2D74" w:rsidRDefault="00CF17D3" w:rsidP="00CF17D3">
      <w:pPr>
        <w:rPr>
          <w:i/>
        </w:rPr>
      </w:pPr>
      <w:r w:rsidRPr="007D2D74">
        <w:rPr>
          <w:i/>
        </w:rPr>
        <w:t>Part 5 –</w:t>
      </w:r>
      <w:r w:rsidR="0005795E">
        <w:rPr>
          <w:i/>
        </w:rPr>
        <w:t xml:space="preserve"> </w:t>
      </w:r>
      <w:r w:rsidRPr="007D2D74">
        <w:rPr>
          <w:i/>
        </w:rPr>
        <w:t>Exceptions to Use</w:t>
      </w:r>
    </w:p>
    <w:p w14:paraId="5C299C86" w14:textId="04BEECD3" w:rsidR="007D2D74" w:rsidRDefault="007D2D74" w:rsidP="00CF17D3">
      <w:r>
        <w:t xml:space="preserve">This part details the exceptions </w:t>
      </w:r>
      <w:r w:rsidR="00D417BA">
        <w:t>and considerations a police officer should use when they are</w:t>
      </w:r>
      <w:r>
        <w:t xml:space="preserve"> </w:t>
      </w:r>
      <w:r w:rsidR="00D417BA">
        <w:t xml:space="preserve">otherwise not required to use a BWC, in accordance with the </w:t>
      </w:r>
      <w:r w:rsidR="00B8419D">
        <w:t>Act</w:t>
      </w:r>
      <w:r w:rsidR="00D417BA">
        <w:t>.</w:t>
      </w:r>
      <w:r>
        <w:t xml:space="preserve">  This includes:</w:t>
      </w:r>
    </w:p>
    <w:p w14:paraId="4366B80A" w14:textId="77777777" w:rsidR="00CF17D3" w:rsidRDefault="00CF17D3" w:rsidP="00D417BA">
      <w:pPr>
        <w:pStyle w:val="ListParagraph"/>
        <w:numPr>
          <w:ilvl w:val="0"/>
          <w:numId w:val="2"/>
        </w:numPr>
      </w:pPr>
      <w:r>
        <w:t>Practicability</w:t>
      </w:r>
      <w:r w:rsidR="00D417BA">
        <w:t xml:space="preserve"> – provides detailed explanation and examples </w:t>
      </w:r>
      <w:r w:rsidR="0005795E">
        <w:t>of situations</w:t>
      </w:r>
      <w:r w:rsidR="00D417BA">
        <w:t xml:space="preserve"> when it is not ‘reasonably practicable’ for a police officer to use a BWC;</w:t>
      </w:r>
    </w:p>
    <w:p w14:paraId="56AF3F08" w14:textId="77777777" w:rsidR="00D417BA" w:rsidRDefault="00D417BA" w:rsidP="00D417BA">
      <w:pPr>
        <w:pStyle w:val="ListParagraph"/>
      </w:pPr>
    </w:p>
    <w:p w14:paraId="1C120939" w14:textId="77777777" w:rsidR="00CF17D3" w:rsidRDefault="00CF17D3" w:rsidP="00D417BA">
      <w:pPr>
        <w:pStyle w:val="ListParagraph"/>
        <w:numPr>
          <w:ilvl w:val="0"/>
          <w:numId w:val="2"/>
        </w:numPr>
      </w:pPr>
      <w:r>
        <w:t>Risk to Safety</w:t>
      </w:r>
      <w:r w:rsidR="0005795E">
        <w:t xml:space="preserve"> –</w:t>
      </w:r>
      <w:r w:rsidR="00D417BA">
        <w:t xml:space="preserve"> provides detailed explanation and examples of </w:t>
      </w:r>
      <w:r w:rsidR="0005795E">
        <w:t xml:space="preserve">situations </w:t>
      </w:r>
      <w:r w:rsidR="00D417BA">
        <w:t>when use of a BWC by a police officer ‘could cause or increase a risk to a person’s safety’;</w:t>
      </w:r>
    </w:p>
    <w:p w14:paraId="7AF89816" w14:textId="77777777" w:rsidR="00D417BA" w:rsidRDefault="00D417BA" w:rsidP="00D417BA">
      <w:pPr>
        <w:pStyle w:val="ListParagraph"/>
      </w:pPr>
    </w:p>
    <w:p w14:paraId="2DEF6FAA" w14:textId="77777777" w:rsidR="00CF17D3" w:rsidRDefault="00CF17D3" w:rsidP="00CF17D3">
      <w:pPr>
        <w:pStyle w:val="ListParagraph"/>
        <w:numPr>
          <w:ilvl w:val="0"/>
          <w:numId w:val="2"/>
        </w:numPr>
      </w:pPr>
      <w:r>
        <w:t>Privacy</w:t>
      </w:r>
      <w:r w:rsidR="0005795E">
        <w:t xml:space="preserve"> –</w:t>
      </w:r>
      <w:r w:rsidR="00D417BA">
        <w:t xml:space="preserve"> provides detailed explanation and consideration of when use of a BWC by a police officer ‘would unreasonably limit a person’s privacy’.</w:t>
      </w:r>
    </w:p>
    <w:p w14:paraId="559BA758" w14:textId="6B26CF1E" w:rsidR="00CF17D3" w:rsidRPr="00D417BA" w:rsidRDefault="009A5885" w:rsidP="00CF17D3">
      <w:pPr>
        <w:rPr>
          <w:i/>
        </w:rPr>
      </w:pPr>
      <w:r>
        <w:rPr>
          <w:i/>
        </w:rPr>
        <w:t>Part 6 – Recordings</w:t>
      </w:r>
    </w:p>
    <w:p w14:paraId="4F6FCBF6" w14:textId="2F3AC9E9" w:rsidR="00D417BA" w:rsidRDefault="00D417BA" w:rsidP="00CF17D3">
      <w:r>
        <w:lastRenderedPageBreak/>
        <w:t xml:space="preserve">This part outlines the procedures, governance and legislative requirements that apply to the BWC </w:t>
      </w:r>
      <w:r w:rsidR="009A5885">
        <w:t>recordings; their</w:t>
      </w:r>
      <w:r>
        <w:t xml:space="preserve"> </w:t>
      </w:r>
      <w:r w:rsidRPr="00AF25AE">
        <w:t>storage, use and disposal requirements</w:t>
      </w:r>
      <w:r>
        <w:t>.  This includes:</w:t>
      </w:r>
    </w:p>
    <w:p w14:paraId="0EF072EA" w14:textId="77777777" w:rsidR="00CF17D3" w:rsidRDefault="00CF17D3" w:rsidP="00D417BA">
      <w:pPr>
        <w:pStyle w:val="ListParagraph"/>
        <w:numPr>
          <w:ilvl w:val="0"/>
          <w:numId w:val="3"/>
        </w:numPr>
      </w:pPr>
      <w:r>
        <w:t>Storage</w:t>
      </w:r>
      <w:r w:rsidR="0005795E">
        <w:t>;</w:t>
      </w:r>
    </w:p>
    <w:p w14:paraId="3975269E" w14:textId="77777777" w:rsidR="00CF17D3" w:rsidRDefault="00CF17D3" w:rsidP="00D417BA">
      <w:pPr>
        <w:pStyle w:val="ListParagraph"/>
        <w:numPr>
          <w:ilvl w:val="0"/>
          <w:numId w:val="3"/>
        </w:numPr>
      </w:pPr>
      <w:r>
        <w:t>Access</w:t>
      </w:r>
      <w:r w:rsidR="00D417BA">
        <w:t xml:space="preserve"> and use</w:t>
      </w:r>
      <w:r w:rsidR="0005795E">
        <w:t xml:space="preserve"> by p</w:t>
      </w:r>
      <w:r>
        <w:t>olice</w:t>
      </w:r>
      <w:r w:rsidR="0005795E">
        <w:t xml:space="preserve"> officers;</w:t>
      </w:r>
    </w:p>
    <w:p w14:paraId="2587FF34" w14:textId="1D4F5A4F" w:rsidR="00527C95" w:rsidRDefault="00CF17D3" w:rsidP="00527C95">
      <w:pPr>
        <w:pStyle w:val="ListParagraph"/>
        <w:numPr>
          <w:ilvl w:val="0"/>
          <w:numId w:val="3"/>
        </w:numPr>
      </w:pPr>
      <w:r>
        <w:t xml:space="preserve">Access by the </w:t>
      </w:r>
      <w:r w:rsidR="0005795E">
        <w:t xml:space="preserve">members of the </w:t>
      </w:r>
      <w:r>
        <w:t>public</w:t>
      </w:r>
      <w:r w:rsidR="0005795E">
        <w:t>.</w:t>
      </w:r>
    </w:p>
    <w:p w14:paraId="08485248" w14:textId="6DB77468" w:rsidR="00527C95" w:rsidRDefault="005C4C5D" w:rsidP="009A5885">
      <w:bookmarkStart w:id="1" w:name="_Hlk93588463"/>
      <w:r>
        <w:t>Part 6</w:t>
      </w:r>
      <w:r w:rsidR="007D7637">
        <w:t xml:space="preserve"> provides a high-level summary of the considerations which may apply to release of </w:t>
      </w:r>
      <w:r w:rsidR="009A5885">
        <w:t>recordings</w:t>
      </w:r>
      <w:r w:rsidR="007D7637">
        <w:t>, depending on which Commonwealth provisions apply. This section does not alter or detract from lawful considerations under the relevant Commonwealth</w:t>
      </w:r>
      <w:r w:rsidR="00D17D16">
        <w:t xml:space="preserve"> or ACT</w:t>
      </w:r>
      <w:r w:rsidR="007D7637">
        <w:t xml:space="preserve"> legislation</w:t>
      </w:r>
      <w:bookmarkEnd w:id="1"/>
      <w:r w:rsidR="007D7637">
        <w:t>.</w:t>
      </w:r>
    </w:p>
    <w:p w14:paraId="55CA29B6" w14:textId="77777777" w:rsidR="00CF17D3" w:rsidRPr="004B2DC3" w:rsidRDefault="00CF17D3" w:rsidP="00CF17D3">
      <w:pPr>
        <w:rPr>
          <w:i/>
        </w:rPr>
      </w:pPr>
      <w:r w:rsidRPr="00D417BA">
        <w:rPr>
          <w:i/>
        </w:rPr>
        <w:t>Part 7 – Complaints</w:t>
      </w:r>
    </w:p>
    <w:p w14:paraId="47AF1EBB" w14:textId="77777777" w:rsidR="00CF17D3" w:rsidRDefault="004B2DC3" w:rsidP="00CF17D3">
      <w:r>
        <w:t>This part outlines how a member of the public may make a complaint in relation to a police officer failing to use a BWC in accordance with the Act and guidelines.</w:t>
      </w:r>
    </w:p>
    <w:p w14:paraId="243AD031" w14:textId="77777777" w:rsidR="00CF17D3" w:rsidRPr="004B2DC3" w:rsidRDefault="00CF17D3" w:rsidP="00CF17D3">
      <w:pPr>
        <w:rPr>
          <w:i/>
        </w:rPr>
      </w:pPr>
      <w:r w:rsidRPr="00D417BA">
        <w:rPr>
          <w:i/>
        </w:rPr>
        <w:t>Part 8 – Human Rights</w:t>
      </w:r>
    </w:p>
    <w:p w14:paraId="2283CB7B" w14:textId="77777777" w:rsidR="008B2F02" w:rsidRDefault="00CF17D3" w:rsidP="00CF17D3">
      <w:r>
        <w:t xml:space="preserve">This part </w:t>
      </w:r>
      <w:r w:rsidR="00D62AE4">
        <w:t xml:space="preserve">addresses </w:t>
      </w:r>
      <w:r w:rsidR="004B2DC3">
        <w:t>how the gu</w:t>
      </w:r>
      <w:r w:rsidR="00D62AE4">
        <w:t xml:space="preserve">idelines have been developed in accordance with the </w:t>
      </w:r>
      <w:r w:rsidR="00D62AE4" w:rsidRPr="0005795E">
        <w:rPr>
          <w:i/>
        </w:rPr>
        <w:t xml:space="preserve">Human Rights Act 2004 </w:t>
      </w:r>
      <w:r w:rsidR="00D62AE4" w:rsidRPr="009A5885">
        <w:rPr>
          <w:iCs/>
        </w:rPr>
        <w:t>(ACT</w:t>
      </w:r>
      <w:r w:rsidR="00D62AE4" w:rsidRPr="005972AA">
        <w:rPr>
          <w:iCs/>
        </w:rPr>
        <w:t>)</w:t>
      </w:r>
      <w:r w:rsidR="008B2F02">
        <w:t xml:space="preserve">. The use of BWCs by police has a number of human rights benefits, including by improved accountability and transparency in police interactions with members of the community, by providing an accurate and detailed record of events and decision making processes by police in the performance of their duties. </w:t>
      </w:r>
    </w:p>
    <w:p w14:paraId="50A84414" w14:textId="53BD2536" w:rsidR="008B2F02" w:rsidRDefault="008B2F02" w:rsidP="00CF17D3">
      <w:r>
        <w:t>BWC recordings</w:t>
      </w:r>
      <w:r w:rsidRPr="0003308D">
        <w:t xml:space="preserve"> can </w:t>
      </w:r>
      <w:r>
        <w:t>provide</w:t>
      </w:r>
      <w:r w:rsidRPr="0003308D">
        <w:t xml:space="preserve"> evidence that assists all parties in criminal pro</w:t>
      </w:r>
      <w:r>
        <w:t>ceedings,</w:t>
      </w:r>
      <w:r w:rsidRPr="0003308D">
        <w:t> </w:t>
      </w:r>
      <w:r>
        <w:t xml:space="preserve">supporting </w:t>
      </w:r>
      <w:r w:rsidRPr="0003308D">
        <w:t>a person’s right in criminal proceedings</w:t>
      </w:r>
      <w:r>
        <w:t xml:space="preserve">. For instance, it is anticipated that the expanded use of BWCs by police inside private premises, within the reasonable limitations as set out in the guidelines, will support the human rights of victim-survivors of family violence by enabling recording in such settings. </w:t>
      </w:r>
    </w:p>
    <w:p w14:paraId="7F519C9F" w14:textId="0169BDF0" w:rsidR="00C52190" w:rsidRDefault="008B2F02" w:rsidP="00CF17D3">
      <w:r>
        <w:t xml:space="preserve">This part also explains </w:t>
      </w:r>
      <w:r w:rsidR="00D62AE4">
        <w:t>how a member of the public may make a complaint if they consider that a police officer’s use of a BWC has unreasonably interfered or limited their human rights.</w:t>
      </w:r>
      <w:r>
        <w:t xml:space="preserve"> </w:t>
      </w:r>
    </w:p>
    <w:sectPr w:rsidR="00C5219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FDC4F" w14:textId="77777777" w:rsidR="009A5885" w:rsidRDefault="009A5885" w:rsidP="009A5885">
      <w:pPr>
        <w:spacing w:after="0" w:line="240" w:lineRule="auto"/>
      </w:pPr>
      <w:r>
        <w:separator/>
      </w:r>
    </w:p>
  </w:endnote>
  <w:endnote w:type="continuationSeparator" w:id="0">
    <w:p w14:paraId="03256E80" w14:textId="77777777" w:rsidR="009A5885" w:rsidRDefault="009A5885" w:rsidP="009A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15BA0" w14:textId="77777777" w:rsidR="009A5885" w:rsidRDefault="009A5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9B10B" w14:textId="5173D1B4" w:rsidR="009A5885" w:rsidRPr="004F2DF8" w:rsidRDefault="004F2DF8" w:rsidP="004F2DF8">
    <w:pPr>
      <w:pStyle w:val="Footer"/>
      <w:jc w:val="center"/>
      <w:rPr>
        <w:rFonts w:ascii="Arial" w:hAnsi="Arial" w:cs="Arial"/>
        <w:sz w:val="14"/>
      </w:rPr>
    </w:pPr>
    <w:r w:rsidRPr="004F2DF8">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A254F" w14:textId="77777777" w:rsidR="009A5885" w:rsidRDefault="009A5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2946C" w14:textId="77777777" w:rsidR="009A5885" w:rsidRDefault="009A5885" w:rsidP="009A5885">
      <w:pPr>
        <w:spacing w:after="0" w:line="240" w:lineRule="auto"/>
      </w:pPr>
      <w:r>
        <w:separator/>
      </w:r>
    </w:p>
  </w:footnote>
  <w:footnote w:type="continuationSeparator" w:id="0">
    <w:p w14:paraId="2FB8C372" w14:textId="77777777" w:rsidR="009A5885" w:rsidRDefault="009A5885" w:rsidP="009A5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CC4F9" w14:textId="77777777" w:rsidR="009A5885" w:rsidRDefault="009A5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2BA2" w14:textId="77777777" w:rsidR="009A5885" w:rsidRDefault="009A5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B1955" w14:textId="77777777" w:rsidR="009A5885" w:rsidRDefault="009A5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A2474"/>
    <w:multiLevelType w:val="hybridMultilevel"/>
    <w:tmpl w:val="39F6F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69A7B68"/>
    <w:multiLevelType w:val="hybridMultilevel"/>
    <w:tmpl w:val="17C89F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C0A00F0"/>
    <w:multiLevelType w:val="hybridMultilevel"/>
    <w:tmpl w:val="48E4B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264"/>
    <w:rsid w:val="00031CC2"/>
    <w:rsid w:val="0005795E"/>
    <w:rsid w:val="000954C3"/>
    <w:rsid w:val="000B707A"/>
    <w:rsid w:val="000E349C"/>
    <w:rsid w:val="00100084"/>
    <w:rsid w:val="001007A8"/>
    <w:rsid w:val="00184108"/>
    <w:rsid w:val="00397FCA"/>
    <w:rsid w:val="00437D2D"/>
    <w:rsid w:val="0048162E"/>
    <w:rsid w:val="00491712"/>
    <w:rsid w:val="004B2DC3"/>
    <w:rsid w:val="004F16B3"/>
    <w:rsid w:val="004F2DF8"/>
    <w:rsid w:val="00527C95"/>
    <w:rsid w:val="005972AA"/>
    <w:rsid w:val="005C4C5D"/>
    <w:rsid w:val="005D2105"/>
    <w:rsid w:val="00666D3E"/>
    <w:rsid w:val="00687EA4"/>
    <w:rsid w:val="007D2D74"/>
    <w:rsid w:val="007D7637"/>
    <w:rsid w:val="007E4264"/>
    <w:rsid w:val="008026C2"/>
    <w:rsid w:val="008B2F02"/>
    <w:rsid w:val="008F4F85"/>
    <w:rsid w:val="009122B7"/>
    <w:rsid w:val="009A5885"/>
    <w:rsid w:val="009C7A9A"/>
    <w:rsid w:val="00A52910"/>
    <w:rsid w:val="00A62FF5"/>
    <w:rsid w:val="00A95399"/>
    <w:rsid w:val="00AF1347"/>
    <w:rsid w:val="00B8419D"/>
    <w:rsid w:val="00BB65F6"/>
    <w:rsid w:val="00C17769"/>
    <w:rsid w:val="00CE19E1"/>
    <w:rsid w:val="00CE708A"/>
    <w:rsid w:val="00CF17D3"/>
    <w:rsid w:val="00D17D16"/>
    <w:rsid w:val="00D23BE0"/>
    <w:rsid w:val="00D417BA"/>
    <w:rsid w:val="00D62AE4"/>
    <w:rsid w:val="00DA1A49"/>
    <w:rsid w:val="00DF37BD"/>
    <w:rsid w:val="00FA66EF"/>
    <w:rsid w:val="03DF0263"/>
    <w:rsid w:val="1132749E"/>
    <w:rsid w:val="1944396F"/>
    <w:rsid w:val="1BE13C5C"/>
    <w:rsid w:val="23FCD477"/>
    <w:rsid w:val="2C99C10A"/>
    <w:rsid w:val="305EE302"/>
    <w:rsid w:val="31879B4F"/>
    <w:rsid w:val="3DA3D23E"/>
    <w:rsid w:val="3E3D257A"/>
    <w:rsid w:val="3F52117B"/>
    <w:rsid w:val="459B8B3E"/>
    <w:rsid w:val="4EAD79C2"/>
    <w:rsid w:val="5121010E"/>
    <w:rsid w:val="5A363BBC"/>
    <w:rsid w:val="651B0C3A"/>
    <w:rsid w:val="739B867E"/>
    <w:rsid w:val="759072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A7754A8"/>
  <w15:chartTrackingRefBased/>
  <w15:docId w15:val="{ABAFEF70-4930-489D-BA26-BBE7F090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954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0954C3"/>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0954C3"/>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4C3"/>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0954C3"/>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0954C3"/>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0954C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deunder">
    <w:name w:val="madeunder"/>
    <w:basedOn w:val="Normal"/>
    <w:rsid w:val="000954C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veractname">
    <w:name w:val="coveractname"/>
    <w:basedOn w:val="Normal"/>
    <w:rsid w:val="000954C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line3">
    <w:name w:val="n-line3"/>
    <w:basedOn w:val="Normal"/>
    <w:rsid w:val="000954C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dytext">
    <w:name w:val="bodytext"/>
    <w:basedOn w:val="Normal"/>
    <w:rsid w:val="000954C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7D2D74"/>
    <w:pPr>
      <w:ind w:left="720"/>
      <w:contextualSpacing/>
    </w:pPr>
  </w:style>
  <w:style w:type="character" w:styleId="CommentReference">
    <w:name w:val="annotation reference"/>
    <w:basedOn w:val="DefaultParagraphFont"/>
    <w:uiPriority w:val="99"/>
    <w:semiHidden/>
    <w:unhideWhenUsed/>
    <w:rsid w:val="00A95399"/>
    <w:rPr>
      <w:sz w:val="16"/>
      <w:szCs w:val="16"/>
    </w:rPr>
  </w:style>
  <w:style w:type="paragraph" w:styleId="CommentText">
    <w:name w:val="annotation text"/>
    <w:basedOn w:val="Normal"/>
    <w:link w:val="CommentTextChar"/>
    <w:uiPriority w:val="99"/>
    <w:semiHidden/>
    <w:unhideWhenUsed/>
    <w:rsid w:val="00A95399"/>
    <w:pPr>
      <w:spacing w:line="240" w:lineRule="auto"/>
    </w:pPr>
    <w:rPr>
      <w:sz w:val="20"/>
      <w:szCs w:val="20"/>
    </w:rPr>
  </w:style>
  <w:style w:type="character" w:customStyle="1" w:styleId="CommentTextChar">
    <w:name w:val="Comment Text Char"/>
    <w:basedOn w:val="DefaultParagraphFont"/>
    <w:link w:val="CommentText"/>
    <w:uiPriority w:val="99"/>
    <w:semiHidden/>
    <w:rsid w:val="00A95399"/>
    <w:rPr>
      <w:sz w:val="20"/>
      <w:szCs w:val="20"/>
    </w:rPr>
  </w:style>
  <w:style w:type="paragraph" w:styleId="CommentSubject">
    <w:name w:val="annotation subject"/>
    <w:basedOn w:val="CommentText"/>
    <w:next w:val="CommentText"/>
    <w:link w:val="CommentSubjectChar"/>
    <w:uiPriority w:val="99"/>
    <w:semiHidden/>
    <w:unhideWhenUsed/>
    <w:rsid w:val="00A95399"/>
    <w:rPr>
      <w:b/>
      <w:bCs/>
    </w:rPr>
  </w:style>
  <w:style w:type="character" w:customStyle="1" w:styleId="CommentSubjectChar">
    <w:name w:val="Comment Subject Char"/>
    <w:basedOn w:val="CommentTextChar"/>
    <w:link w:val="CommentSubject"/>
    <w:uiPriority w:val="99"/>
    <w:semiHidden/>
    <w:rsid w:val="00A95399"/>
    <w:rPr>
      <w:b/>
      <w:bCs/>
      <w:sz w:val="20"/>
      <w:szCs w:val="20"/>
    </w:rPr>
  </w:style>
  <w:style w:type="paragraph" w:styleId="BalloonText">
    <w:name w:val="Balloon Text"/>
    <w:basedOn w:val="Normal"/>
    <w:link w:val="BalloonTextChar"/>
    <w:uiPriority w:val="99"/>
    <w:semiHidden/>
    <w:unhideWhenUsed/>
    <w:rsid w:val="00C177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769"/>
    <w:rPr>
      <w:rFonts w:ascii="Segoe UI" w:hAnsi="Segoe UI" w:cs="Segoe UI"/>
      <w:sz w:val="18"/>
      <w:szCs w:val="18"/>
    </w:rPr>
  </w:style>
  <w:style w:type="paragraph" w:styleId="Header">
    <w:name w:val="header"/>
    <w:basedOn w:val="Normal"/>
    <w:link w:val="HeaderChar"/>
    <w:uiPriority w:val="99"/>
    <w:unhideWhenUsed/>
    <w:rsid w:val="009A58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885"/>
  </w:style>
  <w:style w:type="paragraph" w:styleId="Footer">
    <w:name w:val="footer"/>
    <w:basedOn w:val="Normal"/>
    <w:link w:val="FooterChar"/>
    <w:uiPriority w:val="99"/>
    <w:unhideWhenUsed/>
    <w:rsid w:val="009A58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808186">
      <w:bodyDiv w:val="1"/>
      <w:marLeft w:val="0"/>
      <w:marRight w:val="0"/>
      <w:marTop w:val="0"/>
      <w:marBottom w:val="0"/>
      <w:divBdr>
        <w:top w:val="none" w:sz="0" w:space="0" w:color="auto"/>
        <w:left w:val="none" w:sz="0" w:space="0" w:color="auto"/>
        <w:bottom w:val="none" w:sz="0" w:space="0" w:color="auto"/>
        <w:right w:val="none" w:sz="0" w:space="0" w:color="auto"/>
      </w:divBdr>
    </w:div>
    <w:div w:id="193570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FP Document" ma:contentTypeID="0x0101002B5F5A109A5F6C4A918B83B8E560216400F5940024A038A5409B03A7D9C05C44D3" ma:contentTypeVersion="20" ma:contentTypeDescription="" ma:contentTypeScope="" ma:versionID="db3ebd0bcd01b9a965ed3d3f1e3f4db2">
  <xsd:schema xmlns:xsd="http://www.w3.org/2001/XMLSchema" xmlns:xs="http://www.w3.org/2001/XMLSchema" xmlns:p="http://schemas.microsoft.com/office/2006/metadata/properties" xmlns:ns2="889ece3a-dc55-4df9-8a78-da09de45da37" xmlns:ns3="8432cba3-eb2d-40a0-8872-b3c44b782709" xmlns:ns4="2b1458f6-2451-4ccf-8165-fecbce816aec" targetNamespace="http://schemas.microsoft.com/office/2006/metadata/properties" ma:root="true" ma:fieldsID="bf461ce69e7eaaed2f780f7244affd8d" ns2:_="" ns3:_="" ns4:_="">
    <xsd:import namespace="889ece3a-dc55-4df9-8a78-da09de45da37"/>
    <xsd:import namespace="8432cba3-eb2d-40a0-8872-b3c44b782709"/>
    <xsd:import namespace="2b1458f6-2451-4ccf-8165-fecbce816aec"/>
    <xsd:element name="properties">
      <xsd:complexType>
        <xsd:sequence>
          <xsd:element name="documentManagement">
            <xsd:complexType>
              <xsd:all>
                <xsd:element ref="ns2:TaxCatchAll" minOccurs="0"/>
                <xsd:element ref="ns2:TaxCatchAllLabel" minOccurs="0"/>
                <xsd:element ref="ns3:jef904eb6f4249e98add0068c26232b9" minOccurs="0"/>
                <xsd:element ref="ns4:MediaServiceMetadata" minOccurs="0"/>
                <xsd:element ref="ns4:MediaServiceFastMetadata" minOccurs="0"/>
                <xsd:element ref="ns4:MediaServiceAutoKeyPoints" minOccurs="0"/>
                <xsd:element ref="ns4:MediaServiceKeyPoints" minOccurs="0"/>
                <xsd:element ref="ns3:BusinessOwner" minOccurs="0"/>
                <xsd:element ref="ns2:SharedWithUsers" minOccurs="0"/>
                <xsd:element ref="ns2:SharedWithDetails" minOccurs="0"/>
                <xsd:element ref="ns4:MediaServiceAutoTags"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ece3a-dc55-4df9-8a78-da09de45da3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9083583-ec37-419f-bb5c-b3056aecd394}" ma:internalName="TaxCatchAll" ma:showField="CatchAllData" ma:web="889ece3a-dc55-4df9-8a78-da09de45da3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9083583-ec37-419f-bb5c-b3056aecd394}" ma:internalName="TaxCatchAllLabel" ma:readOnly="true" ma:showField="CatchAllDataLabel" ma:web="889ece3a-dc55-4df9-8a78-da09de45da3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32cba3-eb2d-40a0-8872-b3c44b782709" elementFormDefault="qualified">
    <xsd:import namespace="http://schemas.microsoft.com/office/2006/documentManagement/types"/>
    <xsd:import namespace="http://schemas.microsoft.com/office/infopath/2007/PartnerControls"/>
    <xsd:element name="jef904eb6f4249e98add0068c26232b9" ma:index="10" nillable="true" ma:taxonomy="true" ma:internalName="jef904eb6f4249e98add0068c26232b9" ma:taxonomyFieldName="BCS" ma:displayName="BCS" ma:default="" ma:fieldId="{3ef904eb-6f42-49e9-8add-0068c26232b9}" ma:sspId="10eef27b-9142-4bf3-a2be-c27af2704a88" ma:termSetId="bbced730-344f-46ce-a26d-c12b5f9a8b6e" ma:anchorId="00000000-0000-0000-0000-000000000000" ma:open="false" ma:isKeyword="false">
      <xsd:complexType>
        <xsd:sequence>
          <xsd:element ref="pc:Terms" minOccurs="0" maxOccurs="1"/>
        </xsd:sequence>
      </xsd:complexType>
    </xsd:element>
    <xsd:element name="BusinessOwner" ma:index="16" nillable="true" ma:displayName="Business Owner" ma:default="ACT POLICING" ma:description="The area of the AFP, business unit, project or operation that the team has been created for" ma:internalName="BusinessOwn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1458f6-2451-4ccf-8165-fecbce816ae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904eb6f4249e98add0068c26232b9 xmlns="8432cba3-eb2d-40a0-8872-b3c44b782709">
      <Terms xmlns="http://schemas.microsoft.com/office/infopath/2007/PartnerControls"/>
    </jef904eb6f4249e98add0068c26232b9>
    <TaxCatchAll xmlns="889ece3a-dc55-4df9-8a78-da09de45da37" xsi:nil="true"/>
    <BusinessOwner xmlns="8432cba3-eb2d-40a0-8872-b3c44b782709">ACT POLICING</BusinessOwner>
  </documentManagement>
</p:properties>
</file>

<file path=customXml/itemProps1.xml><?xml version="1.0" encoding="utf-8"?>
<ds:datastoreItem xmlns:ds="http://schemas.openxmlformats.org/officeDocument/2006/customXml" ds:itemID="{02315585-395E-4DD6-8B7A-AC7BB9D68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ece3a-dc55-4df9-8a78-da09de45da37"/>
    <ds:schemaRef ds:uri="8432cba3-eb2d-40a0-8872-b3c44b782709"/>
    <ds:schemaRef ds:uri="2b1458f6-2451-4ccf-8165-fecbce816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91B71-19AF-4111-AFEA-44F12BED04FB}">
  <ds:schemaRefs>
    <ds:schemaRef ds:uri="http://schemas.microsoft.com/sharepoint/v3/contenttype/forms"/>
  </ds:schemaRefs>
</ds:datastoreItem>
</file>

<file path=customXml/itemProps3.xml><?xml version="1.0" encoding="utf-8"?>
<ds:datastoreItem xmlns:ds="http://schemas.openxmlformats.org/officeDocument/2006/customXml" ds:itemID="{56747452-69BD-4E0C-888D-D54E6B0EB825}">
  <ds:schemaRefs>
    <ds:schemaRef ds:uri="http://schemas.microsoft.com/office/2006/metadata/properties"/>
    <ds:schemaRef ds:uri="http://schemas.microsoft.com/office/infopath/2007/PartnerControls"/>
    <ds:schemaRef ds:uri="8432cba3-eb2d-40a0-8872-b3c44b782709"/>
    <ds:schemaRef ds:uri="889ece3a-dc55-4df9-8a78-da09de45da3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1001</Words>
  <Characters>5255</Characters>
  <Application>Microsoft Office Word</Application>
  <DocSecurity>0</DocSecurity>
  <Lines>99</Lines>
  <Paragraphs>48</Paragraphs>
  <ScaleCrop>false</ScaleCrop>
  <HeadingPairs>
    <vt:vector size="2" baseType="variant">
      <vt:variant>
        <vt:lpstr>Title</vt:lpstr>
      </vt:variant>
      <vt:variant>
        <vt:i4>1</vt:i4>
      </vt:variant>
    </vt:vector>
  </HeadingPairs>
  <TitlesOfParts>
    <vt:vector size="1" baseType="lpstr">
      <vt:lpstr/>
    </vt:vector>
  </TitlesOfParts>
  <Company>Australian Federal Police</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5</cp:revision>
  <dcterms:created xsi:type="dcterms:W3CDTF">2022-02-08T05:54:00Z</dcterms:created>
  <dcterms:modified xsi:type="dcterms:W3CDTF">2022-02-08T05:54:00Z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0x0101002B5F5A109A5F6C4A918B83B8E560216400F5940024A038A5409B03A7D9C05C44D3</vt:lpwstr>
  </property>
  <property fmtid="{D5CDD505-2E9C-101B-9397-08002B2CF9AE}" pid="3" name="BCS">
    <vt:lpwstr/>
  </property>
</Properties>
</file>