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AB1A" w14:textId="77777777" w:rsidR="002D1A36" w:rsidRDefault="002D1A36">
      <w:pPr>
        <w:pStyle w:val="Footer"/>
        <w:tabs>
          <w:tab w:val="clear" w:pos="4819"/>
          <w:tab w:val="clear" w:pos="9071"/>
        </w:tabs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E7CBAFF" w14:textId="6B0D82C9" w:rsidR="002D1A36" w:rsidRDefault="002D1A36">
      <w:pPr>
        <w:pStyle w:val="Billname"/>
        <w:spacing w:before="700"/>
      </w:pPr>
      <w:r>
        <w:t xml:space="preserve">Road Transport (General) </w:t>
      </w:r>
      <w:r w:rsidR="0048716C">
        <w:t>Concession</w:t>
      </w:r>
      <w:r>
        <w:t xml:space="preserve"> Determination 20</w:t>
      </w:r>
      <w:r w:rsidR="00737119">
        <w:t>2</w:t>
      </w:r>
      <w:r w:rsidR="00D76EC7">
        <w:t>2</w:t>
      </w:r>
      <w:r w:rsidR="0048716C">
        <w:t xml:space="preserve"> </w:t>
      </w:r>
      <w:r w:rsidR="007D75D4">
        <w:t xml:space="preserve">(No </w:t>
      </w:r>
      <w:r w:rsidR="00737119">
        <w:t>1</w:t>
      </w:r>
      <w:r w:rsidR="007D75D4">
        <w:t>)</w:t>
      </w:r>
    </w:p>
    <w:p w14:paraId="621E851A" w14:textId="7A2393EC" w:rsidR="002D1A36" w:rsidRDefault="002D1A36">
      <w:pPr>
        <w:pStyle w:val="Heading3"/>
        <w:spacing w:before="240" w:after="6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Disallowable instrument DI</w:t>
      </w:r>
      <w:r w:rsidR="00A47A98">
        <w:rPr>
          <w:rFonts w:ascii="Arial" w:hAnsi="Arial" w:cs="Arial"/>
        </w:rPr>
        <w:t>20</w:t>
      </w:r>
      <w:r w:rsidR="00737119">
        <w:rPr>
          <w:rFonts w:ascii="Arial" w:hAnsi="Arial" w:cs="Arial"/>
        </w:rPr>
        <w:t>2</w:t>
      </w:r>
      <w:r w:rsidR="00D76EC7">
        <w:rPr>
          <w:rFonts w:ascii="Arial" w:hAnsi="Arial" w:cs="Arial"/>
        </w:rPr>
        <w:t>2</w:t>
      </w:r>
      <w:r w:rsidR="008E38E6">
        <w:rPr>
          <w:rFonts w:ascii="Arial" w:hAnsi="Arial" w:cs="Arial"/>
        </w:rPr>
        <w:t>-</w:t>
      </w:r>
      <w:r w:rsidR="00D75495">
        <w:rPr>
          <w:rFonts w:ascii="Arial" w:hAnsi="Arial" w:cs="Arial"/>
        </w:rPr>
        <w:t>2</w:t>
      </w:r>
      <w:r w:rsidR="00702387">
        <w:rPr>
          <w:rFonts w:ascii="Arial" w:hAnsi="Arial" w:cs="Arial"/>
        </w:rPr>
        <w:t>1</w:t>
      </w:r>
    </w:p>
    <w:p w14:paraId="47E526B0" w14:textId="77777777" w:rsidR="002D1A36" w:rsidRDefault="00E04300">
      <w:pPr>
        <w:pStyle w:val="madeunder"/>
        <w:spacing w:before="240" w:after="120"/>
      </w:pPr>
      <w:r>
        <w:t>made under the</w:t>
      </w:r>
    </w:p>
    <w:p w14:paraId="3D0A0B86" w14:textId="77777777" w:rsidR="002D1A36" w:rsidRDefault="002D1A36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Road Transport (General) Act 1999</w:t>
      </w:r>
      <w:r>
        <w:rPr>
          <w:sz w:val="20"/>
          <w:szCs w:val="20"/>
        </w:rPr>
        <w:t xml:space="preserve">, </w:t>
      </w:r>
      <w:r w:rsidR="009B28E4">
        <w:rPr>
          <w:sz w:val="20"/>
          <w:szCs w:val="20"/>
        </w:rPr>
        <w:t>s</w:t>
      </w:r>
      <w:r>
        <w:rPr>
          <w:sz w:val="20"/>
          <w:szCs w:val="20"/>
        </w:rPr>
        <w:t>ection 96 (Determination of fees, charges and other amounts)</w:t>
      </w:r>
    </w:p>
    <w:p w14:paraId="4568E880" w14:textId="77777777" w:rsidR="002D1A36" w:rsidRDefault="002D1A36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4AC41A7" w14:textId="77777777" w:rsidR="002D1A36" w:rsidRDefault="002D1A36">
      <w:pPr>
        <w:pStyle w:val="N-line3"/>
        <w:pBdr>
          <w:bottom w:val="none" w:sz="0" w:space="0" w:color="auto"/>
        </w:pBdr>
      </w:pPr>
    </w:p>
    <w:p w14:paraId="3F5F84A0" w14:textId="2B547ADC" w:rsidR="002D1A36" w:rsidRDefault="002D1A36">
      <w:pPr>
        <w:pStyle w:val="N-line3"/>
        <w:pBdr>
          <w:top w:val="single" w:sz="12" w:space="1" w:color="auto"/>
          <w:bottom w:val="none" w:sz="0" w:space="0" w:color="auto"/>
        </w:pBdr>
      </w:pPr>
    </w:p>
    <w:p w14:paraId="7E70B692" w14:textId="77777777" w:rsidR="003225A6" w:rsidRPr="009F17A1" w:rsidRDefault="003225A6" w:rsidP="009F17A1">
      <w:pPr>
        <w:spacing w:after="120"/>
        <w:rPr>
          <w:b/>
          <w:bCs/>
        </w:rPr>
      </w:pPr>
      <w:r w:rsidRPr="009F17A1">
        <w:rPr>
          <w:b/>
          <w:bCs/>
        </w:rPr>
        <w:t>Background</w:t>
      </w:r>
    </w:p>
    <w:p w14:paraId="4E6FC99D" w14:textId="4518F427" w:rsidR="002D1A36" w:rsidRDefault="002D1A36">
      <w:r>
        <w:t xml:space="preserve">Section 96 of the </w:t>
      </w:r>
      <w:r>
        <w:rPr>
          <w:i/>
          <w:iCs/>
        </w:rPr>
        <w:t xml:space="preserve">Road Transport (General) Act 1999 </w:t>
      </w:r>
      <w:r>
        <w:t xml:space="preserve">allows the Minister to determine fees, charges and other amounts payable under the ACT </w:t>
      </w:r>
      <w:r w:rsidR="00ED47F6">
        <w:t>r</w:t>
      </w:r>
      <w:r>
        <w:t xml:space="preserve">oad </w:t>
      </w:r>
      <w:r w:rsidR="00ED47F6">
        <w:t>t</w:t>
      </w:r>
      <w:r>
        <w:t>ransport legislation.</w:t>
      </w:r>
    </w:p>
    <w:p w14:paraId="31965D8F" w14:textId="77777777" w:rsidR="002D1A36" w:rsidRDefault="002D1A36">
      <w:pPr>
        <w:numPr>
          <w:ilvl w:val="12"/>
          <w:numId w:val="0"/>
        </w:numPr>
        <w:tabs>
          <w:tab w:val="left" w:pos="15168"/>
        </w:tabs>
      </w:pPr>
    </w:p>
    <w:p w14:paraId="70900266" w14:textId="23BFEEE1" w:rsidR="00B2727E" w:rsidRDefault="002D1A36" w:rsidP="00B2727E">
      <w:pPr>
        <w:numPr>
          <w:ilvl w:val="12"/>
          <w:numId w:val="0"/>
        </w:numPr>
        <w:tabs>
          <w:tab w:val="left" w:pos="15168"/>
        </w:tabs>
        <w:rPr>
          <w:lang w:eastAsia="en-AU"/>
        </w:rPr>
      </w:pPr>
      <w:r>
        <w:t xml:space="preserve">This </w:t>
      </w:r>
      <w:r w:rsidR="009B28E4">
        <w:t xml:space="preserve">disallowable </w:t>
      </w:r>
      <w:r>
        <w:t xml:space="preserve">instrument has the effect of determining </w:t>
      </w:r>
      <w:r w:rsidR="00B2727E">
        <w:rPr>
          <w:lang w:eastAsia="en-AU"/>
        </w:rPr>
        <w:t>the method to be used to work out a fee payable by persons eligible for a concession in relation to fees payable for vehicle registration and driver licensing.</w:t>
      </w:r>
    </w:p>
    <w:p w14:paraId="153BE15E" w14:textId="35418C65" w:rsidR="003225A6" w:rsidRDefault="003225A6" w:rsidP="00B2727E">
      <w:pPr>
        <w:numPr>
          <w:ilvl w:val="12"/>
          <w:numId w:val="0"/>
        </w:numPr>
        <w:tabs>
          <w:tab w:val="left" w:pos="15168"/>
        </w:tabs>
        <w:rPr>
          <w:lang w:eastAsia="en-AU"/>
        </w:rPr>
      </w:pPr>
    </w:p>
    <w:p w14:paraId="1CAFEE3F" w14:textId="52F99B75" w:rsidR="00D76EC7" w:rsidRDefault="00D76EC7" w:rsidP="00BD57ED">
      <w:r>
        <w:t>In the ACT, a</w:t>
      </w:r>
      <w:r w:rsidRPr="00D76EC7">
        <w:t xml:space="preserve">n amount equal to the regulatory component of the heavy vehicle registration fees paid to the road transport authority </w:t>
      </w:r>
      <w:r>
        <w:t>is</w:t>
      </w:r>
      <w:r w:rsidRPr="00D76EC7">
        <w:t xml:space="preserve"> transferred to the National Heavy Vehicle Regulator Fund.</w:t>
      </w:r>
      <w:r>
        <w:t xml:space="preserve"> Notes have been included in this instrument to clarify that the regulatory component of </w:t>
      </w:r>
      <w:r w:rsidR="005D6C61">
        <w:t xml:space="preserve">a </w:t>
      </w:r>
      <w:r>
        <w:t xml:space="preserve">heavy vehicle registration fee </w:t>
      </w:r>
      <w:r w:rsidR="005D6C61">
        <w:t xml:space="preserve">payable </w:t>
      </w:r>
      <w:r>
        <w:t xml:space="preserve">is not subject to </w:t>
      </w:r>
      <w:r w:rsidR="005D6C61">
        <w:t xml:space="preserve">concession. </w:t>
      </w:r>
    </w:p>
    <w:p w14:paraId="648A4476" w14:textId="77777777" w:rsidR="00BD57ED" w:rsidRPr="009F17A1" w:rsidRDefault="00BD57ED" w:rsidP="009F17A1"/>
    <w:p w14:paraId="3D27994F" w14:textId="44B69C17" w:rsidR="00F7329C" w:rsidRPr="00917901" w:rsidRDefault="00BD57ED" w:rsidP="00917901">
      <w:pPr>
        <w:spacing w:after="120"/>
        <w:rPr>
          <w:b/>
          <w:bCs/>
        </w:rPr>
      </w:pPr>
      <w:r w:rsidRPr="009F17A1">
        <w:rPr>
          <w:b/>
          <w:bCs/>
        </w:rPr>
        <w:t xml:space="preserve">Amendments to the </w:t>
      </w:r>
      <w:r w:rsidR="00962538" w:rsidRPr="009F17A1">
        <w:rPr>
          <w:b/>
          <w:bCs/>
        </w:rPr>
        <w:t>Road Transport (General) Concessions Determination</w:t>
      </w:r>
    </w:p>
    <w:p w14:paraId="2240DF2C" w14:textId="7BF6FD8C" w:rsidR="00962538" w:rsidRPr="008043B9" w:rsidRDefault="00BB0A3C" w:rsidP="00B2727E">
      <w:pPr>
        <w:numPr>
          <w:ilvl w:val="12"/>
          <w:numId w:val="0"/>
        </w:numPr>
        <w:tabs>
          <w:tab w:val="left" w:pos="15168"/>
        </w:tabs>
        <w:rPr>
          <w:lang w:eastAsia="en-AU"/>
        </w:rPr>
      </w:pPr>
      <w:r w:rsidRPr="008043B9">
        <w:rPr>
          <w:lang w:eastAsia="en-AU"/>
        </w:rPr>
        <w:t>Part 3 of Schedule</w:t>
      </w:r>
      <w:r w:rsidR="002E0311" w:rsidRPr="008043B9">
        <w:rPr>
          <w:lang w:eastAsia="en-AU"/>
        </w:rPr>
        <w:t xml:space="preserve"> 1</w:t>
      </w:r>
      <w:r w:rsidRPr="008043B9">
        <w:rPr>
          <w:lang w:eastAsia="en-AU"/>
        </w:rPr>
        <w:t xml:space="preserve"> </w:t>
      </w:r>
      <w:r w:rsidR="00962538" w:rsidRPr="008043B9">
        <w:rPr>
          <w:lang w:eastAsia="en-AU"/>
        </w:rPr>
        <w:t xml:space="preserve">has been amended to clarify that a person eligible to a concession mentioned in part 3 of the instrument about gas powered vehicles, BEVs, PHEVs and HFCEVs are </w:t>
      </w:r>
      <w:r w:rsidRPr="008043B9">
        <w:rPr>
          <w:lang w:eastAsia="en-AU"/>
        </w:rPr>
        <w:t>not</w:t>
      </w:r>
      <w:r w:rsidR="00962538" w:rsidRPr="008043B9">
        <w:rPr>
          <w:lang w:eastAsia="en-AU"/>
        </w:rPr>
        <w:t xml:space="preserve"> eligible to claim concession </w:t>
      </w:r>
      <w:r w:rsidRPr="008043B9">
        <w:rPr>
          <w:lang w:eastAsia="en-AU"/>
        </w:rPr>
        <w:t>on the regulatory component on a heavy vehicle registration fee payable</w:t>
      </w:r>
      <w:r w:rsidR="00962538" w:rsidRPr="008043B9">
        <w:rPr>
          <w:lang w:eastAsia="en-AU"/>
        </w:rPr>
        <w:t xml:space="preserve"> on </w:t>
      </w:r>
      <w:r w:rsidRPr="008043B9">
        <w:rPr>
          <w:lang w:eastAsia="en-AU"/>
        </w:rPr>
        <w:t>an</w:t>
      </w:r>
      <w:r w:rsidR="00962538" w:rsidRPr="008043B9">
        <w:rPr>
          <w:lang w:eastAsia="en-AU"/>
        </w:rPr>
        <w:t xml:space="preserve"> eligible vehicle</w:t>
      </w:r>
      <w:r w:rsidR="00E672B5" w:rsidRPr="008043B9">
        <w:rPr>
          <w:lang w:eastAsia="en-AU"/>
        </w:rPr>
        <w:t>.</w:t>
      </w:r>
      <w:r w:rsidRPr="008043B9">
        <w:rPr>
          <w:lang w:eastAsia="en-AU"/>
        </w:rPr>
        <w:t xml:space="preserve"> It is the road component only </w:t>
      </w:r>
      <w:r w:rsidR="002E0311" w:rsidRPr="008043B9">
        <w:rPr>
          <w:lang w:eastAsia="en-AU"/>
        </w:rPr>
        <w:t xml:space="preserve">of a registration fee payable </w:t>
      </w:r>
      <w:r w:rsidRPr="008043B9">
        <w:rPr>
          <w:lang w:eastAsia="en-AU"/>
        </w:rPr>
        <w:t xml:space="preserve">that is eligible for concession. </w:t>
      </w:r>
      <w:r w:rsidR="002E0311" w:rsidRPr="008043B9">
        <w:rPr>
          <w:lang w:eastAsia="en-AU"/>
        </w:rPr>
        <w:t xml:space="preserve">The quantum of the regulatory component of a heavy vehicle registration fee payable is the responsibility of the National Heavy Vehicle Regulator. </w:t>
      </w:r>
    </w:p>
    <w:p w14:paraId="4AB87094" w14:textId="20C3B3DC" w:rsidR="00E672B5" w:rsidRDefault="00E672B5" w:rsidP="00B2727E">
      <w:pPr>
        <w:numPr>
          <w:ilvl w:val="12"/>
          <w:numId w:val="0"/>
        </w:numPr>
        <w:tabs>
          <w:tab w:val="left" w:pos="15168"/>
        </w:tabs>
        <w:rPr>
          <w:lang w:eastAsia="en-AU"/>
        </w:rPr>
      </w:pPr>
    </w:p>
    <w:p w14:paraId="335DE7C6" w14:textId="22611921" w:rsidR="00FE7E95" w:rsidRPr="009F17A1" w:rsidRDefault="00FE7E95" w:rsidP="00917901">
      <w:pPr>
        <w:numPr>
          <w:ilvl w:val="12"/>
          <w:numId w:val="0"/>
        </w:numPr>
        <w:tabs>
          <w:tab w:val="left" w:pos="15168"/>
        </w:tabs>
        <w:spacing w:after="120"/>
        <w:rPr>
          <w:b/>
          <w:bCs/>
        </w:rPr>
      </w:pPr>
      <w:r w:rsidRPr="009F17A1">
        <w:rPr>
          <w:b/>
          <w:bCs/>
        </w:rPr>
        <w:t>Notes on Clauses</w:t>
      </w:r>
    </w:p>
    <w:p w14:paraId="573D729E" w14:textId="6AA67D64" w:rsidR="00FB4FD4" w:rsidRDefault="00FB4FD4" w:rsidP="00B2727E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Clauses 1 to </w:t>
      </w:r>
      <w:r w:rsidR="00180EF0">
        <w:rPr>
          <w:lang w:eastAsia="en-AU"/>
        </w:rPr>
        <w:t>3</w:t>
      </w:r>
      <w:r>
        <w:rPr>
          <w:lang w:eastAsia="en-AU"/>
        </w:rPr>
        <w:t xml:space="preserve"> are formal provisions that deal with the name and commencement of the new </w:t>
      </w:r>
      <w:r w:rsidR="00737119">
        <w:rPr>
          <w:lang w:eastAsia="en-AU"/>
        </w:rPr>
        <w:t>instrument and</w:t>
      </w:r>
      <w:r w:rsidR="004A58FE">
        <w:rPr>
          <w:lang w:eastAsia="en-AU"/>
        </w:rPr>
        <w:t xml:space="preserve"> revoke its predecessor.</w:t>
      </w:r>
    </w:p>
    <w:p w14:paraId="6B62F85A" w14:textId="77777777" w:rsidR="00FB4FD4" w:rsidRDefault="00FB4FD4" w:rsidP="00B2727E">
      <w:pPr>
        <w:autoSpaceDE w:val="0"/>
        <w:autoSpaceDN w:val="0"/>
        <w:adjustRightInd w:val="0"/>
        <w:rPr>
          <w:lang w:eastAsia="en-AU"/>
        </w:rPr>
      </w:pPr>
    </w:p>
    <w:p w14:paraId="4EDE968C" w14:textId="77777777" w:rsidR="001043CE" w:rsidRDefault="00FB4FD4" w:rsidP="00B2727E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Clause 4 </w:t>
      </w:r>
      <w:r w:rsidR="001043CE">
        <w:rPr>
          <w:lang w:eastAsia="en-AU"/>
        </w:rPr>
        <w:t>describes t</w:t>
      </w:r>
      <w:r w:rsidR="00180EF0">
        <w:rPr>
          <w:lang w:eastAsia="en-AU"/>
        </w:rPr>
        <w:t>he</w:t>
      </w:r>
      <w:r w:rsidR="001043CE">
        <w:rPr>
          <w:lang w:eastAsia="en-AU"/>
        </w:rPr>
        <w:t xml:space="preserve"> formula to be used to determine the fee payable if a person is entitled to a concession.</w:t>
      </w:r>
      <w:r w:rsidR="00C74CA2">
        <w:rPr>
          <w:lang w:eastAsia="en-AU"/>
        </w:rPr>
        <w:t xml:space="preserve">  The calculated fee is rounded down to the nearest 10 cents to determine the fee payable.</w:t>
      </w:r>
    </w:p>
    <w:p w14:paraId="4C424A75" w14:textId="77777777" w:rsidR="001043CE" w:rsidRDefault="001043CE" w:rsidP="00B2727E">
      <w:pPr>
        <w:autoSpaceDE w:val="0"/>
        <w:autoSpaceDN w:val="0"/>
        <w:adjustRightInd w:val="0"/>
        <w:rPr>
          <w:lang w:eastAsia="en-AU"/>
        </w:rPr>
      </w:pPr>
    </w:p>
    <w:p w14:paraId="262F3CED" w14:textId="77777777" w:rsidR="00A05AE0" w:rsidRDefault="00FB4FD4" w:rsidP="00B2727E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Clause</w:t>
      </w:r>
      <w:r w:rsidR="001043CE">
        <w:rPr>
          <w:lang w:eastAsia="en-AU"/>
        </w:rPr>
        <w:t xml:space="preserve"> 5 of the disallowable instrument describes </w:t>
      </w:r>
      <w:r>
        <w:rPr>
          <w:lang w:eastAsia="en-AU"/>
        </w:rPr>
        <w:t xml:space="preserve">how the entitlement to a concession is to apply in relation to a vehicle or other matter, with reference to the table in Schedule 1.  It explains </w:t>
      </w:r>
      <w:r w:rsidR="001043CE">
        <w:rPr>
          <w:lang w:eastAsia="en-AU"/>
        </w:rPr>
        <w:t xml:space="preserve">the number of concessions a person is eligible to </w:t>
      </w:r>
      <w:r w:rsidR="00346664">
        <w:rPr>
          <w:lang w:eastAsia="en-AU"/>
        </w:rPr>
        <w:t>receive</w:t>
      </w:r>
      <w:r w:rsidR="00F353DC">
        <w:rPr>
          <w:lang w:eastAsia="en-AU"/>
        </w:rPr>
        <w:t>, and how those concessions are to be applied to vehicles</w:t>
      </w:r>
      <w:r w:rsidR="001043CE">
        <w:rPr>
          <w:lang w:eastAsia="en-AU"/>
        </w:rPr>
        <w:t>.</w:t>
      </w:r>
      <w:r w:rsidR="00F353DC">
        <w:rPr>
          <w:lang w:eastAsia="en-AU"/>
        </w:rPr>
        <w:t xml:space="preserve">  </w:t>
      </w:r>
      <w:r>
        <w:rPr>
          <w:lang w:eastAsia="en-AU"/>
        </w:rPr>
        <w:t>Some types of concession</w:t>
      </w:r>
      <w:r w:rsidR="00D011AD">
        <w:rPr>
          <w:lang w:eastAsia="en-AU"/>
        </w:rPr>
        <w:t>s</w:t>
      </w:r>
      <w:r>
        <w:rPr>
          <w:lang w:eastAsia="en-AU"/>
        </w:rPr>
        <w:t xml:space="preserve"> (such as the concession given to holders of a pensioner concession card) may only be claimed in relation to a single vehicle, while other concessions (for example, the concession for gas</w:t>
      </w:r>
      <w:r w:rsidR="00E74761">
        <w:rPr>
          <w:lang w:eastAsia="en-AU"/>
        </w:rPr>
        <w:t>/</w:t>
      </w:r>
      <w:r>
        <w:rPr>
          <w:lang w:eastAsia="en-AU"/>
        </w:rPr>
        <w:t>electric</w:t>
      </w:r>
      <w:r w:rsidR="00E74761">
        <w:rPr>
          <w:lang w:eastAsia="en-AU"/>
        </w:rPr>
        <w:t xml:space="preserve">/plug-in hybrid electric/hydrogen </w:t>
      </w:r>
      <w:r>
        <w:rPr>
          <w:lang w:eastAsia="en-AU"/>
        </w:rPr>
        <w:t>power</w:t>
      </w:r>
      <w:r w:rsidR="00D125D0">
        <w:rPr>
          <w:lang w:eastAsia="en-AU"/>
        </w:rPr>
        <w:t>ed</w:t>
      </w:r>
      <w:r>
        <w:rPr>
          <w:lang w:eastAsia="en-AU"/>
        </w:rPr>
        <w:t xml:space="preserve"> vehicles) may apply to all such vehicles held by the </w:t>
      </w:r>
      <w:r w:rsidR="004A58FE">
        <w:rPr>
          <w:lang w:eastAsia="en-AU"/>
        </w:rPr>
        <w:t>person claiming the concession.</w:t>
      </w:r>
    </w:p>
    <w:p w14:paraId="7D412271" w14:textId="77777777" w:rsidR="00A05AE0" w:rsidRDefault="00A05AE0" w:rsidP="00B2727E">
      <w:pPr>
        <w:autoSpaceDE w:val="0"/>
        <w:autoSpaceDN w:val="0"/>
        <w:adjustRightInd w:val="0"/>
        <w:rPr>
          <w:lang w:eastAsia="en-AU"/>
        </w:rPr>
      </w:pPr>
    </w:p>
    <w:p w14:paraId="46D33ACB" w14:textId="77777777" w:rsidR="00FB4FD4" w:rsidRDefault="00FB4FD4" w:rsidP="00B2727E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Clause 6 sets out definitions used in the instrument.</w:t>
      </w:r>
    </w:p>
    <w:p w14:paraId="30834D65" w14:textId="5AF4C5F5" w:rsidR="00EF1D31" w:rsidRDefault="00EF1D31" w:rsidP="00B2727E">
      <w:pPr>
        <w:autoSpaceDE w:val="0"/>
        <w:autoSpaceDN w:val="0"/>
        <w:adjustRightInd w:val="0"/>
        <w:rPr>
          <w:lang w:eastAsia="en-AU"/>
        </w:rPr>
      </w:pPr>
    </w:p>
    <w:p w14:paraId="7B5B4043" w14:textId="56533F72" w:rsidR="00045180" w:rsidRDefault="00045180" w:rsidP="00B2727E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Schedule 1 describes the types of concessions available and the conditions that must be met to enable the concession to be applied</w:t>
      </w:r>
      <w:r w:rsidR="00FA1651">
        <w:rPr>
          <w:lang w:eastAsia="en-AU"/>
        </w:rPr>
        <w:t>.</w:t>
      </w:r>
    </w:p>
    <w:p w14:paraId="161FCE85" w14:textId="77777777" w:rsidR="00FB4FD4" w:rsidRDefault="00FB4FD4" w:rsidP="00B2727E">
      <w:pPr>
        <w:autoSpaceDE w:val="0"/>
        <w:autoSpaceDN w:val="0"/>
        <w:adjustRightInd w:val="0"/>
        <w:rPr>
          <w:lang w:eastAsia="en-AU"/>
        </w:rPr>
      </w:pPr>
    </w:p>
    <w:p w14:paraId="5D4285F4" w14:textId="77777777" w:rsidR="001043CE" w:rsidRDefault="00FB4FD4" w:rsidP="00B2727E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The table in </w:t>
      </w:r>
      <w:r w:rsidR="001043CE">
        <w:rPr>
          <w:lang w:eastAsia="en-AU"/>
        </w:rPr>
        <w:t>Parts 1 to 4 of Schedule 1</w:t>
      </w:r>
      <w:r>
        <w:rPr>
          <w:lang w:eastAsia="en-AU"/>
        </w:rPr>
        <w:t xml:space="preserve"> </w:t>
      </w:r>
      <w:r w:rsidR="001043CE">
        <w:rPr>
          <w:lang w:eastAsia="en-AU"/>
        </w:rPr>
        <w:t>describe</w:t>
      </w:r>
      <w:r>
        <w:rPr>
          <w:lang w:eastAsia="en-AU"/>
        </w:rPr>
        <w:t>s</w:t>
      </w:r>
      <w:r w:rsidR="001043CE">
        <w:rPr>
          <w:lang w:eastAsia="en-AU"/>
        </w:rPr>
        <w:t xml:space="preserve"> the types of concession</w:t>
      </w:r>
      <w:r w:rsidR="00D011AD">
        <w:rPr>
          <w:lang w:eastAsia="en-AU"/>
        </w:rPr>
        <w:t>s</w:t>
      </w:r>
      <w:r w:rsidR="001043CE">
        <w:rPr>
          <w:lang w:eastAsia="en-AU"/>
        </w:rPr>
        <w:t xml:space="preserve"> available </w:t>
      </w:r>
      <w:r w:rsidR="008D1C55">
        <w:rPr>
          <w:lang w:eastAsia="en-AU"/>
        </w:rPr>
        <w:t>for a person</w:t>
      </w:r>
      <w:r w:rsidR="001C3D92">
        <w:rPr>
          <w:lang w:eastAsia="en-AU"/>
        </w:rPr>
        <w:t>’</w:t>
      </w:r>
      <w:r w:rsidR="008D1C55">
        <w:rPr>
          <w:lang w:eastAsia="en-AU"/>
        </w:rPr>
        <w:t xml:space="preserve">s vehicle registration or driver licence. </w:t>
      </w:r>
      <w:r w:rsidR="00B828F1">
        <w:rPr>
          <w:lang w:eastAsia="en-AU"/>
        </w:rPr>
        <w:t xml:space="preserve"> </w:t>
      </w:r>
      <w:r w:rsidR="009C7699">
        <w:rPr>
          <w:lang w:eastAsia="en-AU"/>
        </w:rPr>
        <w:t xml:space="preserve">Parts 1 to 4 of </w:t>
      </w:r>
      <w:r w:rsidR="008D1C55">
        <w:rPr>
          <w:lang w:eastAsia="en-AU"/>
        </w:rPr>
        <w:t xml:space="preserve">Schedule 1 also provide for the level of concession, the type of fee </w:t>
      </w:r>
      <w:r w:rsidR="00F353DC">
        <w:rPr>
          <w:lang w:eastAsia="en-AU"/>
        </w:rPr>
        <w:t xml:space="preserve">to which the concession relates and the </w:t>
      </w:r>
      <w:r w:rsidR="008D1C55">
        <w:rPr>
          <w:lang w:eastAsia="en-AU"/>
        </w:rPr>
        <w:t>number of concession</w:t>
      </w:r>
      <w:r w:rsidR="00F353DC">
        <w:rPr>
          <w:lang w:eastAsia="en-AU"/>
        </w:rPr>
        <w:t>s</w:t>
      </w:r>
      <w:r w:rsidR="008D1C55">
        <w:rPr>
          <w:lang w:eastAsia="en-AU"/>
        </w:rPr>
        <w:t xml:space="preserve"> that may be granted.</w:t>
      </w:r>
    </w:p>
    <w:p w14:paraId="5C19BFF9" w14:textId="77777777" w:rsidR="00A754ED" w:rsidRDefault="00A754ED" w:rsidP="00B2727E">
      <w:pPr>
        <w:autoSpaceDE w:val="0"/>
        <w:autoSpaceDN w:val="0"/>
        <w:adjustRightInd w:val="0"/>
        <w:rPr>
          <w:lang w:eastAsia="en-AU"/>
        </w:rPr>
      </w:pPr>
    </w:p>
    <w:p w14:paraId="4D69C92B" w14:textId="524D82C4" w:rsidR="007D662C" w:rsidRPr="00F10FE3" w:rsidRDefault="007D662C" w:rsidP="00F10FE3">
      <w:pPr>
        <w:spacing w:line="276" w:lineRule="auto"/>
        <w:rPr>
          <w:lang w:eastAsia="en-AU"/>
        </w:rPr>
      </w:pPr>
      <w:r>
        <w:t>Th</w:t>
      </w:r>
      <w:r w:rsidR="009D409D">
        <w:t>ese</w:t>
      </w:r>
      <w:r>
        <w:t xml:space="preserve"> amendment</w:t>
      </w:r>
      <w:r w:rsidR="009D409D">
        <w:t>s</w:t>
      </w:r>
      <w:r>
        <w:t xml:space="preserve"> </w:t>
      </w:r>
      <w:r w:rsidR="002E0311">
        <w:t>clarify the alignment of</w:t>
      </w:r>
      <w:r>
        <w:t xml:space="preserve"> the </w:t>
      </w:r>
      <w:r w:rsidR="009D409D">
        <w:t>C</w:t>
      </w:r>
      <w:r>
        <w:t>oncession</w:t>
      </w:r>
      <w:r w:rsidR="009D409D">
        <w:t xml:space="preserve"> Determination</w:t>
      </w:r>
      <w:r>
        <w:t xml:space="preserve"> with </w:t>
      </w:r>
      <w:r w:rsidR="00A24B6F">
        <w:t xml:space="preserve">the </w:t>
      </w:r>
      <w:r w:rsidR="00FE7E95">
        <w:t xml:space="preserve">agreed </w:t>
      </w:r>
      <w:r w:rsidR="00FA1651">
        <w:t xml:space="preserve">reforms to </w:t>
      </w:r>
      <w:r w:rsidR="002E0311">
        <w:t xml:space="preserve">concessions for vehicle registration fees. </w:t>
      </w:r>
    </w:p>
    <w:p w14:paraId="6E575541" w14:textId="77777777" w:rsidR="00F10FE3" w:rsidRDefault="00F10FE3" w:rsidP="00F31864"/>
    <w:p w14:paraId="276E8844" w14:textId="34AA2E8B" w:rsidR="001C32C2" w:rsidRPr="00F10FE3" w:rsidRDefault="00F31864" w:rsidP="001C32C2">
      <w:pPr>
        <w:spacing w:line="276" w:lineRule="auto"/>
        <w:rPr>
          <w:lang w:eastAsia="en-AU"/>
        </w:rPr>
      </w:pPr>
      <w:r w:rsidRPr="0090107B">
        <w:t xml:space="preserve">The preference of the Standing Committee on Justice and Community Safety (Legislative Scrutiny Role) </w:t>
      </w:r>
      <w:r w:rsidR="00FA1651">
        <w:t xml:space="preserve">is </w:t>
      </w:r>
      <w:r w:rsidR="006F762D">
        <w:t>t</w:t>
      </w:r>
      <w:r w:rsidRPr="0090107B">
        <w:t xml:space="preserve">hat </w:t>
      </w:r>
      <w:r>
        <w:t>I</w:t>
      </w:r>
      <w:r w:rsidRPr="0090107B">
        <w:t>nstruments or Explanatory Statements identify the amount of the old and new fee, any percentage increase and also the reason for any increase in the Instrument or the Explanatory Statement</w:t>
      </w:r>
      <w:r>
        <w:t>.</w:t>
      </w:r>
      <w:r w:rsidR="001C32C2" w:rsidRPr="001C32C2">
        <w:rPr>
          <w:lang w:eastAsia="en-AU"/>
        </w:rPr>
        <w:t xml:space="preserve"> </w:t>
      </w:r>
    </w:p>
    <w:p w14:paraId="566E50AC" w14:textId="77777777" w:rsidR="00F31864" w:rsidRPr="0090107B" w:rsidRDefault="00F31864" w:rsidP="00F31864"/>
    <w:p w14:paraId="25FA4B4E" w14:textId="77777777" w:rsidR="00FB221F" w:rsidRDefault="00F31864" w:rsidP="001C32C2">
      <w:pPr>
        <w:spacing w:line="276" w:lineRule="auto"/>
        <w:rPr>
          <w:lang w:eastAsia="en-AU"/>
        </w:rPr>
      </w:pPr>
      <w:r w:rsidRPr="0090107B">
        <w:t xml:space="preserve">There are no </w:t>
      </w:r>
      <w:r w:rsidR="00FB221F">
        <w:t xml:space="preserve">adverse </w:t>
      </w:r>
      <w:r w:rsidRPr="0090107B">
        <w:t xml:space="preserve">human rights or climate change implications arising from this </w:t>
      </w:r>
      <w:r w:rsidR="00A87F34">
        <w:t>inst</w:t>
      </w:r>
      <w:r w:rsidR="009B6F91">
        <w:t>r</w:t>
      </w:r>
      <w:r w:rsidR="00A87F34">
        <w:t>ument</w:t>
      </w:r>
      <w:r>
        <w:t>.</w:t>
      </w:r>
    </w:p>
    <w:p w14:paraId="2310A68E" w14:textId="77777777" w:rsidR="00FB221F" w:rsidRDefault="00FB221F" w:rsidP="001C32C2">
      <w:pPr>
        <w:spacing w:line="276" w:lineRule="auto"/>
        <w:rPr>
          <w:lang w:eastAsia="en-AU"/>
        </w:rPr>
      </w:pPr>
    </w:p>
    <w:p w14:paraId="69A574AA" w14:textId="77777777" w:rsidR="001C32C2" w:rsidRPr="00F10FE3" w:rsidRDefault="002D1A36" w:rsidP="001C32C2">
      <w:pPr>
        <w:spacing w:line="276" w:lineRule="auto"/>
        <w:rPr>
          <w:lang w:eastAsia="en-AU"/>
        </w:rPr>
      </w:pPr>
      <w:r>
        <w:t xml:space="preserve">This determination is a disallowable instrument and must be presented to the Legislative Assembly within 6 sitting days after its notification pursuant to section 64 of the </w:t>
      </w:r>
      <w:r>
        <w:rPr>
          <w:i/>
          <w:iCs/>
        </w:rPr>
        <w:t>Legislation Act 2001</w:t>
      </w:r>
      <w:r w:rsidR="004A58FE">
        <w:t>.</w:t>
      </w:r>
      <w:bookmarkEnd w:id="0"/>
    </w:p>
    <w:p w14:paraId="0B797C65" w14:textId="77777777" w:rsidR="002D1A36" w:rsidRDefault="002D1A36">
      <w:pPr>
        <w:pStyle w:val="BodyText"/>
        <w:tabs>
          <w:tab w:val="left" w:pos="2826"/>
          <w:tab w:val="left" w:pos="3480"/>
          <w:tab w:val="left" w:pos="7994"/>
          <w:tab w:val="left" w:pos="9837"/>
        </w:tabs>
        <w:jc w:val="left"/>
      </w:pPr>
    </w:p>
    <w:sectPr w:rsidR="002D1A36" w:rsidSect="00C75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ABA7" w14:textId="77777777" w:rsidR="00857CE0" w:rsidRDefault="00857CE0">
      <w:r>
        <w:separator/>
      </w:r>
    </w:p>
  </w:endnote>
  <w:endnote w:type="continuationSeparator" w:id="0">
    <w:p w14:paraId="683FCEFF" w14:textId="77777777" w:rsidR="00857CE0" w:rsidRDefault="008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E275" w14:textId="77777777" w:rsidR="00180D77" w:rsidRDefault="00180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0226" w14:textId="15B749D9" w:rsidR="00180D77" w:rsidRPr="00180D77" w:rsidRDefault="00180D77" w:rsidP="00180D77">
    <w:pPr>
      <w:pStyle w:val="Footer"/>
      <w:jc w:val="center"/>
      <w:rPr>
        <w:rFonts w:ascii="Arial" w:hAnsi="Arial" w:cs="Arial"/>
        <w:sz w:val="14"/>
      </w:rPr>
    </w:pPr>
    <w:r w:rsidRPr="00180D7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9675" w14:textId="6D37EE21" w:rsidR="00180D77" w:rsidRPr="00180D77" w:rsidRDefault="00180D77" w:rsidP="00180D77">
    <w:pPr>
      <w:pStyle w:val="Footer"/>
      <w:jc w:val="center"/>
      <w:rPr>
        <w:rFonts w:ascii="Arial" w:hAnsi="Arial" w:cs="Arial"/>
        <w:sz w:val="14"/>
      </w:rPr>
    </w:pPr>
    <w:r w:rsidRPr="00180D7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CF04" w14:textId="77777777" w:rsidR="00857CE0" w:rsidRDefault="00857CE0">
      <w:r>
        <w:separator/>
      </w:r>
    </w:p>
  </w:footnote>
  <w:footnote w:type="continuationSeparator" w:id="0">
    <w:p w14:paraId="176399F7" w14:textId="77777777" w:rsidR="00857CE0" w:rsidRDefault="0085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BB96" w14:textId="77777777" w:rsidR="00180D77" w:rsidRDefault="00180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1C80" w14:textId="77777777" w:rsidR="00180D77" w:rsidRDefault="00180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3700" w14:textId="77777777" w:rsidR="00180D77" w:rsidRDefault="00180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C1810"/>
    <w:multiLevelType w:val="hybridMultilevel"/>
    <w:tmpl w:val="223CCF9E"/>
    <w:lvl w:ilvl="0" w:tplc="775C7D44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/>
      </w:rPr>
    </w:lvl>
    <w:lvl w:ilvl="1" w:tplc="0C090011">
      <w:start w:val="1"/>
      <w:numFmt w:val="decimal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/>
      </w:pPr>
      <w:rPr>
        <w:rFonts w:cs="Times New Roman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36"/>
    <w:rsid w:val="000064AE"/>
    <w:rsid w:val="00014A14"/>
    <w:rsid w:val="00023797"/>
    <w:rsid w:val="00026BED"/>
    <w:rsid w:val="00045180"/>
    <w:rsid w:val="000A2FDA"/>
    <w:rsid w:val="000B568D"/>
    <w:rsid w:val="000D13D8"/>
    <w:rsid w:val="001043CE"/>
    <w:rsid w:val="00124FA7"/>
    <w:rsid w:val="00134671"/>
    <w:rsid w:val="00134BBA"/>
    <w:rsid w:val="001471D4"/>
    <w:rsid w:val="001575AE"/>
    <w:rsid w:val="00162725"/>
    <w:rsid w:val="00180D77"/>
    <w:rsid w:val="00180EF0"/>
    <w:rsid w:val="00186E1E"/>
    <w:rsid w:val="001C32C2"/>
    <w:rsid w:val="001C398E"/>
    <w:rsid w:val="001C3D92"/>
    <w:rsid w:val="001D53B5"/>
    <w:rsid w:val="001E0460"/>
    <w:rsid w:val="001E67CF"/>
    <w:rsid w:val="001F1EC2"/>
    <w:rsid w:val="002053EC"/>
    <w:rsid w:val="002310AE"/>
    <w:rsid w:val="00242D98"/>
    <w:rsid w:val="002525B2"/>
    <w:rsid w:val="002545FB"/>
    <w:rsid w:val="00257EDF"/>
    <w:rsid w:val="00287511"/>
    <w:rsid w:val="0029704A"/>
    <w:rsid w:val="0029796D"/>
    <w:rsid w:val="002A5309"/>
    <w:rsid w:val="002B0419"/>
    <w:rsid w:val="002B5ECC"/>
    <w:rsid w:val="002D0FE1"/>
    <w:rsid w:val="002D1A36"/>
    <w:rsid w:val="002E0311"/>
    <w:rsid w:val="002E5647"/>
    <w:rsid w:val="002F6A3E"/>
    <w:rsid w:val="00320D7F"/>
    <w:rsid w:val="003225A6"/>
    <w:rsid w:val="00345BBB"/>
    <w:rsid w:val="00346664"/>
    <w:rsid w:val="003943C0"/>
    <w:rsid w:val="003A2FD2"/>
    <w:rsid w:val="003A313A"/>
    <w:rsid w:val="003A798D"/>
    <w:rsid w:val="003C14D2"/>
    <w:rsid w:val="003C2972"/>
    <w:rsid w:val="003D256A"/>
    <w:rsid w:val="00411D3E"/>
    <w:rsid w:val="004326EA"/>
    <w:rsid w:val="00452EFE"/>
    <w:rsid w:val="00456944"/>
    <w:rsid w:val="00460DB7"/>
    <w:rsid w:val="00476FDE"/>
    <w:rsid w:val="0048716C"/>
    <w:rsid w:val="004A456D"/>
    <w:rsid w:val="004A58FE"/>
    <w:rsid w:val="004B33F5"/>
    <w:rsid w:val="004D0BDD"/>
    <w:rsid w:val="004F3BA1"/>
    <w:rsid w:val="00543469"/>
    <w:rsid w:val="0057018F"/>
    <w:rsid w:val="005A183C"/>
    <w:rsid w:val="005D6C61"/>
    <w:rsid w:val="005E0F68"/>
    <w:rsid w:val="00611120"/>
    <w:rsid w:val="00620CD1"/>
    <w:rsid w:val="0062724A"/>
    <w:rsid w:val="00647DDD"/>
    <w:rsid w:val="0065012B"/>
    <w:rsid w:val="006662AF"/>
    <w:rsid w:val="00672FE7"/>
    <w:rsid w:val="00690296"/>
    <w:rsid w:val="00691EC0"/>
    <w:rsid w:val="006A0B93"/>
    <w:rsid w:val="006A1094"/>
    <w:rsid w:val="006E4FD1"/>
    <w:rsid w:val="006F762D"/>
    <w:rsid w:val="00702387"/>
    <w:rsid w:val="00717ED0"/>
    <w:rsid w:val="00725F09"/>
    <w:rsid w:val="00730571"/>
    <w:rsid w:val="00737119"/>
    <w:rsid w:val="007656D7"/>
    <w:rsid w:val="007666DD"/>
    <w:rsid w:val="007728C9"/>
    <w:rsid w:val="00780A80"/>
    <w:rsid w:val="00791145"/>
    <w:rsid w:val="007A79DF"/>
    <w:rsid w:val="007B33E0"/>
    <w:rsid w:val="007B39D5"/>
    <w:rsid w:val="007D323F"/>
    <w:rsid w:val="007D3F53"/>
    <w:rsid w:val="007D662C"/>
    <w:rsid w:val="007D75D4"/>
    <w:rsid w:val="007F6B97"/>
    <w:rsid w:val="00800762"/>
    <w:rsid w:val="008043B9"/>
    <w:rsid w:val="00820F67"/>
    <w:rsid w:val="008517D5"/>
    <w:rsid w:val="00857CE0"/>
    <w:rsid w:val="008609FD"/>
    <w:rsid w:val="008829DD"/>
    <w:rsid w:val="00886AFB"/>
    <w:rsid w:val="00890A68"/>
    <w:rsid w:val="008B4268"/>
    <w:rsid w:val="008C0295"/>
    <w:rsid w:val="008C21CA"/>
    <w:rsid w:val="008C4DD0"/>
    <w:rsid w:val="008D1C55"/>
    <w:rsid w:val="008E01C3"/>
    <w:rsid w:val="008E1AC7"/>
    <w:rsid w:val="008E38E6"/>
    <w:rsid w:val="0090107B"/>
    <w:rsid w:val="0091777A"/>
    <w:rsid w:val="00917901"/>
    <w:rsid w:val="009240C8"/>
    <w:rsid w:val="00927406"/>
    <w:rsid w:val="00930D6A"/>
    <w:rsid w:val="00937556"/>
    <w:rsid w:val="009447D7"/>
    <w:rsid w:val="0094652A"/>
    <w:rsid w:val="00950E26"/>
    <w:rsid w:val="00962538"/>
    <w:rsid w:val="0097271C"/>
    <w:rsid w:val="00976E47"/>
    <w:rsid w:val="009A1A42"/>
    <w:rsid w:val="009A4457"/>
    <w:rsid w:val="009B0BAE"/>
    <w:rsid w:val="009B28E4"/>
    <w:rsid w:val="009B6F91"/>
    <w:rsid w:val="009C7699"/>
    <w:rsid w:val="009D208F"/>
    <w:rsid w:val="009D409D"/>
    <w:rsid w:val="009E43B6"/>
    <w:rsid w:val="009F17A1"/>
    <w:rsid w:val="00A05AE0"/>
    <w:rsid w:val="00A2297C"/>
    <w:rsid w:val="00A24B6F"/>
    <w:rsid w:val="00A36F55"/>
    <w:rsid w:val="00A445B1"/>
    <w:rsid w:val="00A45631"/>
    <w:rsid w:val="00A47A98"/>
    <w:rsid w:val="00A52358"/>
    <w:rsid w:val="00A60A92"/>
    <w:rsid w:val="00A60AA0"/>
    <w:rsid w:val="00A60FA8"/>
    <w:rsid w:val="00A754ED"/>
    <w:rsid w:val="00A75D06"/>
    <w:rsid w:val="00A87F34"/>
    <w:rsid w:val="00A97C0F"/>
    <w:rsid w:val="00AB3EF9"/>
    <w:rsid w:val="00AE5C45"/>
    <w:rsid w:val="00B00E03"/>
    <w:rsid w:val="00B1242E"/>
    <w:rsid w:val="00B17F99"/>
    <w:rsid w:val="00B2727E"/>
    <w:rsid w:val="00B4785E"/>
    <w:rsid w:val="00B678DF"/>
    <w:rsid w:val="00B828F1"/>
    <w:rsid w:val="00B83218"/>
    <w:rsid w:val="00B911D4"/>
    <w:rsid w:val="00BA64E0"/>
    <w:rsid w:val="00BB0A3C"/>
    <w:rsid w:val="00BC3502"/>
    <w:rsid w:val="00BD15C4"/>
    <w:rsid w:val="00BD57ED"/>
    <w:rsid w:val="00BE0F57"/>
    <w:rsid w:val="00C07340"/>
    <w:rsid w:val="00C34D6B"/>
    <w:rsid w:val="00C4090E"/>
    <w:rsid w:val="00C6295E"/>
    <w:rsid w:val="00C74CA2"/>
    <w:rsid w:val="00C75338"/>
    <w:rsid w:val="00CA2799"/>
    <w:rsid w:val="00CB2701"/>
    <w:rsid w:val="00CB7347"/>
    <w:rsid w:val="00CC02AA"/>
    <w:rsid w:val="00CD2491"/>
    <w:rsid w:val="00CF7909"/>
    <w:rsid w:val="00D00B61"/>
    <w:rsid w:val="00D011AD"/>
    <w:rsid w:val="00D0709C"/>
    <w:rsid w:val="00D10EC0"/>
    <w:rsid w:val="00D125D0"/>
    <w:rsid w:val="00D173F5"/>
    <w:rsid w:val="00D31DDA"/>
    <w:rsid w:val="00D36A1E"/>
    <w:rsid w:val="00D41F8B"/>
    <w:rsid w:val="00D44D6E"/>
    <w:rsid w:val="00D72B2C"/>
    <w:rsid w:val="00D75495"/>
    <w:rsid w:val="00D76EC7"/>
    <w:rsid w:val="00D82F48"/>
    <w:rsid w:val="00D835A5"/>
    <w:rsid w:val="00DA4DC2"/>
    <w:rsid w:val="00DC0CE2"/>
    <w:rsid w:val="00DC3448"/>
    <w:rsid w:val="00DD5F9E"/>
    <w:rsid w:val="00DE026E"/>
    <w:rsid w:val="00E04300"/>
    <w:rsid w:val="00E07F38"/>
    <w:rsid w:val="00E3574C"/>
    <w:rsid w:val="00E40F49"/>
    <w:rsid w:val="00E4303C"/>
    <w:rsid w:val="00E54704"/>
    <w:rsid w:val="00E6639B"/>
    <w:rsid w:val="00E672B5"/>
    <w:rsid w:val="00E72AFD"/>
    <w:rsid w:val="00E74761"/>
    <w:rsid w:val="00E81884"/>
    <w:rsid w:val="00E9279F"/>
    <w:rsid w:val="00EC0E4C"/>
    <w:rsid w:val="00ED47F6"/>
    <w:rsid w:val="00EE5D22"/>
    <w:rsid w:val="00EF1D31"/>
    <w:rsid w:val="00F00F1E"/>
    <w:rsid w:val="00F10FE3"/>
    <w:rsid w:val="00F27894"/>
    <w:rsid w:val="00F31864"/>
    <w:rsid w:val="00F353DC"/>
    <w:rsid w:val="00F41017"/>
    <w:rsid w:val="00F448D5"/>
    <w:rsid w:val="00F7005E"/>
    <w:rsid w:val="00F7084A"/>
    <w:rsid w:val="00F7329C"/>
    <w:rsid w:val="00FA1651"/>
    <w:rsid w:val="00FB221F"/>
    <w:rsid w:val="00FB2D6B"/>
    <w:rsid w:val="00FB4FD4"/>
    <w:rsid w:val="00FB7348"/>
    <w:rsid w:val="00FE2EB6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1B257"/>
  <w14:defaultImageDpi w14:val="0"/>
  <w15:docId w15:val="{8168F33F-D433-4561-B3C2-5C85BD5F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42"/>
    <w:pPr>
      <w:spacing w:after="0" w:line="240" w:lineRule="auto"/>
    </w:pPr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1A42"/>
    <w:pPr>
      <w:keepNext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A1A42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A1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A42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rsid w:val="009A1A42"/>
    <w:pPr>
      <w:tabs>
        <w:tab w:val="center" w:pos="4819"/>
        <w:tab w:val="right" w:pos="9071"/>
      </w:tabs>
    </w:pPr>
    <w:rPr>
      <w:rFonts w:ascii="CG Times (WN)" w:hAnsi="CG Times (WN)" w:cs="CG Times (WN)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1A42"/>
    <w:rPr>
      <w:rFonts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9A1A42"/>
    <w:pPr>
      <w:tabs>
        <w:tab w:val="center" w:pos="4819"/>
        <w:tab w:val="right" w:pos="9071"/>
      </w:tabs>
    </w:pPr>
    <w:rPr>
      <w:rFonts w:ascii="CG Times (WN)" w:hAnsi="CG Times (WN)" w:cs="CG Times (WN)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1A42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9A1A42"/>
    <w:pPr>
      <w:jc w:val="center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1A42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9A1A4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9A1A4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9A1A42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9A1A4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BD5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3242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Moxon, KarenL</cp:lastModifiedBy>
  <cp:revision>4</cp:revision>
  <cp:lastPrinted>2018-06-26T04:54:00Z</cp:lastPrinted>
  <dcterms:created xsi:type="dcterms:W3CDTF">2022-02-28T23:36:00Z</dcterms:created>
  <dcterms:modified xsi:type="dcterms:W3CDTF">2022-02-28T23:36:00Z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A33005133</vt:lpwstr>
  </property>
  <property fmtid="{D5CDD505-2E9C-101B-9397-08002B2CF9AE}" pid="4" name="Objective-Title">
    <vt:lpwstr>Attachment B - RT (General) Concession Determination 2022 (No 1)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2022-02-22T05:09:58Z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2022-02-22T07:13:28Z</vt:filetime>
  </property>
  <property fmtid="{D5CDD505-2E9C-101B-9397-08002B2CF9AE}" pid="10" name="Objective-ModificationStamp">
    <vt:filetime>2022-02-27T21:22:51Z</vt:filetime>
  </property>
  <property fmtid="{D5CDD505-2E9C-101B-9397-08002B2CF9AE}" pid="11" name="Objective-Owner">
    <vt:lpwstr>Meaghan Evans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(Minister):2021 Information Brief (Minister):TCBS - MIN S2022/00339 - Road Transport Concessions Determination to provide clarification on reduced registration fees for low emission heavy vehicles - Minister Brief:</vt:lpwstr>
  </property>
  <property fmtid="{D5CDD505-2E9C-101B-9397-08002B2CF9AE}" pid="13" name="Objective-Parent">
    <vt:lpwstr>TCBS - MIN S2022/00339 - Road Transport Concessions Determination to provide clarification on reduced registration fees for low emission heavy vehicles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1-2020/102817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DMSID">
    <vt:lpwstr>9147397</vt:lpwstr>
  </property>
  <property fmtid="{D5CDD505-2E9C-101B-9397-08002B2CF9AE}" pid="42" name="CHECKEDOUTFROMJMS">
    <vt:lpwstr/>
  </property>
  <property fmtid="{D5CDD505-2E9C-101B-9397-08002B2CF9AE}" pid="43" name="JMSREQUIREDCHECKIN">
    <vt:lpwstr/>
  </property>
</Properties>
</file>