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2A87E8" w14:textId="77777777" w:rsidR="00A6242F" w:rsidRDefault="00A6242F">
      <w:pPr>
        <w:spacing w:before="120"/>
        <w:rPr>
          <w:rFonts w:ascii="Arial" w:hAnsi="Arial" w:cs="Arial"/>
        </w:rPr>
      </w:pPr>
      <w:bookmarkStart w:id="0" w:name="_Toc44738651"/>
      <w:smartTag w:uri="urn:schemas-microsoft-com:office:smarttags" w:element="State">
        <w:smartTag w:uri="urn:schemas-microsoft-com:office:smarttags" w:element="place">
          <w:r>
            <w:rPr>
              <w:rFonts w:ascii="Arial" w:hAnsi="Arial" w:cs="Arial"/>
            </w:rPr>
            <w:t>Australian Capital Territory</w:t>
          </w:r>
        </w:smartTag>
      </w:smartTag>
    </w:p>
    <w:p w14:paraId="6AAC9E2E" w14:textId="74C64C8B" w:rsidR="00A6242F" w:rsidRDefault="00A6242F">
      <w:pPr>
        <w:pStyle w:val="Billname"/>
        <w:spacing w:before="700"/>
      </w:pPr>
      <w:r>
        <w:t>Road Transport (General) Fees for Publications Determination 20</w:t>
      </w:r>
      <w:r w:rsidR="002726C4">
        <w:t>2</w:t>
      </w:r>
      <w:r w:rsidR="00F42A13">
        <w:t>2</w:t>
      </w:r>
      <w:r w:rsidR="007F4EDC">
        <w:t xml:space="preserve"> (No </w:t>
      </w:r>
      <w:r w:rsidR="00C3514E">
        <w:t>1</w:t>
      </w:r>
      <w:r w:rsidR="007F4EDC">
        <w:t>)</w:t>
      </w:r>
    </w:p>
    <w:p w14:paraId="7B3D2ED0" w14:textId="213CED35" w:rsidR="00A6242F" w:rsidRDefault="00A6242F">
      <w:pPr>
        <w:spacing w:before="240" w:after="60"/>
        <w:rPr>
          <w:rFonts w:ascii="Arial" w:hAnsi="Arial" w:cs="Arial"/>
          <w:b/>
          <w:bCs/>
          <w:vertAlign w:val="superscript"/>
        </w:rPr>
      </w:pPr>
      <w:r>
        <w:rPr>
          <w:rFonts w:ascii="Arial" w:hAnsi="Arial" w:cs="Arial"/>
          <w:b/>
          <w:bCs/>
        </w:rPr>
        <w:t>Disallowable instrument DI20</w:t>
      </w:r>
      <w:r w:rsidR="002726C4">
        <w:rPr>
          <w:rFonts w:ascii="Arial" w:hAnsi="Arial" w:cs="Arial"/>
          <w:b/>
          <w:bCs/>
        </w:rPr>
        <w:t>2</w:t>
      </w:r>
      <w:r w:rsidR="00F42A13">
        <w:rPr>
          <w:rFonts w:ascii="Arial" w:hAnsi="Arial" w:cs="Arial"/>
          <w:b/>
          <w:bCs/>
        </w:rPr>
        <w:t>2</w:t>
      </w:r>
      <w:r>
        <w:rPr>
          <w:rFonts w:ascii="Arial" w:hAnsi="Arial" w:cs="Arial"/>
          <w:b/>
          <w:bCs/>
        </w:rPr>
        <w:t>–</w:t>
      </w:r>
      <w:r w:rsidR="006F1198">
        <w:rPr>
          <w:rFonts w:ascii="Arial" w:hAnsi="Arial" w:cs="Arial"/>
          <w:b/>
          <w:bCs/>
        </w:rPr>
        <w:t>49</w:t>
      </w:r>
    </w:p>
    <w:p w14:paraId="7539D52D" w14:textId="77777777" w:rsidR="00A6242F" w:rsidRDefault="000F574C">
      <w:pPr>
        <w:pStyle w:val="madeunder"/>
        <w:spacing w:before="240" w:after="120"/>
      </w:pPr>
      <w:r>
        <w:t>made under the</w:t>
      </w:r>
    </w:p>
    <w:p w14:paraId="46B403AD" w14:textId="77777777" w:rsidR="00A6242F" w:rsidRDefault="00A6242F">
      <w:pPr>
        <w:pStyle w:val="CoverActName"/>
        <w:rPr>
          <w:sz w:val="20"/>
          <w:szCs w:val="20"/>
        </w:rPr>
      </w:pPr>
      <w:r w:rsidRPr="0086020B">
        <w:rPr>
          <w:iCs/>
          <w:sz w:val="20"/>
          <w:szCs w:val="20"/>
        </w:rPr>
        <w:t>Road Transport (General) Act 1999</w:t>
      </w:r>
      <w:r>
        <w:rPr>
          <w:sz w:val="20"/>
          <w:szCs w:val="20"/>
        </w:rPr>
        <w:t>, section 96 (Determination of fees, charges and other amounts)</w:t>
      </w:r>
    </w:p>
    <w:p w14:paraId="02FDE615" w14:textId="77777777" w:rsidR="00A6242F" w:rsidRDefault="00A6242F">
      <w:pPr>
        <w:spacing w:before="360"/>
        <w:ind w:right="565"/>
        <w:rPr>
          <w:rFonts w:ascii="Arial" w:hAnsi="Arial" w:cs="Arial"/>
          <w:b/>
          <w:bCs/>
          <w:sz w:val="28"/>
          <w:szCs w:val="28"/>
        </w:rPr>
      </w:pPr>
      <w:r>
        <w:rPr>
          <w:rFonts w:ascii="Arial" w:hAnsi="Arial" w:cs="Arial"/>
          <w:b/>
          <w:bCs/>
          <w:sz w:val="28"/>
          <w:szCs w:val="28"/>
        </w:rPr>
        <w:t>EXPLANATORY STATEMENT</w:t>
      </w:r>
    </w:p>
    <w:p w14:paraId="61706C20" w14:textId="77777777" w:rsidR="00A6242F" w:rsidRDefault="00A6242F">
      <w:pPr>
        <w:pStyle w:val="N-line3"/>
        <w:pBdr>
          <w:bottom w:val="none" w:sz="0" w:space="0" w:color="auto"/>
        </w:pBdr>
      </w:pPr>
    </w:p>
    <w:p w14:paraId="30F0DFD2" w14:textId="77777777" w:rsidR="00A6242F" w:rsidRDefault="00A6242F">
      <w:pPr>
        <w:pStyle w:val="N-line3"/>
        <w:pBdr>
          <w:top w:val="single" w:sz="12" w:space="1" w:color="auto"/>
          <w:bottom w:val="none" w:sz="0" w:space="0" w:color="auto"/>
        </w:pBdr>
      </w:pPr>
    </w:p>
    <w:bookmarkEnd w:id="0"/>
    <w:p w14:paraId="23C73DC1" w14:textId="77777777" w:rsidR="000F675D" w:rsidRPr="00C410DE" w:rsidRDefault="000F675D" w:rsidP="000F675D">
      <w:r w:rsidRPr="00C410DE">
        <w:t xml:space="preserve">Section 96 of the </w:t>
      </w:r>
      <w:r w:rsidRPr="00C410DE">
        <w:rPr>
          <w:i/>
          <w:iCs/>
        </w:rPr>
        <w:t xml:space="preserve">Road Transport (General) Act 1999 </w:t>
      </w:r>
      <w:r w:rsidRPr="00C410DE">
        <w:t xml:space="preserve">allows the Minister to determine fees, charges and other amounts payable under the ACT </w:t>
      </w:r>
      <w:r>
        <w:t>r</w:t>
      </w:r>
      <w:r w:rsidRPr="00C410DE">
        <w:t xml:space="preserve">oad </w:t>
      </w:r>
      <w:r>
        <w:t>t</w:t>
      </w:r>
      <w:r w:rsidRPr="00C410DE">
        <w:t>ransport legislation.</w:t>
      </w:r>
    </w:p>
    <w:p w14:paraId="2D98CD03" w14:textId="77777777" w:rsidR="00A6242F" w:rsidRDefault="00A6242F"/>
    <w:p w14:paraId="59FDB2E5" w14:textId="7A0F04BE" w:rsidR="00A6242F" w:rsidRDefault="00A6242F">
      <w:pPr>
        <w:rPr>
          <w:color w:val="000000"/>
        </w:rPr>
      </w:pPr>
      <w:r>
        <w:rPr>
          <w:color w:val="000000"/>
        </w:rPr>
        <w:t>This disallowable instrument has the effect of determining the fees for various kinds of road transport publications.</w:t>
      </w:r>
    </w:p>
    <w:p w14:paraId="74C4EDFB" w14:textId="77777777" w:rsidR="00A6242F" w:rsidRDefault="00A6242F">
      <w:pPr>
        <w:rPr>
          <w:color w:val="000000"/>
        </w:rPr>
      </w:pPr>
    </w:p>
    <w:p w14:paraId="41EA9A83" w14:textId="7F6706B2" w:rsidR="008939A7" w:rsidRDefault="008939A7" w:rsidP="008939A7">
      <w:pPr>
        <w:rPr>
          <w:color w:val="000000"/>
        </w:rPr>
      </w:pPr>
      <w:r>
        <w:rPr>
          <w:color w:val="000000"/>
        </w:rPr>
        <w:t xml:space="preserve">The fees for </w:t>
      </w:r>
      <w:r w:rsidR="00180959">
        <w:rPr>
          <w:color w:val="000000"/>
        </w:rPr>
        <w:t>ACT publications</w:t>
      </w:r>
      <w:r>
        <w:rPr>
          <w:color w:val="000000"/>
        </w:rPr>
        <w:t xml:space="preserve"> have been increased by </w:t>
      </w:r>
      <w:r w:rsidR="002726C4">
        <w:rPr>
          <w:color w:val="000000"/>
        </w:rPr>
        <w:t xml:space="preserve">the </w:t>
      </w:r>
      <w:r w:rsidR="000E75F7">
        <w:rPr>
          <w:color w:val="000000"/>
        </w:rPr>
        <w:t xml:space="preserve">estimated 2021-22 </w:t>
      </w:r>
      <w:r w:rsidR="002726C4">
        <w:rPr>
          <w:color w:val="000000"/>
        </w:rPr>
        <w:t xml:space="preserve">wage price index of </w:t>
      </w:r>
      <w:r w:rsidR="00F42A13">
        <w:rPr>
          <w:color w:val="000000"/>
        </w:rPr>
        <w:t>2</w:t>
      </w:r>
      <w:r w:rsidR="00465C91">
        <w:rPr>
          <w:color w:val="000000"/>
        </w:rPr>
        <w:t>.75</w:t>
      </w:r>
      <w:r>
        <w:rPr>
          <w:color w:val="000000"/>
        </w:rPr>
        <w:t>%</w:t>
      </w:r>
      <w:r w:rsidR="00BB41E3" w:rsidRPr="00BB41E3">
        <w:t xml:space="preserve"> </w:t>
      </w:r>
      <w:r w:rsidR="00BB41E3">
        <w:t xml:space="preserve">in accordance with </w:t>
      </w:r>
      <w:bookmarkStart w:id="1" w:name="_Hlk99974487"/>
      <w:r w:rsidR="00F42A13">
        <w:t>rates published in the 2021-22 Budget Review</w:t>
      </w:r>
      <w:bookmarkEnd w:id="1"/>
      <w:r w:rsidR="00BB41E3">
        <w:t>,</w:t>
      </w:r>
      <w:r w:rsidR="00C3514E">
        <w:rPr>
          <w:color w:val="000000"/>
        </w:rPr>
        <w:t xml:space="preserve"> </w:t>
      </w:r>
      <w:r>
        <w:rPr>
          <w:color w:val="000000"/>
        </w:rPr>
        <w:t>rounded down to the nearest ten cents</w:t>
      </w:r>
      <w:r w:rsidR="00E660F4">
        <w:rPr>
          <w:color w:val="000000"/>
        </w:rPr>
        <w:t xml:space="preserve"> except for the </w:t>
      </w:r>
      <w:r w:rsidR="00E660F4" w:rsidRPr="0082502C">
        <w:rPr>
          <w:szCs w:val="22"/>
        </w:rPr>
        <w:t>national driver work diary</w:t>
      </w:r>
      <w:r w:rsidR="00E660F4">
        <w:rPr>
          <w:szCs w:val="22"/>
        </w:rPr>
        <w:t xml:space="preserve"> which </w:t>
      </w:r>
      <w:r w:rsidR="00C050B4">
        <w:rPr>
          <w:szCs w:val="22"/>
        </w:rPr>
        <w:t xml:space="preserve">has been increased from </w:t>
      </w:r>
      <w:r w:rsidR="00E660F4" w:rsidRPr="00C050B4">
        <w:rPr>
          <w:szCs w:val="22"/>
        </w:rPr>
        <w:t>$25</w:t>
      </w:r>
      <w:r w:rsidR="00BE10B1">
        <w:rPr>
          <w:szCs w:val="22"/>
        </w:rPr>
        <w:t xml:space="preserve"> </w:t>
      </w:r>
      <w:r w:rsidR="00C050B4">
        <w:rPr>
          <w:szCs w:val="22"/>
        </w:rPr>
        <w:t xml:space="preserve">to $26 </w:t>
      </w:r>
      <w:r w:rsidR="00BE10B1">
        <w:rPr>
          <w:szCs w:val="22"/>
        </w:rPr>
        <w:t>in line with advice from the National Heavy Vehicle Regulator</w:t>
      </w:r>
      <w:r>
        <w:rPr>
          <w:color w:val="000000"/>
        </w:rPr>
        <w:t>.</w:t>
      </w:r>
    </w:p>
    <w:p w14:paraId="227AC497" w14:textId="6BAB2211" w:rsidR="00F42A13" w:rsidRDefault="00F42A13" w:rsidP="008939A7">
      <w:pPr>
        <w:rPr>
          <w:color w:val="000000"/>
        </w:rPr>
      </w:pPr>
    </w:p>
    <w:p w14:paraId="1F46DCF0" w14:textId="606F87FA" w:rsidR="00C050B4" w:rsidRDefault="00C050B4" w:rsidP="008939A7">
      <w:pPr>
        <w:rPr>
          <w:color w:val="000000"/>
        </w:rPr>
      </w:pPr>
      <w:r>
        <w:rPr>
          <w:color w:val="000000"/>
        </w:rPr>
        <w:t>Indexing fees and charges annually maintains the cost of the product or service being provided.</w:t>
      </w:r>
    </w:p>
    <w:p w14:paraId="31C05C8F" w14:textId="77777777" w:rsidR="00C050B4" w:rsidRDefault="00C050B4" w:rsidP="008939A7">
      <w:pPr>
        <w:rPr>
          <w:color w:val="000000"/>
        </w:rPr>
      </w:pPr>
    </w:p>
    <w:p w14:paraId="2A0B4DAF" w14:textId="6FBE1EA9" w:rsidR="00F42A13" w:rsidRDefault="00F42A13" w:rsidP="008939A7">
      <w:pPr>
        <w:rPr>
          <w:color w:val="000000"/>
        </w:rPr>
      </w:pPr>
      <w:r>
        <w:rPr>
          <w:color w:val="000000"/>
        </w:rPr>
        <w:t xml:space="preserve">A new fee of $12.00 has been added to cover the cost of issuing or replacing a logbook to the registered operator of a vehicle registered under the Veteran, Vintage and Historic Conditional Registration Scheme. </w:t>
      </w:r>
    </w:p>
    <w:p w14:paraId="603675D2" w14:textId="77777777" w:rsidR="008939A7" w:rsidRDefault="008939A7">
      <w:pPr>
        <w:rPr>
          <w:color w:val="000000"/>
        </w:rPr>
      </w:pPr>
    </w:p>
    <w:p w14:paraId="2452D826" w14:textId="5F2DD418" w:rsidR="000E274E" w:rsidRDefault="000E274E" w:rsidP="000E274E">
      <w:pPr>
        <w:pStyle w:val="BodyText"/>
        <w:tabs>
          <w:tab w:val="left" w:pos="2826"/>
          <w:tab w:val="left" w:pos="3480"/>
          <w:tab w:val="left" w:pos="7994"/>
          <w:tab w:val="left" w:pos="9837"/>
        </w:tabs>
        <w:jc w:val="left"/>
        <w:rPr>
          <w:rFonts w:ascii="Times New Roman" w:hAnsi="Times New Roman"/>
        </w:rPr>
      </w:pPr>
      <w:r>
        <w:rPr>
          <w:rFonts w:ascii="Times New Roman" w:hAnsi="Times New Roman"/>
        </w:rPr>
        <w:t xml:space="preserve">Column 1 of schedule 1 lists the item number for which </w:t>
      </w:r>
      <w:r w:rsidR="00B524C9">
        <w:rPr>
          <w:rFonts w:ascii="Times New Roman" w:hAnsi="Times New Roman"/>
        </w:rPr>
        <w:t>the</w:t>
      </w:r>
      <w:r>
        <w:rPr>
          <w:rFonts w:ascii="Times New Roman" w:hAnsi="Times New Roman"/>
        </w:rPr>
        <w:t xml:space="preserve"> fee is payable.  Column 2 of schedule 1 describes the service or other matter in relation to the fee payable.  Column 3 of schedule 1 lists the fee payable </w:t>
      </w:r>
      <w:r w:rsidR="00773F16">
        <w:rPr>
          <w:rFonts w:ascii="Times New Roman" w:hAnsi="Times New Roman"/>
        </w:rPr>
        <w:t>on</w:t>
      </w:r>
      <w:r>
        <w:rPr>
          <w:rFonts w:ascii="Times New Roman" w:hAnsi="Times New Roman"/>
        </w:rPr>
        <w:t xml:space="preserve"> or before 3</w:t>
      </w:r>
      <w:r w:rsidR="00465C91">
        <w:rPr>
          <w:rFonts w:ascii="Times New Roman" w:hAnsi="Times New Roman"/>
        </w:rPr>
        <w:t>0</w:t>
      </w:r>
      <w:r>
        <w:rPr>
          <w:rFonts w:ascii="Times New Roman" w:hAnsi="Times New Roman"/>
        </w:rPr>
        <w:t> </w:t>
      </w:r>
      <w:r w:rsidR="00465C91">
        <w:rPr>
          <w:rFonts w:ascii="Times New Roman" w:hAnsi="Times New Roman"/>
        </w:rPr>
        <w:t>June</w:t>
      </w:r>
      <w:r>
        <w:rPr>
          <w:rFonts w:ascii="Times New Roman" w:hAnsi="Times New Roman"/>
        </w:rPr>
        <w:t> 20</w:t>
      </w:r>
      <w:r w:rsidR="002726C4">
        <w:rPr>
          <w:rFonts w:ascii="Times New Roman" w:hAnsi="Times New Roman"/>
        </w:rPr>
        <w:t>2</w:t>
      </w:r>
      <w:r w:rsidR="00F42A13">
        <w:rPr>
          <w:rFonts w:ascii="Times New Roman" w:hAnsi="Times New Roman"/>
        </w:rPr>
        <w:t>2</w:t>
      </w:r>
      <w:r>
        <w:rPr>
          <w:rFonts w:ascii="Times New Roman" w:hAnsi="Times New Roman"/>
        </w:rPr>
        <w:t>.  Column 4 of schedule 1 lists the fee payable on or after 1 </w:t>
      </w:r>
      <w:r w:rsidR="00465C91">
        <w:rPr>
          <w:rFonts w:ascii="Times New Roman" w:hAnsi="Times New Roman"/>
        </w:rPr>
        <w:t>July</w:t>
      </w:r>
      <w:r>
        <w:rPr>
          <w:rFonts w:ascii="Times New Roman" w:hAnsi="Times New Roman"/>
        </w:rPr>
        <w:t> 20</w:t>
      </w:r>
      <w:r w:rsidR="002726C4">
        <w:rPr>
          <w:rFonts w:ascii="Times New Roman" w:hAnsi="Times New Roman"/>
        </w:rPr>
        <w:t>2</w:t>
      </w:r>
      <w:r w:rsidR="00F42A13">
        <w:rPr>
          <w:rFonts w:ascii="Times New Roman" w:hAnsi="Times New Roman"/>
        </w:rPr>
        <w:t>2</w:t>
      </w:r>
      <w:r>
        <w:rPr>
          <w:rFonts w:ascii="Times New Roman" w:hAnsi="Times New Roman"/>
        </w:rPr>
        <w:t>.</w:t>
      </w:r>
    </w:p>
    <w:p w14:paraId="193B01FF" w14:textId="77777777" w:rsidR="001C0FD0" w:rsidRDefault="001C0FD0">
      <w:pPr>
        <w:rPr>
          <w:color w:val="000000"/>
        </w:rPr>
      </w:pPr>
    </w:p>
    <w:p w14:paraId="07C86576" w14:textId="09563656" w:rsidR="000E274E" w:rsidRDefault="000E274E" w:rsidP="000E274E">
      <w:pPr>
        <w:numPr>
          <w:ilvl w:val="12"/>
          <w:numId w:val="0"/>
        </w:numPr>
        <w:tabs>
          <w:tab w:val="left" w:pos="15168"/>
        </w:tabs>
      </w:pPr>
      <w:r>
        <w:t xml:space="preserve">The preference of the Standing Committee on Justice and Community Safety (Legislative Scrutiny Role) that </w:t>
      </w:r>
      <w:r w:rsidR="003348A5">
        <w:t>I</w:t>
      </w:r>
      <w:r>
        <w:t xml:space="preserve">nstruments or Explanatory Statements identify the amount of the old and new fee, any percentage increase and also the reason for any increase in the Instrument or the Explanatory Statement has been taken into account in the preparation of the </w:t>
      </w:r>
      <w:r w:rsidR="003348A5">
        <w:t>I</w:t>
      </w:r>
      <w:r>
        <w:t>nstrument and the Explanatory Statement.</w:t>
      </w:r>
    </w:p>
    <w:p w14:paraId="2DE920D5" w14:textId="77777777" w:rsidR="000E274E" w:rsidRDefault="000E274E" w:rsidP="000E274E">
      <w:pPr>
        <w:numPr>
          <w:ilvl w:val="12"/>
          <w:numId w:val="0"/>
        </w:numPr>
        <w:tabs>
          <w:tab w:val="left" w:pos="15168"/>
        </w:tabs>
      </w:pPr>
    </w:p>
    <w:p w14:paraId="639D515C" w14:textId="4B6F2A74" w:rsidR="000E274E" w:rsidRDefault="000E274E" w:rsidP="000E274E">
      <w:pPr>
        <w:pStyle w:val="BodyText"/>
        <w:tabs>
          <w:tab w:val="left" w:pos="2826"/>
          <w:tab w:val="left" w:pos="3480"/>
          <w:tab w:val="left" w:pos="7994"/>
          <w:tab w:val="left" w:pos="9837"/>
        </w:tabs>
        <w:jc w:val="left"/>
        <w:rPr>
          <w:rFonts w:ascii="Times New Roman" w:hAnsi="Times New Roman"/>
        </w:rPr>
      </w:pPr>
      <w:r>
        <w:lastRenderedPageBreak/>
        <w:t xml:space="preserve">There are no human rights or climate change implications arising from this </w:t>
      </w:r>
      <w:r w:rsidR="005D4120">
        <w:t>inst</w:t>
      </w:r>
      <w:r w:rsidR="00441B3A">
        <w:t>r</w:t>
      </w:r>
      <w:r w:rsidR="005D4120">
        <w:t>ument</w:t>
      </w:r>
      <w:r>
        <w:t>.</w:t>
      </w:r>
    </w:p>
    <w:p w14:paraId="2547294A" w14:textId="77777777" w:rsidR="000E274E" w:rsidRDefault="000E274E">
      <w:pPr>
        <w:rPr>
          <w:color w:val="000000"/>
        </w:rPr>
      </w:pPr>
    </w:p>
    <w:p w14:paraId="3607C0D1" w14:textId="77777777" w:rsidR="000F574C" w:rsidRDefault="00A6242F">
      <w:r>
        <w:t xml:space="preserve">This determination is a disallowable instrument and must be presented to the Legislative Assembly within 6 sitting days after its notification pursuant to section 64 of the </w:t>
      </w:r>
      <w:r>
        <w:rPr>
          <w:i/>
          <w:iCs/>
        </w:rPr>
        <w:t>Legislation Act 2001</w:t>
      </w:r>
      <w:r w:rsidR="000F574C">
        <w:t>.</w:t>
      </w:r>
    </w:p>
    <w:sectPr w:rsidR="000F574C" w:rsidSect="007B5DF2">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567"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04D62E" w14:textId="77777777" w:rsidR="0071450E" w:rsidRDefault="0071450E">
      <w:r>
        <w:separator/>
      </w:r>
    </w:p>
  </w:endnote>
  <w:endnote w:type="continuationSeparator" w:id="0">
    <w:p w14:paraId="7012ACFD" w14:textId="77777777" w:rsidR="0071450E" w:rsidRDefault="007145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9EAF3" w14:textId="77777777" w:rsidR="004D6C4B" w:rsidRDefault="004D6C4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1E796" w14:textId="29F937AF" w:rsidR="008A570C" w:rsidRPr="004D6C4B" w:rsidRDefault="004D6C4B" w:rsidP="004D6C4B">
    <w:pPr>
      <w:pStyle w:val="Footer"/>
      <w:jc w:val="center"/>
      <w:rPr>
        <w:rFonts w:ascii="Arial" w:hAnsi="Arial" w:cs="Arial"/>
        <w:sz w:val="14"/>
        <w:szCs w:val="14"/>
      </w:rPr>
    </w:pPr>
    <w:r w:rsidRPr="004D6C4B">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FCFD2" w14:textId="352D67F0" w:rsidR="003E143D" w:rsidRPr="004D6C4B" w:rsidRDefault="004D6C4B" w:rsidP="004D6C4B">
    <w:pPr>
      <w:pStyle w:val="Footer"/>
      <w:jc w:val="center"/>
      <w:rPr>
        <w:rFonts w:ascii="Arial" w:hAnsi="Arial" w:cs="Arial"/>
        <w:sz w:val="14"/>
        <w:lang w:val="en-AU"/>
      </w:rPr>
    </w:pPr>
    <w:r w:rsidRPr="004D6C4B">
      <w:rPr>
        <w:rFonts w:ascii="Arial" w:hAnsi="Arial" w:cs="Arial"/>
        <w:sz w:val="14"/>
        <w:lang w:val="en-AU"/>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1566A8" w14:textId="77777777" w:rsidR="0071450E" w:rsidRDefault="0071450E">
      <w:r>
        <w:separator/>
      </w:r>
    </w:p>
  </w:footnote>
  <w:footnote w:type="continuationSeparator" w:id="0">
    <w:p w14:paraId="1C35F91D" w14:textId="77777777" w:rsidR="0071450E" w:rsidRDefault="007145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3AC11" w14:textId="77777777" w:rsidR="004D6C4B" w:rsidRDefault="004D6C4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5EAA0" w14:textId="77777777" w:rsidR="004D6C4B" w:rsidRDefault="004D6C4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DA199" w14:textId="77777777" w:rsidR="004D6C4B" w:rsidRDefault="004D6C4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767327"/>
    <w:multiLevelType w:val="multilevel"/>
    <w:tmpl w:val="A67EA232"/>
    <w:lvl w:ilvl="0">
      <w:start w:val="1"/>
      <w:numFmt w:val="decimal"/>
      <w:lvlText w:val="%1."/>
      <w:lvlJc w:val="left"/>
      <w:pPr>
        <w:tabs>
          <w:tab w:val="num" w:pos="567"/>
        </w:tabs>
      </w:pPr>
      <w:rPr>
        <w:rFonts w:cs="Times New Roman" w:hint="default"/>
      </w:rPr>
    </w:lvl>
    <w:lvl w:ilvl="1">
      <w:start w:val="1"/>
      <w:numFmt w:val="lowerLetter"/>
      <w:lvlText w:val="%2."/>
      <w:lvlJc w:val="left"/>
      <w:pPr>
        <w:tabs>
          <w:tab w:val="num" w:pos="1134"/>
        </w:tabs>
        <w:ind w:left="567"/>
      </w:pPr>
      <w:rPr>
        <w:rFonts w:cs="Times New Roman" w:hint="default"/>
      </w:rPr>
    </w:lvl>
    <w:lvl w:ilvl="2">
      <w:start w:val="1"/>
      <w:numFmt w:val="lowerRoman"/>
      <w:lvlText w:val="%3."/>
      <w:lvlJc w:val="right"/>
      <w:pPr>
        <w:tabs>
          <w:tab w:val="num" w:pos="1701"/>
        </w:tabs>
        <w:ind w:left="1276"/>
      </w:pPr>
      <w:rPr>
        <w:rFonts w:cs="Times New Roman" w:hint="default"/>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15:restartNumberingAfterBreak="0">
    <w:nsid w:val="5D112196"/>
    <w:multiLevelType w:val="hybridMultilevel"/>
    <w:tmpl w:val="9E8CE44C"/>
    <w:lvl w:ilvl="0" w:tplc="3EE092CC">
      <w:start w:val="1"/>
      <w:numFmt w:val="decimal"/>
      <w:lvlText w:val="%1."/>
      <w:lvlJc w:val="left"/>
      <w:pPr>
        <w:tabs>
          <w:tab w:val="num" w:pos="1080"/>
        </w:tabs>
        <w:ind w:left="1080" w:hanging="720"/>
      </w:pPr>
      <w:rPr>
        <w:rFonts w:cs="Times New Roman" w:hint="default"/>
      </w:rPr>
    </w:lvl>
    <w:lvl w:ilvl="1" w:tplc="FA68EF74">
      <w:start w:val="1"/>
      <w:numFmt w:val="lowerRoman"/>
      <w:lvlText w:val="%2."/>
      <w:lvlJc w:val="left"/>
      <w:pPr>
        <w:tabs>
          <w:tab w:val="num" w:pos="720"/>
        </w:tabs>
        <w:ind w:left="720" w:hanging="360"/>
      </w:pPr>
      <w:rPr>
        <w:rFonts w:cs="Times New Roman" w:hint="default"/>
      </w:rPr>
    </w:lvl>
    <w:lvl w:ilvl="2" w:tplc="0C090017">
      <w:start w:val="1"/>
      <w:numFmt w:val="lowerLetter"/>
      <w:lvlText w:val="%3)"/>
      <w:lvlJc w:val="left"/>
      <w:pPr>
        <w:tabs>
          <w:tab w:val="num" w:pos="2340"/>
        </w:tabs>
        <w:ind w:left="2340" w:hanging="360"/>
      </w:pPr>
      <w:rPr>
        <w:rFonts w:cs="Times New Roman" w:hint="default"/>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7C5C1810"/>
    <w:multiLevelType w:val="hybridMultilevel"/>
    <w:tmpl w:val="A67EA232"/>
    <w:lvl w:ilvl="0" w:tplc="CC36ACAE">
      <w:start w:val="1"/>
      <w:numFmt w:val="decimal"/>
      <w:lvlText w:val="%1."/>
      <w:lvlJc w:val="left"/>
      <w:pPr>
        <w:tabs>
          <w:tab w:val="num" w:pos="567"/>
        </w:tabs>
      </w:pPr>
      <w:rPr>
        <w:rFonts w:cs="Times New Roman" w:hint="default"/>
      </w:rPr>
    </w:lvl>
    <w:lvl w:ilvl="1" w:tplc="0F00AEA2">
      <w:start w:val="1"/>
      <w:numFmt w:val="lowerLetter"/>
      <w:lvlText w:val="%2."/>
      <w:lvlJc w:val="left"/>
      <w:pPr>
        <w:tabs>
          <w:tab w:val="num" w:pos="1134"/>
        </w:tabs>
        <w:ind w:left="567"/>
      </w:pPr>
      <w:rPr>
        <w:rFonts w:cs="Times New Roman" w:hint="default"/>
      </w:rPr>
    </w:lvl>
    <w:lvl w:ilvl="2" w:tplc="FB102CCA">
      <w:start w:val="1"/>
      <w:numFmt w:val="lowerRoman"/>
      <w:lvlText w:val="%3."/>
      <w:lvlJc w:val="right"/>
      <w:pPr>
        <w:tabs>
          <w:tab w:val="num" w:pos="1701"/>
        </w:tabs>
        <w:ind w:left="1276"/>
      </w:pPr>
      <w:rPr>
        <w:rFonts w:cs="Times New Roman" w:hint="default"/>
      </w:rPr>
    </w:lvl>
    <w:lvl w:ilvl="3" w:tplc="0C09000F">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7770"/>
    <w:rsid w:val="000258DE"/>
    <w:rsid w:val="0002644D"/>
    <w:rsid w:val="000304F3"/>
    <w:rsid w:val="00031DBD"/>
    <w:rsid w:val="0003706C"/>
    <w:rsid w:val="000458E1"/>
    <w:rsid w:val="00050EE8"/>
    <w:rsid w:val="000701CD"/>
    <w:rsid w:val="000712D3"/>
    <w:rsid w:val="000820DA"/>
    <w:rsid w:val="00084625"/>
    <w:rsid w:val="000A3035"/>
    <w:rsid w:val="000B6404"/>
    <w:rsid w:val="000E274E"/>
    <w:rsid w:val="000E75F7"/>
    <w:rsid w:val="000F574C"/>
    <w:rsid w:val="000F675D"/>
    <w:rsid w:val="000F717F"/>
    <w:rsid w:val="00105A28"/>
    <w:rsid w:val="0012152C"/>
    <w:rsid w:val="00124795"/>
    <w:rsid w:val="00135037"/>
    <w:rsid w:val="00140D81"/>
    <w:rsid w:val="00152CE9"/>
    <w:rsid w:val="00180959"/>
    <w:rsid w:val="00193F40"/>
    <w:rsid w:val="0019575D"/>
    <w:rsid w:val="001A09B6"/>
    <w:rsid w:val="001A3A32"/>
    <w:rsid w:val="001C0074"/>
    <w:rsid w:val="001C0FD0"/>
    <w:rsid w:val="001C1FDE"/>
    <w:rsid w:val="0020569C"/>
    <w:rsid w:val="00207108"/>
    <w:rsid w:val="00236949"/>
    <w:rsid w:val="002401FB"/>
    <w:rsid w:val="00247092"/>
    <w:rsid w:val="002645DC"/>
    <w:rsid w:val="00266C88"/>
    <w:rsid w:val="002677FC"/>
    <w:rsid w:val="002726C4"/>
    <w:rsid w:val="00283CCB"/>
    <w:rsid w:val="00295660"/>
    <w:rsid w:val="002961F1"/>
    <w:rsid w:val="002969E0"/>
    <w:rsid w:val="002B5812"/>
    <w:rsid w:val="002D7BAD"/>
    <w:rsid w:val="0030308E"/>
    <w:rsid w:val="00307770"/>
    <w:rsid w:val="003348A5"/>
    <w:rsid w:val="00343525"/>
    <w:rsid w:val="0034660C"/>
    <w:rsid w:val="0036429D"/>
    <w:rsid w:val="00366FC6"/>
    <w:rsid w:val="0037044A"/>
    <w:rsid w:val="00380916"/>
    <w:rsid w:val="003C3DDD"/>
    <w:rsid w:val="003C7BCF"/>
    <w:rsid w:val="003D0E9A"/>
    <w:rsid w:val="003D6937"/>
    <w:rsid w:val="003E143D"/>
    <w:rsid w:val="003E3227"/>
    <w:rsid w:val="003F71F5"/>
    <w:rsid w:val="004017BB"/>
    <w:rsid w:val="00441B3A"/>
    <w:rsid w:val="00451B62"/>
    <w:rsid w:val="00457D21"/>
    <w:rsid w:val="00465C91"/>
    <w:rsid w:val="004679DE"/>
    <w:rsid w:val="00473F79"/>
    <w:rsid w:val="00485FF0"/>
    <w:rsid w:val="00497B6B"/>
    <w:rsid w:val="004A13C3"/>
    <w:rsid w:val="004C799D"/>
    <w:rsid w:val="004D2A7B"/>
    <w:rsid w:val="004D6C4B"/>
    <w:rsid w:val="004E2F75"/>
    <w:rsid w:val="004F5BFC"/>
    <w:rsid w:val="0051054F"/>
    <w:rsid w:val="00530EA7"/>
    <w:rsid w:val="00555CF9"/>
    <w:rsid w:val="00556A67"/>
    <w:rsid w:val="005825B6"/>
    <w:rsid w:val="005B1686"/>
    <w:rsid w:val="005C416F"/>
    <w:rsid w:val="005D18FA"/>
    <w:rsid w:val="005D4120"/>
    <w:rsid w:val="00603DE1"/>
    <w:rsid w:val="00617A7A"/>
    <w:rsid w:val="0062237F"/>
    <w:rsid w:val="00622ACD"/>
    <w:rsid w:val="00630FE5"/>
    <w:rsid w:val="0064280A"/>
    <w:rsid w:val="00645E1F"/>
    <w:rsid w:val="00653A88"/>
    <w:rsid w:val="0067690B"/>
    <w:rsid w:val="0068624B"/>
    <w:rsid w:val="006944C8"/>
    <w:rsid w:val="00694895"/>
    <w:rsid w:val="006961DA"/>
    <w:rsid w:val="006A1DFE"/>
    <w:rsid w:val="006A5132"/>
    <w:rsid w:val="006A7DB5"/>
    <w:rsid w:val="006D6069"/>
    <w:rsid w:val="006E128D"/>
    <w:rsid w:val="006E4443"/>
    <w:rsid w:val="006F1198"/>
    <w:rsid w:val="006F5947"/>
    <w:rsid w:val="007014F9"/>
    <w:rsid w:val="00707962"/>
    <w:rsid w:val="00707AFF"/>
    <w:rsid w:val="0071450E"/>
    <w:rsid w:val="00742B1E"/>
    <w:rsid w:val="00743097"/>
    <w:rsid w:val="00752160"/>
    <w:rsid w:val="0076320C"/>
    <w:rsid w:val="00773F16"/>
    <w:rsid w:val="00774D20"/>
    <w:rsid w:val="007A4B7D"/>
    <w:rsid w:val="007B074E"/>
    <w:rsid w:val="007B1789"/>
    <w:rsid w:val="007B23A2"/>
    <w:rsid w:val="007B306C"/>
    <w:rsid w:val="007B5DF2"/>
    <w:rsid w:val="007D014B"/>
    <w:rsid w:val="007D24B3"/>
    <w:rsid w:val="007F4EDC"/>
    <w:rsid w:val="007F5C24"/>
    <w:rsid w:val="007F6427"/>
    <w:rsid w:val="00811EA8"/>
    <w:rsid w:val="00821E3E"/>
    <w:rsid w:val="0082502C"/>
    <w:rsid w:val="00831F52"/>
    <w:rsid w:val="00832D83"/>
    <w:rsid w:val="00833E57"/>
    <w:rsid w:val="00846390"/>
    <w:rsid w:val="00847590"/>
    <w:rsid w:val="0086020B"/>
    <w:rsid w:val="008939A7"/>
    <w:rsid w:val="008A411B"/>
    <w:rsid w:val="008A570C"/>
    <w:rsid w:val="008A7637"/>
    <w:rsid w:val="008B70B6"/>
    <w:rsid w:val="008C0AFB"/>
    <w:rsid w:val="009248C0"/>
    <w:rsid w:val="0095385B"/>
    <w:rsid w:val="009574DD"/>
    <w:rsid w:val="009A6767"/>
    <w:rsid w:val="009F128D"/>
    <w:rsid w:val="00A002F8"/>
    <w:rsid w:val="00A06E7D"/>
    <w:rsid w:val="00A32EE7"/>
    <w:rsid w:val="00A54DAF"/>
    <w:rsid w:val="00A6242F"/>
    <w:rsid w:val="00A64943"/>
    <w:rsid w:val="00AB2209"/>
    <w:rsid w:val="00AB48E5"/>
    <w:rsid w:val="00AE2F1F"/>
    <w:rsid w:val="00B42C31"/>
    <w:rsid w:val="00B524C9"/>
    <w:rsid w:val="00B55CED"/>
    <w:rsid w:val="00B56689"/>
    <w:rsid w:val="00B62886"/>
    <w:rsid w:val="00BA3A2E"/>
    <w:rsid w:val="00BB1083"/>
    <w:rsid w:val="00BB41E3"/>
    <w:rsid w:val="00BC1EDD"/>
    <w:rsid w:val="00BE10B1"/>
    <w:rsid w:val="00BF6BF6"/>
    <w:rsid w:val="00C0231C"/>
    <w:rsid w:val="00C050B4"/>
    <w:rsid w:val="00C3514E"/>
    <w:rsid w:val="00C410DE"/>
    <w:rsid w:val="00C4494B"/>
    <w:rsid w:val="00C4646D"/>
    <w:rsid w:val="00C575C5"/>
    <w:rsid w:val="00C6177E"/>
    <w:rsid w:val="00C64879"/>
    <w:rsid w:val="00C65B4F"/>
    <w:rsid w:val="00C7011C"/>
    <w:rsid w:val="00C757B1"/>
    <w:rsid w:val="00C854FE"/>
    <w:rsid w:val="00C8663C"/>
    <w:rsid w:val="00C95BAC"/>
    <w:rsid w:val="00CA311D"/>
    <w:rsid w:val="00CA403B"/>
    <w:rsid w:val="00CA7933"/>
    <w:rsid w:val="00CF7999"/>
    <w:rsid w:val="00D07D7D"/>
    <w:rsid w:val="00D138BD"/>
    <w:rsid w:val="00D234CA"/>
    <w:rsid w:val="00D4364E"/>
    <w:rsid w:val="00D56D03"/>
    <w:rsid w:val="00D624F5"/>
    <w:rsid w:val="00D84C70"/>
    <w:rsid w:val="00D866AF"/>
    <w:rsid w:val="00D86B56"/>
    <w:rsid w:val="00D97462"/>
    <w:rsid w:val="00DB01D8"/>
    <w:rsid w:val="00DC5AC1"/>
    <w:rsid w:val="00DD5D23"/>
    <w:rsid w:val="00DD7DD6"/>
    <w:rsid w:val="00DE0960"/>
    <w:rsid w:val="00DE120F"/>
    <w:rsid w:val="00DF514A"/>
    <w:rsid w:val="00E022D8"/>
    <w:rsid w:val="00E03F7C"/>
    <w:rsid w:val="00E07C10"/>
    <w:rsid w:val="00E11D71"/>
    <w:rsid w:val="00E138CE"/>
    <w:rsid w:val="00E56D69"/>
    <w:rsid w:val="00E61D9C"/>
    <w:rsid w:val="00E660F4"/>
    <w:rsid w:val="00E767E4"/>
    <w:rsid w:val="00E940F5"/>
    <w:rsid w:val="00EA15BA"/>
    <w:rsid w:val="00EA4B64"/>
    <w:rsid w:val="00EB6BDB"/>
    <w:rsid w:val="00ED3F2C"/>
    <w:rsid w:val="00EE0245"/>
    <w:rsid w:val="00EE3A5B"/>
    <w:rsid w:val="00F049F1"/>
    <w:rsid w:val="00F130DF"/>
    <w:rsid w:val="00F214EE"/>
    <w:rsid w:val="00F40B5D"/>
    <w:rsid w:val="00F42A13"/>
    <w:rsid w:val="00F43D56"/>
    <w:rsid w:val="00F6574B"/>
    <w:rsid w:val="00F963D4"/>
    <w:rsid w:val="00FA1E15"/>
    <w:rsid w:val="00FC1AC0"/>
    <w:rsid w:val="00FD5F8D"/>
    <w:rsid w:val="00FE1620"/>
    <w:rsid w:val="00FE452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0EB68771"/>
  <w14:defaultImageDpi w14:val="0"/>
  <w15:docId w15:val="{BF392F15-9124-4A74-92FA-B6462347CD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6767"/>
    <w:rPr>
      <w:sz w:val="24"/>
      <w:szCs w:val="24"/>
      <w:lang w:eastAsia="en-US"/>
    </w:rPr>
  </w:style>
  <w:style w:type="paragraph" w:styleId="Heading6">
    <w:name w:val="heading 6"/>
    <w:basedOn w:val="Normal"/>
    <w:next w:val="Normal"/>
    <w:link w:val="Heading6Char"/>
    <w:uiPriority w:val="9"/>
    <w:qFormat/>
    <w:locked/>
    <w:rsid w:val="0082502C"/>
    <w:pPr>
      <w:keepNext/>
      <w:outlineLvl w:val="5"/>
    </w:pPr>
    <w:rPr>
      <w:b/>
      <w:i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link w:val="Heading6"/>
    <w:uiPriority w:val="9"/>
    <w:locked/>
    <w:rsid w:val="0082502C"/>
    <w:rPr>
      <w:rFonts w:cs="Times New Roman"/>
      <w:b/>
      <w:iCs/>
      <w:sz w:val="24"/>
      <w:szCs w:val="24"/>
      <w:lang w:val="en-US" w:eastAsia="en-US"/>
    </w:rPr>
  </w:style>
  <w:style w:type="paragraph" w:styleId="BalloonText">
    <w:name w:val="Balloon Text"/>
    <w:basedOn w:val="Normal"/>
    <w:link w:val="BalloonTextChar"/>
    <w:uiPriority w:val="99"/>
    <w:semiHidden/>
    <w:rsid w:val="009A6767"/>
    <w:rPr>
      <w:rFonts w:ascii="Tahoma" w:hAnsi="Tahoma" w:cs="Tahoma"/>
      <w:sz w:val="16"/>
      <w:szCs w:val="16"/>
    </w:rPr>
  </w:style>
  <w:style w:type="character" w:customStyle="1" w:styleId="BalloonTextChar">
    <w:name w:val="Balloon Text Char"/>
    <w:link w:val="BalloonText"/>
    <w:uiPriority w:val="99"/>
    <w:semiHidden/>
    <w:locked/>
    <w:rsid w:val="009A6767"/>
    <w:rPr>
      <w:rFonts w:ascii="Tahoma" w:hAnsi="Tahoma" w:cs="Tahoma"/>
      <w:sz w:val="16"/>
      <w:szCs w:val="16"/>
      <w:lang w:val="x-none" w:eastAsia="en-US"/>
    </w:rPr>
  </w:style>
  <w:style w:type="paragraph" w:styleId="Header">
    <w:name w:val="header"/>
    <w:basedOn w:val="Normal"/>
    <w:link w:val="HeaderChar"/>
    <w:uiPriority w:val="99"/>
    <w:rsid w:val="009A6767"/>
    <w:pPr>
      <w:tabs>
        <w:tab w:val="center" w:pos="4819"/>
        <w:tab w:val="right" w:pos="9071"/>
      </w:tabs>
    </w:pPr>
    <w:rPr>
      <w:rFonts w:ascii="CG Times (WN)" w:hAnsi="CG Times (WN)" w:cs="CG Times (WN)"/>
      <w:lang w:val="en-GB"/>
    </w:rPr>
  </w:style>
  <w:style w:type="character" w:customStyle="1" w:styleId="HeaderChar">
    <w:name w:val="Header Char"/>
    <w:link w:val="Header"/>
    <w:uiPriority w:val="99"/>
    <w:semiHidden/>
    <w:locked/>
    <w:rsid w:val="009A6767"/>
    <w:rPr>
      <w:rFonts w:cs="Times New Roman"/>
      <w:sz w:val="24"/>
      <w:szCs w:val="24"/>
      <w:lang w:val="x-none" w:eastAsia="en-US"/>
    </w:rPr>
  </w:style>
  <w:style w:type="paragraph" w:styleId="Footer">
    <w:name w:val="footer"/>
    <w:basedOn w:val="Normal"/>
    <w:link w:val="FooterChar"/>
    <w:uiPriority w:val="99"/>
    <w:rsid w:val="009A6767"/>
    <w:pPr>
      <w:tabs>
        <w:tab w:val="center" w:pos="4819"/>
        <w:tab w:val="right" w:pos="9071"/>
      </w:tabs>
    </w:pPr>
    <w:rPr>
      <w:rFonts w:ascii="CG Times (WN)" w:hAnsi="CG Times (WN)" w:cs="CG Times (WN)"/>
      <w:lang w:val="en-GB"/>
    </w:rPr>
  </w:style>
  <w:style w:type="character" w:customStyle="1" w:styleId="FooterChar">
    <w:name w:val="Footer Char"/>
    <w:link w:val="Footer"/>
    <w:uiPriority w:val="99"/>
    <w:semiHidden/>
    <w:locked/>
    <w:rsid w:val="009A6767"/>
    <w:rPr>
      <w:rFonts w:cs="Times New Roman"/>
      <w:sz w:val="24"/>
      <w:szCs w:val="24"/>
      <w:lang w:val="x-none" w:eastAsia="en-US"/>
    </w:rPr>
  </w:style>
  <w:style w:type="paragraph" w:customStyle="1" w:styleId="Billname">
    <w:name w:val="Billname"/>
    <w:basedOn w:val="Normal"/>
    <w:uiPriority w:val="99"/>
    <w:rsid w:val="009A6767"/>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rsid w:val="009A6767"/>
    <w:pPr>
      <w:pBdr>
        <w:bottom w:val="single" w:sz="12" w:space="1" w:color="auto"/>
      </w:pBdr>
      <w:jc w:val="both"/>
    </w:pPr>
    <w:rPr>
      <w:rFonts w:ascii="CG Times (WN)" w:hAnsi="CG Times (WN)" w:cs="CG Times (WN)"/>
    </w:rPr>
  </w:style>
  <w:style w:type="paragraph" w:customStyle="1" w:styleId="madeunder">
    <w:name w:val="made under"/>
    <w:basedOn w:val="Normal"/>
    <w:uiPriority w:val="99"/>
    <w:rsid w:val="009A6767"/>
    <w:pPr>
      <w:spacing w:before="180" w:after="60"/>
      <w:jc w:val="both"/>
    </w:pPr>
    <w:rPr>
      <w:rFonts w:ascii="CG Times (WN)" w:hAnsi="CG Times (WN)" w:cs="CG Times (WN)"/>
    </w:rPr>
  </w:style>
  <w:style w:type="paragraph" w:customStyle="1" w:styleId="CoverActName">
    <w:name w:val="CoverActName"/>
    <w:basedOn w:val="Normal"/>
    <w:uiPriority w:val="99"/>
    <w:rsid w:val="009A6767"/>
    <w:pPr>
      <w:tabs>
        <w:tab w:val="left" w:pos="2600"/>
      </w:tabs>
      <w:spacing w:before="200" w:after="60"/>
      <w:jc w:val="both"/>
    </w:pPr>
    <w:rPr>
      <w:rFonts w:ascii="Arial" w:hAnsi="Arial" w:cs="Arial"/>
      <w:b/>
      <w:bCs/>
    </w:rPr>
  </w:style>
  <w:style w:type="paragraph" w:styleId="BodyText">
    <w:name w:val="Body Text"/>
    <w:basedOn w:val="Normal"/>
    <w:link w:val="BodyTextChar"/>
    <w:uiPriority w:val="99"/>
    <w:rsid w:val="001C0FD0"/>
    <w:pPr>
      <w:jc w:val="center"/>
    </w:pPr>
    <w:rPr>
      <w:rFonts w:ascii="CG Times (WN)" w:hAnsi="CG Times (WN)"/>
      <w:lang w:val="en-GB"/>
    </w:rPr>
  </w:style>
  <w:style w:type="character" w:customStyle="1" w:styleId="BodyTextChar">
    <w:name w:val="Body Text Char"/>
    <w:link w:val="BodyText"/>
    <w:uiPriority w:val="99"/>
    <w:locked/>
    <w:rsid w:val="001C0FD0"/>
    <w:rPr>
      <w:rFonts w:ascii="CG Times (WN)" w:hAnsi="CG Times (WN)" w:cs="Times New Roman"/>
      <w:sz w:val="24"/>
      <w:szCs w:val="24"/>
      <w:lang w:val="en-GB" w:eastAsia="en-US"/>
    </w:rPr>
  </w:style>
  <w:style w:type="paragraph" w:customStyle="1" w:styleId="BodyTextLevel1">
    <w:name w:val="Body Text Level 1"/>
    <w:basedOn w:val="Normal"/>
    <w:link w:val="BodyTextLevel1Char"/>
    <w:rsid w:val="008A570C"/>
    <w:rPr>
      <w:rFonts w:ascii="Arial" w:hAnsi="Arial"/>
      <w:sz w:val="22"/>
      <w:szCs w:val="20"/>
      <w:lang w:eastAsia="en-AU"/>
    </w:rPr>
  </w:style>
  <w:style w:type="character" w:customStyle="1" w:styleId="BodyTextLevel1Char">
    <w:name w:val="Body Text Level 1 Char"/>
    <w:link w:val="BodyTextLevel1"/>
    <w:locked/>
    <w:rsid w:val="008A570C"/>
    <w:rPr>
      <w:rFonts w:ascii="Arial" w:hAnsi="Arial"/>
      <w:sz w:val="22"/>
    </w:rPr>
  </w:style>
  <w:style w:type="paragraph" w:styleId="ListParagraph">
    <w:name w:val="List Paragraph"/>
    <w:basedOn w:val="Normal"/>
    <w:uiPriority w:val="34"/>
    <w:qFormat/>
    <w:rsid w:val="0082502C"/>
    <w:pPr>
      <w:widowControl w:val="0"/>
      <w:ind w:left="720"/>
      <w:contextualSpacing/>
    </w:pPr>
    <w:rPr>
      <w:iCs/>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353</Words>
  <Characters>1844</Characters>
  <Application>Microsoft Office Word</Application>
  <DocSecurity>0</DocSecurity>
  <Lines>47</Lines>
  <Paragraphs>15</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2187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4</cp:revision>
  <cp:lastPrinted>2010-04-29T01:28:00Z</cp:lastPrinted>
  <dcterms:created xsi:type="dcterms:W3CDTF">2022-05-09T06:30:00Z</dcterms:created>
  <dcterms:modified xsi:type="dcterms:W3CDTF">2022-05-09T06:30:00Z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A34039418</vt:lpwstr>
  </property>
  <property fmtid="{D5CDD505-2E9C-101B-9397-08002B2CF9AE}" pid="4" name="Objective-Title">
    <vt:lpwstr>Attachment K - ES - Road Transport (General) Fees for Publications Determination 2022 (No 1)</vt:lpwstr>
  </property>
  <property fmtid="{D5CDD505-2E9C-101B-9397-08002B2CF9AE}" pid="5" name="Objective-Comment">
    <vt:lpwstr/>
  </property>
  <property fmtid="{D5CDD505-2E9C-101B-9397-08002B2CF9AE}" pid="6" name="Objective-CreationStamp">
    <vt:filetime>2022-05-03T01:56:14Z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2022-05-03T01:56:14Z</vt:filetime>
  </property>
  <property fmtid="{D5CDD505-2E9C-101B-9397-08002B2CF9AE}" pid="10" name="Objective-ModificationStamp">
    <vt:filetime>2022-05-08T23:00:41Z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Ministerials:03. Complete:Information Brief (Minister):2022 Information Brief (Minister):TCBS - MIN S2022/00862 - Road Transport fees and charges 2022-23 - Minister Brief:</vt:lpwstr>
  </property>
  <property fmtid="{D5CDD505-2E9C-101B-9397-08002B2CF9AE}" pid="13" name="Objective-Parent">
    <vt:lpwstr>TCBS - MIN S2022/00862 - Road Transport fees and charges 2022-23 - Minister Brief</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1-2022/20020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ies>
</file>