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C4A6"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69E6FBC" w14:textId="07AF9447" w:rsidR="00595094" w:rsidRDefault="00595094" w:rsidP="00595094">
      <w:pPr>
        <w:pStyle w:val="Billname"/>
        <w:spacing w:before="700"/>
      </w:pPr>
      <w:bookmarkStart w:id="1" w:name="_Hlk74042790"/>
      <w:bookmarkStart w:id="2" w:name="_Hlk71281377"/>
      <w:r>
        <w:t xml:space="preserve">Plastic Reduction (Single-use Plastic Products) Exemption </w:t>
      </w:r>
      <w:r w:rsidRPr="007B74FF">
        <w:t xml:space="preserve">2022 </w:t>
      </w:r>
      <w:bookmarkEnd w:id="1"/>
    </w:p>
    <w:bookmarkEnd w:id="2"/>
    <w:p w14:paraId="1612A4A2" w14:textId="309CFCD5" w:rsidR="00C17FAB" w:rsidRDefault="002D7C60" w:rsidP="00DA3B00">
      <w:pPr>
        <w:spacing w:before="340"/>
        <w:rPr>
          <w:rFonts w:ascii="Arial" w:hAnsi="Arial" w:cs="Arial"/>
          <w:b/>
          <w:bCs/>
        </w:rPr>
      </w:pPr>
      <w:r>
        <w:rPr>
          <w:rFonts w:ascii="Arial" w:hAnsi="Arial" w:cs="Arial"/>
          <w:b/>
          <w:bCs/>
        </w:rPr>
        <w:t>Disallowable instrument DI</w:t>
      </w:r>
      <w:r w:rsidR="00595094">
        <w:rPr>
          <w:rFonts w:ascii="Arial" w:hAnsi="Arial" w:cs="Arial"/>
          <w:b/>
          <w:bCs/>
        </w:rPr>
        <w:t>2022</w:t>
      </w:r>
      <w:r w:rsidR="00C17FAB">
        <w:rPr>
          <w:rFonts w:ascii="Arial" w:hAnsi="Arial" w:cs="Arial"/>
          <w:b/>
          <w:bCs/>
        </w:rPr>
        <w:t>–</w:t>
      </w:r>
      <w:r w:rsidR="009009ED">
        <w:rPr>
          <w:rFonts w:ascii="Arial" w:hAnsi="Arial" w:cs="Arial"/>
          <w:b/>
          <w:bCs/>
        </w:rPr>
        <w:t>67</w:t>
      </w:r>
    </w:p>
    <w:p w14:paraId="6442A182" w14:textId="77777777" w:rsidR="00C17FAB" w:rsidRDefault="00C17FAB" w:rsidP="00DA3B00">
      <w:pPr>
        <w:pStyle w:val="madeunder"/>
        <w:spacing w:before="300" w:after="0"/>
      </w:pPr>
      <w:r>
        <w:t xml:space="preserve">made under the  </w:t>
      </w:r>
    </w:p>
    <w:p w14:paraId="5196520A" w14:textId="77777777" w:rsidR="00595094" w:rsidRPr="00DB76C6" w:rsidRDefault="00595094" w:rsidP="00595094">
      <w:pPr>
        <w:tabs>
          <w:tab w:val="left" w:pos="2600"/>
        </w:tabs>
        <w:spacing w:before="320"/>
        <w:jc w:val="both"/>
        <w:rPr>
          <w:rFonts w:ascii="Arial" w:hAnsi="Arial" w:cs="Arial"/>
          <w:b/>
          <w:sz w:val="20"/>
        </w:rPr>
      </w:pPr>
      <w:bookmarkStart w:id="3" w:name="_Hlk71281409"/>
      <w:r>
        <w:rPr>
          <w:rFonts w:ascii="Arial" w:hAnsi="Arial" w:cs="Arial"/>
          <w:b/>
          <w:sz w:val="20"/>
        </w:rPr>
        <w:t>Plastic Reduction Act 2021</w:t>
      </w:r>
      <w:r w:rsidRPr="00DB76C6">
        <w:rPr>
          <w:rFonts w:ascii="Arial" w:hAnsi="Arial" w:cs="Arial"/>
          <w:b/>
          <w:sz w:val="20"/>
        </w:rPr>
        <w:t>, s</w:t>
      </w:r>
      <w:r>
        <w:rPr>
          <w:rFonts w:ascii="Arial" w:hAnsi="Arial" w:cs="Arial"/>
          <w:b/>
          <w:sz w:val="20"/>
        </w:rPr>
        <w:t>ection</w:t>
      </w:r>
      <w:r w:rsidRPr="00DB76C6">
        <w:rPr>
          <w:rFonts w:ascii="Arial" w:hAnsi="Arial" w:cs="Arial"/>
          <w:b/>
          <w:sz w:val="20"/>
        </w:rPr>
        <w:t xml:space="preserve"> </w:t>
      </w:r>
      <w:r>
        <w:rPr>
          <w:rFonts w:ascii="Arial" w:hAnsi="Arial" w:cs="Arial"/>
          <w:b/>
          <w:sz w:val="20"/>
        </w:rPr>
        <w:t>17</w:t>
      </w:r>
      <w:r w:rsidRPr="00DB76C6">
        <w:rPr>
          <w:rFonts w:ascii="Arial" w:hAnsi="Arial" w:cs="Arial"/>
          <w:b/>
          <w:sz w:val="20"/>
        </w:rPr>
        <w:t xml:space="preserve"> (</w:t>
      </w:r>
      <w:bookmarkStart w:id="4" w:name="_Hlk47341574"/>
      <w:r>
        <w:rPr>
          <w:rFonts w:ascii="Arial" w:hAnsi="Arial" w:cs="Arial"/>
          <w:b/>
          <w:sz w:val="20"/>
        </w:rPr>
        <w:t xml:space="preserve">Minister </w:t>
      </w:r>
      <w:bookmarkEnd w:id="4"/>
      <w:r>
        <w:rPr>
          <w:rFonts w:ascii="Arial" w:hAnsi="Arial" w:cs="Arial"/>
          <w:b/>
          <w:sz w:val="20"/>
        </w:rPr>
        <w:t>may exempt person or plastic product</w:t>
      </w:r>
      <w:r w:rsidRPr="00DB76C6">
        <w:rPr>
          <w:rFonts w:ascii="Arial" w:hAnsi="Arial" w:cs="Arial"/>
          <w:b/>
          <w:sz w:val="20"/>
        </w:rPr>
        <w:t>)</w:t>
      </w:r>
    </w:p>
    <w:bookmarkEnd w:id="3"/>
    <w:p w14:paraId="4C4034D6"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637D739" w14:textId="77777777" w:rsidR="00C17FAB" w:rsidRDefault="00C17FAB">
      <w:pPr>
        <w:pStyle w:val="N-line3"/>
        <w:pBdr>
          <w:bottom w:val="none" w:sz="0" w:space="0" w:color="auto"/>
        </w:pBdr>
      </w:pPr>
    </w:p>
    <w:p w14:paraId="37488B9C" w14:textId="77777777" w:rsidR="00C17FAB" w:rsidRDefault="00C17FAB">
      <w:pPr>
        <w:pStyle w:val="N-line3"/>
        <w:pBdr>
          <w:top w:val="single" w:sz="12" w:space="1" w:color="auto"/>
          <w:bottom w:val="none" w:sz="0" w:space="0" w:color="auto"/>
        </w:pBdr>
      </w:pPr>
    </w:p>
    <w:bookmarkEnd w:id="0"/>
    <w:p w14:paraId="52AA6E90" w14:textId="6131F0BD" w:rsidR="00503E07" w:rsidRPr="00503E07" w:rsidRDefault="00503E07">
      <w:pPr>
        <w:rPr>
          <w:b/>
          <w:bCs/>
        </w:rPr>
      </w:pPr>
      <w:r w:rsidRPr="00503E07">
        <w:rPr>
          <w:b/>
          <w:bCs/>
        </w:rPr>
        <w:t>Overview</w:t>
      </w:r>
    </w:p>
    <w:p w14:paraId="6375953B" w14:textId="77777777" w:rsidR="00503E07" w:rsidRDefault="00503E07"/>
    <w:p w14:paraId="740085B4" w14:textId="763A8FC0" w:rsidR="00DB7504" w:rsidRPr="00DB7504" w:rsidRDefault="00DB7504">
      <w:r>
        <w:t>Section 1(a)(</w:t>
      </w:r>
      <w:proofErr w:type="spellStart"/>
      <w:r>
        <w:t>i</w:t>
      </w:r>
      <w:proofErr w:type="spellEnd"/>
      <w:r>
        <w:t xml:space="preserve">) of the </w:t>
      </w:r>
      <w:r w:rsidRPr="00AC53C2">
        <w:rPr>
          <w:i/>
          <w:iCs/>
        </w:rPr>
        <w:t>Plastic Reduction Act 2021</w:t>
      </w:r>
      <w:r>
        <w:rPr>
          <w:i/>
          <w:iCs/>
        </w:rPr>
        <w:t xml:space="preserve"> </w:t>
      </w:r>
      <w:r>
        <w:t xml:space="preserve">(the Act) prescribes </w:t>
      </w:r>
      <w:r w:rsidRPr="00DB7504">
        <w:rPr>
          <w:i/>
          <w:iCs/>
          <w:color w:val="000000"/>
          <w:shd w:val="clear" w:color="auto" w:fill="FFFFFF"/>
        </w:rPr>
        <w:t>a single-use expanded polystyrene container for serving food or a beverage</w:t>
      </w:r>
      <w:r>
        <w:rPr>
          <w:i/>
          <w:iCs/>
          <w:color w:val="000000"/>
          <w:shd w:val="clear" w:color="auto" w:fill="FFFFFF"/>
        </w:rPr>
        <w:t xml:space="preserve"> </w:t>
      </w:r>
      <w:r>
        <w:rPr>
          <w:color w:val="000000"/>
          <w:shd w:val="clear" w:color="auto" w:fill="FFFFFF"/>
        </w:rPr>
        <w:t>as a prohibited plastic product</w:t>
      </w:r>
      <w:r w:rsidR="00102EAD">
        <w:rPr>
          <w:color w:val="000000"/>
          <w:shd w:val="clear" w:color="auto" w:fill="FFFFFF"/>
        </w:rPr>
        <w:t>, and under Section 10 it is an offence to supply these products.</w:t>
      </w:r>
    </w:p>
    <w:p w14:paraId="19B9D513" w14:textId="77777777" w:rsidR="00DB7504" w:rsidRDefault="00DB7504"/>
    <w:p w14:paraId="65828168" w14:textId="02404A24" w:rsidR="001C7834" w:rsidRDefault="00595094">
      <w:r>
        <w:t xml:space="preserve">Section 17 of the provides that the Minister may exempt a person or a plastic product from provisions of the Act. The Minister may make an exemption on application or on the Minister’s own initiative. </w:t>
      </w:r>
    </w:p>
    <w:p w14:paraId="351EA91C" w14:textId="77777777" w:rsidR="001C7834" w:rsidRDefault="001C7834"/>
    <w:p w14:paraId="7286A01D" w14:textId="1AC379B8" w:rsidR="00595094" w:rsidRDefault="00D12761">
      <w:r>
        <w:t xml:space="preserve">This instrument provides an exemption to allow expanded polystyrene gelato tubs to </w:t>
      </w:r>
      <w:r w:rsidR="00DB7504">
        <w:t xml:space="preserve">continue to </w:t>
      </w:r>
      <w:r>
        <w:t>be supplied</w:t>
      </w:r>
      <w:r w:rsidR="00DB7504">
        <w:t xml:space="preserve"> and has been made on the Minister’s own initiative</w:t>
      </w:r>
      <w:r>
        <w:t>.</w:t>
      </w:r>
      <w:r w:rsidR="00D73F89">
        <w:t xml:space="preserve"> </w:t>
      </w:r>
      <w:r>
        <w:t xml:space="preserve">This instrument continues an existing exemption for gelato tubs, which expires on 30 June 2022. </w:t>
      </w:r>
    </w:p>
    <w:p w14:paraId="5E798B9B" w14:textId="77ED917F" w:rsidR="002727A1" w:rsidRDefault="002727A1"/>
    <w:p w14:paraId="2194181D" w14:textId="3A07F4B3" w:rsidR="00513F16" w:rsidRDefault="00513F16" w:rsidP="00513F16">
      <w:bookmarkStart w:id="5" w:name="_Hlk98861272"/>
      <w:r w:rsidRPr="00513F16">
        <w:t>There is</w:t>
      </w:r>
      <w:r w:rsidR="00665685">
        <w:t xml:space="preserve"> currently</w:t>
      </w:r>
      <w:r w:rsidRPr="00513F16">
        <w:t xml:space="preserve"> no practicable alternative to this product as none of the available alternatives have the same thermal properties as expanded polystyrene gelato tubs. Cardboard or other plastic containers do not provide sufficient insulation to enable gelato at serving temperature to be reliably taken home without melting.</w:t>
      </w:r>
      <w:r>
        <w:t xml:space="preserve"> </w:t>
      </w:r>
    </w:p>
    <w:p w14:paraId="134A75A9" w14:textId="77777777" w:rsidR="00513F16" w:rsidRDefault="00513F16" w:rsidP="00513F16"/>
    <w:p w14:paraId="62AB4A95" w14:textId="2A90979B" w:rsidR="00202A74" w:rsidRDefault="00202A74">
      <w:r>
        <w:t>The Minister may make an exemption</w:t>
      </w:r>
      <w:r w:rsidR="0011132C">
        <w:t xml:space="preserve"> </w:t>
      </w:r>
      <w:r>
        <w:t>only if satisfied that</w:t>
      </w:r>
      <w:r w:rsidRPr="00503E07">
        <w:t xml:space="preserve"> </w:t>
      </w:r>
      <w:r>
        <w:t xml:space="preserve">noncompliance </w:t>
      </w:r>
      <w:r w:rsidRPr="00950083">
        <w:t>with</w:t>
      </w:r>
      <w:r w:rsidR="00277562">
        <w:t xml:space="preserve"> the provision</w:t>
      </w:r>
      <w:r>
        <w:t xml:space="preserve"> will not have any significant adverse effect on public health, property or the environment.</w:t>
      </w:r>
      <w:bookmarkEnd w:id="5"/>
      <w:r>
        <w:t xml:space="preserve"> </w:t>
      </w:r>
    </w:p>
    <w:p w14:paraId="2229AB9E" w14:textId="33A98CEA" w:rsidR="00202A74" w:rsidRDefault="00202A74"/>
    <w:p w14:paraId="653BAF79" w14:textId="1F00EBF5" w:rsidR="00202A74" w:rsidRDefault="00277562">
      <w:r>
        <w:t>Noncompliance with the provision</w:t>
      </w:r>
      <w:r w:rsidR="00202A74">
        <w:t xml:space="preserve"> will not have an effect on public health or property because</w:t>
      </w:r>
      <w:r w:rsidR="000417CF">
        <w:t xml:space="preserve"> </w:t>
      </w:r>
      <w:r w:rsidR="0081477D">
        <w:t>neither the</w:t>
      </w:r>
      <w:r w:rsidR="000417CF">
        <w:t xml:space="preserve"> availability</w:t>
      </w:r>
      <w:r w:rsidR="00950083">
        <w:t xml:space="preserve"> of this product</w:t>
      </w:r>
      <w:r w:rsidR="0081477D">
        <w:t xml:space="preserve"> nor the ban on </w:t>
      </w:r>
      <w:r w:rsidR="00950083">
        <w:t>it</w:t>
      </w:r>
      <w:r w:rsidR="00900533">
        <w:t xml:space="preserve"> </w:t>
      </w:r>
      <w:r w:rsidR="002F13E8">
        <w:t>relates to</w:t>
      </w:r>
      <w:r w:rsidR="000417CF">
        <w:t xml:space="preserve"> health or property</w:t>
      </w:r>
      <w:r w:rsidR="008B33C2">
        <w:t xml:space="preserve">. </w:t>
      </w:r>
      <w:r w:rsidR="00950083">
        <w:t>Allowing gelato tubs to be supplied</w:t>
      </w:r>
      <w:r w:rsidR="00202A74">
        <w:t xml:space="preserve"> will not have a significant effect on the environment because the number of gelato tubs</w:t>
      </w:r>
      <w:r w:rsidR="0081477D">
        <w:t xml:space="preserve"> supplied</w:t>
      </w:r>
      <w:r w:rsidR="00202A74">
        <w:t xml:space="preserve"> is small compared to the overall quantity of plastic in the ACT. </w:t>
      </w:r>
    </w:p>
    <w:p w14:paraId="6694B3F1" w14:textId="71C803A2" w:rsidR="00202A74" w:rsidRDefault="00202A74"/>
    <w:p w14:paraId="239DCC4A" w14:textId="7C175863" w:rsidR="00277562" w:rsidRDefault="00277562">
      <w:r>
        <w:lastRenderedPageBreak/>
        <w:t xml:space="preserve">This instrument does not engage with human rights </w:t>
      </w:r>
      <w:r w:rsidR="00950083">
        <w:t>because it simply enables a</w:t>
      </w:r>
      <w:r w:rsidR="008B33C2">
        <w:t xml:space="preserve"> </w:t>
      </w:r>
      <w:r w:rsidR="00950083">
        <w:t>product that is currently supplied</w:t>
      </w:r>
      <w:r w:rsidR="008B33C2">
        <w:t>,</w:t>
      </w:r>
      <w:r w:rsidR="00950083">
        <w:t xml:space="preserve"> and which does not </w:t>
      </w:r>
      <w:r w:rsidR="00CA6597">
        <w:t>a</w:t>
      </w:r>
      <w:r w:rsidR="00950083">
        <w:t>ffect human rights</w:t>
      </w:r>
      <w:r w:rsidR="008B33C2">
        <w:t>,</w:t>
      </w:r>
      <w:r w:rsidR="00950083">
        <w:t xml:space="preserve"> to continue to be supplied. </w:t>
      </w:r>
    </w:p>
    <w:p w14:paraId="26A6D79C" w14:textId="3850DA41" w:rsidR="009C4134" w:rsidRDefault="009C4134"/>
    <w:p w14:paraId="10D1C9AE" w14:textId="5B32D86C" w:rsidR="009C4134" w:rsidRDefault="009C4134"/>
    <w:p w14:paraId="48A59AA0" w14:textId="77777777" w:rsidR="009C4134" w:rsidRDefault="009C4134"/>
    <w:p w14:paraId="44C229BB" w14:textId="74614DD1" w:rsidR="009C4134" w:rsidRPr="009C4134" w:rsidRDefault="009C4134">
      <w:pPr>
        <w:rPr>
          <w:b/>
          <w:bCs/>
        </w:rPr>
      </w:pPr>
      <w:r w:rsidRPr="009C4134">
        <w:rPr>
          <w:b/>
          <w:bCs/>
        </w:rPr>
        <w:t>Section Notes</w:t>
      </w:r>
    </w:p>
    <w:p w14:paraId="53F34FFF" w14:textId="77777777" w:rsidR="009C4134" w:rsidRDefault="009C4134"/>
    <w:p w14:paraId="6362126E" w14:textId="77777777" w:rsidR="009C4134" w:rsidRPr="00530524" w:rsidRDefault="009C4134" w:rsidP="009C4134">
      <w:pPr>
        <w:rPr>
          <w:b/>
          <w:bCs/>
        </w:rPr>
      </w:pPr>
      <w:r w:rsidRPr="00530524">
        <w:rPr>
          <w:b/>
          <w:bCs/>
        </w:rPr>
        <w:t xml:space="preserve">1 </w:t>
      </w:r>
      <w:r>
        <w:rPr>
          <w:b/>
          <w:bCs/>
        </w:rPr>
        <w:tab/>
      </w:r>
      <w:r w:rsidRPr="00530524">
        <w:rPr>
          <w:b/>
          <w:bCs/>
        </w:rPr>
        <w:t>Name of instrument</w:t>
      </w:r>
    </w:p>
    <w:p w14:paraId="446A0111" w14:textId="75D82861" w:rsidR="009C4134" w:rsidRDefault="009C4134" w:rsidP="009C4134">
      <w:r>
        <w:t>This section names the instrument</w:t>
      </w:r>
      <w:r w:rsidR="007B68F8">
        <w:t>.</w:t>
      </w:r>
    </w:p>
    <w:p w14:paraId="31B7D3BA" w14:textId="77777777" w:rsidR="009C4134" w:rsidRDefault="009C4134" w:rsidP="009C4134"/>
    <w:p w14:paraId="74424548" w14:textId="77777777" w:rsidR="009C4134" w:rsidRPr="00530524" w:rsidRDefault="009C4134" w:rsidP="009C4134">
      <w:pPr>
        <w:rPr>
          <w:b/>
          <w:bCs/>
        </w:rPr>
      </w:pPr>
      <w:r w:rsidRPr="00530524">
        <w:rPr>
          <w:b/>
          <w:bCs/>
        </w:rPr>
        <w:t xml:space="preserve">2 </w:t>
      </w:r>
      <w:r>
        <w:rPr>
          <w:b/>
          <w:bCs/>
        </w:rPr>
        <w:tab/>
      </w:r>
      <w:r w:rsidRPr="00530524">
        <w:rPr>
          <w:b/>
          <w:bCs/>
        </w:rPr>
        <w:t>Commencement</w:t>
      </w:r>
    </w:p>
    <w:p w14:paraId="2D68DCA2" w14:textId="77777777" w:rsidR="009C4134" w:rsidRDefault="009C4134" w:rsidP="009C4134">
      <w:r>
        <w:t xml:space="preserve">This section provides that the instrument commences on 1 July 2022. This date follows immediately from the expiry of the previous instrument to provide continuity of the exemption. </w:t>
      </w:r>
    </w:p>
    <w:p w14:paraId="2AE507E6" w14:textId="77777777" w:rsidR="009C4134" w:rsidRDefault="009C4134" w:rsidP="009C4134"/>
    <w:p w14:paraId="2F6CBC40" w14:textId="77777777" w:rsidR="009C4134" w:rsidRPr="00530524" w:rsidRDefault="009C4134" w:rsidP="009C4134">
      <w:pPr>
        <w:rPr>
          <w:b/>
          <w:bCs/>
        </w:rPr>
      </w:pPr>
      <w:r w:rsidRPr="00530524">
        <w:rPr>
          <w:b/>
          <w:bCs/>
        </w:rPr>
        <w:t xml:space="preserve">3 </w:t>
      </w:r>
      <w:r>
        <w:rPr>
          <w:b/>
          <w:bCs/>
        </w:rPr>
        <w:tab/>
      </w:r>
      <w:r w:rsidRPr="00530524">
        <w:rPr>
          <w:b/>
          <w:bCs/>
        </w:rPr>
        <w:t>Exemption</w:t>
      </w:r>
    </w:p>
    <w:p w14:paraId="1D0F70A6" w14:textId="35234DD2" w:rsidR="009C4134" w:rsidRDefault="00E45B94">
      <w:r>
        <w:t>This section provides that part 3 of the Act does not apply to a single-use plastic products in the schedule.</w:t>
      </w:r>
      <w:r w:rsidR="00036BDD">
        <w:t xml:space="preserve"> Part 3 of the Act contains the offence of supply of prohibited plastic products.</w:t>
      </w:r>
      <w:r>
        <w:t xml:space="preserve"> The product listed in schedule is a gelato tub. This has the effect that gel</w:t>
      </w:r>
      <w:r w:rsidR="008C26FE">
        <w:t>a</w:t>
      </w:r>
      <w:r>
        <w:t xml:space="preserve">to tubs can </w:t>
      </w:r>
      <w:r w:rsidR="008C26FE">
        <w:t xml:space="preserve">still be supplied. </w:t>
      </w:r>
    </w:p>
    <w:p w14:paraId="60EDBFFB" w14:textId="1BEAE21E" w:rsidR="00E45B94" w:rsidRDefault="00E45B94"/>
    <w:p w14:paraId="4077F6DB" w14:textId="3E7B5F3C" w:rsidR="009C4134" w:rsidRDefault="008C26FE">
      <w:bookmarkStart w:id="6" w:name="_Hlk98943643"/>
      <w:r>
        <w:t>This section also states</w:t>
      </w:r>
      <w:r w:rsidR="009750F1">
        <w:t xml:space="preserve"> that the Minister is satisfied of </w:t>
      </w:r>
      <w:r w:rsidR="001C04CF">
        <w:t>relevant criteria</w:t>
      </w:r>
      <w:r w:rsidR="00503E07">
        <w:t xml:space="preserve">. </w:t>
      </w:r>
      <w:r w:rsidR="009750F1">
        <w:t>T</w:t>
      </w:r>
      <w:r w:rsidR="00E45B94">
        <w:t>his is to remove doubt that the</w:t>
      </w:r>
      <w:r w:rsidR="009750F1">
        <w:t xml:space="preserve">se requirements have been met. </w:t>
      </w:r>
      <w:bookmarkEnd w:id="6"/>
    </w:p>
    <w:p w14:paraId="78C92F71" w14:textId="77777777" w:rsidR="009C4134" w:rsidRDefault="009C4134"/>
    <w:p w14:paraId="7B399BD8" w14:textId="1AEEF8E1" w:rsidR="009C4134" w:rsidRPr="008C26FE" w:rsidRDefault="009C4134">
      <w:pPr>
        <w:rPr>
          <w:b/>
          <w:bCs/>
        </w:rPr>
      </w:pPr>
      <w:r w:rsidRPr="008C26FE">
        <w:rPr>
          <w:b/>
          <w:bCs/>
        </w:rPr>
        <w:t xml:space="preserve">4 </w:t>
      </w:r>
      <w:r w:rsidRPr="008C26FE">
        <w:rPr>
          <w:b/>
          <w:bCs/>
        </w:rPr>
        <w:tab/>
        <w:t>Expiry</w:t>
      </w:r>
    </w:p>
    <w:p w14:paraId="20F322FB" w14:textId="0E9722D6" w:rsidR="009C4134" w:rsidRDefault="00AF6998">
      <w:r>
        <w:t xml:space="preserve">This section provides that the instrument expires </w:t>
      </w:r>
      <w:r w:rsidRPr="007B74FF">
        <w:t>on 30 June 2023.</w:t>
      </w:r>
      <w:r>
        <w:t xml:space="preserve"> This </w:t>
      </w:r>
      <w:r w:rsidR="00102EAD">
        <w:t>will allow industry</w:t>
      </w:r>
      <w:r w:rsidR="00826D4F">
        <w:t xml:space="preserve"> additional time</w:t>
      </w:r>
      <w:r w:rsidR="00102EAD">
        <w:t xml:space="preserve"> to develop</w:t>
      </w:r>
      <w:r>
        <w:t xml:space="preserve"> alternative solution</w:t>
      </w:r>
      <w:r w:rsidR="00102EAD">
        <w:t xml:space="preserve">s </w:t>
      </w:r>
      <w:r w:rsidR="00665685">
        <w:t xml:space="preserve">to single-use plastics </w:t>
      </w:r>
      <w:r w:rsidR="00102EAD">
        <w:t>for the serving of gelato</w:t>
      </w:r>
      <w:r>
        <w:t xml:space="preserve">. </w:t>
      </w:r>
    </w:p>
    <w:p w14:paraId="3255D284" w14:textId="77777777" w:rsidR="00614A65" w:rsidRDefault="00614A65"/>
    <w:p w14:paraId="34356592" w14:textId="46E21F2E" w:rsidR="009C4134" w:rsidRPr="008C26FE" w:rsidRDefault="009C4134">
      <w:pPr>
        <w:rPr>
          <w:b/>
          <w:bCs/>
        </w:rPr>
      </w:pPr>
      <w:r w:rsidRPr="008C26FE">
        <w:rPr>
          <w:b/>
          <w:bCs/>
        </w:rPr>
        <w:t xml:space="preserve">Schedule </w:t>
      </w:r>
    </w:p>
    <w:p w14:paraId="6BD30EE3" w14:textId="572011CE" w:rsidR="009C4134" w:rsidRDefault="00E45B94">
      <w:r>
        <w:t>The schedule list</w:t>
      </w:r>
      <w:r w:rsidR="00500243">
        <w:t>s</w:t>
      </w:r>
      <w:r>
        <w:t xml:space="preserve"> gelato tubs as a product</w:t>
      </w:r>
      <w:r w:rsidR="00AF6998">
        <w:t xml:space="preserve"> </w:t>
      </w:r>
      <w:r>
        <w:t>and provides a description of this product</w:t>
      </w:r>
      <w:r w:rsidR="00500243">
        <w:t xml:space="preserve"> to which the exemption in section 3 applies. </w:t>
      </w:r>
    </w:p>
    <w:p w14:paraId="5D2C7E5B" w14:textId="77777777" w:rsidR="00614A65" w:rsidRDefault="00614A65"/>
    <w:sectPr w:rsidR="00614A65"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B603" w14:textId="77777777" w:rsidR="004B70D9" w:rsidRDefault="004B70D9" w:rsidP="00C17FAB">
      <w:r>
        <w:separator/>
      </w:r>
    </w:p>
  </w:endnote>
  <w:endnote w:type="continuationSeparator" w:id="0">
    <w:p w14:paraId="46583303" w14:textId="77777777" w:rsidR="004B70D9" w:rsidRDefault="004B70D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1F2B" w14:textId="77777777" w:rsidR="002763F4" w:rsidRDefault="00276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226C" w14:textId="5638BABA" w:rsidR="00DA3B00" w:rsidRPr="002763F4" w:rsidRDefault="002763F4" w:rsidP="002763F4">
    <w:pPr>
      <w:pStyle w:val="Header"/>
      <w:jc w:val="center"/>
      <w:rPr>
        <w:rFonts w:ascii="Arial" w:hAnsi="Arial" w:cs="Arial"/>
        <w:sz w:val="14"/>
        <w:szCs w:val="10"/>
      </w:rPr>
    </w:pPr>
    <w:r w:rsidRPr="002763F4">
      <w:rPr>
        <w:rFonts w:ascii="Arial" w:hAnsi="Arial" w:cs="Arial"/>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C322" w14:textId="77777777" w:rsidR="002763F4" w:rsidRDefault="00276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57CA" w14:textId="77777777" w:rsidR="004B70D9" w:rsidRDefault="004B70D9" w:rsidP="00C17FAB">
      <w:r>
        <w:separator/>
      </w:r>
    </w:p>
  </w:footnote>
  <w:footnote w:type="continuationSeparator" w:id="0">
    <w:p w14:paraId="2788E1DA" w14:textId="77777777" w:rsidR="004B70D9" w:rsidRDefault="004B70D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EF23" w14:textId="77777777" w:rsidR="002763F4" w:rsidRDefault="00276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2735" w14:textId="74F85E97" w:rsidR="00DA3B00" w:rsidRPr="00F770CA" w:rsidRDefault="00DA3B00" w:rsidP="00AB783A">
    <w:pPr>
      <w:pStyle w:val="Header"/>
      <w:jc w:val="center"/>
      <w:rPr>
        <w:rFonts w:asciiTheme="minorHAnsi" w:hAnsiTheme="minorHAnsi" w:cstheme="minorHAnsi"/>
        <w:sz w:val="14"/>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8CB5" w14:textId="77777777" w:rsidR="002763F4" w:rsidRDefault="00276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67D8"/>
    <w:rsid w:val="00036BDD"/>
    <w:rsid w:val="000417CF"/>
    <w:rsid w:val="00077904"/>
    <w:rsid w:val="00102EAD"/>
    <w:rsid w:val="0011132C"/>
    <w:rsid w:val="00111608"/>
    <w:rsid w:val="001238F0"/>
    <w:rsid w:val="001C04CF"/>
    <w:rsid w:val="001C7834"/>
    <w:rsid w:val="00202A74"/>
    <w:rsid w:val="002125A1"/>
    <w:rsid w:val="00226E1B"/>
    <w:rsid w:val="002727A1"/>
    <w:rsid w:val="002763F4"/>
    <w:rsid w:val="00277562"/>
    <w:rsid w:val="002B129A"/>
    <w:rsid w:val="002D7C60"/>
    <w:rsid w:val="002F13E8"/>
    <w:rsid w:val="00343D2A"/>
    <w:rsid w:val="00457C66"/>
    <w:rsid w:val="004B70D9"/>
    <w:rsid w:val="004F7CB1"/>
    <w:rsid w:val="00500243"/>
    <w:rsid w:val="00503E07"/>
    <w:rsid w:val="00513F16"/>
    <w:rsid w:val="00595094"/>
    <w:rsid w:val="005A4F8D"/>
    <w:rsid w:val="00614A65"/>
    <w:rsid w:val="00621BA5"/>
    <w:rsid w:val="006432C4"/>
    <w:rsid w:val="00650436"/>
    <w:rsid w:val="006541B2"/>
    <w:rsid w:val="00665685"/>
    <w:rsid w:val="006D5B09"/>
    <w:rsid w:val="007346AC"/>
    <w:rsid w:val="00743D1A"/>
    <w:rsid w:val="007B68F8"/>
    <w:rsid w:val="007B74FF"/>
    <w:rsid w:val="007D7CDD"/>
    <w:rsid w:val="007F61D5"/>
    <w:rsid w:val="0081477D"/>
    <w:rsid w:val="00826D4F"/>
    <w:rsid w:val="008B33C2"/>
    <w:rsid w:val="008C26FE"/>
    <w:rsid w:val="00900533"/>
    <w:rsid w:val="009009ED"/>
    <w:rsid w:val="00950083"/>
    <w:rsid w:val="009508A5"/>
    <w:rsid w:val="009750F1"/>
    <w:rsid w:val="009A7FB3"/>
    <w:rsid w:val="009C4134"/>
    <w:rsid w:val="009E0D3F"/>
    <w:rsid w:val="00A13F70"/>
    <w:rsid w:val="00AB783A"/>
    <w:rsid w:val="00AC53C2"/>
    <w:rsid w:val="00AF6998"/>
    <w:rsid w:val="00C17FAB"/>
    <w:rsid w:val="00C63783"/>
    <w:rsid w:val="00CA6597"/>
    <w:rsid w:val="00CB638B"/>
    <w:rsid w:val="00CE599C"/>
    <w:rsid w:val="00D12761"/>
    <w:rsid w:val="00D73F89"/>
    <w:rsid w:val="00DA3B00"/>
    <w:rsid w:val="00DB7504"/>
    <w:rsid w:val="00DE1282"/>
    <w:rsid w:val="00E45B94"/>
    <w:rsid w:val="00E63B7B"/>
    <w:rsid w:val="00E824ED"/>
    <w:rsid w:val="00E9523A"/>
    <w:rsid w:val="00F44E8C"/>
    <w:rsid w:val="00F770CA"/>
    <w:rsid w:val="00F94BCF"/>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4FE1"/>
  <w15:docId w15:val="{0A068527-0D56-4F0E-AA14-0CCB8BF4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665685"/>
    <w:rPr>
      <w:sz w:val="24"/>
      <w:lang w:eastAsia="en-US"/>
    </w:rPr>
  </w:style>
  <w:style w:type="character" w:styleId="CommentReference">
    <w:name w:val="annotation reference"/>
    <w:basedOn w:val="DefaultParagraphFont"/>
    <w:uiPriority w:val="99"/>
    <w:semiHidden/>
    <w:unhideWhenUsed/>
    <w:rsid w:val="00665685"/>
    <w:rPr>
      <w:sz w:val="16"/>
      <w:szCs w:val="16"/>
    </w:rPr>
  </w:style>
  <w:style w:type="paragraph" w:styleId="CommentText">
    <w:name w:val="annotation text"/>
    <w:basedOn w:val="Normal"/>
    <w:link w:val="CommentTextChar"/>
    <w:uiPriority w:val="99"/>
    <w:semiHidden/>
    <w:unhideWhenUsed/>
    <w:rsid w:val="00665685"/>
    <w:rPr>
      <w:sz w:val="20"/>
    </w:rPr>
  </w:style>
  <w:style w:type="character" w:customStyle="1" w:styleId="CommentTextChar">
    <w:name w:val="Comment Text Char"/>
    <w:basedOn w:val="DefaultParagraphFont"/>
    <w:link w:val="CommentText"/>
    <w:uiPriority w:val="99"/>
    <w:semiHidden/>
    <w:rsid w:val="00665685"/>
    <w:rPr>
      <w:lang w:eastAsia="en-US"/>
    </w:rPr>
  </w:style>
  <w:style w:type="paragraph" w:styleId="CommentSubject">
    <w:name w:val="annotation subject"/>
    <w:basedOn w:val="CommentText"/>
    <w:next w:val="CommentText"/>
    <w:link w:val="CommentSubjectChar"/>
    <w:uiPriority w:val="99"/>
    <w:semiHidden/>
    <w:unhideWhenUsed/>
    <w:rsid w:val="00665685"/>
    <w:rPr>
      <w:b/>
      <w:bCs/>
    </w:rPr>
  </w:style>
  <w:style w:type="character" w:customStyle="1" w:styleId="CommentSubjectChar">
    <w:name w:val="Comment Subject Char"/>
    <w:basedOn w:val="CommentTextChar"/>
    <w:link w:val="CommentSubject"/>
    <w:uiPriority w:val="99"/>
    <w:semiHidden/>
    <w:rsid w:val="0066568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2600</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2022-06-01T00:41:00Z</dcterms:created>
  <dcterms:modified xsi:type="dcterms:W3CDTF">2022-06-01T00:41:00Z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A33762273</vt:lpwstr>
  </property>
  <property fmtid="{D5CDD505-2E9C-101B-9397-08002B2CF9AE}" pid="4" name="Objective-Title">
    <vt:lpwstr>Attachment O - Explanatory Statement - Plastic Reduction (Single-use Plastic Products) Exemption 2022</vt:lpwstr>
  </property>
  <property fmtid="{D5CDD505-2E9C-101B-9397-08002B2CF9AE}" pid="5" name="Objective-Comment">
    <vt:lpwstr/>
  </property>
  <property fmtid="{D5CDD505-2E9C-101B-9397-08002B2CF9AE}" pid="6" name="Objective-CreationStamp">
    <vt:filetime>2022-04-26T05:31:43Z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2022-04-26T05:31:43Z</vt:filetime>
  </property>
  <property fmtid="{D5CDD505-2E9C-101B-9397-08002B2CF9AE}" pid="10" name="Objective-ModificationStamp">
    <vt:filetime>2022-04-26T05:34:58Z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Submissons:2022:22/93 - Regulatory ban of a second tranche of single-use plastic items under the Plastic Reduction Act 2021:Final:</vt:lpwstr>
  </property>
  <property fmtid="{D5CDD505-2E9C-101B-9397-08002B2CF9AE}" pid="13" name="Objective-Parent">
    <vt:lpwstr>Final</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1-2022/01665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DMSID">
    <vt:lpwstr>9426302</vt:lpwstr>
  </property>
  <property fmtid="{D5CDD505-2E9C-101B-9397-08002B2CF9AE}" pid="42" name="CHECKEDOUTFROMJMS">
    <vt:lpwstr/>
  </property>
  <property fmtid="{D5CDD505-2E9C-101B-9397-08002B2CF9AE}" pid="43" name="JMSREQUIREDCHECKIN">
    <vt:lpwstr/>
  </property>
</Properties>
</file>