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BFF6" w14:textId="395C001E" w:rsidR="00510B38" w:rsidRPr="00B27540" w:rsidRDefault="7F9DA4C7" w:rsidP="24854DE7">
      <w:pPr>
        <w:jc w:val="center"/>
        <w:rPr>
          <w:b/>
          <w:bCs/>
          <w:sz w:val="24"/>
          <w:szCs w:val="24"/>
        </w:rPr>
      </w:pPr>
      <w:r w:rsidRPr="7F9DA4C7">
        <w:rPr>
          <w:b/>
          <w:bCs/>
          <w:sz w:val="24"/>
          <w:szCs w:val="24"/>
        </w:rPr>
        <w:t>202</w:t>
      </w:r>
      <w:r w:rsidR="0011783F">
        <w:rPr>
          <w:b/>
          <w:bCs/>
          <w:sz w:val="24"/>
          <w:szCs w:val="24"/>
        </w:rPr>
        <w:t>2</w:t>
      </w:r>
    </w:p>
    <w:p w14:paraId="0A37501D" w14:textId="4E6A5093" w:rsidR="00510B38" w:rsidRPr="00B27540" w:rsidRDefault="00510B38" w:rsidP="00510B38">
      <w:pPr>
        <w:jc w:val="center"/>
        <w:rPr>
          <w:b/>
          <w:bCs/>
          <w:sz w:val="24"/>
          <w:szCs w:val="24"/>
        </w:rPr>
      </w:pPr>
    </w:p>
    <w:p w14:paraId="5DAB6C7B" w14:textId="77777777" w:rsidR="00510B38" w:rsidRPr="00B27540" w:rsidRDefault="00510B38" w:rsidP="00510B38">
      <w:pPr>
        <w:jc w:val="center"/>
        <w:rPr>
          <w:b/>
          <w:bCs/>
          <w:sz w:val="24"/>
          <w:szCs w:val="24"/>
        </w:rPr>
      </w:pPr>
    </w:p>
    <w:p w14:paraId="02EB378F" w14:textId="77777777" w:rsidR="00510B38" w:rsidRPr="00B27540" w:rsidRDefault="00510B38" w:rsidP="00510B38">
      <w:pPr>
        <w:jc w:val="center"/>
        <w:rPr>
          <w:b/>
          <w:sz w:val="24"/>
          <w:szCs w:val="24"/>
        </w:rPr>
      </w:pPr>
    </w:p>
    <w:p w14:paraId="6A05A809" w14:textId="77777777" w:rsidR="00510B38" w:rsidRPr="00B27540" w:rsidRDefault="00510B38" w:rsidP="00510B38">
      <w:pPr>
        <w:jc w:val="center"/>
        <w:rPr>
          <w:b/>
          <w:sz w:val="24"/>
          <w:szCs w:val="24"/>
        </w:rPr>
      </w:pPr>
    </w:p>
    <w:p w14:paraId="1E0D7D24" w14:textId="77777777" w:rsidR="00510B38" w:rsidRPr="00B27540" w:rsidRDefault="00510B38" w:rsidP="00510B38">
      <w:pPr>
        <w:jc w:val="center"/>
        <w:rPr>
          <w:b/>
          <w:bCs/>
          <w:sz w:val="24"/>
          <w:szCs w:val="24"/>
        </w:rPr>
      </w:pPr>
      <w:r w:rsidRPr="00B27540">
        <w:rPr>
          <w:b/>
          <w:bCs/>
          <w:sz w:val="24"/>
          <w:szCs w:val="24"/>
        </w:rPr>
        <w:t>THE LEGISLATIVE ASSEMBLY FOR THE</w:t>
      </w:r>
      <w:r w:rsidRPr="00B27540">
        <w:rPr>
          <w:b/>
          <w:bCs/>
          <w:sz w:val="24"/>
          <w:szCs w:val="24"/>
        </w:rPr>
        <w:br/>
        <w:t>AUSTRALIAN CAPITAL TERRITORY</w:t>
      </w:r>
    </w:p>
    <w:p w14:paraId="5A39BBE3" w14:textId="77777777" w:rsidR="00510B38" w:rsidRPr="00B27540" w:rsidRDefault="00510B38" w:rsidP="00510B38">
      <w:pPr>
        <w:jc w:val="center"/>
        <w:rPr>
          <w:b/>
          <w:sz w:val="24"/>
          <w:szCs w:val="24"/>
        </w:rPr>
      </w:pPr>
    </w:p>
    <w:p w14:paraId="41C8F396" w14:textId="77777777" w:rsidR="00510B38" w:rsidRPr="00B27540" w:rsidRDefault="00510B38" w:rsidP="00510B38">
      <w:pPr>
        <w:jc w:val="center"/>
        <w:rPr>
          <w:b/>
          <w:sz w:val="24"/>
          <w:szCs w:val="24"/>
        </w:rPr>
      </w:pPr>
    </w:p>
    <w:p w14:paraId="72A3D3EC" w14:textId="77777777" w:rsidR="00510B38" w:rsidRPr="00B27540" w:rsidRDefault="00510B38" w:rsidP="00510B38">
      <w:pPr>
        <w:jc w:val="center"/>
        <w:rPr>
          <w:b/>
          <w:sz w:val="24"/>
          <w:szCs w:val="24"/>
        </w:rPr>
      </w:pPr>
    </w:p>
    <w:p w14:paraId="0D0B940D" w14:textId="77777777" w:rsidR="00510B38" w:rsidRPr="00B27540" w:rsidRDefault="00510B38" w:rsidP="00510B38">
      <w:pPr>
        <w:jc w:val="center"/>
        <w:rPr>
          <w:b/>
          <w:sz w:val="24"/>
          <w:szCs w:val="24"/>
        </w:rPr>
      </w:pPr>
    </w:p>
    <w:p w14:paraId="76D42350" w14:textId="1DDD9A01" w:rsidR="00DB615D" w:rsidRPr="00B27540" w:rsidRDefault="008B5C5D" w:rsidP="00DB615D">
      <w:pPr>
        <w:jc w:val="center"/>
        <w:rPr>
          <w:b/>
          <w:bCs/>
          <w:sz w:val="24"/>
          <w:szCs w:val="24"/>
        </w:rPr>
      </w:pPr>
      <w:r w:rsidRPr="008B5C5D">
        <w:rPr>
          <w:b/>
          <w:bCs/>
          <w:sz w:val="24"/>
          <w:szCs w:val="24"/>
        </w:rPr>
        <w:t>WORKPLACE LEGISLATION AMENDMENT BILL 2022</w:t>
      </w:r>
    </w:p>
    <w:p w14:paraId="0E27B00A" w14:textId="77777777" w:rsidR="00510B38" w:rsidRPr="00B27540" w:rsidRDefault="00510B38" w:rsidP="00510B38">
      <w:pPr>
        <w:jc w:val="center"/>
        <w:rPr>
          <w:b/>
          <w:sz w:val="24"/>
          <w:szCs w:val="24"/>
        </w:rPr>
      </w:pPr>
    </w:p>
    <w:p w14:paraId="60061E4C" w14:textId="77777777" w:rsidR="00510B38" w:rsidRPr="00B27540" w:rsidRDefault="00510B38" w:rsidP="00510B38">
      <w:pPr>
        <w:jc w:val="center"/>
        <w:rPr>
          <w:b/>
          <w:sz w:val="24"/>
          <w:szCs w:val="24"/>
        </w:rPr>
      </w:pPr>
    </w:p>
    <w:p w14:paraId="5246A84B" w14:textId="727E0A42" w:rsidR="00510B38" w:rsidRPr="00F167FF" w:rsidRDefault="004332F1" w:rsidP="00F167FF">
      <w:pPr>
        <w:pStyle w:val="NoSpacing"/>
        <w:jc w:val="center"/>
        <w:rPr>
          <w:b/>
          <w:bCs/>
          <w:sz w:val="24"/>
          <w:szCs w:val="24"/>
        </w:rPr>
      </w:pPr>
      <w:r w:rsidRPr="00F167FF">
        <w:rPr>
          <w:b/>
          <w:bCs/>
          <w:sz w:val="24"/>
          <w:szCs w:val="24"/>
        </w:rPr>
        <w:t>EXPLANATORY STATEMENT</w:t>
      </w:r>
    </w:p>
    <w:p w14:paraId="1F0BF296" w14:textId="067DE041" w:rsidR="0026577B" w:rsidRPr="008B5C5D" w:rsidRDefault="0026577B" w:rsidP="00F167FF">
      <w:pPr>
        <w:pStyle w:val="NoSpacing"/>
        <w:jc w:val="center"/>
        <w:rPr>
          <w:b/>
          <w:bCs/>
          <w:sz w:val="24"/>
          <w:szCs w:val="24"/>
        </w:rPr>
      </w:pPr>
      <w:r w:rsidRPr="008B5C5D">
        <w:rPr>
          <w:b/>
          <w:bCs/>
          <w:sz w:val="24"/>
          <w:szCs w:val="24"/>
        </w:rPr>
        <w:t>and</w:t>
      </w:r>
    </w:p>
    <w:p w14:paraId="2610C5C7" w14:textId="4715B19B" w:rsidR="0026577B" w:rsidRPr="008B5C5D" w:rsidRDefault="0026577B" w:rsidP="00F167FF">
      <w:pPr>
        <w:pStyle w:val="NoSpacing"/>
        <w:jc w:val="center"/>
        <w:rPr>
          <w:b/>
          <w:bCs/>
          <w:sz w:val="24"/>
          <w:szCs w:val="24"/>
        </w:rPr>
      </w:pPr>
      <w:r w:rsidRPr="008B5C5D">
        <w:rPr>
          <w:b/>
          <w:bCs/>
          <w:sz w:val="24"/>
          <w:szCs w:val="24"/>
        </w:rPr>
        <w:t>Human Rights Compatibility Statement</w:t>
      </w:r>
    </w:p>
    <w:p w14:paraId="264B5D8E" w14:textId="645A1183" w:rsidR="0026577B" w:rsidRPr="00F167FF" w:rsidRDefault="0026577B" w:rsidP="00F167FF">
      <w:pPr>
        <w:pStyle w:val="NoSpacing"/>
        <w:jc w:val="center"/>
        <w:rPr>
          <w:b/>
          <w:bCs/>
          <w:sz w:val="24"/>
          <w:szCs w:val="24"/>
        </w:rPr>
      </w:pPr>
      <w:r w:rsidRPr="008B5C5D">
        <w:rPr>
          <w:b/>
          <w:bCs/>
          <w:sz w:val="24"/>
          <w:szCs w:val="24"/>
        </w:rPr>
        <w:t>(</w:t>
      </w:r>
      <w:r w:rsidRPr="008B5C5D">
        <w:rPr>
          <w:b/>
          <w:bCs/>
          <w:i/>
          <w:iCs/>
          <w:sz w:val="24"/>
          <w:szCs w:val="24"/>
        </w:rPr>
        <w:t>Human Rights Act 2004</w:t>
      </w:r>
      <w:r w:rsidRPr="008B5C5D">
        <w:rPr>
          <w:b/>
          <w:bCs/>
          <w:sz w:val="24"/>
          <w:szCs w:val="24"/>
        </w:rPr>
        <w:t>, s 37)</w:t>
      </w:r>
    </w:p>
    <w:p w14:paraId="44EAFD9C" w14:textId="77777777" w:rsidR="00510B38" w:rsidRPr="00B27540" w:rsidRDefault="00510B38" w:rsidP="00510B38">
      <w:pPr>
        <w:jc w:val="center"/>
        <w:rPr>
          <w:b/>
          <w:sz w:val="24"/>
          <w:szCs w:val="24"/>
        </w:rPr>
      </w:pPr>
    </w:p>
    <w:p w14:paraId="4B94D5A5" w14:textId="77777777" w:rsidR="00510B38" w:rsidRPr="00B27540" w:rsidRDefault="00510B38" w:rsidP="00510B38">
      <w:pPr>
        <w:jc w:val="center"/>
        <w:rPr>
          <w:b/>
          <w:sz w:val="24"/>
          <w:szCs w:val="24"/>
          <w:u w:val="single"/>
        </w:rPr>
      </w:pPr>
    </w:p>
    <w:p w14:paraId="3DEEC669" w14:textId="77777777" w:rsidR="00510B38" w:rsidRPr="00B27540" w:rsidRDefault="00510B38" w:rsidP="00510B38">
      <w:pPr>
        <w:jc w:val="center"/>
        <w:rPr>
          <w:b/>
          <w:sz w:val="24"/>
          <w:szCs w:val="24"/>
        </w:rPr>
      </w:pPr>
    </w:p>
    <w:p w14:paraId="45FB0818" w14:textId="2A27AAE4" w:rsidR="00510B38" w:rsidRDefault="00510B38" w:rsidP="00510B38">
      <w:pPr>
        <w:jc w:val="center"/>
        <w:rPr>
          <w:b/>
          <w:sz w:val="24"/>
          <w:szCs w:val="24"/>
        </w:rPr>
      </w:pPr>
    </w:p>
    <w:p w14:paraId="4ED3C744" w14:textId="77777777" w:rsidR="001440DA" w:rsidRPr="00B27540" w:rsidRDefault="001440DA" w:rsidP="00510B38">
      <w:pPr>
        <w:jc w:val="center"/>
        <w:rPr>
          <w:b/>
          <w:sz w:val="24"/>
          <w:szCs w:val="24"/>
        </w:rPr>
      </w:pPr>
    </w:p>
    <w:p w14:paraId="049F31CB" w14:textId="77777777" w:rsidR="00510B38" w:rsidRPr="00B27540" w:rsidRDefault="00510B38" w:rsidP="00510B38">
      <w:pPr>
        <w:jc w:val="center"/>
        <w:rPr>
          <w:b/>
          <w:sz w:val="24"/>
          <w:szCs w:val="24"/>
        </w:rPr>
      </w:pPr>
    </w:p>
    <w:p w14:paraId="6A50D31F" w14:textId="77777777" w:rsidR="00510B38" w:rsidRPr="00B27540" w:rsidRDefault="00510B38" w:rsidP="004B3B86">
      <w:pPr>
        <w:spacing w:after="0" w:line="240" w:lineRule="auto"/>
        <w:jc w:val="right"/>
        <w:rPr>
          <w:b/>
          <w:sz w:val="24"/>
          <w:szCs w:val="24"/>
        </w:rPr>
      </w:pPr>
      <w:r w:rsidRPr="00B27540">
        <w:rPr>
          <w:b/>
          <w:sz w:val="24"/>
          <w:szCs w:val="24"/>
        </w:rPr>
        <w:t>Presented by</w:t>
      </w:r>
    </w:p>
    <w:p w14:paraId="22FB1F58" w14:textId="27BF465E" w:rsidR="004B3B86" w:rsidRPr="004B3B86" w:rsidRDefault="008B5C5D" w:rsidP="004B3B86">
      <w:pPr>
        <w:spacing w:after="0" w:line="240" w:lineRule="auto"/>
        <w:jc w:val="right"/>
        <w:rPr>
          <w:rFonts w:cs="Arial"/>
          <w:b/>
          <w:bCs/>
          <w:sz w:val="24"/>
          <w:szCs w:val="24"/>
        </w:rPr>
      </w:pPr>
      <w:r>
        <w:rPr>
          <w:rFonts w:cs="Arial"/>
          <w:b/>
          <w:bCs/>
          <w:sz w:val="24"/>
          <w:szCs w:val="24"/>
        </w:rPr>
        <w:t>Mick Gentleman</w:t>
      </w:r>
      <w:r w:rsidR="004B3B86" w:rsidRPr="004B3B86">
        <w:rPr>
          <w:rFonts w:cs="Arial"/>
          <w:b/>
          <w:bCs/>
          <w:sz w:val="24"/>
          <w:szCs w:val="24"/>
        </w:rPr>
        <w:t xml:space="preserve"> MLA</w:t>
      </w:r>
    </w:p>
    <w:p w14:paraId="1C84BF74" w14:textId="04010316" w:rsidR="007F6AF1" w:rsidRDefault="004B3B86" w:rsidP="004B3B86">
      <w:pPr>
        <w:spacing w:after="0" w:line="240" w:lineRule="auto"/>
        <w:jc w:val="right"/>
        <w:rPr>
          <w:rFonts w:cs="Arial"/>
          <w:b/>
          <w:bCs/>
          <w:sz w:val="24"/>
          <w:szCs w:val="24"/>
        </w:rPr>
      </w:pPr>
      <w:r w:rsidRPr="004B3B86">
        <w:rPr>
          <w:rFonts w:cs="Arial"/>
          <w:b/>
          <w:bCs/>
          <w:sz w:val="24"/>
          <w:szCs w:val="24"/>
        </w:rPr>
        <w:t xml:space="preserve">Minister for </w:t>
      </w:r>
      <w:r w:rsidR="008B5C5D">
        <w:rPr>
          <w:rFonts w:cs="Arial"/>
          <w:b/>
          <w:bCs/>
          <w:sz w:val="24"/>
          <w:szCs w:val="24"/>
        </w:rPr>
        <w:t>Industrial Relations</w:t>
      </w:r>
      <w:r w:rsidR="00C04402">
        <w:rPr>
          <w:rFonts w:cs="Arial"/>
          <w:b/>
          <w:bCs/>
          <w:sz w:val="24"/>
          <w:szCs w:val="24"/>
        </w:rPr>
        <w:t xml:space="preserve"> </w:t>
      </w:r>
      <w:r w:rsidR="000743D7">
        <w:rPr>
          <w:rFonts w:cs="Arial"/>
          <w:b/>
          <w:bCs/>
          <w:sz w:val="24"/>
          <w:szCs w:val="24"/>
        </w:rPr>
        <w:t xml:space="preserve">and </w:t>
      </w:r>
      <w:r w:rsidR="00C04402">
        <w:rPr>
          <w:rFonts w:cs="Arial"/>
          <w:b/>
          <w:bCs/>
          <w:sz w:val="24"/>
          <w:szCs w:val="24"/>
        </w:rPr>
        <w:t>Workplace Safety</w:t>
      </w:r>
    </w:p>
    <w:p w14:paraId="162A09D6" w14:textId="77777777" w:rsidR="0026577B" w:rsidRDefault="0026577B" w:rsidP="00F167FF">
      <w:pPr>
        <w:spacing w:after="0" w:line="240" w:lineRule="auto"/>
        <w:rPr>
          <w:rFonts w:cs="Arial"/>
          <w:b/>
          <w:bCs/>
          <w:sz w:val="24"/>
          <w:szCs w:val="24"/>
        </w:rPr>
      </w:pPr>
    </w:p>
    <w:p w14:paraId="1559B303" w14:textId="77777777" w:rsidR="008B5C5D" w:rsidRDefault="008B5C5D">
      <w:pPr>
        <w:spacing w:after="0" w:line="240" w:lineRule="auto"/>
        <w:rPr>
          <w:b/>
          <w:bCs/>
          <w:sz w:val="28"/>
          <w:szCs w:val="28"/>
          <w:lang w:val="en-US"/>
        </w:rPr>
      </w:pPr>
      <w:r>
        <w:rPr>
          <w:b/>
          <w:bCs/>
          <w:sz w:val="28"/>
          <w:szCs w:val="28"/>
          <w:lang w:val="en-US"/>
        </w:rPr>
        <w:br w:type="page"/>
      </w:r>
    </w:p>
    <w:p w14:paraId="24DD146D" w14:textId="5969EA09" w:rsidR="008B5C5D" w:rsidRDefault="008B5C5D" w:rsidP="0026577B">
      <w:pPr>
        <w:spacing w:after="0"/>
        <w:contextualSpacing/>
        <w:rPr>
          <w:b/>
          <w:bCs/>
          <w:sz w:val="28"/>
          <w:szCs w:val="28"/>
          <w:lang w:val="en-US"/>
        </w:rPr>
      </w:pPr>
      <w:r w:rsidRPr="008B5C5D">
        <w:rPr>
          <w:b/>
          <w:bCs/>
          <w:sz w:val="28"/>
          <w:szCs w:val="28"/>
          <w:lang w:val="en-US"/>
        </w:rPr>
        <w:lastRenderedPageBreak/>
        <w:t>WORKPLACE LEGISLATION AMENDMENT BILL 2022</w:t>
      </w:r>
    </w:p>
    <w:p w14:paraId="5A2AD97C" w14:textId="77777777" w:rsidR="008B5C5D" w:rsidRDefault="008B5C5D" w:rsidP="0026577B">
      <w:pPr>
        <w:spacing w:after="0"/>
        <w:contextualSpacing/>
        <w:rPr>
          <w:b/>
          <w:bCs/>
          <w:sz w:val="28"/>
          <w:szCs w:val="28"/>
          <w:lang w:val="en-US"/>
        </w:rPr>
      </w:pPr>
    </w:p>
    <w:p w14:paraId="7A011F66" w14:textId="0B7CBAAF" w:rsidR="0026577B" w:rsidRPr="00BF2C86" w:rsidRDefault="0026577B" w:rsidP="008B5C5D">
      <w:pPr>
        <w:spacing w:after="0" w:line="240" w:lineRule="auto"/>
        <w:rPr>
          <w:rFonts w:asciiTheme="minorHAnsi" w:hAnsiTheme="minorHAnsi" w:cstheme="minorHAnsi"/>
          <w:bCs/>
          <w:sz w:val="24"/>
          <w:szCs w:val="24"/>
        </w:rPr>
      </w:pPr>
      <w:r w:rsidRPr="00BF2C86">
        <w:rPr>
          <w:rFonts w:asciiTheme="minorHAnsi" w:hAnsiTheme="minorHAnsi" w:cstheme="minorHAnsi"/>
          <w:bCs/>
          <w:sz w:val="24"/>
          <w:szCs w:val="24"/>
        </w:rPr>
        <w:t xml:space="preserve">The </w:t>
      </w:r>
      <w:r w:rsidR="009118D2">
        <w:rPr>
          <w:rFonts w:asciiTheme="minorHAnsi" w:hAnsiTheme="minorHAnsi" w:cstheme="minorHAnsi"/>
          <w:bCs/>
          <w:sz w:val="24"/>
          <w:szCs w:val="24"/>
        </w:rPr>
        <w:t xml:space="preserve">Workplace Legislation Amendment Bill 2022 (the </w:t>
      </w:r>
      <w:r w:rsidRPr="00BF2C86">
        <w:rPr>
          <w:rFonts w:asciiTheme="minorHAnsi" w:hAnsiTheme="minorHAnsi" w:cstheme="minorHAnsi"/>
          <w:bCs/>
          <w:sz w:val="24"/>
          <w:szCs w:val="24"/>
        </w:rPr>
        <w:t>Bill</w:t>
      </w:r>
      <w:r w:rsidR="009118D2">
        <w:rPr>
          <w:rFonts w:asciiTheme="minorHAnsi" w:hAnsiTheme="minorHAnsi" w:cstheme="minorHAnsi"/>
          <w:bCs/>
          <w:sz w:val="24"/>
          <w:szCs w:val="24"/>
        </w:rPr>
        <w:t>)</w:t>
      </w:r>
      <w:r w:rsidRPr="00BF2C86">
        <w:rPr>
          <w:rFonts w:asciiTheme="minorHAnsi" w:hAnsiTheme="minorHAnsi" w:cstheme="minorHAnsi"/>
          <w:bCs/>
          <w:sz w:val="24"/>
          <w:szCs w:val="24"/>
        </w:rPr>
        <w:t xml:space="preserve"> is</w:t>
      </w:r>
      <w:r w:rsidR="00186BE2" w:rsidRPr="00BF2C86">
        <w:rPr>
          <w:rFonts w:asciiTheme="minorHAnsi" w:hAnsiTheme="minorHAnsi" w:cstheme="minorHAnsi"/>
          <w:bCs/>
          <w:sz w:val="24"/>
          <w:szCs w:val="24"/>
        </w:rPr>
        <w:t xml:space="preserve"> </w:t>
      </w:r>
      <w:r w:rsidR="00186BE2" w:rsidRPr="008B5C5D">
        <w:rPr>
          <w:bCs/>
          <w:sz w:val="24"/>
          <w:szCs w:val="24"/>
        </w:rPr>
        <w:t>not</w:t>
      </w:r>
      <w:r w:rsidRPr="00BF2C86">
        <w:rPr>
          <w:rFonts w:asciiTheme="minorHAnsi" w:hAnsiTheme="minorHAnsi" w:cstheme="minorHAnsi"/>
          <w:bCs/>
          <w:sz w:val="24"/>
          <w:szCs w:val="24"/>
        </w:rPr>
        <w:t xml:space="preserve"> a Significant Bill. Significant Bills are bills that have been assessed as likely to have </w:t>
      </w:r>
      <w:r w:rsidRPr="008B5C5D">
        <w:rPr>
          <w:bCs/>
          <w:sz w:val="24"/>
          <w:szCs w:val="24"/>
        </w:rPr>
        <w:t>significant</w:t>
      </w:r>
      <w:r w:rsidRPr="00BF2C86">
        <w:rPr>
          <w:rFonts w:asciiTheme="minorHAnsi" w:hAnsiTheme="minorHAnsi" w:cstheme="minorHAnsi"/>
          <w:bCs/>
          <w:sz w:val="24"/>
          <w:szCs w:val="24"/>
        </w:rPr>
        <w:t xml:space="preserve"> engagement of human rights and require more detailed reasoning in relation to compatibility with the </w:t>
      </w:r>
      <w:r w:rsidRPr="00BF2C86">
        <w:rPr>
          <w:rFonts w:asciiTheme="minorHAnsi" w:hAnsiTheme="minorHAnsi" w:cstheme="minorHAnsi"/>
          <w:bCs/>
          <w:i/>
          <w:iCs/>
          <w:sz w:val="24"/>
          <w:szCs w:val="24"/>
        </w:rPr>
        <w:t>Human Rights Act 2004</w:t>
      </w:r>
      <w:r w:rsidRPr="00BF2C86">
        <w:rPr>
          <w:rFonts w:asciiTheme="minorHAnsi" w:hAnsiTheme="minorHAnsi" w:cstheme="minorHAnsi"/>
          <w:bCs/>
          <w:sz w:val="24"/>
          <w:szCs w:val="24"/>
        </w:rPr>
        <w:t>.</w:t>
      </w:r>
    </w:p>
    <w:p w14:paraId="4B99056E" w14:textId="77777777" w:rsidR="004332F1" w:rsidRPr="00F167FF" w:rsidRDefault="004332F1" w:rsidP="00F745D4">
      <w:pPr>
        <w:spacing w:after="0" w:line="240" w:lineRule="auto"/>
        <w:rPr>
          <w:bCs/>
          <w:sz w:val="24"/>
          <w:szCs w:val="24"/>
        </w:rPr>
      </w:pPr>
    </w:p>
    <w:p w14:paraId="2E0A6F91" w14:textId="274F4267" w:rsidR="00F745D4" w:rsidRPr="00186BE2" w:rsidRDefault="00186BE2" w:rsidP="00F745D4">
      <w:pPr>
        <w:spacing w:after="0" w:line="240" w:lineRule="auto"/>
        <w:rPr>
          <w:b/>
          <w:sz w:val="24"/>
          <w:szCs w:val="24"/>
        </w:rPr>
      </w:pPr>
      <w:r w:rsidRPr="00186BE2">
        <w:rPr>
          <w:b/>
          <w:sz w:val="24"/>
          <w:szCs w:val="24"/>
        </w:rPr>
        <w:t>BACKGROUND</w:t>
      </w:r>
    </w:p>
    <w:p w14:paraId="170D870E" w14:textId="7192FB4B" w:rsidR="00391A53" w:rsidRPr="00391A53" w:rsidRDefault="00391A53" w:rsidP="00391A53">
      <w:pPr>
        <w:spacing w:after="0" w:line="240" w:lineRule="auto"/>
        <w:rPr>
          <w:bCs/>
          <w:sz w:val="24"/>
          <w:szCs w:val="24"/>
        </w:rPr>
      </w:pPr>
      <w:r w:rsidRPr="00391A53">
        <w:rPr>
          <w:bCs/>
          <w:sz w:val="24"/>
          <w:szCs w:val="24"/>
        </w:rPr>
        <w:t xml:space="preserve">The ACT Labor and ACT Greens Parliamentary and Governing Agreement (PAGA) commits to reviewing and amending work health and safety (WHS) laws to keep Canberrans safe. </w:t>
      </w:r>
    </w:p>
    <w:p w14:paraId="0E95F327" w14:textId="48E5B8B6" w:rsidR="00391A53" w:rsidRDefault="00391A53" w:rsidP="00391A53">
      <w:pPr>
        <w:spacing w:after="0" w:line="240" w:lineRule="auto"/>
        <w:rPr>
          <w:bCs/>
          <w:sz w:val="24"/>
          <w:szCs w:val="24"/>
        </w:rPr>
      </w:pPr>
    </w:p>
    <w:p w14:paraId="2C0ADE6B" w14:textId="7B56BE70" w:rsidR="00391A53" w:rsidRDefault="00391A53" w:rsidP="00391A53">
      <w:pPr>
        <w:spacing w:after="0" w:line="240" w:lineRule="auto"/>
        <w:rPr>
          <w:bCs/>
          <w:sz w:val="24"/>
          <w:szCs w:val="24"/>
        </w:rPr>
      </w:pPr>
      <w:r w:rsidRPr="00391A53">
        <w:rPr>
          <w:bCs/>
          <w:sz w:val="24"/>
          <w:szCs w:val="24"/>
        </w:rPr>
        <w:t xml:space="preserve">The ACT, </w:t>
      </w:r>
      <w:r w:rsidR="00ED282E">
        <w:rPr>
          <w:bCs/>
          <w:sz w:val="24"/>
          <w:szCs w:val="24"/>
        </w:rPr>
        <w:t xml:space="preserve">along with </w:t>
      </w:r>
      <w:r w:rsidRPr="00391A53">
        <w:rPr>
          <w:bCs/>
          <w:sz w:val="24"/>
          <w:szCs w:val="24"/>
        </w:rPr>
        <w:t>other states and territories and social partners (including industry and trade union</w:t>
      </w:r>
      <w:r w:rsidR="00AF5713">
        <w:rPr>
          <w:bCs/>
          <w:sz w:val="24"/>
          <w:szCs w:val="24"/>
        </w:rPr>
        <w:t>s</w:t>
      </w:r>
      <w:r w:rsidRPr="00391A53">
        <w:rPr>
          <w:bCs/>
          <w:sz w:val="24"/>
          <w:szCs w:val="24"/>
        </w:rPr>
        <w:t>) are participating members of Safe Work Australia. There is ongoing work progressing nationally through Safe Work Australia to ensure that there are consistent and contemporary WHS laws nationally</w:t>
      </w:r>
      <w:r w:rsidR="00ED282E">
        <w:rPr>
          <w:bCs/>
          <w:sz w:val="24"/>
          <w:szCs w:val="24"/>
        </w:rPr>
        <w:t xml:space="preserve"> and includes responding to the recommendations arising from the 2018 review of the model WHS laws (otherwise referred to as the Boland Review)</w:t>
      </w:r>
      <w:r w:rsidRPr="00391A53">
        <w:rPr>
          <w:bCs/>
          <w:sz w:val="24"/>
          <w:szCs w:val="24"/>
        </w:rPr>
        <w:t>.</w:t>
      </w:r>
    </w:p>
    <w:p w14:paraId="0C54AF81" w14:textId="27DDA42F" w:rsidR="00391A53" w:rsidRDefault="00391A53" w:rsidP="00391A53">
      <w:pPr>
        <w:spacing w:after="0" w:line="240" w:lineRule="auto"/>
        <w:rPr>
          <w:bCs/>
          <w:sz w:val="24"/>
          <w:szCs w:val="24"/>
        </w:rPr>
      </w:pPr>
    </w:p>
    <w:p w14:paraId="2252D098" w14:textId="021B0811" w:rsidR="00D214CC" w:rsidRDefault="00391A53" w:rsidP="00F745D4">
      <w:pPr>
        <w:spacing w:after="0" w:line="240" w:lineRule="auto"/>
        <w:rPr>
          <w:bCs/>
          <w:sz w:val="24"/>
          <w:szCs w:val="24"/>
        </w:rPr>
      </w:pPr>
      <w:r w:rsidRPr="00391A53">
        <w:rPr>
          <w:bCs/>
          <w:sz w:val="24"/>
          <w:szCs w:val="24"/>
        </w:rPr>
        <w:t xml:space="preserve">To meet the commitments under the PAGA and </w:t>
      </w:r>
      <w:r w:rsidR="00AF5713">
        <w:rPr>
          <w:bCs/>
          <w:sz w:val="24"/>
          <w:szCs w:val="24"/>
        </w:rPr>
        <w:t xml:space="preserve">in line with </w:t>
      </w:r>
      <w:r w:rsidRPr="00391A53">
        <w:rPr>
          <w:bCs/>
          <w:sz w:val="24"/>
          <w:szCs w:val="24"/>
        </w:rPr>
        <w:t xml:space="preserve">the Government’s ongoing commitment to strengthening workplace safety laws, </w:t>
      </w:r>
      <w:r>
        <w:rPr>
          <w:bCs/>
          <w:sz w:val="24"/>
          <w:szCs w:val="24"/>
        </w:rPr>
        <w:t>t</w:t>
      </w:r>
      <w:r w:rsidR="00D214CC" w:rsidRPr="00D214CC">
        <w:rPr>
          <w:bCs/>
          <w:sz w:val="24"/>
          <w:szCs w:val="24"/>
        </w:rPr>
        <w:t xml:space="preserve">he </w:t>
      </w:r>
      <w:r w:rsidR="008B5C5D" w:rsidRPr="008B5C5D">
        <w:rPr>
          <w:bCs/>
          <w:sz w:val="24"/>
          <w:szCs w:val="24"/>
        </w:rPr>
        <w:t>Workplace Legislation Amendment Bill 2022</w:t>
      </w:r>
      <w:r w:rsidR="00D214CC">
        <w:rPr>
          <w:bCs/>
          <w:sz w:val="24"/>
          <w:szCs w:val="24"/>
        </w:rPr>
        <w:t xml:space="preserve"> (the Bill) makes amendments to three Acts </w:t>
      </w:r>
      <w:r w:rsidR="000743D7">
        <w:rPr>
          <w:bCs/>
          <w:sz w:val="24"/>
          <w:szCs w:val="24"/>
        </w:rPr>
        <w:t xml:space="preserve">and a regulation </w:t>
      </w:r>
      <w:r w:rsidR="00D214CC">
        <w:rPr>
          <w:bCs/>
          <w:sz w:val="24"/>
          <w:szCs w:val="24"/>
        </w:rPr>
        <w:t xml:space="preserve">within the responsibility of the Minister for </w:t>
      </w:r>
      <w:r w:rsidR="008B5C5D">
        <w:rPr>
          <w:bCs/>
          <w:sz w:val="24"/>
          <w:szCs w:val="24"/>
        </w:rPr>
        <w:t>Industrial Relations</w:t>
      </w:r>
      <w:r w:rsidR="00D214CC">
        <w:rPr>
          <w:bCs/>
          <w:sz w:val="24"/>
          <w:szCs w:val="24"/>
        </w:rPr>
        <w:t xml:space="preserve"> and Workplace Safety.</w:t>
      </w:r>
      <w:r w:rsidR="00CD32D1">
        <w:rPr>
          <w:bCs/>
          <w:sz w:val="24"/>
          <w:szCs w:val="24"/>
        </w:rPr>
        <w:t xml:space="preserve"> </w:t>
      </w:r>
      <w:r w:rsidR="00D214CC">
        <w:rPr>
          <w:bCs/>
          <w:sz w:val="24"/>
          <w:szCs w:val="24"/>
        </w:rPr>
        <w:t>Specifically, the Bill amend</w:t>
      </w:r>
      <w:r w:rsidR="008B5C5D">
        <w:rPr>
          <w:bCs/>
          <w:sz w:val="24"/>
          <w:szCs w:val="24"/>
        </w:rPr>
        <w:t>s</w:t>
      </w:r>
      <w:r w:rsidR="00D214CC">
        <w:rPr>
          <w:bCs/>
          <w:sz w:val="24"/>
          <w:szCs w:val="24"/>
        </w:rPr>
        <w:t xml:space="preserve"> the:</w:t>
      </w:r>
    </w:p>
    <w:p w14:paraId="14F717C6" w14:textId="77777777" w:rsidR="00B12617" w:rsidRPr="00B12617" w:rsidRDefault="00B12617" w:rsidP="00ED282E">
      <w:pPr>
        <w:pStyle w:val="ListParagraph"/>
        <w:numPr>
          <w:ilvl w:val="0"/>
          <w:numId w:val="4"/>
        </w:numPr>
        <w:spacing w:before="240" w:after="120" w:line="240" w:lineRule="auto"/>
        <w:ind w:hanging="578"/>
        <w:rPr>
          <w:bCs/>
          <w:sz w:val="24"/>
          <w:szCs w:val="24"/>
        </w:rPr>
      </w:pPr>
      <w:r w:rsidRPr="008B5C5D">
        <w:rPr>
          <w:bCs/>
          <w:i/>
          <w:iCs/>
          <w:sz w:val="24"/>
          <w:szCs w:val="24"/>
        </w:rPr>
        <w:t>Long Service Leave (Portable Schemes) Act 2009</w:t>
      </w:r>
      <w:r w:rsidRPr="00B12617">
        <w:rPr>
          <w:bCs/>
          <w:sz w:val="24"/>
          <w:szCs w:val="24"/>
        </w:rPr>
        <w:t>;</w:t>
      </w:r>
    </w:p>
    <w:p w14:paraId="3F51E05F" w14:textId="4319687D" w:rsidR="00DE2755" w:rsidRPr="00DE2755" w:rsidRDefault="00DE2755" w:rsidP="00ED282E">
      <w:pPr>
        <w:pStyle w:val="ListParagraph"/>
        <w:numPr>
          <w:ilvl w:val="0"/>
          <w:numId w:val="4"/>
        </w:numPr>
        <w:spacing w:before="240" w:after="120" w:line="240" w:lineRule="auto"/>
        <w:ind w:hanging="578"/>
        <w:rPr>
          <w:bCs/>
          <w:sz w:val="24"/>
          <w:szCs w:val="24"/>
        </w:rPr>
      </w:pPr>
      <w:r w:rsidRPr="00B12617">
        <w:rPr>
          <w:bCs/>
          <w:i/>
          <w:iCs/>
          <w:sz w:val="24"/>
          <w:szCs w:val="24"/>
        </w:rPr>
        <w:t>Workers Compensation Act 1951</w:t>
      </w:r>
      <w:r w:rsidRPr="00DE2755">
        <w:rPr>
          <w:bCs/>
          <w:sz w:val="24"/>
          <w:szCs w:val="24"/>
        </w:rPr>
        <w:t>;</w:t>
      </w:r>
    </w:p>
    <w:p w14:paraId="0D6AA71F" w14:textId="44C080E9" w:rsidR="00B12617" w:rsidRPr="00B12617" w:rsidRDefault="00B12617" w:rsidP="00ED282E">
      <w:pPr>
        <w:pStyle w:val="ListParagraph"/>
        <w:numPr>
          <w:ilvl w:val="0"/>
          <w:numId w:val="4"/>
        </w:numPr>
        <w:spacing w:before="240" w:after="120" w:line="240" w:lineRule="auto"/>
        <w:ind w:hanging="578"/>
        <w:rPr>
          <w:bCs/>
          <w:sz w:val="24"/>
          <w:szCs w:val="24"/>
        </w:rPr>
      </w:pPr>
      <w:r w:rsidRPr="000E4CF7">
        <w:rPr>
          <w:bCs/>
          <w:i/>
          <w:iCs/>
          <w:sz w:val="24"/>
          <w:szCs w:val="24"/>
        </w:rPr>
        <w:t>Work Health and Safety Act 2011</w:t>
      </w:r>
      <w:r w:rsidRPr="00B12617">
        <w:rPr>
          <w:bCs/>
          <w:sz w:val="24"/>
          <w:szCs w:val="24"/>
        </w:rPr>
        <w:t>;</w:t>
      </w:r>
      <w:r w:rsidR="00DE2755">
        <w:rPr>
          <w:bCs/>
          <w:sz w:val="24"/>
          <w:szCs w:val="24"/>
        </w:rPr>
        <w:t xml:space="preserve"> and</w:t>
      </w:r>
    </w:p>
    <w:p w14:paraId="2DCFBBB0" w14:textId="383983AD" w:rsidR="00D214CC" w:rsidRPr="00DE2755" w:rsidRDefault="00B12617" w:rsidP="00CC676B">
      <w:pPr>
        <w:pStyle w:val="ListParagraph"/>
        <w:numPr>
          <w:ilvl w:val="0"/>
          <w:numId w:val="4"/>
        </w:numPr>
        <w:spacing w:before="240" w:after="120" w:line="240" w:lineRule="auto"/>
        <w:ind w:hanging="578"/>
        <w:rPr>
          <w:bCs/>
          <w:sz w:val="24"/>
          <w:szCs w:val="24"/>
        </w:rPr>
      </w:pPr>
      <w:r w:rsidRPr="00DE2755">
        <w:rPr>
          <w:bCs/>
          <w:i/>
          <w:iCs/>
          <w:sz w:val="24"/>
          <w:szCs w:val="24"/>
        </w:rPr>
        <w:t>Work Health and Safety Regulation 2011</w:t>
      </w:r>
      <w:r w:rsidR="00D214CC" w:rsidRPr="00DE2755">
        <w:rPr>
          <w:bCs/>
          <w:sz w:val="24"/>
          <w:szCs w:val="24"/>
        </w:rPr>
        <w:t>.</w:t>
      </w:r>
    </w:p>
    <w:p w14:paraId="4CBC5F17" w14:textId="65646E0D" w:rsidR="00D214CC" w:rsidRDefault="00D214CC" w:rsidP="00F745D4">
      <w:pPr>
        <w:spacing w:after="0" w:line="240" w:lineRule="auto"/>
        <w:rPr>
          <w:b/>
          <w:sz w:val="24"/>
          <w:szCs w:val="24"/>
        </w:rPr>
      </w:pPr>
    </w:p>
    <w:p w14:paraId="170A6DF9" w14:textId="77777777" w:rsidR="008B5C5D" w:rsidRDefault="008B5C5D" w:rsidP="008A5F91">
      <w:pPr>
        <w:spacing w:after="0" w:line="240" w:lineRule="auto"/>
        <w:rPr>
          <w:sz w:val="24"/>
          <w:szCs w:val="24"/>
        </w:rPr>
      </w:pPr>
    </w:p>
    <w:p w14:paraId="674AAFD3" w14:textId="77777777" w:rsidR="00CD32D1" w:rsidRDefault="00CD32D1">
      <w:pPr>
        <w:spacing w:after="0" w:line="240" w:lineRule="auto"/>
        <w:rPr>
          <w:b/>
          <w:sz w:val="24"/>
          <w:szCs w:val="24"/>
        </w:rPr>
      </w:pPr>
      <w:r>
        <w:rPr>
          <w:b/>
          <w:sz w:val="24"/>
          <w:szCs w:val="24"/>
        </w:rPr>
        <w:br w:type="page"/>
      </w:r>
    </w:p>
    <w:p w14:paraId="16767CA9" w14:textId="4A6A339B" w:rsidR="00510B38" w:rsidRPr="00186BE2" w:rsidRDefault="00390634" w:rsidP="00510B38">
      <w:pPr>
        <w:spacing w:after="0" w:line="240" w:lineRule="auto"/>
        <w:rPr>
          <w:b/>
          <w:sz w:val="24"/>
          <w:szCs w:val="24"/>
        </w:rPr>
      </w:pPr>
      <w:r>
        <w:rPr>
          <w:b/>
          <w:sz w:val="24"/>
          <w:szCs w:val="24"/>
        </w:rPr>
        <w:lastRenderedPageBreak/>
        <w:t>OVERVIEW</w:t>
      </w:r>
      <w:r w:rsidR="00186BE2" w:rsidRPr="00186BE2">
        <w:rPr>
          <w:b/>
          <w:sz w:val="24"/>
          <w:szCs w:val="24"/>
        </w:rPr>
        <w:t xml:space="preserve"> OF THE BILL</w:t>
      </w:r>
    </w:p>
    <w:p w14:paraId="1F72F646" w14:textId="77777777" w:rsidR="00510B38" w:rsidRPr="00676FA4" w:rsidRDefault="00510B38" w:rsidP="00510B38">
      <w:pPr>
        <w:spacing w:after="0" w:line="240" w:lineRule="auto"/>
        <w:rPr>
          <w:b/>
          <w:sz w:val="24"/>
          <w:szCs w:val="24"/>
        </w:rPr>
      </w:pPr>
    </w:p>
    <w:p w14:paraId="480BF9BA" w14:textId="77777777" w:rsidR="00A7306B" w:rsidRDefault="00A7306B" w:rsidP="007530AE">
      <w:pPr>
        <w:spacing w:after="0" w:line="240" w:lineRule="auto"/>
        <w:rPr>
          <w:bCs/>
          <w:sz w:val="24"/>
          <w:szCs w:val="24"/>
        </w:rPr>
      </w:pPr>
      <w:r>
        <w:rPr>
          <w:bCs/>
          <w:sz w:val="24"/>
          <w:szCs w:val="24"/>
        </w:rPr>
        <w:t>The purpose of the amendments in the Bill are set out separately for each Act amended by the Bill.</w:t>
      </w:r>
    </w:p>
    <w:p w14:paraId="08CE6F91" w14:textId="39827024" w:rsidR="007530AE" w:rsidRDefault="007530AE" w:rsidP="00B51BB2">
      <w:pPr>
        <w:spacing w:after="0" w:line="240" w:lineRule="auto"/>
        <w:rPr>
          <w:sz w:val="24"/>
          <w:szCs w:val="24"/>
        </w:rPr>
      </w:pPr>
    </w:p>
    <w:p w14:paraId="3C33F855" w14:textId="77777777" w:rsidR="00B12617" w:rsidRDefault="00B12617" w:rsidP="00B12617">
      <w:pPr>
        <w:spacing w:after="0" w:line="240" w:lineRule="auto"/>
        <w:rPr>
          <w:sz w:val="24"/>
          <w:szCs w:val="24"/>
        </w:rPr>
      </w:pPr>
    </w:p>
    <w:p w14:paraId="30CAA26E" w14:textId="77777777" w:rsidR="00B12617" w:rsidRPr="00ED282E" w:rsidRDefault="00B12617" w:rsidP="00B12617">
      <w:pPr>
        <w:spacing w:after="0" w:line="240" w:lineRule="auto"/>
        <w:rPr>
          <w:b/>
          <w:bCs/>
          <w:i/>
          <w:iCs/>
          <w:sz w:val="24"/>
          <w:szCs w:val="24"/>
          <w:u w:val="single"/>
        </w:rPr>
      </w:pPr>
      <w:r w:rsidRPr="00ED282E">
        <w:rPr>
          <w:b/>
          <w:bCs/>
          <w:i/>
          <w:sz w:val="24"/>
          <w:szCs w:val="24"/>
          <w:u w:val="single"/>
        </w:rPr>
        <w:t>Long Service Leave (Portable Schemes) Act 2009</w:t>
      </w:r>
    </w:p>
    <w:p w14:paraId="09DB46F7" w14:textId="19AE4275" w:rsidR="00CD32D1" w:rsidRDefault="00CD32D1" w:rsidP="00CD32D1">
      <w:pPr>
        <w:spacing w:after="0" w:line="240" w:lineRule="auto"/>
        <w:rPr>
          <w:bCs/>
          <w:sz w:val="24"/>
          <w:szCs w:val="24"/>
          <w:highlight w:val="yellow"/>
        </w:rPr>
      </w:pPr>
      <w:r w:rsidRPr="00390634">
        <w:rPr>
          <w:bCs/>
          <w:sz w:val="24"/>
          <w:szCs w:val="24"/>
        </w:rPr>
        <w:t xml:space="preserve">The </w:t>
      </w:r>
      <w:r w:rsidRPr="00390634">
        <w:rPr>
          <w:bCs/>
          <w:i/>
          <w:iCs/>
          <w:sz w:val="24"/>
          <w:szCs w:val="24"/>
        </w:rPr>
        <w:t>Long Service Leave (Portable Schemes) Act 2009</w:t>
      </w:r>
      <w:r w:rsidRPr="00390634">
        <w:rPr>
          <w:bCs/>
          <w:sz w:val="24"/>
          <w:szCs w:val="24"/>
        </w:rPr>
        <w:t xml:space="preserve"> (PLSL) establishes arrangements for worker entitlements to long service leave within covered industries. This occurs by setting out specific arrangements for each specified industry in accompanying schedules.</w:t>
      </w:r>
      <w:r w:rsidRPr="00390634">
        <w:rPr>
          <w:bCs/>
          <w:sz w:val="24"/>
          <w:szCs w:val="24"/>
          <w:highlight w:val="yellow"/>
        </w:rPr>
        <w:t xml:space="preserve"> </w:t>
      </w:r>
    </w:p>
    <w:p w14:paraId="1621BD47" w14:textId="77777777" w:rsidR="00B12617" w:rsidRDefault="00B12617" w:rsidP="00B12617">
      <w:pPr>
        <w:spacing w:after="0" w:line="240" w:lineRule="auto"/>
        <w:rPr>
          <w:bCs/>
          <w:sz w:val="24"/>
          <w:szCs w:val="24"/>
        </w:rPr>
      </w:pPr>
    </w:p>
    <w:p w14:paraId="2DD4A765" w14:textId="771C6C36" w:rsidR="00DC43D3" w:rsidRDefault="00B12617" w:rsidP="00E117B1">
      <w:pPr>
        <w:spacing w:after="0" w:line="240" w:lineRule="auto"/>
        <w:rPr>
          <w:bCs/>
          <w:sz w:val="24"/>
          <w:szCs w:val="24"/>
        </w:rPr>
      </w:pPr>
      <w:r>
        <w:rPr>
          <w:bCs/>
          <w:sz w:val="24"/>
          <w:szCs w:val="24"/>
        </w:rPr>
        <w:t>The Bill makes technical and minor a</w:t>
      </w:r>
      <w:r w:rsidRPr="00C03071">
        <w:rPr>
          <w:bCs/>
          <w:sz w:val="24"/>
          <w:szCs w:val="24"/>
        </w:rPr>
        <w:t>mendments to the</w:t>
      </w:r>
      <w:r w:rsidRPr="00C03071">
        <w:rPr>
          <w:bCs/>
          <w:i/>
          <w:iCs/>
          <w:sz w:val="24"/>
          <w:szCs w:val="24"/>
        </w:rPr>
        <w:t xml:space="preserve"> </w:t>
      </w:r>
      <w:r w:rsidRPr="008B5C5D">
        <w:rPr>
          <w:bCs/>
          <w:i/>
          <w:iCs/>
          <w:sz w:val="24"/>
          <w:szCs w:val="24"/>
        </w:rPr>
        <w:t>Long Service Leave (Portable Schemes) Act 2009</w:t>
      </w:r>
      <w:r>
        <w:rPr>
          <w:bCs/>
          <w:i/>
          <w:iCs/>
          <w:sz w:val="24"/>
          <w:szCs w:val="24"/>
        </w:rPr>
        <w:t xml:space="preserve"> </w:t>
      </w:r>
      <w:r w:rsidR="00CD32D1" w:rsidRPr="00CD32D1">
        <w:rPr>
          <w:sz w:val="24"/>
          <w:szCs w:val="24"/>
        </w:rPr>
        <w:t>to correct error</w:t>
      </w:r>
      <w:r w:rsidR="00E117B1">
        <w:rPr>
          <w:sz w:val="24"/>
          <w:szCs w:val="24"/>
        </w:rPr>
        <w:t xml:space="preserve">s </w:t>
      </w:r>
      <w:bookmarkStart w:id="0" w:name="_Hlk103963742"/>
      <w:r w:rsidR="006E6208">
        <w:rPr>
          <w:sz w:val="24"/>
          <w:szCs w:val="24"/>
        </w:rPr>
        <w:t xml:space="preserve">and inconsistent references </w:t>
      </w:r>
      <w:r w:rsidR="00E117B1">
        <w:rPr>
          <w:sz w:val="24"/>
          <w:szCs w:val="24"/>
        </w:rPr>
        <w:t xml:space="preserve">identified in Schedule 2 (contract cleaning industry), </w:t>
      </w:r>
      <w:r w:rsidR="00CD32D1" w:rsidRPr="00CD32D1">
        <w:rPr>
          <w:sz w:val="24"/>
          <w:szCs w:val="24"/>
        </w:rPr>
        <w:t xml:space="preserve">Schedule 3 </w:t>
      </w:r>
      <w:r w:rsidR="00E117B1">
        <w:rPr>
          <w:sz w:val="24"/>
          <w:szCs w:val="24"/>
        </w:rPr>
        <w:t>(community sector industry) and Schedule 4 (security industry).</w:t>
      </w:r>
      <w:bookmarkEnd w:id="0"/>
    </w:p>
    <w:p w14:paraId="360F0267" w14:textId="77777777" w:rsidR="00B12617" w:rsidRPr="007530AE" w:rsidRDefault="00B12617" w:rsidP="00B12617">
      <w:pPr>
        <w:spacing w:after="0" w:line="240" w:lineRule="auto"/>
        <w:rPr>
          <w:bCs/>
          <w:sz w:val="24"/>
          <w:szCs w:val="24"/>
        </w:rPr>
      </w:pPr>
    </w:p>
    <w:p w14:paraId="77D63A3C" w14:textId="77777777" w:rsidR="00DE2755" w:rsidRPr="00ED282E" w:rsidRDefault="00DE2755" w:rsidP="00DE2755">
      <w:pPr>
        <w:spacing w:after="0" w:line="240" w:lineRule="auto"/>
        <w:rPr>
          <w:b/>
          <w:i/>
          <w:iCs/>
          <w:sz w:val="24"/>
          <w:szCs w:val="24"/>
          <w:u w:val="single"/>
        </w:rPr>
      </w:pPr>
      <w:r w:rsidRPr="00ED282E">
        <w:rPr>
          <w:b/>
          <w:i/>
          <w:iCs/>
          <w:sz w:val="24"/>
          <w:szCs w:val="24"/>
          <w:u w:val="single"/>
        </w:rPr>
        <w:t>Workers Compensation Act 1951</w:t>
      </w:r>
    </w:p>
    <w:p w14:paraId="70851A90" w14:textId="77777777" w:rsidR="00DE2755" w:rsidRDefault="00DE2755" w:rsidP="00DE2755">
      <w:pPr>
        <w:spacing w:after="0" w:line="240" w:lineRule="auto"/>
        <w:rPr>
          <w:bCs/>
          <w:sz w:val="24"/>
          <w:szCs w:val="24"/>
        </w:rPr>
      </w:pPr>
      <w:r>
        <w:rPr>
          <w:bCs/>
          <w:sz w:val="24"/>
          <w:szCs w:val="24"/>
        </w:rPr>
        <w:t xml:space="preserve">Workers’ compensation in the ACT is a statutory insurance scheme regulated under the </w:t>
      </w:r>
      <w:r w:rsidRPr="00EB6CD7">
        <w:rPr>
          <w:bCs/>
          <w:i/>
          <w:iCs/>
          <w:sz w:val="24"/>
          <w:szCs w:val="24"/>
        </w:rPr>
        <w:t>Workers Compensation Act 1951</w:t>
      </w:r>
      <w:r>
        <w:rPr>
          <w:bCs/>
          <w:sz w:val="24"/>
          <w:szCs w:val="24"/>
        </w:rPr>
        <w:t xml:space="preserve"> (WC Act) and supporting </w:t>
      </w:r>
      <w:r w:rsidRPr="00EB6CD7">
        <w:rPr>
          <w:bCs/>
          <w:i/>
          <w:iCs/>
          <w:sz w:val="24"/>
          <w:szCs w:val="24"/>
        </w:rPr>
        <w:t>Workers Compensation Regulation 2002</w:t>
      </w:r>
      <w:r>
        <w:rPr>
          <w:bCs/>
          <w:sz w:val="24"/>
          <w:szCs w:val="24"/>
        </w:rPr>
        <w:t xml:space="preserve"> (WC Regulation). </w:t>
      </w:r>
    </w:p>
    <w:p w14:paraId="3D58EF70" w14:textId="77777777" w:rsidR="00DE2755" w:rsidRDefault="00DE2755" w:rsidP="00DE2755">
      <w:pPr>
        <w:spacing w:after="0" w:line="240" w:lineRule="auto"/>
        <w:rPr>
          <w:sz w:val="24"/>
          <w:szCs w:val="24"/>
        </w:rPr>
      </w:pPr>
    </w:p>
    <w:p w14:paraId="17E66F89" w14:textId="77777777" w:rsidR="00DE2755" w:rsidRPr="008309E9" w:rsidRDefault="00DE2755" w:rsidP="00DE2755">
      <w:pPr>
        <w:spacing w:after="0" w:line="240" w:lineRule="auto"/>
        <w:rPr>
          <w:sz w:val="24"/>
          <w:szCs w:val="24"/>
        </w:rPr>
      </w:pPr>
      <w:r>
        <w:rPr>
          <w:sz w:val="24"/>
          <w:szCs w:val="24"/>
        </w:rPr>
        <w:t xml:space="preserve">The amendments to the </w:t>
      </w:r>
      <w:r w:rsidRPr="006C42B6">
        <w:rPr>
          <w:i/>
          <w:iCs/>
          <w:sz w:val="24"/>
          <w:szCs w:val="24"/>
        </w:rPr>
        <w:t>Workers Compensation Act 1951</w:t>
      </w:r>
      <w:r>
        <w:rPr>
          <w:sz w:val="24"/>
          <w:szCs w:val="24"/>
        </w:rPr>
        <w:t xml:space="preserve"> (WC Act) </w:t>
      </w:r>
      <w:r w:rsidRPr="008309E9">
        <w:rPr>
          <w:sz w:val="24"/>
          <w:szCs w:val="24"/>
        </w:rPr>
        <w:t>improve worker protections related to private sector workers’ compensation. These relate to:</w:t>
      </w:r>
    </w:p>
    <w:p w14:paraId="7E51980F" w14:textId="77777777" w:rsidR="00DE2755" w:rsidRPr="008309E9" w:rsidRDefault="00DE2755" w:rsidP="00DE2755">
      <w:pPr>
        <w:pStyle w:val="ListParagraph"/>
        <w:numPr>
          <w:ilvl w:val="0"/>
          <w:numId w:val="13"/>
        </w:numPr>
        <w:spacing w:after="0" w:line="240" w:lineRule="auto"/>
        <w:rPr>
          <w:sz w:val="24"/>
          <w:szCs w:val="24"/>
        </w:rPr>
      </w:pPr>
      <w:r w:rsidRPr="008309E9">
        <w:rPr>
          <w:sz w:val="24"/>
          <w:szCs w:val="24"/>
        </w:rPr>
        <w:t>allowing the taking/accrual of leave while an injured worker is receiving weekly payments under a workers’ compensation claim;</w:t>
      </w:r>
    </w:p>
    <w:p w14:paraId="1B43679F" w14:textId="77777777" w:rsidR="00DE2755" w:rsidRPr="008309E9" w:rsidRDefault="00DE2755" w:rsidP="00DE2755">
      <w:pPr>
        <w:pStyle w:val="ListParagraph"/>
        <w:numPr>
          <w:ilvl w:val="0"/>
          <w:numId w:val="13"/>
        </w:numPr>
        <w:spacing w:after="0" w:line="240" w:lineRule="auto"/>
        <w:rPr>
          <w:sz w:val="24"/>
          <w:szCs w:val="24"/>
        </w:rPr>
      </w:pPr>
      <w:r w:rsidRPr="008309E9">
        <w:rPr>
          <w:sz w:val="24"/>
          <w:szCs w:val="24"/>
        </w:rPr>
        <w:t>the financial penalty levels and offence penalties applied to licensees and others for non</w:t>
      </w:r>
      <w:r>
        <w:rPr>
          <w:sz w:val="24"/>
          <w:szCs w:val="24"/>
        </w:rPr>
        <w:t>-</w:t>
      </w:r>
      <w:r w:rsidRPr="008309E9">
        <w:rPr>
          <w:sz w:val="24"/>
          <w:szCs w:val="24"/>
        </w:rPr>
        <w:t>compliance; and</w:t>
      </w:r>
    </w:p>
    <w:p w14:paraId="03EAEF18" w14:textId="77777777" w:rsidR="00DE2755" w:rsidRPr="008309E9" w:rsidRDefault="00DE2755" w:rsidP="00DE2755">
      <w:pPr>
        <w:pStyle w:val="ListParagraph"/>
        <w:numPr>
          <w:ilvl w:val="0"/>
          <w:numId w:val="13"/>
        </w:numPr>
        <w:spacing w:after="0" w:line="240" w:lineRule="auto"/>
        <w:rPr>
          <w:sz w:val="24"/>
          <w:szCs w:val="24"/>
        </w:rPr>
      </w:pPr>
      <w:r w:rsidRPr="008309E9">
        <w:rPr>
          <w:sz w:val="24"/>
          <w:szCs w:val="24"/>
        </w:rPr>
        <w:t>a technical amendment in relation to the procedure for ceasing weekly payments to an injured worker in instances of non-compliance.</w:t>
      </w:r>
    </w:p>
    <w:p w14:paraId="66E32543" w14:textId="77777777" w:rsidR="00DE2755" w:rsidRDefault="00DE2755" w:rsidP="00DE2755">
      <w:pPr>
        <w:spacing w:after="0" w:line="240" w:lineRule="auto"/>
        <w:rPr>
          <w:sz w:val="24"/>
          <w:szCs w:val="24"/>
        </w:rPr>
      </w:pPr>
    </w:p>
    <w:p w14:paraId="3319685D" w14:textId="77777777" w:rsidR="00DE2755" w:rsidRDefault="00DE2755" w:rsidP="00DE2755">
      <w:pPr>
        <w:spacing w:after="0" w:line="240" w:lineRule="auto"/>
        <w:rPr>
          <w:sz w:val="24"/>
          <w:szCs w:val="24"/>
        </w:rPr>
      </w:pPr>
      <w:r>
        <w:rPr>
          <w:sz w:val="24"/>
          <w:szCs w:val="24"/>
        </w:rPr>
        <w:t>Section 130 of t</w:t>
      </w:r>
      <w:r w:rsidRPr="008309E9">
        <w:rPr>
          <w:sz w:val="24"/>
          <w:szCs w:val="24"/>
        </w:rPr>
        <w:t xml:space="preserve">he </w:t>
      </w:r>
      <w:r w:rsidRPr="008309E9">
        <w:rPr>
          <w:i/>
          <w:iCs/>
          <w:sz w:val="24"/>
          <w:szCs w:val="24"/>
        </w:rPr>
        <w:t>Fair Work Act 2009</w:t>
      </w:r>
      <w:r w:rsidRPr="008309E9">
        <w:rPr>
          <w:sz w:val="24"/>
          <w:szCs w:val="24"/>
        </w:rPr>
        <w:t xml:space="preserve"> (Cth) (FW Act)</w:t>
      </w:r>
      <w:r>
        <w:rPr>
          <w:sz w:val="24"/>
          <w:szCs w:val="24"/>
        </w:rPr>
        <w:t xml:space="preserve"> </w:t>
      </w:r>
      <w:r w:rsidRPr="008309E9">
        <w:rPr>
          <w:sz w:val="24"/>
          <w:szCs w:val="24"/>
        </w:rPr>
        <w:t>operates to restrict the accrual and taking of leave unless permitted by a Commonwealth, state or territory workers’ compensation law. Th</w:t>
      </w:r>
      <w:r>
        <w:rPr>
          <w:sz w:val="24"/>
          <w:szCs w:val="24"/>
        </w:rPr>
        <w:t xml:space="preserve">e Bill amends section 46 of the WC Act to </w:t>
      </w:r>
      <w:r w:rsidRPr="008309E9">
        <w:rPr>
          <w:sz w:val="24"/>
          <w:szCs w:val="24"/>
        </w:rPr>
        <w:t>allow the ACT to ‘permit’ under the WC Act the taking/accrual of leave as contemplated by section 130(2) of the FW Act.</w:t>
      </w:r>
    </w:p>
    <w:p w14:paraId="70C57646" w14:textId="77777777" w:rsidR="00DE2755" w:rsidRPr="008309E9" w:rsidRDefault="00DE2755" w:rsidP="00DE2755">
      <w:pPr>
        <w:spacing w:after="0" w:line="240" w:lineRule="auto"/>
        <w:rPr>
          <w:sz w:val="24"/>
          <w:szCs w:val="24"/>
        </w:rPr>
      </w:pPr>
    </w:p>
    <w:p w14:paraId="62574800" w14:textId="77777777" w:rsidR="00DE2755" w:rsidRDefault="00DE2755" w:rsidP="00DE2755">
      <w:pPr>
        <w:spacing w:after="0" w:line="240" w:lineRule="auto"/>
        <w:rPr>
          <w:sz w:val="24"/>
          <w:szCs w:val="24"/>
        </w:rPr>
      </w:pPr>
      <w:r w:rsidRPr="008309E9">
        <w:rPr>
          <w:sz w:val="24"/>
          <w:szCs w:val="24"/>
        </w:rPr>
        <w:t xml:space="preserve">While section 46 of the WC Act was drafted prior to the FW Act </w:t>
      </w:r>
      <w:r>
        <w:rPr>
          <w:sz w:val="24"/>
          <w:szCs w:val="24"/>
        </w:rPr>
        <w:t>(</w:t>
      </w:r>
      <w:r w:rsidRPr="008309E9">
        <w:rPr>
          <w:sz w:val="24"/>
          <w:szCs w:val="24"/>
        </w:rPr>
        <w:t>section 130</w:t>
      </w:r>
      <w:r>
        <w:rPr>
          <w:sz w:val="24"/>
          <w:szCs w:val="24"/>
        </w:rPr>
        <w:t>)</w:t>
      </w:r>
      <w:r w:rsidRPr="008309E9">
        <w:rPr>
          <w:sz w:val="24"/>
          <w:szCs w:val="24"/>
        </w:rPr>
        <w:t xml:space="preserve"> and would suggest that Part 4.3 (weekly compensation) is not intended to affect an entitlement that the worker has to a benefit or payment, this applies except where a law in force in the ACT otherwise applies. On this construction it is not considered to ‘permit’ the taking or accrual of leave as contemplated by section 130 of the FW Act, being a law in force in the ACT. This view is supported by the Fair Work Ombudsman and reflected in the advice provided on their </w:t>
      </w:r>
      <w:hyperlink r:id="rId11" w:history="1">
        <w:r w:rsidRPr="00EB5B08">
          <w:rPr>
            <w:rStyle w:val="Hyperlink"/>
            <w:sz w:val="24"/>
            <w:szCs w:val="24"/>
          </w:rPr>
          <w:t>website</w:t>
        </w:r>
      </w:hyperlink>
      <w:r w:rsidRPr="008309E9">
        <w:rPr>
          <w:sz w:val="24"/>
          <w:szCs w:val="24"/>
        </w:rPr>
        <w:t>.</w:t>
      </w:r>
    </w:p>
    <w:p w14:paraId="4972097B" w14:textId="77777777" w:rsidR="00DE2755" w:rsidRPr="008309E9" w:rsidRDefault="00DE2755" w:rsidP="00DE2755">
      <w:pPr>
        <w:spacing w:after="0" w:line="240" w:lineRule="auto"/>
        <w:rPr>
          <w:sz w:val="24"/>
          <w:szCs w:val="24"/>
        </w:rPr>
      </w:pPr>
    </w:p>
    <w:p w14:paraId="36E29996" w14:textId="77777777" w:rsidR="00DE2755" w:rsidRDefault="00DE2755" w:rsidP="00F3325C">
      <w:pPr>
        <w:keepLines/>
        <w:spacing w:after="0" w:line="240" w:lineRule="auto"/>
        <w:rPr>
          <w:sz w:val="24"/>
          <w:szCs w:val="24"/>
        </w:rPr>
      </w:pPr>
      <w:bookmarkStart w:id="1" w:name="_Hlk103963851"/>
      <w:r w:rsidRPr="00E117B1">
        <w:rPr>
          <w:sz w:val="24"/>
          <w:szCs w:val="24"/>
        </w:rPr>
        <w:lastRenderedPageBreak/>
        <w:t>Th</w:t>
      </w:r>
      <w:r>
        <w:rPr>
          <w:sz w:val="24"/>
          <w:szCs w:val="24"/>
        </w:rPr>
        <w:t xml:space="preserve">e Bill makes amendments to expressly permit the taking and accrual of annual and long service leave and also retains the existing clarification under section 46 of the WC Act that weekly payments are </w:t>
      </w:r>
      <w:r w:rsidRPr="00E117B1">
        <w:rPr>
          <w:sz w:val="24"/>
          <w:szCs w:val="24"/>
        </w:rPr>
        <w:t>not intended to affect any other entitlement of a worker to a benefit or payment (th</w:t>
      </w:r>
      <w:r>
        <w:rPr>
          <w:sz w:val="24"/>
          <w:szCs w:val="24"/>
        </w:rPr>
        <w:t>at</w:t>
      </w:r>
      <w:r w:rsidRPr="00E117B1">
        <w:rPr>
          <w:sz w:val="24"/>
          <w:szCs w:val="24"/>
        </w:rPr>
        <w:t xml:space="preserve"> is not leave) under any other law in force in the ACT.</w:t>
      </w:r>
    </w:p>
    <w:bookmarkEnd w:id="1"/>
    <w:p w14:paraId="2E2AEA88" w14:textId="77777777" w:rsidR="00DE2755" w:rsidRDefault="00DE2755" w:rsidP="00DE2755">
      <w:pPr>
        <w:spacing w:after="0" w:line="240" w:lineRule="auto"/>
        <w:rPr>
          <w:sz w:val="24"/>
          <w:szCs w:val="24"/>
        </w:rPr>
      </w:pPr>
    </w:p>
    <w:p w14:paraId="3F74317B" w14:textId="77777777" w:rsidR="00DE2755" w:rsidRPr="008309E9" w:rsidRDefault="00DE2755" w:rsidP="00DE2755">
      <w:pPr>
        <w:spacing w:after="0" w:line="240" w:lineRule="auto"/>
        <w:rPr>
          <w:sz w:val="24"/>
          <w:szCs w:val="24"/>
        </w:rPr>
      </w:pPr>
      <w:r>
        <w:rPr>
          <w:sz w:val="24"/>
          <w:szCs w:val="24"/>
        </w:rPr>
        <w:t>U</w:t>
      </w:r>
      <w:r w:rsidRPr="008309E9">
        <w:rPr>
          <w:sz w:val="24"/>
          <w:szCs w:val="24"/>
        </w:rPr>
        <w:t xml:space="preserve">nder the WC Regulation </w:t>
      </w:r>
      <w:r>
        <w:rPr>
          <w:sz w:val="24"/>
          <w:szCs w:val="24"/>
        </w:rPr>
        <w:t>t</w:t>
      </w:r>
      <w:r w:rsidRPr="008309E9">
        <w:rPr>
          <w:sz w:val="24"/>
          <w:szCs w:val="24"/>
        </w:rPr>
        <w:t xml:space="preserve">he existing penalties for insurers </w:t>
      </w:r>
      <w:r>
        <w:rPr>
          <w:sz w:val="24"/>
          <w:szCs w:val="24"/>
        </w:rPr>
        <w:t>are</w:t>
      </w:r>
      <w:r w:rsidRPr="008309E9">
        <w:rPr>
          <w:sz w:val="24"/>
          <w:szCs w:val="24"/>
        </w:rPr>
        <w:t xml:space="preserve"> not </w:t>
      </w:r>
      <w:r>
        <w:rPr>
          <w:sz w:val="24"/>
          <w:szCs w:val="24"/>
        </w:rPr>
        <w:t xml:space="preserve">considered to be </w:t>
      </w:r>
      <w:r w:rsidRPr="008309E9">
        <w:rPr>
          <w:sz w:val="24"/>
          <w:szCs w:val="24"/>
        </w:rPr>
        <w:t>proportionate or an effective deterrent to non-compliance by licensees and are not consistent with other jurisdictions. The regulation-making power in section 223 of the WC Act caps:</w:t>
      </w:r>
    </w:p>
    <w:p w14:paraId="679B1FDC" w14:textId="77777777" w:rsidR="00DE2755" w:rsidRPr="008309E9" w:rsidRDefault="00DE2755" w:rsidP="00DE2755">
      <w:pPr>
        <w:pStyle w:val="ListParagraph"/>
        <w:numPr>
          <w:ilvl w:val="0"/>
          <w:numId w:val="14"/>
        </w:numPr>
        <w:spacing w:after="0" w:line="240" w:lineRule="auto"/>
        <w:rPr>
          <w:sz w:val="24"/>
          <w:szCs w:val="24"/>
        </w:rPr>
      </w:pPr>
      <w:r w:rsidRPr="008309E9">
        <w:rPr>
          <w:sz w:val="24"/>
          <w:szCs w:val="24"/>
        </w:rPr>
        <w:t>offences to 10 penalty units ($1,600 for individuals and $8,100 for corporations); and</w:t>
      </w:r>
    </w:p>
    <w:p w14:paraId="45223581" w14:textId="77777777" w:rsidR="00DE2755" w:rsidRPr="008309E9" w:rsidRDefault="00DE2755" w:rsidP="00DE2755">
      <w:pPr>
        <w:pStyle w:val="ListParagraph"/>
        <w:numPr>
          <w:ilvl w:val="0"/>
          <w:numId w:val="14"/>
        </w:numPr>
        <w:spacing w:after="0" w:line="240" w:lineRule="auto"/>
        <w:rPr>
          <w:sz w:val="24"/>
          <w:szCs w:val="24"/>
        </w:rPr>
      </w:pPr>
      <w:r w:rsidRPr="008309E9">
        <w:rPr>
          <w:sz w:val="24"/>
          <w:szCs w:val="24"/>
        </w:rPr>
        <w:t>financial penalties on licensees and approved rehabilitation providers for no</w:t>
      </w:r>
      <w:r>
        <w:rPr>
          <w:sz w:val="24"/>
          <w:szCs w:val="24"/>
        </w:rPr>
        <w:t>n-</w:t>
      </w:r>
      <w:r w:rsidRPr="008309E9">
        <w:rPr>
          <w:sz w:val="24"/>
          <w:szCs w:val="24"/>
        </w:rPr>
        <w:t>compliance at $1,000.</w:t>
      </w:r>
    </w:p>
    <w:p w14:paraId="4C6B75FF" w14:textId="77777777" w:rsidR="00DE2755" w:rsidRDefault="00DE2755" w:rsidP="00DE2755">
      <w:pPr>
        <w:spacing w:after="0" w:line="240" w:lineRule="auto"/>
        <w:rPr>
          <w:sz w:val="24"/>
          <w:szCs w:val="24"/>
        </w:rPr>
      </w:pPr>
    </w:p>
    <w:p w14:paraId="519A9333" w14:textId="77777777" w:rsidR="00DE2755" w:rsidRDefault="00DE2755" w:rsidP="00DE2755">
      <w:pPr>
        <w:spacing w:after="0" w:line="240" w:lineRule="auto"/>
        <w:rPr>
          <w:sz w:val="24"/>
          <w:szCs w:val="24"/>
        </w:rPr>
      </w:pPr>
      <w:r w:rsidRPr="008309E9">
        <w:rPr>
          <w:sz w:val="24"/>
          <w:szCs w:val="24"/>
        </w:rPr>
        <w:t>For example, this provision operates to limit the penalties that apply under the WC Regulation for insurers and self-insurers who contravene the WC Act or do not comply with the conditions of their licences to $1,000.</w:t>
      </w:r>
    </w:p>
    <w:p w14:paraId="320DE405" w14:textId="77777777" w:rsidR="00DE2755" w:rsidRDefault="00DE2755" w:rsidP="00DE2755">
      <w:pPr>
        <w:spacing w:after="0" w:line="240" w:lineRule="auto"/>
        <w:rPr>
          <w:sz w:val="24"/>
          <w:szCs w:val="24"/>
        </w:rPr>
      </w:pPr>
    </w:p>
    <w:p w14:paraId="59F15B26" w14:textId="77777777" w:rsidR="00DE2755" w:rsidRDefault="00DE2755" w:rsidP="00DE2755">
      <w:pPr>
        <w:spacing w:after="0" w:line="240" w:lineRule="auto"/>
        <w:rPr>
          <w:sz w:val="24"/>
          <w:szCs w:val="24"/>
        </w:rPr>
      </w:pPr>
      <w:r>
        <w:rPr>
          <w:sz w:val="24"/>
          <w:szCs w:val="24"/>
        </w:rPr>
        <w:t xml:space="preserve">The Bill amends the caps in section 223 of </w:t>
      </w:r>
      <w:r w:rsidRPr="008309E9">
        <w:rPr>
          <w:sz w:val="24"/>
          <w:szCs w:val="24"/>
        </w:rPr>
        <w:t>the WC Act</w:t>
      </w:r>
      <w:r>
        <w:rPr>
          <w:sz w:val="24"/>
          <w:szCs w:val="24"/>
        </w:rPr>
        <w:t xml:space="preserve">. The caps will be increased in the </w:t>
      </w:r>
      <w:r>
        <w:rPr>
          <w:sz w:val="24"/>
          <w:szCs w:val="24"/>
        </w:rPr>
        <w:br/>
        <w:t xml:space="preserve">WC Regulation as follows: </w:t>
      </w:r>
    </w:p>
    <w:p w14:paraId="1B4297A6" w14:textId="77777777" w:rsidR="00DE2755" w:rsidRPr="008309E9" w:rsidRDefault="00DE2755" w:rsidP="00DE2755">
      <w:pPr>
        <w:pStyle w:val="ListParagraph"/>
        <w:numPr>
          <w:ilvl w:val="0"/>
          <w:numId w:val="14"/>
        </w:numPr>
        <w:spacing w:after="0" w:line="240" w:lineRule="auto"/>
        <w:rPr>
          <w:sz w:val="24"/>
          <w:szCs w:val="24"/>
        </w:rPr>
      </w:pPr>
      <w:bookmarkStart w:id="2" w:name="_Hlk103963983"/>
      <w:r>
        <w:rPr>
          <w:sz w:val="24"/>
          <w:szCs w:val="24"/>
        </w:rPr>
        <w:t>up to 20</w:t>
      </w:r>
      <w:r w:rsidRPr="008309E9">
        <w:rPr>
          <w:sz w:val="24"/>
          <w:szCs w:val="24"/>
        </w:rPr>
        <w:t xml:space="preserve"> penalty units </w:t>
      </w:r>
      <w:r>
        <w:rPr>
          <w:sz w:val="24"/>
          <w:szCs w:val="24"/>
        </w:rPr>
        <w:t>for offences</w:t>
      </w:r>
      <w:r w:rsidRPr="008309E9">
        <w:rPr>
          <w:sz w:val="24"/>
          <w:szCs w:val="24"/>
        </w:rPr>
        <w:t>; and</w:t>
      </w:r>
    </w:p>
    <w:p w14:paraId="64C082C9" w14:textId="77777777" w:rsidR="00DE2755" w:rsidRPr="008309E9" w:rsidRDefault="00DE2755" w:rsidP="00DE2755">
      <w:pPr>
        <w:pStyle w:val="ListParagraph"/>
        <w:numPr>
          <w:ilvl w:val="0"/>
          <w:numId w:val="14"/>
        </w:numPr>
        <w:spacing w:after="0" w:line="240" w:lineRule="auto"/>
        <w:rPr>
          <w:sz w:val="24"/>
          <w:szCs w:val="24"/>
        </w:rPr>
      </w:pPr>
      <w:r>
        <w:rPr>
          <w:sz w:val="24"/>
          <w:szCs w:val="24"/>
        </w:rPr>
        <w:t xml:space="preserve">up to $17,000 for </w:t>
      </w:r>
      <w:r w:rsidRPr="008309E9">
        <w:rPr>
          <w:sz w:val="24"/>
          <w:szCs w:val="24"/>
        </w:rPr>
        <w:t>financial penalties on licensees and approved rehabilitation providers for no</w:t>
      </w:r>
      <w:r>
        <w:rPr>
          <w:sz w:val="24"/>
          <w:szCs w:val="24"/>
        </w:rPr>
        <w:t>n-</w:t>
      </w:r>
      <w:r w:rsidRPr="008309E9">
        <w:rPr>
          <w:sz w:val="24"/>
          <w:szCs w:val="24"/>
        </w:rPr>
        <w:t>compliance.</w:t>
      </w:r>
    </w:p>
    <w:bookmarkEnd w:id="2"/>
    <w:p w14:paraId="48663DCC" w14:textId="77777777" w:rsidR="00DE2755" w:rsidRDefault="00DE2755" w:rsidP="00DE2755">
      <w:pPr>
        <w:spacing w:after="0" w:line="240" w:lineRule="auto"/>
        <w:rPr>
          <w:sz w:val="24"/>
          <w:szCs w:val="24"/>
        </w:rPr>
      </w:pPr>
    </w:p>
    <w:p w14:paraId="155DA0B7" w14:textId="77777777" w:rsidR="00DE2755" w:rsidRDefault="00DE2755" w:rsidP="00DE2755">
      <w:pPr>
        <w:spacing w:after="0" w:line="240" w:lineRule="auto"/>
        <w:rPr>
          <w:sz w:val="24"/>
          <w:szCs w:val="24"/>
        </w:rPr>
      </w:pPr>
      <w:r>
        <w:rPr>
          <w:sz w:val="24"/>
          <w:szCs w:val="24"/>
        </w:rPr>
        <w:t>These amendments will allow</w:t>
      </w:r>
      <w:r w:rsidRPr="008309E9">
        <w:rPr>
          <w:sz w:val="24"/>
          <w:szCs w:val="24"/>
        </w:rPr>
        <w:t xml:space="preserve"> the WC Regulation</w:t>
      </w:r>
      <w:r>
        <w:rPr>
          <w:sz w:val="24"/>
          <w:szCs w:val="24"/>
        </w:rPr>
        <w:t xml:space="preserve"> to more appropriately deal with penalties and better </w:t>
      </w:r>
      <w:r w:rsidRPr="008309E9">
        <w:rPr>
          <w:sz w:val="24"/>
          <w:szCs w:val="24"/>
        </w:rPr>
        <w:t xml:space="preserve">align </w:t>
      </w:r>
      <w:r>
        <w:rPr>
          <w:sz w:val="24"/>
          <w:szCs w:val="24"/>
        </w:rPr>
        <w:t xml:space="preserve">them </w:t>
      </w:r>
      <w:r w:rsidRPr="008309E9">
        <w:rPr>
          <w:sz w:val="24"/>
          <w:szCs w:val="24"/>
        </w:rPr>
        <w:t>with the level and severity of the offence</w:t>
      </w:r>
      <w:r>
        <w:rPr>
          <w:sz w:val="24"/>
          <w:szCs w:val="24"/>
        </w:rPr>
        <w:t>. The change would</w:t>
      </w:r>
      <w:r w:rsidRPr="008309E9">
        <w:rPr>
          <w:sz w:val="24"/>
          <w:szCs w:val="24"/>
        </w:rPr>
        <w:t xml:space="preserve"> better encourage compliance</w:t>
      </w:r>
      <w:r>
        <w:rPr>
          <w:sz w:val="24"/>
          <w:szCs w:val="24"/>
        </w:rPr>
        <w:t xml:space="preserve"> with the WC Act and WC Regulation</w:t>
      </w:r>
      <w:r w:rsidRPr="008309E9">
        <w:rPr>
          <w:sz w:val="24"/>
          <w:szCs w:val="24"/>
        </w:rPr>
        <w:t>.</w:t>
      </w:r>
    </w:p>
    <w:p w14:paraId="43EB4BA5" w14:textId="77777777" w:rsidR="00DE2755" w:rsidRDefault="00DE2755" w:rsidP="00DE2755">
      <w:pPr>
        <w:spacing w:after="0" w:line="240" w:lineRule="auto"/>
        <w:rPr>
          <w:sz w:val="24"/>
          <w:szCs w:val="24"/>
        </w:rPr>
      </w:pPr>
    </w:p>
    <w:p w14:paraId="34C1D780" w14:textId="77777777" w:rsidR="00DE2755" w:rsidRPr="008309E9" w:rsidRDefault="00DE2755" w:rsidP="00DE2755">
      <w:pPr>
        <w:spacing w:after="0" w:line="240" w:lineRule="auto"/>
        <w:rPr>
          <w:sz w:val="24"/>
          <w:szCs w:val="24"/>
        </w:rPr>
      </w:pPr>
      <w:r>
        <w:rPr>
          <w:sz w:val="24"/>
          <w:szCs w:val="24"/>
        </w:rPr>
        <w:t>This amendment would</w:t>
      </w:r>
      <w:r w:rsidRPr="00E53871">
        <w:rPr>
          <w:sz w:val="24"/>
          <w:szCs w:val="24"/>
        </w:rPr>
        <w:t xml:space="preserve"> not have an immediate effect on penalty levels</w:t>
      </w:r>
      <w:r>
        <w:rPr>
          <w:sz w:val="24"/>
          <w:szCs w:val="24"/>
        </w:rPr>
        <w:t xml:space="preserve"> as these would be progressed by subsequent amendments to the WC Regulation. </w:t>
      </w:r>
    </w:p>
    <w:p w14:paraId="0B752C2F" w14:textId="77777777" w:rsidR="00DE2755" w:rsidRDefault="00DE2755" w:rsidP="00DE2755">
      <w:pPr>
        <w:spacing w:after="0" w:line="240" w:lineRule="auto"/>
        <w:rPr>
          <w:sz w:val="24"/>
          <w:szCs w:val="24"/>
        </w:rPr>
      </w:pPr>
    </w:p>
    <w:p w14:paraId="292CC305" w14:textId="68B16F44" w:rsidR="00DE2755" w:rsidRDefault="00DE2755" w:rsidP="00DE2755">
      <w:pPr>
        <w:spacing w:after="0" w:line="240" w:lineRule="auto"/>
        <w:rPr>
          <w:sz w:val="24"/>
          <w:szCs w:val="24"/>
        </w:rPr>
      </w:pPr>
      <w:r>
        <w:rPr>
          <w:sz w:val="24"/>
          <w:szCs w:val="24"/>
        </w:rPr>
        <w:t>The Bill also amends section 113 of the WC Act which</w:t>
      </w:r>
      <w:r w:rsidRPr="008309E9">
        <w:rPr>
          <w:sz w:val="24"/>
          <w:szCs w:val="24"/>
        </w:rPr>
        <w:t xml:space="preserve"> </w:t>
      </w:r>
      <w:r>
        <w:rPr>
          <w:sz w:val="24"/>
          <w:szCs w:val="24"/>
        </w:rPr>
        <w:t>provides that a</w:t>
      </w:r>
      <w:r w:rsidRPr="008309E9">
        <w:rPr>
          <w:sz w:val="24"/>
          <w:szCs w:val="24"/>
        </w:rPr>
        <w:t xml:space="preserve"> written notice by an insurer proposing to cease weekly payments on certain grounds </w:t>
      </w:r>
      <w:r>
        <w:rPr>
          <w:sz w:val="24"/>
          <w:szCs w:val="24"/>
        </w:rPr>
        <w:t xml:space="preserve">is </w:t>
      </w:r>
      <w:r w:rsidRPr="008309E9">
        <w:rPr>
          <w:sz w:val="24"/>
          <w:szCs w:val="24"/>
        </w:rPr>
        <w:t xml:space="preserve">to be provided to the </w:t>
      </w:r>
      <w:r>
        <w:rPr>
          <w:sz w:val="24"/>
          <w:szCs w:val="24"/>
        </w:rPr>
        <w:t xml:space="preserve">Minister. The amendment to section 113 changes this notification to the </w:t>
      </w:r>
      <w:r w:rsidRPr="008309E9">
        <w:rPr>
          <w:sz w:val="24"/>
          <w:szCs w:val="24"/>
        </w:rPr>
        <w:t>regulator, WorkSafe ACT, rather than the Minister. This is considered to be more appropriately aligned with regulatory functions being performed by the regulator and aligns with current delegations operating for this function.</w:t>
      </w:r>
      <w:r>
        <w:rPr>
          <w:sz w:val="24"/>
          <w:szCs w:val="24"/>
        </w:rPr>
        <w:t xml:space="preserve"> </w:t>
      </w:r>
      <w:r w:rsidRPr="00E53871">
        <w:rPr>
          <w:sz w:val="24"/>
          <w:szCs w:val="24"/>
        </w:rPr>
        <w:t xml:space="preserve">The regulator under the WC Act is the regulator under the </w:t>
      </w:r>
      <w:r w:rsidRPr="00E53871">
        <w:rPr>
          <w:i/>
          <w:iCs/>
          <w:sz w:val="24"/>
          <w:szCs w:val="24"/>
        </w:rPr>
        <w:t>Work Health and Safety Act 2011</w:t>
      </w:r>
      <w:r w:rsidRPr="00E53871">
        <w:rPr>
          <w:sz w:val="24"/>
          <w:szCs w:val="24"/>
        </w:rPr>
        <w:t>.</w:t>
      </w:r>
    </w:p>
    <w:p w14:paraId="7A066781" w14:textId="62BDBDF7" w:rsidR="00DE2755" w:rsidRDefault="00DE2755" w:rsidP="00DE2755">
      <w:pPr>
        <w:spacing w:after="0" w:line="240" w:lineRule="auto"/>
        <w:rPr>
          <w:sz w:val="24"/>
          <w:szCs w:val="24"/>
        </w:rPr>
      </w:pPr>
    </w:p>
    <w:p w14:paraId="6A2255A5" w14:textId="77777777" w:rsidR="00B12617" w:rsidRPr="00ED282E" w:rsidRDefault="00B12617" w:rsidP="00B12617">
      <w:pPr>
        <w:spacing w:after="0" w:line="240" w:lineRule="auto"/>
        <w:rPr>
          <w:b/>
          <w:i/>
          <w:iCs/>
          <w:sz w:val="24"/>
          <w:szCs w:val="24"/>
          <w:u w:val="single"/>
        </w:rPr>
      </w:pPr>
      <w:r w:rsidRPr="00ED282E">
        <w:rPr>
          <w:b/>
          <w:i/>
          <w:iCs/>
          <w:sz w:val="24"/>
          <w:szCs w:val="24"/>
          <w:u w:val="single"/>
        </w:rPr>
        <w:t>Work Health and Safety Act 2011</w:t>
      </w:r>
    </w:p>
    <w:p w14:paraId="3A005314" w14:textId="77777777" w:rsidR="00CD32D1" w:rsidRDefault="00CD32D1" w:rsidP="00CD32D1">
      <w:pPr>
        <w:spacing w:after="0" w:line="240" w:lineRule="auto"/>
        <w:rPr>
          <w:sz w:val="24"/>
          <w:szCs w:val="24"/>
        </w:rPr>
      </w:pPr>
      <w:r>
        <w:rPr>
          <w:sz w:val="24"/>
          <w:szCs w:val="24"/>
        </w:rPr>
        <w:t xml:space="preserve">The </w:t>
      </w:r>
      <w:r>
        <w:rPr>
          <w:i/>
          <w:iCs/>
          <w:sz w:val="24"/>
          <w:szCs w:val="24"/>
        </w:rPr>
        <w:t>Work Health and Safety Act 2011</w:t>
      </w:r>
      <w:r>
        <w:rPr>
          <w:sz w:val="24"/>
          <w:szCs w:val="24"/>
        </w:rPr>
        <w:t xml:space="preserve"> (WHS Act) sets out the framework for securing the health and safety of workers and workplaces. The WHS Act adopts the nationally agreed model WHS laws in the Territory.</w:t>
      </w:r>
    </w:p>
    <w:p w14:paraId="7CDBF122" w14:textId="77777777" w:rsidR="00CD32D1" w:rsidRDefault="00CD32D1" w:rsidP="00B12617">
      <w:pPr>
        <w:spacing w:after="0" w:line="240" w:lineRule="auto"/>
        <w:rPr>
          <w:sz w:val="24"/>
          <w:szCs w:val="24"/>
        </w:rPr>
      </w:pPr>
    </w:p>
    <w:p w14:paraId="2DDFE826" w14:textId="77777777" w:rsidR="00DE2755" w:rsidRDefault="00DE2755" w:rsidP="00ED282E">
      <w:pPr>
        <w:spacing w:after="0" w:line="240" w:lineRule="auto"/>
        <w:rPr>
          <w:bCs/>
          <w:sz w:val="24"/>
          <w:szCs w:val="24"/>
        </w:rPr>
      </w:pPr>
    </w:p>
    <w:p w14:paraId="33A14E4A" w14:textId="059B3228" w:rsidR="00ED282E" w:rsidRPr="00CD32D1" w:rsidRDefault="00ED282E" w:rsidP="00ED282E">
      <w:pPr>
        <w:spacing w:after="0" w:line="240" w:lineRule="auto"/>
        <w:rPr>
          <w:bCs/>
          <w:sz w:val="24"/>
          <w:szCs w:val="24"/>
        </w:rPr>
      </w:pPr>
      <w:r>
        <w:rPr>
          <w:bCs/>
          <w:sz w:val="24"/>
          <w:szCs w:val="24"/>
        </w:rPr>
        <w:lastRenderedPageBreak/>
        <w:t>T</w:t>
      </w:r>
      <w:r w:rsidRPr="00D214CC">
        <w:rPr>
          <w:bCs/>
          <w:sz w:val="24"/>
          <w:szCs w:val="24"/>
        </w:rPr>
        <w:t xml:space="preserve">he </w:t>
      </w:r>
      <w:r w:rsidRPr="008B5C5D">
        <w:rPr>
          <w:bCs/>
          <w:sz w:val="24"/>
          <w:szCs w:val="24"/>
        </w:rPr>
        <w:t>Workplace Legislation Amendment Bill 2022</w:t>
      </w:r>
      <w:r>
        <w:rPr>
          <w:bCs/>
          <w:sz w:val="24"/>
          <w:szCs w:val="24"/>
        </w:rPr>
        <w:t xml:space="preserve"> proposes a</w:t>
      </w:r>
      <w:r w:rsidRPr="00CD32D1">
        <w:rPr>
          <w:bCs/>
          <w:sz w:val="24"/>
          <w:szCs w:val="24"/>
        </w:rPr>
        <w:t xml:space="preserve">mendments to the WHS Act and WHS Regulation </w:t>
      </w:r>
      <w:r>
        <w:rPr>
          <w:bCs/>
          <w:sz w:val="24"/>
          <w:szCs w:val="24"/>
        </w:rPr>
        <w:t>relate</w:t>
      </w:r>
      <w:r w:rsidRPr="00CD32D1">
        <w:rPr>
          <w:bCs/>
          <w:sz w:val="24"/>
          <w:szCs w:val="24"/>
        </w:rPr>
        <w:t xml:space="preserve"> to:</w:t>
      </w:r>
    </w:p>
    <w:p w14:paraId="4E454C0B" w14:textId="77777777" w:rsidR="00ED282E" w:rsidRPr="00CD32D1" w:rsidRDefault="00ED282E" w:rsidP="00ED282E">
      <w:pPr>
        <w:pStyle w:val="ListParagraph"/>
        <w:numPr>
          <w:ilvl w:val="0"/>
          <w:numId w:val="18"/>
        </w:numPr>
        <w:spacing w:before="240" w:after="120" w:line="240" w:lineRule="auto"/>
        <w:rPr>
          <w:bCs/>
          <w:sz w:val="24"/>
          <w:szCs w:val="24"/>
        </w:rPr>
      </w:pPr>
      <w:r w:rsidRPr="00CD32D1">
        <w:rPr>
          <w:bCs/>
          <w:sz w:val="24"/>
          <w:szCs w:val="24"/>
        </w:rPr>
        <w:t>the implementation of a number of Boland Review recommendations; and</w:t>
      </w:r>
    </w:p>
    <w:p w14:paraId="53830FB2" w14:textId="77777777" w:rsidR="00ED282E" w:rsidRPr="00CD32D1" w:rsidRDefault="00ED282E" w:rsidP="00ED282E">
      <w:pPr>
        <w:pStyle w:val="ListParagraph"/>
        <w:numPr>
          <w:ilvl w:val="0"/>
          <w:numId w:val="18"/>
        </w:numPr>
        <w:spacing w:before="240" w:after="120" w:line="240" w:lineRule="auto"/>
        <w:ind w:left="714" w:hanging="357"/>
        <w:rPr>
          <w:bCs/>
          <w:sz w:val="24"/>
          <w:szCs w:val="24"/>
        </w:rPr>
      </w:pPr>
      <w:r w:rsidRPr="00CD32D1">
        <w:rPr>
          <w:bCs/>
          <w:sz w:val="24"/>
          <w:szCs w:val="24"/>
        </w:rPr>
        <w:t xml:space="preserve">the notification of </w:t>
      </w:r>
      <w:r>
        <w:rPr>
          <w:bCs/>
          <w:sz w:val="24"/>
          <w:szCs w:val="24"/>
        </w:rPr>
        <w:t xml:space="preserve">a </w:t>
      </w:r>
      <w:r w:rsidRPr="00CD32D1">
        <w:rPr>
          <w:bCs/>
          <w:sz w:val="24"/>
          <w:szCs w:val="24"/>
        </w:rPr>
        <w:t xml:space="preserve">sexual assault </w:t>
      </w:r>
      <w:r>
        <w:rPr>
          <w:bCs/>
          <w:sz w:val="24"/>
          <w:szCs w:val="24"/>
        </w:rPr>
        <w:t>incident at</w:t>
      </w:r>
      <w:r w:rsidRPr="00CD32D1">
        <w:rPr>
          <w:bCs/>
          <w:sz w:val="24"/>
          <w:szCs w:val="24"/>
        </w:rPr>
        <w:t xml:space="preserve"> the workplace to the work </w:t>
      </w:r>
      <w:r>
        <w:rPr>
          <w:bCs/>
          <w:sz w:val="24"/>
          <w:szCs w:val="24"/>
        </w:rPr>
        <w:t xml:space="preserve">health and </w:t>
      </w:r>
      <w:r w:rsidRPr="00CD32D1">
        <w:rPr>
          <w:bCs/>
          <w:sz w:val="24"/>
          <w:szCs w:val="24"/>
        </w:rPr>
        <w:t>safety regulator under</w:t>
      </w:r>
      <w:r>
        <w:rPr>
          <w:bCs/>
          <w:sz w:val="24"/>
          <w:szCs w:val="24"/>
        </w:rPr>
        <w:t xml:space="preserve"> the</w:t>
      </w:r>
      <w:r w:rsidRPr="00CD32D1">
        <w:rPr>
          <w:bCs/>
          <w:sz w:val="24"/>
          <w:szCs w:val="24"/>
        </w:rPr>
        <w:t xml:space="preserve"> incident notification provisions.</w:t>
      </w:r>
    </w:p>
    <w:p w14:paraId="65FE075D" w14:textId="77777777" w:rsidR="00ED282E" w:rsidRDefault="00ED282E" w:rsidP="00ED282E">
      <w:pPr>
        <w:spacing w:after="0" w:line="240" w:lineRule="auto"/>
        <w:rPr>
          <w:bCs/>
          <w:sz w:val="24"/>
          <w:szCs w:val="24"/>
        </w:rPr>
      </w:pPr>
    </w:p>
    <w:p w14:paraId="5D6D639C" w14:textId="77777777" w:rsidR="00ED282E" w:rsidRPr="00CD32D1" w:rsidRDefault="00ED282E" w:rsidP="00ED282E">
      <w:pPr>
        <w:spacing w:after="0" w:line="240" w:lineRule="auto"/>
        <w:rPr>
          <w:bCs/>
          <w:sz w:val="24"/>
          <w:szCs w:val="24"/>
          <w:u w:val="single"/>
        </w:rPr>
      </w:pPr>
      <w:r w:rsidRPr="00CD32D1">
        <w:rPr>
          <w:bCs/>
          <w:sz w:val="24"/>
          <w:szCs w:val="24"/>
          <w:u w:val="single"/>
        </w:rPr>
        <w:t>Implementation of Boland Review recommendations under the nationally agreed model WHS laws</w:t>
      </w:r>
    </w:p>
    <w:p w14:paraId="489335EE" w14:textId="77777777" w:rsidR="00ED282E" w:rsidRPr="00CD32D1" w:rsidRDefault="00ED282E" w:rsidP="00ED282E">
      <w:pPr>
        <w:spacing w:after="0" w:line="240" w:lineRule="auto"/>
        <w:rPr>
          <w:bCs/>
          <w:sz w:val="24"/>
          <w:szCs w:val="24"/>
        </w:rPr>
      </w:pPr>
      <w:r w:rsidRPr="00CD32D1">
        <w:rPr>
          <w:bCs/>
          <w:sz w:val="24"/>
          <w:szCs w:val="24"/>
        </w:rPr>
        <w:t>The ACT’s work health and safety</w:t>
      </w:r>
      <w:r>
        <w:rPr>
          <w:bCs/>
          <w:sz w:val="24"/>
          <w:szCs w:val="24"/>
        </w:rPr>
        <w:t xml:space="preserve"> (WHS)</w:t>
      </w:r>
      <w:r w:rsidRPr="00CD32D1">
        <w:rPr>
          <w:bCs/>
          <w:sz w:val="24"/>
          <w:szCs w:val="24"/>
        </w:rPr>
        <w:t xml:space="preserve"> laws adopt the nationally agreed model WHS laws as a signatory under the Intergovernmental Agreement for Regulatory and Operational Reform in Occupational Health and Safety (2008). </w:t>
      </w:r>
    </w:p>
    <w:p w14:paraId="5288D8A1" w14:textId="77777777" w:rsidR="00ED282E" w:rsidRDefault="00ED282E" w:rsidP="00ED282E">
      <w:pPr>
        <w:spacing w:after="0" w:line="240" w:lineRule="auto"/>
        <w:rPr>
          <w:bCs/>
          <w:sz w:val="24"/>
          <w:szCs w:val="24"/>
        </w:rPr>
      </w:pPr>
    </w:p>
    <w:p w14:paraId="66EB8B47" w14:textId="77777777" w:rsidR="00ED282E" w:rsidRPr="00CD32D1" w:rsidRDefault="00ED282E" w:rsidP="00ED282E">
      <w:pPr>
        <w:spacing w:after="0" w:line="240" w:lineRule="auto"/>
        <w:rPr>
          <w:bCs/>
          <w:sz w:val="24"/>
          <w:szCs w:val="24"/>
        </w:rPr>
      </w:pPr>
      <w:r w:rsidRPr="00CD32D1">
        <w:rPr>
          <w:bCs/>
          <w:sz w:val="24"/>
          <w:szCs w:val="24"/>
        </w:rPr>
        <w:t xml:space="preserve">In 2018, WHS Ministers requested Safe Work Australia review the model WHS laws, with a view to examine and report on the content and operation of the model WHS laws (this is known as the </w:t>
      </w:r>
      <w:hyperlink r:id="rId12" w:history="1">
        <w:r w:rsidRPr="008D52D3">
          <w:rPr>
            <w:rStyle w:val="Hyperlink"/>
            <w:bCs/>
            <w:sz w:val="24"/>
            <w:szCs w:val="24"/>
          </w:rPr>
          <w:t>Boland Review</w:t>
        </w:r>
      </w:hyperlink>
      <w:r w:rsidRPr="00CD32D1">
        <w:rPr>
          <w:bCs/>
          <w:sz w:val="24"/>
          <w:szCs w:val="24"/>
        </w:rPr>
        <w:t>). The final report was published in February 2019.</w:t>
      </w:r>
    </w:p>
    <w:p w14:paraId="754B071E" w14:textId="77777777" w:rsidR="00ED282E" w:rsidRDefault="00ED282E" w:rsidP="00ED282E">
      <w:pPr>
        <w:spacing w:after="0" w:line="240" w:lineRule="auto"/>
        <w:rPr>
          <w:bCs/>
          <w:sz w:val="24"/>
          <w:szCs w:val="24"/>
        </w:rPr>
      </w:pPr>
    </w:p>
    <w:p w14:paraId="5A5D126B" w14:textId="77777777" w:rsidR="00ED282E" w:rsidRPr="00CD32D1" w:rsidRDefault="00ED282E" w:rsidP="00ED282E">
      <w:pPr>
        <w:spacing w:after="0" w:line="240" w:lineRule="auto"/>
        <w:rPr>
          <w:bCs/>
          <w:sz w:val="24"/>
          <w:szCs w:val="24"/>
        </w:rPr>
      </w:pPr>
      <w:r w:rsidRPr="00CD32D1">
        <w:rPr>
          <w:bCs/>
          <w:sz w:val="24"/>
          <w:szCs w:val="24"/>
        </w:rPr>
        <w:t>In particular, the review considered whether the model WHS laws are operating as intended, and whether any areas of the model WHS laws had resulted in unintended consequences. The Boland Review made a number of recommendations to amend the model WHS laws. The Review was the subject of a regulatory impact assessment process to ensure that WHS Ministers were conversant about the potential impacts of the recommendations to the model WHS laws.</w:t>
      </w:r>
    </w:p>
    <w:p w14:paraId="3F986AEA" w14:textId="77777777" w:rsidR="00ED282E" w:rsidRDefault="00ED282E" w:rsidP="00ED282E">
      <w:pPr>
        <w:spacing w:after="0" w:line="240" w:lineRule="auto"/>
        <w:rPr>
          <w:bCs/>
          <w:sz w:val="24"/>
          <w:szCs w:val="24"/>
        </w:rPr>
      </w:pPr>
    </w:p>
    <w:p w14:paraId="554A56E4" w14:textId="77777777" w:rsidR="00ED282E" w:rsidRDefault="00ED282E" w:rsidP="00ED282E">
      <w:pPr>
        <w:spacing w:after="0" w:line="240" w:lineRule="auto"/>
        <w:rPr>
          <w:bCs/>
          <w:sz w:val="24"/>
          <w:szCs w:val="24"/>
        </w:rPr>
      </w:pPr>
      <w:r w:rsidRPr="00CD32D1">
        <w:rPr>
          <w:bCs/>
          <w:sz w:val="24"/>
          <w:szCs w:val="24"/>
        </w:rPr>
        <w:t>In May 2021, WHS Ministers agreed on actions for all 34 recommendations of the Review, and tasked Safe Work Australia, the national policy body responsible for maintaining the model WHS laws, with implementation of the recommendations.</w:t>
      </w:r>
    </w:p>
    <w:p w14:paraId="0A2B2118" w14:textId="77777777" w:rsidR="00ED282E" w:rsidRDefault="00ED282E" w:rsidP="00B12617">
      <w:pPr>
        <w:spacing w:after="0" w:line="240" w:lineRule="auto"/>
        <w:rPr>
          <w:sz w:val="24"/>
          <w:szCs w:val="24"/>
        </w:rPr>
      </w:pPr>
    </w:p>
    <w:p w14:paraId="5C345CB6" w14:textId="6D282F95" w:rsidR="00BC3BE9" w:rsidRDefault="00B12617" w:rsidP="006E6208">
      <w:pPr>
        <w:spacing w:after="0" w:line="240" w:lineRule="auto"/>
        <w:rPr>
          <w:sz w:val="24"/>
          <w:szCs w:val="24"/>
        </w:rPr>
      </w:pPr>
      <w:r w:rsidRPr="00B31FDA">
        <w:rPr>
          <w:sz w:val="24"/>
          <w:szCs w:val="24"/>
        </w:rPr>
        <w:t>Th</w:t>
      </w:r>
      <w:r w:rsidR="006E6208">
        <w:rPr>
          <w:sz w:val="24"/>
          <w:szCs w:val="24"/>
        </w:rPr>
        <w:t>is Amendment</w:t>
      </w:r>
      <w:r w:rsidRPr="00B31FDA">
        <w:rPr>
          <w:sz w:val="24"/>
          <w:szCs w:val="24"/>
        </w:rPr>
        <w:t xml:space="preserve"> </w:t>
      </w:r>
      <w:r>
        <w:rPr>
          <w:sz w:val="24"/>
          <w:szCs w:val="24"/>
        </w:rPr>
        <w:t xml:space="preserve">Bill amends the WHS Act to </w:t>
      </w:r>
      <w:r w:rsidR="00BC3BE9">
        <w:rPr>
          <w:sz w:val="24"/>
          <w:szCs w:val="24"/>
        </w:rPr>
        <w:t xml:space="preserve">implement </w:t>
      </w:r>
      <w:r w:rsidR="00BC3BE9" w:rsidRPr="006A2405">
        <w:rPr>
          <w:sz w:val="24"/>
          <w:szCs w:val="24"/>
        </w:rPr>
        <w:t>nine recommendations</w:t>
      </w:r>
      <w:r w:rsidR="00BC3BE9">
        <w:rPr>
          <w:sz w:val="24"/>
          <w:szCs w:val="24"/>
        </w:rPr>
        <w:t xml:space="preserve"> from the </w:t>
      </w:r>
      <w:r w:rsidR="005A50DB">
        <w:rPr>
          <w:sz w:val="24"/>
          <w:szCs w:val="24"/>
        </w:rPr>
        <w:t xml:space="preserve">2018 </w:t>
      </w:r>
      <w:r w:rsidR="00BC3BE9">
        <w:rPr>
          <w:sz w:val="24"/>
          <w:szCs w:val="24"/>
        </w:rPr>
        <w:t xml:space="preserve">Boland Review which </w:t>
      </w:r>
      <w:r w:rsidR="00BC3BE9" w:rsidRPr="00BC3BE9">
        <w:rPr>
          <w:sz w:val="24"/>
          <w:szCs w:val="24"/>
        </w:rPr>
        <w:t>examine</w:t>
      </w:r>
      <w:r w:rsidR="00BC3BE9">
        <w:rPr>
          <w:sz w:val="24"/>
          <w:szCs w:val="24"/>
        </w:rPr>
        <w:t>d</w:t>
      </w:r>
      <w:r w:rsidR="00BC3BE9" w:rsidRPr="00BC3BE9">
        <w:rPr>
          <w:sz w:val="24"/>
          <w:szCs w:val="24"/>
        </w:rPr>
        <w:t xml:space="preserve"> the content and operation of the model WHS laws</w:t>
      </w:r>
      <w:r>
        <w:rPr>
          <w:sz w:val="24"/>
          <w:szCs w:val="24"/>
        </w:rPr>
        <w:t>.</w:t>
      </w:r>
      <w:r w:rsidR="006E6208">
        <w:rPr>
          <w:sz w:val="24"/>
          <w:szCs w:val="24"/>
        </w:rPr>
        <w:t xml:space="preserve"> </w:t>
      </w:r>
      <w:r w:rsidR="00BC3BE9" w:rsidRPr="00BC3BE9">
        <w:rPr>
          <w:sz w:val="24"/>
          <w:szCs w:val="24"/>
        </w:rPr>
        <w:t xml:space="preserve">The amendments </w:t>
      </w:r>
      <w:r w:rsidR="008D52D3">
        <w:rPr>
          <w:sz w:val="24"/>
          <w:szCs w:val="24"/>
        </w:rPr>
        <w:t xml:space="preserve">to the WHS Act </w:t>
      </w:r>
      <w:r w:rsidR="00BC3BE9" w:rsidRPr="00BC3BE9">
        <w:rPr>
          <w:sz w:val="24"/>
          <w:szCs w:val="24"/>
        </w:rPr>
        <w:t>provide greater clarity for duty holders about work, health and safety obligations and include clarifying amendments to provide:</w:t>
      </w:r>
    </w:p>
    <w:p w14:paraId="327F5B24" w14:textId="77777777" w:rsidR="00BC3BE9" w:rsidRPr="00BC3BE9" w:rsidRDefault="00BC3BE9" w:rsidP="00BC3BE9">
      <w:pPr>
        <w:spacing w:after="0" w:line="240" w:lineRule="auto"/>
        <w:rPr>
          <w:sz w:val="24"/>
          <w:szCs w:val="24"/>
        </w:rPr>
      </w:pPr>
    </w:p>
    <w:p w14:paraId="5FD5A98D" w14:textId="326D3188" w:rsidR="00BC3BE9" w:rsidRDefault="00BC3BE9" w:rsidP="00DE2119">
      <w:pPr>
        <w:pStyle w:val="ListParagraph"/>
        <w:numPr>
          <w:ilvl w:val="0"/>
          <w:numId w:val="11"/>
        </w:numPr>
        <w:spacing w:after="0" w:line="240" w:lineRule="auto"/>
        <w:ind w:left="1080"/>
        <w:rPr>
          <w:sz w:val="24"/>
          <w:szCs w:val="24"/>
        </w:rPr>
      </w:pPr>
      <w:bookmarkStart w:id="3" w:name="_Hlk103774727"/>
      <w:r w:rsidRPr="00BC3BE9">
        <w:rPr>
          <w:sz w:val="24"/>
          <w:szCs w:val="24"/>
        </w:rPr>
        <w:t>health and safety representatives with improved support by persons who conduct a business or undertaking (PCBU) to attend required WHS training (</w:t>
      </w:r>
      <w:r w:rsidRPr="00BC3BE9">
        <w:rPr>
          <w:i/>
          <w:iCs/>
          <w:sz w:val="24"/>
          <w:szCs w:val="24"/>
        </w:rPr>
        <w:t>Boland Review Recommendation 10: HSR choice of training provider</w:t>
      </w:r>
      <w:r w:rsidRPr="00BC3BE9">
        <w:rPr>
          <w:sz w:val="24"/>
          <w:szCs w:val="24"/>
        </w:rPr>
        <w:t>);</w:t>
      </w:r>
    </w:p>
    <w:p w14:paraId="2211FE35" w14:textId="77777777" w:rsidR="00BC3BE9" w:rsidRPr="00BC3BE9" w:rsidRDefault="00BC3BE9" w:rsidP="00BC3BE9">
      <w:pPr>
        <w:pStyle w:val="ListParagraph"/>
        <w:spacing w:after="0" w:line="240" w:lineRule="auto"/>
        <w:ind w:left="1080"/>
        <w:rPr>
          <w:sz w:val="24"/>
          <w:szCs w:val="24"/>
        </w:rPr>
      </w:pPr>
    </w:p>
    <w:p w14:paraId="22D67498" w14:textId="39F0103F" w:rsidR="00BC3BE9" w:rsidRPr="00BC3BE9" w:rsidRDefault="00BC3BE9" w:rsidP="00DE2119">
      <w:pPr>
        <w:pStyle w:val="ListParagraph"/>
        <w:numPr>
          <w:ilvl w:val="0"/>
          <w:numId w:val="11"/>
        </w:numPr>
        <w:spacing w:after="0" w:line="240" w:lineRule="auto"/>
        <w:ind w:left="1080"/>
        <w:rPr>
          <w:sz w:val="24"/>
          <w:szCs w:val="24"/>
        </w:rPr>
      </w:pPr>
      <w:r w:rsidRPr="00BC3BE9">
        <w:rPr>
          <w:sz w:val="24"/>
          <w:szCs w:val="24"/>
        </w:rPr>
        <w:t>clarifying arrangements for the formation of workgroups (</w:t>
      </w:r>
      <w:r w:rsidRPr="00BC3BE9">
        <w:rPr>
          <w:i/>
          <w:iCs/>
          <w:sz w:val="24"/>
          <w:szCs w:val="24"/>
        </w:rPr>
        <w:t>Boland Review Recommendation 7b: Work group is negotiated with proposed workers</w:t>
      </w:r>
      <w:r w:rsidRPr="00BC3BE9">
        <w:rPr>
          <w:sz w:val="24"/>
          <w:szCs w:val="24"/>
        </w:rPr>
        <w:t xml:space="preserve">); </w:t>
      </w:r>
    </w:p>
    <w:p w14:paraId="0F391BFE" w14:textId="77777777" w:rsidR="00BC3BE9" w:rsidRDefault="00BC3BE9" w:rsidP="00BC3BE9">
      <w:pPr>
        <w:pStyle w:val="ListParagraph"/>
        <w:spacing w:after="0" w:line="240" w:lineRule="auto"/>
        <w:ind w:left="1080"/>
        <w:rPr>
          <w:sz w:val="24"/>
          <w:szCs w:val="24"/>
        </w:rPr>
      </w:pPr>
    </w:p>
    <w:p w14:paraId="1843B40D" w14:textId="4BC0EBCF" w:rsidR="00BC3BE9" w:rsidRDefault="00BC3BE9" w:rsidP="00DE2119">
      <w:pPr>
        <w:pStyle w:val="ListParagraph"/>
        <w:numPr>
          <w:ilvl w:val="0"/>
          <w:numId w:val="11"/>
        </w:numPr>
        <w:spacing w:after="0" w:line="240" w:lineRule="auto"/>
        <w:ind w:left="1080"/>
        <w:rPr>
          <w:sz w:val="24"/>
          <w:szCs w:val="24"/>
        </w:rPr>
      </w:pPr>
      <w:r w:rsidRPr="00BC3BE9">
        <w:rPr>
          <w:sz w:val="24"/>
          <w:szCs w:val="24"/>
        </w:rPr>
        <w:t>strengthened cross-border information sharing arrangements, and regulator requests for the production of information to assist investigations (</w:t>
      </w:r>
      <w:r w:rsidRPr="00BC3BE9">
        <w:rPr>
          <w:i/>
          <w:iCs/>
          <w:sz w:val="24"/>
          <w:szCs w:val="24"/>
        </w:rPr>
        <w:t xml:space="preserve">Boland Review Recommendation 18: Clarify that WHS regulators can obtain information relevant to investigations of potential breaches of the model WHS laws outside of </w:t>
      </w:r>
      <w:r w:rsidRPr="00BC3BE9">
        <w:rPr>
          <w:i/>
          <w:iCs/>
          <w:sz w:val="24"/>
          <w:szCs w:val="24"/>
        </w:rPr>
        <w:lastRenderedPageBreak/>
        <w:t>their jurisdiction and Recommendation 19: Enable cross-border information sharing between regulators</w:t>
      </w:r>
      <w:r w:rsidRPr="00BC3BE9">
        <w:rPr>
          <w:sz w:val="24"/>
          <w:szCs w:val="24"/>
        </w:rPr>
        <w:t xml:space="preserve">); </w:t>
      </w:r>
    </w:p>
    <w:p w14:paraId="3A3DD53C" w14:textId="77777777" w:rsidR="00BC3BE9" w:rsidRPr="00BC3BE9" w:rsidRDefault="00BC3BE9" w:rsidP="00BC3BE9">
      <w:pPr>
        <w:pStyle w:val="ListParagraph"/>
        <w:spacing w:after="0" w:line="240" w:lineRule="auto"/>
        <w:ind w:left="1080"/>
        <w:rPr>
          <w:sz w:val="24"/>
          <w:szCs w:val="24"/>
        </w:rPr>
      </w:pPr>
    </w:p>
    <w:p w14:paraId="785F1F7A" w14:textId="04B97439" w:rsidR="00BC3BE9" w:rsidRDefault="00BC3BE9" w:rsidP="00DE2119">
      <w:pPr>
        <w:pStyle w:val="ListParagraph"/>
        <w:numPr>
          <w:ilvl w:val="0"/>
          <w:numId w:val="11"/>
        </w:numPr>
        <w:spacing w:after="0" w:line="240" w:lineRule="auto"/>
        <w:ind w:left="1080"/>
        <w:rPr>
          <w:sz w:val="24"/>
          <w:szCs w:val="24"/>
        </w:rPr>
      </w:pPr>
      <w:r w:rsidRPr="00BC3BE9">
        <w:rPr>
          <w:sz w:val="24"/>
          <w:szCs w:val="24"/>
        </w:rPr>
        <w:t>the inclusion of a negligence fault element for category 1 offences, allowing for local jurisdictional terminology differences to be accommodated (</w:t>
      </w:r>
      <w:r w:rsidRPr="00BC3BE9">
        <w:rPr>
          <w:i/>
          <w:iCs/>
          <w:sz w:val="24"/>
          <w:szCs w:val="24"/>
        </w:rPr>
        <w:t>Boland Review Recommendation 23a: Enhance Category 1 offence</w:t>
      </w:r>
      <w:r w:rsidRPr="00BC3BE9">
        <w:rPr>
          <w:sz w:val="24"/>
          <w:szCs w:val="24"/>
        </w:rPr>
        <w:t xml:space="preserve">); </w:t>
      </w:r>
    </w:p>
    <w:p w14:paraId="6E4AEF08" w14:textId="77777777" w:rsidR="00BC3BE9" w:rsidRPr="00BC3BE9" w:rsidRDefault="00BC3BE9" w:rsidP="00BC3BE9">
      <w:pPr>
        <w:pStyle w:val="ListParagraph"/>
        <w:spacing w:after="0" w:line="240" w:lineRule="auto"/>
        <w:ind w:left="1080"/>
        <w:rPr>
          <w:sz w:val="24"/>
          <w:szCs w:val="24"/>
        </w:rPr>
      </w:pPr>
    </w:p>
    <w:p w14:paraId="74477378" w14:textId="7A3A92E2" w:rsidR="00BC3BE9" w:rsidRDefault="00BC3BE9" w:rsidP="00DE2119">
      <w:pPr>
        <w:pStyle w:val="ListParagraph"/>
        <w:numPr>
          <w:ilvl w:val="0"/>
          <w:numId w:val="11"/>
        </w:numPr>
        <w:spacing w:after="0" w:line="240" w:lineRule="auto"/>
        <w:ind w:left="1080"/>
        <w:rPr>
          <w:sz w:val="24"/>
          <w:szCs w:val="24"/>
        </w:rPr>
      </w:pPr>
      <w:r w:rsidRPr="00BC3BE9">
        <w:rPr>
          <w:sz w:val="24"/>
          <w:szCs w:val="24"/>
        </w:rPr>
        <w:t>alignment of the service and process provisions in relation to the production of information and documents (</w:t>
      </w:r>
      <w:r w:rsidRPr="00BC3BE9">
        <w:rPr>
          <w:i/>
          <w:iCs/>
          <w:sz w:val="24"/>
          <w:szCs w:val="24"/>
        </w:rPr>
        <w:t>Boland Review Recommendation 16: Align the process for the issuing and service of notices under the model WHS Act to provide clarity and consistency and Recommendation 17: Provide the ability for inspectors to require production of documents and answers to questions for 30 days after the day they or another inspector enter a workplace</w:t>
      </w:r>
      <w:r w:rsidRPr="00BC3BE9">
        <w:rPr>
          <w:sz w:val="24"/>
          <w:szCs w:val="24"/>
        </w:rPr>
        <w:t>);</w:t>
      </w:r>
    </w:p>
    <w:p w14:paraId="13752E8A" w14:textId="77777777" w:rsidR="00BC3BE9" w:rsidRPr="00BC3BE9" w:rsidRDefault="00BC3BE9" w:rsidP="00BC3BE9">
      <w:pPr>
        <w:pStyle w:val="ListParagraph"/>
        <w:spacing w:after="0" w:line="240" w:lineRule="auto"/>
        <w:ind w:left="1080"/>
        <w:rPr>
          <w:sz w:val="24"/>
          <w:szCs w:val="24"/>
        </w:rPr>
      </w:pPr>
    </w:p>
    <w:p w14:paraId="7425AF03" w14:textId="7946895D" w:rsidR="00BC3BE9" w:rsidRDefault="00BC3BE9" w:rsidP="00DE2119">
      <w:pPr>
        <w:pStyle w:val="ListParagraph"/>
        <w:numPr>
          <w:ilvl w:val="0"/>
          <w:numId w:val="11"/>
        </w:numPr>
        <w:spacing w:after="0" w:line="240" w:lineRule="auto"/>
        <w:ind w:left="1080"/>
        <w:rPr>
          <w:sz w:val="24"/>
          <w:szCs w:val="24"/>
        </w:rPr>
      </w:pPr>
      <w:r w:rsidRPr="00BC3BE9">
        <w:rPr>
          <w:sz w:val="24"/>
          <w:szCs w:val="24"/>
        </w:rPr>
        <w:t>for PCBUs to be prevented from entering into contracts of insurance to cover liabilities arising from financial penalties issued under the WHS Act for breach of duty (</w:t>
      </w:r>
      <w:r w:rsidRPr="00BC3BE9">
        <w:rPr>
          <w:i/>
          <w:iCs/>
          <w:sz w:val="24"/>
          <w:szCs w:val="24"/>
        </w:rPr>
        <w:t>Boland Review Recommendation 26: Prohibit insurance for WHS fines</w:t>
      </w:r>
      <w:r w:rsidRPr="00BC3BE9">
        <w:rPr>
          <w:sz w:val="24"/>
          <w:szCs w:val="24"/>
        </w:rPr>
        <w:t>); and</w:t>
      </w:r>
    </w:p>
    <w:p w14:paraId="74B46E66" w14:textId="77777777" w:rsidR="00BC3BE9" w:rsidRPr="00BC3BE9" w:rsidRDefault="00BC3BE9" w:rsidP="00BC3BE9">
      <w:pPr>
        <w:pStyle w:val="ListParagraph"/>
        <w:spacing w:after="0" w:line="240" w:lineRule="auto"/>
        <w:ind w:left="1080"/>
        <w:rPr>
          <w:sz w:val="24"/>
          <w:szCs w:val="24"/>
        </w:rPr>
      </w:pPr>
    </w:p>
    <w:p w14:paraId="2AD5D02E" w14:textId="6BF95E04" w:rsidR="00BC3BE9" w:rsidRPr="00BC3BE9" w:rsidRDefault="00BC3BE9" w:rsidP="00DE2119">
      <w:pPr>
        <w:pStyle w:val="ListParagraph"/>
        <w:numPr>
          <w:ilvl w:val="0"/>
          <w:numId w:val="11"/>
        </w:numPr>
        <w:spacing w:after="0" w:line="240" w:lineRule="auto"/>
        <w:ind w:left="1080"/>
        <w:rPr>
          <w:sz w:val="24"/>
          <w:szCs w:val="24"/>
        </w:rPr>
      </w:pPr>
      <w:r w:rsidRPr="00BC3BE9">
        <w:rPr>
          <w:sz w:val="24"/>
          <w:szCs w:val="24"/>
        </w:rPr>
        <w:t>improvements to the process and accountability for prosecutions under the WHS Act (</w:t>
      </w:r>
      <w:r w:rsidRPr="00BC3BE9">
        <w:rPr>
          <w:i/>
          <w:iCs/>
          <w:sz w:val="24"/>
          <w:szCs w:val="24"/>
        </w:rPr>
        <w:t>Boland Review Recommendation 24: Improve WHS regulator accountability for investigation progress</w:t>
      </w:r>
      <w:r w:rsidRPr="00BC3BE9">
        <w:rPr>
          <w:sz w:val="24"/>
          <w:szCs w:val="24"/>
        </w:rPr>
        <w:t>).</w:t>
      </w:r>
    </w:p>
    <w:bookmarkEnd w:id="3"/>
    <w:p w14:paraId="0B42F0C9" w14:textId="28D54E32" w:rsidR="00BC3BE9" w:rsidRDefault="00BC3BE9" w:rsidP="00B12617">
      <w:pPr>
        <w:spacing w:after="0" w:line="240" w:lineRule="auto"/>
        <w:rPr>
          <w:sz w:val="24"/>
          <w:szCs w:val="24"/>
        </w:rPr>
      </w:pPr>
    </w:p>
    <w:p w14:paraId="75C01E4C" w14:textId="77777777" w:rsidR="00BC3BE9" w:rsidRDefault="00BC3BE9" w:rsidP="00B12617">
      <w:pPr>
        <w:spacing w:after="0" w:line="240" w:lineRule="auto"/>
        <w:rPr>
          <w:sz w:val="24"/>
          <w:szCs w:val="24"/>
        </w:rPr>
      </w:pPr>
    </w:p>
    <w:p w14:paraId="6F8C361C" w14:textId="1E478DB3" w:rsidR="00BC3BE9" w:rsidRPr="00BC3BE9" w:rsidRDefault="00BC3BE9" w:rsidP="00ED282E">
      <w:pPr>
        <w:spacing w:after="0" w:line="240" w:lineRule="auto"/>
        <w:rPr>
          <w:sz w:val="24"/>
          <w:szCs w:val="24"/>
          <w:u w:val="single"/>
        </w:rPr>
      </w:pPr>
      <w:r>
        <w:rPr>
          <w:sz w:val="24"/>
          <w:szCs w:val="24"/>
          <w:u w:val="single"/>
        </w:rPr>
        <w:t xml:space="preserve">Changes to the incident notification provisions to include </w:t>
      </w:r>
      <w:r w:rsidRPr="00BC3BE9">
        <w:rPr>
          <w:sz w:val="24"/>
          <w:szCs w:val="24"/>
          <w:u w:val="single"/>
        </w:rPr>
        <w:t xml:space="preserve">sexual assault in the workplace </w:t>
      </w:r>
    </w:p>
    <w:p w14:paraId="5288E837" w14:textId="77777777" w:rsidR="00ED282E" w:rsidRPr="00CD32D1" w:rsidRDefault="00ED282E" w:rsidP="00ED282E">
      <w:pPr>
        <w:spacing w:after="0" w:line="240" w:lineRule="auto"/>
        <w:rPr>
          <w:bCs/>
          <w:sz w:val="24"/>
          <w:szCs w:val="24"/>
        </w:rPr>
      </w:pPr>
      <w:r w:rsidRPr="00CD32D1">
        <w:rPr>
          <w:bCs/>
          <w:sz w:val="24"/>
          <w:szCs w:val="24"/>
        </w:rPr>
        <w:t xml:space="preserve">Part 3 of the WHS Act sets out the requirements for notifiable incidents and supports the WHS regulator </w:t>
      </w:r>
      <w:r>
        <w:rPr>
          <w:bCs/>
          <w:sz w:val="24"/>
          <w:szCs w:val="24"/>
        </w:rPr>
        <w:t xml:space="preserve">(WorkSafe ACT) </w:t>
      </w:r>
      <w:r w:rsidRPr="00CD32D1">
        <w:rPr>
          <w:bCs/>
          <w:sz w:val="24"/>
          <w:szCs w:val="24"/>
        </w:rPr>
        <w:t>in delivering their compliance and enforcement functions. The purpose of the notifiable incident provisions is to alert the WHS regulator to serious incidents that require timely investigation.</w:t>
      </w:r>
    </w:p>
    <w:p w14:paraId="69416597" w14:textId="77777777" w:rsidR="00ED282E" w:rsidRDefault="00ED282E" w:rsidP="00ED282E">
      <w:pPr>
        <w:spacing w:after="0" w:line="240" w:lineRule="auto"/>
        <w:rPr>
          <w:bCs/>
          <w:sz w:val="24"/>
          <w:szCs w:val="24"/>
        </w:rPr>
      </w:pPr>
    </w:p>
    <w:p w14:paraId="0CE32E78" w14:textId="77777777" w:rsidR="00ED282E" w:rsidRPr="00CD32D1" w:rsidRDefault="00ED282E" w:rsidP="00ED282E">
      <w:pPr>
        <w:spacing w:after="0" w:line="240" w:lineRule="auto"/>
        <w:rPr>
          <w:bCs/>
          <w:sz w:val="24"/>
          <w:szCs w:val="24"/>
        </w:rPr>
      </w:pPr>
      <w:r w:rsidRPr="00CD32D1">
        <w:rPr>
          <w:bCs/>
          <w:sz w:val="24"/>
          <w:szCs w:val="24"/>
        </w:rPr>
        <w:t xml:space="preserve">The prevalence of workplace sexual assault and harassment has been in the public discourse over recent years, noting the </w:t>
      </w:r>
      <w:r w:rsidRPr="00CD32D1">
        <w:rPr>
          <w:bCs/>
          <w:i/>
          <w:iCs/>
          <w:sz w:val="24"/>
          <w:szCs w:val="24"/>
        </w:rPr>
        <w:t>Respect@Work: Sexual Harassment National Inquiry Report</w:t>
      </w:r>
      <w:r w:rsidRPr="00CD32D1">
        <w:rPr>
          <w:bCs/>
          <w:sz w:val="24"/>
          <w:szCs w:val="24"/>
        </w:rPr>
        <w:t xml:space="preserve">, the </w:t>
      </w:r>
      <w:r w:rsidRPr="00CD32D1">
        <w:rPr>
          <w:bCs/>
          <w:i/>
          <w:iCs/>
          <w:sz w:val="24"/>
          <w:szCs w:val="24"/>
        </w:rPr>
        <w:t>Independent Review into Commonwealth Parliamentary Workplaces</w:t>
      </w:r>
      <w:r w:rsidRPr="00CD32D1">
        <w:rPr>
          <w:bCs/>
          <w:sz w:val="24"/>
          <w:szCs w:val="24"/>
        </w:rPr>
        <w:t xml:space="preserve">, March 2021 (Review), the Australian Government’s response to the Respect@Work report, ‘A Roadmap for Respect: Preventing and Addressing Sexual Harassment in Australian Workplaces’ and the Australian Sex Discrimination Commissioner’s </w:t>
      </w:r>
      <w:r w:rsidRPr="00CD32D1">
        <w:rPr>
          <w:bCs/>
          <w:i/>
          <w:iCs/>
          <w:sz w:val="24"/>
          <w:szCs w:val="24"/>
        </w:rPr>
        <w:t>Set the Standard: Report on the Independent Review into Commonwealth Parliamentary Workplaces</w:t>
      </w:r>
      <w:r w:rsidRPr="00CD32D1">
        <w:rPr>
          <w:bCs/>
          <w:sz w:val="24"/>
          <w:szCs w:val="24"/>
        </w:rPr>
        <w:t>, November 2021.</w:t>
      </w:r>
    </w:p>
    <w:p w14:paraId="027A788E" w14:textId="77777777" w:rsidR="00ED282E" w:rsidRDefault="00ED282E" w:rsidP="00ED282E">
      <w:pPr>
        <w:spacing w:after="0" w:line="240" w:lineRule="auto"/>
        <w:rPr>
          <w:bCs/>
          <w:sz w:val="24"/>
          <w:szCs w:val="24"/>
        </w:rPr>
      </w:pPr>
    </w:p>
    <w:p w14:paraId="2F6F9396" w14:textId="77777777" w:rsidR="00ED282E" w:rsidRPr="00CD32D1" w:rsidRDefault="00ED282E" w:rsidP="00ED282E">
      <w:pPr>
        <w:spacing w:after="0" w:line="240" w:lineRule="auto"/>
        <w:rPr>
          <w:bCs/>
          <w:sz w:val="24"/>
          <w:szCs w:val="24"/>
        </w:rPr>
      </w:pPr>
      <w:r w:rsidRPr="00CD32D1">
        <w:rPr>
          <w:bCs/>
          <w:sz w:val="24"/>
          <w:szCs w:val="24"/>
        </w:rPr>
        <w:t>Recommendation 20 of the Boland Review recommended that incident notification provisions be reviewed to provide for notification triggers for psychological injuries, and adjusted as required to capture incidents, injuries and illnesses that are emerging from new work practices, industries and work arrangements.</w:t>
      </w:r>
    </w:p>
    <w:p w14:paraId="667DBD94" w14:textId="77777777" w:rsidR="00ED282E" w:rsidRDefault="00ED282E" w:rsidP="00ED282E">
      <w:pPr>
        <w:spacing w:after="0" w:line="240" w:lineRule="auto"/>
        <w:rPr>
          <w:bCs/>
          <w:sz w:val="24"/>
          <w:szCs w:val="24"/>
        </w:rPr>
      </w:pPr>
    </w:p>
    <w:p w14:paraId="00DED0AE" w14:textId="77777777" w:rsidR="00ED282E" w:rsidRPr="00CD32D1" w:rsidRDefault="00ED282E" w:rsidP="00ED282E">
      <w:pPr>
        <w:spacing w:after="0" w:line="240" w:lineRule="auto"/>
        <w:rPr>
          <w:bCs/>
          <w:sz w:val="24"/>
          <w:szCs w:val="24"/>
        </w:rPr>
      </w:pPr>
      <w:r>
        <w:rPr>
          <w:bCs/>
          <w:sz w:val="24"/>
          <w:szCs w:val="24"/>
        </w:rPr>
        <w:t>T</w:t>
      </w:r>
      <w:r w:rsidRPr="00B12CE9">
        <w:rPr>
          <w:bCs/>
          <w:sz w:val="24"/>
          <w:szCs w:val="24"/>
        </w:rPr>
        <w:t xml:space="preserve">he </w:t>
      </w:r>
      <w:r>
        <w:rPr>
          <w:bCs/>
          <w:sz w:val="24"/>
          <w:szCs w:val="24"/>
        </w:rPr>
        <w:t>G</w:t>
      </w:r>
      <w:r w:rsidRPr="00B12CE9">
        <w:rPr>
          <w:bCs/>
          <w:sz w:val="24"/>
          <w:szCs w:val="24"/>
        </w:rPr>
        <w:t xml:space="preserve">overnment </w:t>
      </w:r>
      <w:r>
        <w:rPr>
          <w:bCs/>
          <w:sz w:val="24"/>
          <w:szCs w:val="24"/>
        </w:rPr>
        <w:t xml:space="preserve">recognises </w:t>
      </w:r>
      <w:r w:rsidRPr="00B12CE9">
        <w:rPr>
          <w:bCs/>
          <w:sz w:val="24"/>
          <w:szCs w:val="24"/>
        </w:rPr>
        <w:t>the role</w:t>
      </w:r>
      <w:r>
        <w:rPr>
          <w:bCs/>
          <w:sz w:val="24"/>
          <w:szCs w:val="24"/>
        </w:rPr>
        <w:t xml:space="preserve"> that</w:t>
      </w:r>
      <w:r w:rsidRPr="00B12CE9">
        <w:rPr>
          <w:bCs/>
          <w:sz w:val="24"/>
          <w:szCs w:val="24"/>
        </w:rPr>
        <w:t xml:space="preserve"> </w:t>
      </w:r>
      <w:r w:rsidRPr="00BC3BE9">
        <w:rPr>
          <w:sz w:val="24"/>
          <w:szCs w:val="24"/>
        </w:rPr>
        <w:t>persons who conduct a business or undertaking</w:t>
      </w:r>
      <w:r>
        <w:rPr>
          <w:bCs/>
          <w:sz w:val="24"/>
          <w:szCs w:val="24"/>
        </w:rPr>
        <w:t xml:space="preserve"> (PCBUs)</w:t>
      </w:r>
      <w:r w:rsidRPr="00B12CE9">
        <w:rPr>
          <w:bCs/>
          <w:sz w:val="24"/>
          <w:szCs w:val="24"/>
        </w:rPr>
        <w:t xml:space="preserve"> have in ensuring workplaces are safe for all workers, which includes the elimination of factors, risks and hazards that might contribute to sexual assault</w:t>
      </w:r>
      <w:r>
        <w:rPr>
          <w:bCs/>
          <w:sz w:val="24"/>
          <w:szCs w:val="24"/>
        </w:rPr>
        <w:t xml:space="preserve">, </w:t>
      </w:r>
      <w:r w:rsidRPr="00B12CE9">
        <w:rPr>
          <w:bCs/>
          <w:sz w:val="24"/>
          <w:szCs w:val="24"/>
        </w:rPr>
        <w:t xml:space="preserve">particularly in terms of </w:t>
      </w:r>
      <w:r w:rsidRPr="00B12CE9">
        <w:rPr>
          <w:bCs/>
          <w:sz w:val="24"/>
          <w:szCs w:val="24"/>
        </w:rPr>
        <w:lastRenderedPageBreak/>
        <w:t>workplace culture</w:t>
      </w:r>
      <w:r>
        <w:rPr>
          <w:bCs/>
          <w:sz w:val="24"/>
          <w:szCs w:val="24"/>
        </w:rPr>
        <w:t>. In recognition of the important role that PCBUs have in creating a workplace culture that is healthy and safe, through t</w:t>
      </w:r>
      <w:r w:rsidRPr="00D214CC">
        <w:rPr>
          <w:bCs/>
          <w:sz w:val="24"/>
          <w:szCs w:val="24"/>
        </w:rPr>
        <w:t>h</w:t>
      </w:r>
      <w:r>
        <w:rPr>
          <w:bCs/>
          <w:sz w:val="24"/>
          <w:szCs w:val="24"/>
        </w:rPr>
        <w:t xml:space="preserve">is Bill, the Government </w:t>
      </w:r>
      <w:r w:rsidRPr="00CD32D1">
        <w:rPr>
          <w:bCs/>
          <w:sz w:val="24"/>
          <w:szCs w:val="24"/>
        </w:rPr>
        <w:t>is moving to expand the incident notification provisions to cover workplace sexual assault - noting that subsequent national policy work may in due course produce further expansions of the notification provisions, to include incidents such as sexual harassment and psychological injuries.</w:t>
      </w:r>
    </w:p>
    <w:p w14:paraId="41BD48F5" w14:textId="77777777" w:rsidR="006E6208" w:rsidRDefault="006E6208" w:rsidP="006E6208">
      <w:pPr>
        <w:spacing w:after="0" w:line="240" w:lineRule="auto"/>
        <w:rPr>
          <w:bCs/>
          <w:sz w:val="24"/>
          <w:szCs w:val="24"/>
        </w:rPr>
      </w:pPr>
    </w:p>
    <w:p w14:paraId="731B00E6" w14:textId="03BC1E27" w:rsidR="000D41C4" w:rsidRPr="00CD32D1" w:rsidRDefault="006E6208" w:rsidP="006E6208">
      <w:pPr>
        <w:spacing w:after="0" w:line="240" w:lineRule="auto"/>
        <w:rPr>
          <w:bCs/>
          <w:sz w:val="24"/>
          <w:szCs w:val="24"/>
        </w:rPr>
      </w:pPr>
      <w:r>
        <w:rPr>
          <w:bCs/>
          <w:sz w:val="24"/>
          <w:szCs w:val="24"/>
        </w:rPr>
        <w:t>W</w:t>
      </w:r>
      <w:r w:rsidR="004B46F2">
        <w:rPr>
          <w:bCs/>
          <w:sz w:val="24"/>
          <w:szCs w:val="24"/>
        </w:rPr>
        <w:t>orkplace violence is a growing concern and has serious health and safety impact</w:t>
      </w:r>
      <w:r w:rsidR="000743D7">
        <w:rPr>
          <w:bCs/>
          <w:sz w:val="24"/>
          <w:szCs w:val="24"/>
        </w:rPr>
        <w:t>s</w:t>
      </w:r>
      <w:r w:rsidR="004B46F2">
        <w:rPr>
          <w:bCs/>
          <w:sz w:val="24"/>
          <w:szCs w:val="24"/>
        </w:rPr>
        <w:t xml:space="preserve"> for workplaces and workers</w:t>
      </w:r>
      <w:r w:rsidR="000D41C4" w:rsidRPr="00CD32D1">
        <w:rPr>
          <w:bCs/>
          <w:sz w:val="24"/>
          <w:szCs w:val="24"/>
        </w:rPr>
        <w:t>.</w:t>
      </w:r>
      <w:r w:rsidR="00060B0C">
        <w:rPr>
          <w:bCs/>
          <w:sz w:val="24"/>
          <w:szCs w:val="24"/>
        </w:rPr>
        <w:t xml:space="preserve"> Instances of workplace violence, including sexual assault and harassment, may be an indication that a PCBU has failed in a duty to ensure the health and safety of a workplace, which includes the risks arising from psychosocial hazards</w:t>
      </w:r>
      <w:r w:rsidR="002C64E7">
        <w:rPr>
          <w:bCs/>
          <w:sz w:val="24"/>
          <w:szCs w:val="24"/>
        </w:rPr>
        <w:t xml:space="preserve"> (eg</w:t>
      </w:r>
      <w:r w:rsidR="00060B0C">
        <w:rPr>
          <w:bCs/>
          <w:sz w:val="24"/>
          <w:szCs w:val="24"/>
        </w:rPr>
        <w:t>, gendered violence and sexual assault</w:t>
      </w:r>
      <w:r w:rsidR="002C64E7">
        <w:rPr>
          <w:bCs/>
          <w:sz w:val="24"/>
          <w:szCs w:val="24"/>
        </w:rPr>
        <w:t>)</w:t>
      </w:r>
      <w:r w:rsidR="00060B0C">
        <w:rPr>
          <w:bCs/>
          <w:sz w:val="24"/>
          <w:szCs w:val="24"/>
        </w:rPr>
        <w:t>.  By notifying the WHS regulator of incidents, appropriate assistance can be provided to a PCBU to assess the risks and implement controls to prevent further incidence of violence or aggression.  The incident notification requirements are not intended to impede or interfere with police responses and investigations for the enforcement of the criminal law</w:t>
      </w:r>
      <w:r w:rsidR="004B46F2">
        <w:rPr>
          <w:bCs/>
          <w:sz w:val="24"/>
          <w:szCs w:val="24"/>
        </w:rPr>
        <w:t>.</w:t>
      </w:r>
      <w:r w:rsidR="002B371A">
        <w:rPr>
          <w:bCs/>
          <w:sz w:val="24"/>
          <w:szCs w:val="24"/>
        </w:rPr>
        <w:t xml:space="preserve">  The inclusion of sexual assault within the work health and safety framework allows the WHS regulator to address the holistic obligations of a PCBU in addition to providing the appropriate regulatory support to the individual or individuals suffering injury as a result of the incident. </w:t>
      </w:r>
    </w:p>
    <w:p w14:paraId="7B75B9FB" w14:textId="0E3D0F03" w:rsidR="004B46F2" w:rsidRDefault="004B46F2" w:rsidP="006E6208">
      <w:pPr>
        <w:spacing w:after="0" w:line="240" w:lineRule="auto"/>
        <w:rPr>
          <w:bCs/>
          <w:sz w:val="24"/>
          <w:szCs w:val="24"/>
        </w:rPr>
      </w:pPr>
    </w:p>
    <w:p w14:paraId="5775ABC6" w14:textId="00BAAEE2" w:rsidR="004B46F2" w:rsidRDefault="004B46F2" w:rsidP="006E6208">
      <w:pPr>
        <w:spacing w:after="0" w:line="240" w:lineRule="auto"/>
        <w:rPr>
          <w:bCs/>
          <w:sz w:val="24"/>
          <w:szCs w:val="24"/>
        </w:rPr>
      </w:pPr>
      <w:r>
        <w:rPr>
          <w:bCs/>
          <w:sz w:val="24"/>
          <w:szCs w:val="24"/>
        </w:rPr>
        <w:t xml:space="preserve">Prior to </w:t>
      </w:r>
      <w:r w:rsidR="00432177">
        <w:rPr>
          <w:bCs/>
          <w:sz w:val="24"/>
          <w:szCs w:val="24"/>
        </w:rPr>
        <w:t>this</w:t>
      </w:r>
      <w:r>
        <w:rPr>
          <w:bCs/>
          <w:sz w:val="24"/>
          <w:szCs w:val="24"/>
        </w:rPr>
        <w:t xml:space="preserve"> Bill, there was potential confusion about the inclusion of acts of workplace violence as a notifiable incident within the notification requirements for serious injury or illness.  This was largely due to the inclusion of medical treatment as a threshold test for the injury, which did not appropriately capture the seriousness of sexual assault for both </w:t>
      </w:r>
      <w:r w:rsidR="00432177">
        <w:rPr>
          <w:bCs/>
          <w:sz w:val="24"/>
          <w:szCs w:val="24"/>
        </w:rPr>
        <w:t>physical</w:t>
      </w:r>
      <w:r>
        <w:rPr>
          <w:bCs/>
          <w:sz w:val="24"/>
          <w:szCs w:val="24"/>
        </w:rPr>
        <w:t xml:space="preserve"> and psychological injur</w:t>
      </w:r>
      <w:r w:rsidR="00432177">
        <w:rPr>
          <w:bCs/>
          <w:sz w:val="24"/>
          <w:szCs w:val="24"/>
        </w:rPr>
        <w:t>ies</w:t>
      </w:r>
      <w:r>
        <w:rPr>
          <w:bCs/>
          <w:sz w:val="24"/>
          <w:szCs w:val="24"/>
        </w:rPr>
        <w:t xml:space="preserve"> and placed the reliance of the notification trigger on the individual seeking the treatment. </w:t>
      </w:r>
    </w:p>
    <w:p w14:paraId="282287AC" w14:textId="77777777" w:rsidR="009C1F2B" w:rsidRDefault="009C1F2B" w:rsidP="009C1F2B">
      <w:pPr>
        <w:spacing w:after="0" w:line="240" w:lineRule="auto"/>
        <w:rPr>
          <w:bCs/>
          <w:sz w:val="24"/>
          <w:szCs w:val="24"/>
        </w:rPr>
      </w:pPr>
    </w:p>
    <w:p w14:paraId="2040B600" w14:textId="78665831" w:rsidR="000D41C4" w:rsidRDefault="000D41C4" w:rsidP="006E6208">
      <w:pPr>
        <w:spacing w:after="0" w:line="240" w:lineRule="auto"/>
        <w:rPr>
          <w:bCs/>
          <w:sz w:val="24"/>
          <w:szCs w:val="24"/>
        </w:rPr>
      </w:pPr>
      <w:r>
        <w:rPr>
          <w:bCs/>
          <w:sz w:val="24"/>
          <w:szCs w:val="24"/>
        </w:rPr>
        <w:t>The</w:t>
      </w:r>
      <w:r w:rsidR="009C1F2B">
        <w:rPr>
          <w:bCs/>
          <w:sz w:val="24"/>
          <w:szCs w:val="24"/>
        </w:rPr>
        <w:t xml:space="preserve"> Amendment</w:t>
      </w:r>
      <w:r>
        <w:rPr>
          <w:bCs/>
          <w:sz w:val="24"/>
          <w:szCs w:val="24"/>
        </w:rPr>
        <w:t xml:space="preserve"> Bill makes amendments to Part 3 of the WHS Act in relation to the requirements for notifiable incidents </w:t>
      </w:r>
      <w:r w:rsidR="00667501">
        <w:rPr>
          <w:bCs/>
          <w:sz w:val="24"/>
          <w:szCs w:val="24"/>
        </w:rPr>
        <w:t xml:space="preserve">which requires these notifications to be reported to the regulator by the </w:t>
      </w:r>
      <w:r w:rsidR="00667501" w:rsidRPr="0058704A">
        <w:rPr>
          <w:bCs/>
          <w:sz w:val="24"/>
          <w:szCs w:val="24"/>
        </w:rPr>
        <w:t>PCBU</w:t>
      </w:r>
      <w:r w:rsidR="00667501">
        <w:rPr>
          <w:bCs/>
          <w:sz w:val="24"/>
          <w:szCs w:val="24"/>
        </w:rPr>
        <w:t>. This</w:t>
      </w:r>
      <w:r w:rsidRPr="000D41C4">
        <w:rPr>
          <w:bCs/>
          <w:sz w:val="24"/>
          <w:szCs w:val="24"/>
        </w:rPr>
        <w:t xml:space="preserve"> supports the WHS regulator in delivering their </w:t>
      </w:r>
      <w:r w:rsidR="00432177">
        <w:rPr>
          <w:bCs/>
          <w:sz w:val="24"/>
          <w:szCs w:val="24"/>
        </w:rPr>
        <w:t xml:space="preserve">compliance and enforcement </w:t>
      </w:r>
      <w:r w:rsidR="003136DA">
        <w:rPr>
          <w:bCs/>
          <w:sz w:val="24"/>
          <w:szCs w:val="24"/>
        </w:rPr>
        <w:t xml:space="preserve">functions under </w:t>
      </w:r>
      <w:r w:rsidR="00432177">
        <w:rPr>
          <w:bCs/>
          <w:sz w:val="24"/>
          <w:szCs w:val="24"/>
        </w:rPr>
        <w:t>the WHS Act</w:t>
      </w:r>
      <w:r>
        <w:rPr>
          <w:bCs/>
          <w:sz w:val="24"/>
          <w:szCs w:val="24"/>
        </w:rPr>
        <w:t xml:space="preserve">. </w:t>
      </w:r>
      <w:r w:rsidR="00612D95" w:rsidRPr="00612D95">
        <w:rPr>
          <w:bCs/>
          <w:sz w:val="24"/>
          <w:szCs w:val="24"/>
        </w:rPr>
        <w:t>The purpose of the notifiable incident provisions is to alert the WHS regulator to serious incidents that require timely investigation</w:t>
      </w:r>
      <w:r w:rsidR="00E33F94">
        <w:rPr>
          <w:bCs/>
          <w:sz w:val="24"/>
          <w:szCs w:val="24"/>
        </w:rPr>
        <w:t xml:space="preserve"> using their powers under the WHS Act</w:t>
      </w:r>
      <w:r w:rsidR="00612D95" w:rsidRPr="00612D95">
        <w:rPr>
          <w:bCs/>
          <w:sz w:val="24"/>
          <w:szCs w:val="24"/>
        </w:rPr>
        <w:t>.</w:t>
      </w:r>
      <w:r w:rsidR="00432177">
        <w:rPr>
          <w:bCs/>
          <w:sz w:val="24"/>
          <w:szCs w:val="24"/>
        </w:rPr>
        <w:t xml:space="preserve"> This data and information will assist the regulator to understand emerging trends in incidents, injury and illnesses and to target PCBUs with education and compliance activities.</w:t>
      </w:r>
    </w:p>
    <w:p w14:paraId="4B6FFE6C" w14:textId="22804316" w:rsidR="00667501" w:rsidRDefault="00667501" w:rsidP="009C1F2B">
      <w:pPr>
        <w:spacing w:after="0" w:line="240" w:lineRule="auto"/>
        <w:rPr>
          <w:bCs/>
          <w:sz w:val="24"/>
          <w:szCs w:val="24"/>
        </w:rPr>
      </w:pPr>
    </w:p>
    <w:p w14:paraId="51C0DB57" w14:textId="4BF261F0" w:rsidR="009C1F2B" w:rsidRPr="00CD32D1" w:rsidRDefault="009C1F2B" w:rsidP="009C1F2B">
      <w:pPr>
        <w:spacing w:after="0" w:line="240" w:lineRule="auto"/>
        <w:rPr>
          <w:bCs/>
          <w:sz w:val="24"/>
          <w:szCs w:val="24"/>
        </w:rPr>
      </w:pPr>
      <w:r>
        <w:rPr>
          <w:bCs/>
          <w:sz w:val="24"/>
          <w:szCs w:val="24"/>
        </w:rPr>
        <w:t>The Amendment Bill makes clear that the triggering factor for notifying the WHS regulator of a sexual assault incident is either an incident or a suspected incident that exposes a worker or any other person at the workplace to sexual assault and is not limited by the PCBUs witness</w:t>
      </w:r>
      <w:r w:rsidR="00F753B8">
        <w:rPr>
          <w:bCs/>
          <w:sz w:val="24"/>
          <w:szCs w:val="24"/>
        </w:rPr>
        <w:t>ing</w:t>
      </w:r>
      <w:r>
        <w:rPr>
          <w:bCs/>
          <w:sz w:val="24"/>
          <w:szCs w:val="24"/>
        </w:rPr>
        <w:t xml:space="preserve"> of the incident or a conviction following the incident. The express inclusion of workplace sexual assault as a notifiable incident clarifies obligations for PCBUs to ensure incidents of sexual assault are reported to the WHS regulator - this recognises that sexual assault is an act of violence that may result in serious physical or psychological injury, irrespective of the immediacy of medical treatment.  The inclusion of sexual assault also </w:t>
      </w:r>
      <w:r>
        <w:rPr>
          <w:bCs/>
          <w:sz w:val="24"/>
          <w:szCs w:val="24"/>
        </w:rPr>
        <w:lastRenderedPageBreak/>
        <w:t>recognises that the impacts of the act of violence may result in exposure risks to other workers or witnesses at the workplace who in turn may suffer injury from the exposure.</w:t>
      </w:r>
    </w:p>
    <w:p w14:paraId="6EAB67A7" w14:textId="77777777" w:rsidR="009C1F2B" w:rsidRDefault="009C1F2B" w:rsidP="009C1F2B">
      <w:pPr>
        <w:spacing w:after="0" w:line="240" w:lineRule="auto"/>
        <w:ind w:left="360"/>
        <w:rPr>
          <w:bCs/>
          <w:sz w:val="24"/>
          <w:szCs w:val="24"/>
        </w:rPr>
      </w:pPr>
    </w:p>
    <w:p w14:paraId="40B463B6" w14:textId="6B816B04" w:rsidR="009C1F2B" w:rsidRDefault="009C1F2B" w:rsidP="009C1F2B">
      <w:pPr>
        <w:spacing w:after="0" w:line="240" w:lineRule="auto"/>
        <w:rPr>
          <w:bCs/>
          <w:sz w:val="24"/>
          <w:szCs w:val="24"/>
        </w:rPr>
      </w:pPr>
      <w:r w:rsidRPr="00917A80">
        <w:rPr>
          <w:bCs/>
          <w:sz w:val="24"/>
          <w:szCs w:val="24"/>
        </w:rPr>
        <w:t xml:space="preserve">It is not the intent </w:t>
      </w:r>
      <w:r>
        <w:rPr>
          <w:bCs/>
          <w:sz w:val="24"/>
          <w:szCs w:val="24"/>
        </w:rPr>
        <w:t xml:space="preserve">of the amendments </w:t>
      </w:r>
      <w:r w:rsidRPr="00917A80">
        <w:rPr>
          <w:bCs/>
          <w:sz w:val="24"/>
          <w:szCs w:val="24"/>
        </w:rPr>
        <w:t xml:space="preserve">to capture sexual harassment in the definition of sexual assault </w:t>
      </w:r>
      <w:r>
        <w:rPr>
          <w:bCs/>
          <w:sz w:val="24"/>
          <w:szCs w:val="24"/>
        </w:rPr>
        <w:t>–</w:t>
      </w:r>
      <w:r w:rsidRPr="00917A80">
        <w:rPr>
          <w:bCs/>
          <w:sz w:val="24"/>
          <w:szCs w:val="24"/>
        </w:rPr>
        <w:t xml:space="preserve"> the</w:t>
      </w:r>
      <w:r>
        <w:rPr>
          <w:bCs/>
          <w:sz w:val="24"/>
          <w:szCs w:val="24"/>
        </w:rPr>
        <w:t xml:space="preserve"> amendments in this Bill are</w:t>
      </w:r>
      <w:r w:rsidRPr="00917A80">
        <w:rPr>
          <w:bCs/>
          <w:sz w:val="24"/>
          <w:szCs w:val="24"/>
        </w:rPr>
        <w:t xml:space="preserve"> confined to the notification of a</w:t>
      </w:r>
      <w:r>
        <w:rPr>
          <w:bCs/>
          <w:sz w:val="24"/>
          <w:szCs w:val="24"/>
        </w:rPr>
        <w:t xml:space="preserve"> workplace</w:t>
      </w:r>
      <w:r w:rsidRPr="00917A80">
        <w:rPr>
          <w:bCs/>
          <w:sz w:val="24"/>
          <w:szCs w:val="24"/>
        </w:rPr>
        <w:t xml:space="preserve"> sexual assault incident.</w:t>
      </w:r>
      <w:r w:rsidR="002C64E7">
        <w:rPr>
          <w:bCs/>
          <w:sz w:val="24"/>
          <w:szCs w:val="24"/>
        </w:rPr>
        <w:t xml:space="preserve"> </w:t>
      </w:r>
      <w:r w:rsidR="002C64E7" w:rsidRPr="00977E89">
        <w:rPr>
          <w:sz w:val="24"/>
          <w:szCs w:val="24"/>
        </w:rPr>
        <w:t xml:space="preserve">Having said this, </w:t>
      </w:r>
      <w:r w:rsidR="002C64E7" w:rsidRPr="00977E89">
        <w:rPr>
          <w:bCs/>
          <w:sz w:val="24"/>
          <w:szCs w:val="24"/>
        </w:rPr>
        <w:t>in some instances, sexual harassment will be so serious that it becomes a notifiable incident in its own right (</w:t>
      </w:r>
      <w:r w:rsidR="00F753B8" w:rsidRPr="00977E89">
        <w:rPr>
          <w:bCs/>
          <w:sz w:val="24"/>
          <w:szCs w:val="24"/>
        </w:rPr>
        <w:t>e.g.</w:t>
      </w:r>
      <w:r w:rsidR="002C64E7" w:rsidRPr="00977E89">
        <w:rPr>
          <w:bCs/>
          <w:sz w:val="24"/>
          <w:szCs w:val="24"/>
        </w:rPr>
        <w:t xml:space="preserve"> severe bullying</w:t>
      </w:r>
      <w:r w:rsidR="002C64E7">
        <w:rPr>
          <w:bCs/>
          <w:sz w:val="24"/>
          <w:szCs w:val="24"/>
        </w:rPr>
        <w:t xml:space="preserve"> or harassment</w:t>
      </w:r>
      <w:r w:rsidR="002C64E7" w:rsidRPr="00977E89">
        <w:rPr>
          <w:bCs/>
          <w:sz w:val="24"/>
          <w:szCs w:val="24"/>
        </w:rPr>
        <w:t xml:space="preserve"> that causes </w:t>
      </w:r>
      <w:r w:rsidR="002C64E7">
        <w:rPr>
          <w:bCs/>
          <w:sz w:val="24"/>
          <w:szCs w:val="24"/>
        </w:rPr>
        <w:t>psychological</w:t>
      </w:r>
      <w:r w:rsidR="002C64E7" w:rsidRPr="00977E89">
        <w:rPr>
          <w:bCs/>
          <w:sz w:val="24"/>
          <w:szCs w:val="24"/>
        </w:rPr>
        <w:t xml:space="preserve"> hospital admission) under the existing categories </w:t>
      </w:r>
      <w:r w:rsidR="002C64E7">
        <w:rPr>
          <w:bCs/>
          <w:sz w:val="24"/>
          <w:szCs w:val="24"/>
        </w:rPr>
        <w:t xml:space="preserve">of a notifiable incident </w:t>
      </w:r>
      <w:r w:rsidR="002C64E7" w:rsidRPr="00977E89">
        <w:rPr>
          <w:bCs/>
          <w:sz w:val="24"/>
          <w:szCs w:val="24"/>
        </w:rPr>
        <w:t>in s</w:t>
      </w:r>
      <w:r w:rsidR="002C64E7">
        <w:rPr>
          <w:bCs/>
          <w:sz w:val="24"/>
          <w:szCs w:val="24"/>
        </w:rPr>
        <w:t>ection</w:t>
      </w:r>
      <w:r w:rsidR="002C64E7" w:rsidRPr="00977E89">
        <w:rPr>
          <w:bCs/>
          <w:sz w:val="24"/>
          <w:szCs w:val="24"/>
        </w:rPr>
        <w:t xml:space="preserve"> 35</w:t>
      </w:r>
      <w:r w:rsidR="002C64E7">
        <w:rPr>
          <w:bCs/>
          <w:sz w:val="24"/>
          <w:szCs w:val="24"/>
        </w:rPr>
        <w:t xml:space="preserve"> of the WHS Act</w:t>
      </w:r>
      <w:r w:rsidR="002C64E7" w:rsidRPr="00977E89">
        <w:rPr>
          <w:bCs/>
          <w:sz w:val="24"/>
          <w:szCs w:val="24"/>
        </w:rPr>
        <w:t>.</w:t>
      </w:r>
    </w:p>
    <w:p w14:paraId="41FE2A5F" w14:textId="77777777" w:rsidR="009C1F2B" w:rsidRDefault="009C1F2B" w:rsidP="006E6208">
      <w:pPr>
        <w:spacing w:after="0" w:line="240" w:lineRule="auto"/>
        <w:rPr>
          <w:bCs/>
          <w:sz w:val="24"/>
          <w:szCs w:val="24"/>
        </w:rPr>
      </w:pPr>
    </w:p>
    <w:p w14:paraId="727B5D81" w14:textId="63620246" w:rsidR="00DE0A41" w:rsidRDefault="0063376E" w:rsidP="006E6208">
      <w:pPr>
        <w:spacing w:after="0" w:line="240" w:lineRule="auto"/>
        <w:rPr>
          <w:bCs/>
          <w:sz w:val="24"/>
          <w:szCs w:val="24"/>
        </w:rPr>
      </w:pPr>
      <w:r>
        <w:rPr>
          <w:bCs/>
          <w:sz w:val="24"/>
          <w:szCs w:val="24"/>
        </w:rPr>
        <w:t xml:space="preserve">The Bill amends </w:t>
      </w:r>
      <w:r w:rsidRPr="0063376E">
        <w:rPr>
          <w:bCs/>
          <w:sz w:val="24"/>
          <w:szCs w:val="24"/>
        </w:rPr>
        <w:t xml:space="preserve">section 35 of the WHS Act to include a sexual assault incident </w:t>
      </w:r>
      <w:r w:rsidR="005A50DB">
        <w:rPr>
          <w:bCs/>
          <w:sz w:val="24"/>
          <w:szCs w:val="24"/>
        </w:rPr>
        <w:t>as</w:t>
      </w:r>
      <w:r w:rsidR="005A50DB" w:rsidRPr="0063376E">
        <w:rPr>
          <w:bCs/>
          <w:sz w:val="24"/>
          <w:szCs w:val="24"/>
        </w:rPr>
        <w:t xml:space="preserve"> </w:t>
      </w:r>
      <w:r w:rsidRPr="0063376E">
        <w:rPr>
          <w:bCs/>
          <w:sz w:val="24"/>
          <w:szCs w:val="24"/>
        </w:rPr>
        <w:t>a mandatory notifiable incident</w:t>
      </w:r>
      <w:r w:rsidR="00DE0A41">
        <w:rPr>
          <w:bCs/>
          <w:sz w:val="24"/>
          <w:szCs w:val="24"/>
        </w:rPr>
        <w:t xml:space="preserve"> for the purposes of the </w:t>
      </w:r>
      <w:r w:rsidR="00432177">
        <w:rPr>
          <w:bCs/>
          <w:sz w:val="24"/>
          <w:szCs w:val="24"/>
        </w:rPr>
        <w:t xml:space="preserve">WHS </w:t>
      </w:r>
      <w:r w:rsidR="00DE0A41">
        <w:rPr>
          <w:bCs/>
          <w:sz w:val="24"/>
          <w:szCs w:val="24"/>
        </w:rPr>
        <w:t xml:space="preserve">Act. </w:t>
      </w:r>
      <w:bookmarkStart w:id="4" w:name="_Hlk104194048"/>
      <w:r w:rsidR="00DE0A41">
        <w:rPr>
          <w:bCs/>
          <w:sz w:val="24"/>
          <w:szCs w:val="24"/>
        </w:rPr>
        <w:t xml:space="preserve">The amendment introduces </w:t>
      </w:r>
      <w:r w:rsidRPr="0063376E">
        <w:rPr>
          <w:bCs/>
          <w:sz w:val="24"/>
          <w:szCs w:val="24"/>
        </w:rPr>
        <w:t xml:space="preserve">a new section 37A </w:t>
      </w:r>
      <w:r w:rsidR="00DE0A41">
        <w:rPr>
          <w:bCs/>
          <w:sz w:val="24"/>
          <w:szCs w:val="24"/>
        </w:rPr>
        <w:t xml:space="preserve">to </w:t>
      </w:r>
      <w:r w:rsidR="00432177">
        <w:rPr>
          <w:bCs/>
          <w:sz w:val="24"/>
          <w:szCs w:val="24"/>
        </w:rPr>
        <w:t>deal with what would constitute a</w:t>
      </w:r>
      <w:r w:rsidR="00DE0A41">
        <w:rPr>
          <w:bCs/>
          <w:sz w:val="24"/>
          <w:szCs w:val="24"/>
        </w:rPr>
        <w:t xml:space="preserve"> </w:t>
      </w:r>
      <w:r w:rsidRPr="009D4619">
        <w:rPr>
          <w:i/>
          <w:sz w:val="24"/>
        </w:rPr>
        <w:t>sexual assault</w:t>
      </w:r>
      <w:r w:rsidRPr="0063376E">
        <w:rPr>
          <w:bCs/>
          <w:sz w:val="24"/>
          <w:szCs w:val="24"/>
        </w:rPr>
        <w:t xml:space="preserve"> </w:t>
      </w:r>
      <w:r w:rsidR="00432177">
        <w:rPr>
          <w:bCs/>
          <w:sz w:val="24"/>
          <w:szCs w:val="24"/>
        </w:rPr>
        <w:t xml:space="preserve">incident for the purposes of the incident notification. Under this section, a sexual assault incident means an incident (including a suspected incident) in relation to a workplace that exposes a worker or any other person at the workplace to sexual assault. This relies on the </w:t>
      </w:r>
      <w:r w:rsidRPr="0063376E">
        <w:rPr>
          <w:bCs/>
          <w:sz w:val="24"/>
          <w:szCs w:val="24"/>
        </w:rPr>
        <w:t>ordinary meaning</w:t>
      </w:r>
      <w:r w:rsidR="00432177">
        <w:rPr>
          <w:bCs/>
          <w:sz w:val="24"/>
          <w:szCs w:val="24"/>
        </w:rPr>
        <w:t xml:space="preserve"> of sexual assault</w:t>
      </w:r>
      <w:r w:rsidR="009118D2">
        <w:rPr>
          <w:bCs/>
          <w:sz w:val="24"/>
          <w:szCs w:val="24"/>
        </w:rPr>
        <w:t>,</w:t>
      </w:r>
      <w:r w:rsidRPr="0063376E">
        <w:rPr>
          <w:bCs/>
          <w:sz w:val="24"/>
          <w:szCs w:val="24"/>
        </w:rPr>
        <w:t xml:space="preserve"> </w:t>
      </w:r>
      <w:r w:rsidR="00432177">
        <w:rPr>
          <w:bCs/>
          <w:sz w:val="24"/>
          <w:szCs w:val="24"/>
        </w:rPr>
        <w:t>(for example the Macquarie Dictionary definition</w:t>
      </w:r>
      <w:r w:rsidR="00917A80" w:rsidRPr="009E1599">
        <w:rPr>
          <w:rStyle w:val="FootnoteReference"/>
        </w:rPr>
        <w:footnoteReference w:id="2"/>
      </w:r>
      <w:r w:rsidR="00432177">
        <w:rPr>
          <w:bCs/>
          <w:sz w:val="24"/>
          <w:szCs w:val="24"/>
        </w:rPr>
        <w:t xml:space="preserve"> to interpret) </w:t>
      </w:r>
      <w:r w:rsidRPr="0063376E">
        <w:rPr>
          <w:bCs/>
          <w:sz w:val="24"/>
          <w:szCs w:val="24"/>
        </w:rPr>
        <w:t xml:space="preserve">instead of referencing the criminal </w:t>
      </w:r>
      <w:r w:rsidRPr="003D0349">
        <w:rPr>
          <w:bCs/>
          <w:sz w:val="24"/>
          <w:szCs w:val="24"/>
        </w:rPr>
        <w:t xml:space="preserve">offence of sexual assault under the </w:t>
      </w:r>
      <w:r w:rsidRPr="003D0349">
        <w:rPr>
          <w:bCs/>
          <w:i/>
          <w:iCs/>
          <w:sz w:val="24"/>
          <w:szCs w:val="24"/>
        </w:rPr>
        <w:t>Crimes Act 1900</w:t>
      </w:r>
      <w:r w:rsidR="002B371A">
        <w:rPr>
          <w:bCs/>
          <w:sz w:val="24"/>
          <w:szCs w:val="24"/>
        </w:rPr>
        <w:t xml:space="preserve">.  </w:t>
      </w:r>
    </w:p>
    <w:bookmarkEnd w:id="4"/>
    <w:p w14:paraId="1B954810" w14:textId="77777777" w:rsidR="00DE0A41" w:rsidRDefault="00DE0A41" w:rsidP="009C1F2B">
      <w:pPr>
        <w:spacing w:after="0" w:line="240" w:lineRule="auto"/>
        <w:rPr>
          <w:bCs/>
          <w:sz w:val="24"/>
          <w:szCs w:val="24"/>
        </w:rPr>
      </w:pPr>
    </w:p>
    <w:p w14:paraId="7C7A7E6A" w14:textId="4068B6F7" w:rsidR="0058704A" w:rsidRPr="003D0349" w:rsidRDefault="00DE0A41" w:rsidP="006E6208">
      <w:pPr>
        <w:spacing w:after="0" w:line="240" w:lineRule="auto"/>
        <w:rPr>
          <w:bCs/>
          <w:sz w:val="24"/>
          <w:szCs w:val="24"/>
        </w:rPr>
      </w:pPr>
      <w:r>
        <w:rPr>
          <w:bCs/>
          <w:sz w:val="24"/>
          <w:szCs w:val="24"/>
        </w:rPr>
        <w:t xml:space="preserve">In doing so, it is recognised that </w:t>
      </w:r>
      <w:r w:rsidR="00AD6492">
        <w:rPr>
          <w:bCs/>
          <w:sz w:val="24"/>
          <w:szCs w:val="24"/>
        </w:rPr>
        <w:t>t</w:t>
      </w:r>
      <w:r>
        <w:rPr>
          <w:bCs/>
          <w:sz w:val="24"/>
          <w:szCs w:val="24"/>
        </w:rPr>
        <w:t>he WHS Act is required to be as accessible as possible to all businesses, enterprises, and workers and</w:t>
      </w:r>
      <w:r w:rsidR="0063376E" w:rsidRPr="003D0349">
        <w:rPr>
          <w:bCs/>
          <w:sz w:val="24"/>
          <w:szCs w:val="24"/>
        </w:rPr>
        <w:t xml:space="preserve"> it may be difficult for people to determine whether or not an incident falls within the parameters of the criminal offences. </w:t>
      </w:r>
      <w:r w:rsidR="00432177" w:rsidRPr="00432177">
        <w:rPr>
          <w:bCs/>
          <w:sz w:val="24"/>
          <w:szCs w:val="24"/>
        </w:rPr>
        <w:t xml:space="preserve"> </w:t>
      </w:r>
      <w:r w:rsidR="00432177">
        <w:rPr>
          <w:bCs/>
          <w:sz w:val="24"/>
          <w:szCs w:val="24"/>
        </w:rPr>
        <w:t>The ordinary meaning of sexual assault</w:t>
      </w:r>
      <w:r w:rsidR="00432177" w:rsidRPr="00A86579">
        <w:rPr>
          <w:bCs/>
          <w:sz w:val="24"/>
          <w:szCs w:val="24"/>
        </w:rPr>
        <w:t xml:space="preserve"> is considered to be more readily understood by PCBUs and would be more easily supported by guidance material issued by the regulator</w:t>
      </w:r>
      <w:r w:rsidR="00432177" w:rsidRPr="00432177">
        <w:rPr>
          <w:bCs/>
          <w:sz w:val="24"/>
          <w:szCs w:val="24"/>
        </w:rPr>
        <w:t xml:space="preserve"> </w:t>
      </w:r>
      <w:r w:rsidR="00432177">
        <w:rPr>
          <w:bCs/>
          <w:sz w:val="24"/>
          <w:szCs w:val="24"/>
        </w:rPr>
        <w:t>to further assist PCB</w:t>
      </w:r>
      <w:r w:rsidR="000743D7">
        <w:rPr>
          <w:bCs/>
          <w:sz w:val="24"/>
          <w:szCs w:val="24"/>
        </w:rPr>
        <w:t>U</w:t>
      </w:r>
      <w:r w:rsidR="00432177">
        <w:rPr>
          <w:bCs/>
          <w:sz w:val="24"/>
          <w:szCs w:val="24"/>
        </w:rPr>
        <w:t xml:space="preserve">s understand their obligations and meet their duties </w:t>
      </w:r>
      <w:r w:rsidR="000743D7">
        <w:rPr>
          <w:bCs/>
          <w:sz w:val="24"/>
          <w:szCs w:val="24"/>
        </w:rPr>
        <w:t xml:space="preserve">in </w:t>
      </w:r>
      <w:r w:rsidR="00432177">
        <w:rPr>
          <w:bCs/>
          <w:sz w:val="24"/>
          <w:szCs w:val="24"/>
        </w:rPr>
        <w:t>ensur</w:t>
      </w:r>
      <w:r w:rsidR="000743D7">
        <w:rPr>
          <w:bCs/>
          <w:sz w:val="24"/>
          <w:szCs w:val="24"/>
        </w:rPr>
        <w:t>ing</w:t>
      </w:r>
      <w:r w:rsidR="00432177">
        <w:rPr>
          <w:bCs/>
          <w:sz w:val="24"/>
          <w:szCs w:val="24"/>
        </w:rPr>
        <w:t xml:space="preserve"> a safe workplace for all workers.   This will also allow the WHS regulator to develop an appropriate system of notification that addresses the confidentiality and privacy of workers captured by the notification requirements.  </w:t>
      </w:r>
    </w:p>
    <w:p w14:paraId="6F8413DD" w14:textId="38FB0497" w:rsidR="0058704A" w:rsidRPr="003D0349" w:rsidRDefault="0058704A" w:rsidP="000D41C4">
      <w:pPr>
        <w:spacing w:after="0" w:line="240" w:lineRule="auto"/>
        <w:ind w:left="360"/>
        <w:rPr>
          <w:bCs/>
          <w:sz w:val="24"/>
          <w:szCs w:val="24"/>
        </w:rPr>
      </w:pPr>
    </w:p>
    <w:p w14:paraId="7F34F356" w14:textId="51124749" w:rsidR="00AD6492" w:rsidRDefault="0058704A" w:rsidP="006E6208">
      <w:pPr>
        <w:spacing w:after="0" w:line="240" w:lineRule="auto"/>
        <w:rPr>
          <w:bCs/>
          <w:sz w:val="24"/>
          <w:szCs w:val="24"/>
        </w:rPr>
      </w:pPr>
      <w:r w:rsidRPr="003D0349">
        <w:rPr>
          <w:bCs/>
          <w:sz w:val="24"/>
          <w:szCs w:val="24"/>
        </w:rPr>
        <w:t>The amendments</w:t>
      </w:r>
      <w:r w:rsidRPr="0058704A">
        <w:rPr>
          <w:bCs/>
          <w:sz w:val="24"/>
          <w:szCs w:val="24"/>
        </w:rPr>
        <w:t xml:space="preserve"> </w:t>
      </w:r>
      <w:r w:rsidR="00DE0A41">
        <w:rPr>
          <w:bCs/>
          <w:sz w:val="24"/>
          <w:szCs w:val="24"/>
        </w:rPr>
        <w:t xml:space="preserve">made </w:t>
      </w:r>
      <w:r w:rsidRPr="0058704A">
        <w:rPr>
          <w:bCs/>
          <w:sz w:val="24"/>
          <w:szCs w:val="24"/>
        </w:rPr>
        <w:t>for the notification of sexual assault in the workplace take into consideration privacy and human rights concerns in the information to be reported when notifying the regulator.</w:t>
      </w:r>
      <w:r w:rsidR="00AD6492">
        <w:rPr>
          <w:bCs/>
          <w:sz w:val="24"/>
          <w:szCs w:val="24"/>
        </w:rPr>
        <w:t xml:space="preserve"> The Bill provides that a </w:t>
      </w:r>
      <w:r w:rsidR="00AD6492" w:rsidRPr="0058704A">
        <w:rPr>
          <w:bCs/>
          <w:sz w:val="24"/>
          <w:szCs w:val="24"/>
        </w:rPr>
        <w:t>sexual assault incident notifiable by PCBUs need only include the occurrence of a sexual assault incident, the description of the workplace at which the incident occurred and the name and contact details of the PCBU at that workplace and whether or not the incident was reported to the police</w:t>
      </w:r>
      <w:r w:rsidR="00AD6492">
        <w:rPr>
          <w:bCs/>
          <w:sz w:val="24"/>
          <w:szCs w:val="24"/>
        </w:rPr>
        <w:t>.</w:t>
      </w:r>
      <w:r w:rsidR="002B371A">
        <w:rPr>
          <w:bCs/>
          <w:sz w:val="24"/>
          <w:szCs w:val="24"/>
        </w:rPr>
        <w:t xml:space="preserve">  </w:t>
      </w:r>
    </w:p>
    <w:p w14:paraId="2D6828A6" w14:textId="77777777" w:rsidR="00AD6492" w:rsidRDefault="00AD6492" w:rsidP="00AD6492">
      <w:pPr>
        <w:spacing w:after="0" w:line="240" w:lineRule="auto"/>
        <w:ind w:left="360"/>
        <w:rPr>
          <w:bCs/>
          <w:sz w:val="24"/>
          <w:szCs w:val="24"/>
        </w:rPr>
      </w:pPr>
    </w:p>
    <w:p w14:paraId="0FEC2C45" w14:textId="177D343C" w:rsidR="00AD6492" w:rsidRDefault="00AD6492" w:rsidP="006E6208">
      <w:pPr>
        <w:spacing w:after="0" w:line="240" w:lineRule="auto"/>
        <w:rPr>
          <w:bCs/>
          <w:sz w:val="24"/>
          <w:szCs w:val="24"/>
        </w:rPr>
      </w:pPr>
      <w:r>
        <w:rPr>
          <w:bCs/>
          <w:sz w:val="24"/>
          <w:szCs w:val="24"/>
        </w:rPr>
        <w:t xml:space="preserve">For the avoidance of doubt, the Bill specifies that the PCBU </w:t>
      </w:r>
      <w:r w:rsidR="000743D7">
        <w:rPr>
          <w:bCs/>
          <w:sz w:val="24"/>
          <w:szCs w:val="24"/>
        </w:rPr>
        <w:t xml:space="preserve">must </w:t>
      </w:r>
      <w:r>
        <w:rPr>
          <w:bCs/>
          <w:sz w:val="24"/>
          <w:szCs w:val="24"/>
        </w:rPr>
        <w:t>not give information disclosing the identify of any person involved in the incident</w:t>
      </w:r>
      <w:r w:rsidR="000743D7">
        <w:rPr>
          <w:bCs/>
          <w:sz w:val="24"/>
          <w:szCs w:val="24"/>
        </w:rPr>
        <w:t xml:space="preserve"> when notifying the regulator</w:t>
      </w:r>
      <w:r>
        <w:rPr>
          <w:bCs/>
          <w:sz w:val="24"/>
          <w:szCs w:val="24"/>
        </w:rPr>
        <w:t>.</w:t>
      </w:r>
      <w:r w:rsidR="002C64E7">
        <w:rPr>
          <w:bCs/>
          <w:sz w:val="24"/>
          <w:szCs w:val="24"/>
        </w:rPr>
        <w:t xml:space="preserve"> This maintains</w:t>
      </w:r>
      <w:r w:rsidR="002C64E7" w:rsidRPr="00977E89">
        <w:rPr>
          <w:bCs/>
          <w:sz w:val="24"/>
          <w:szCs w:val="24"/>
        </w:rPr>
        <w:t xml:space="preserve"> the person's identity</w:t>
      </w:r>
      <w:r w:rsidR="002C64E7">
        <w:rPr>
          <w:bCs/>
          <w:sz w:val="24"/>
          <w:szCs w:val="24"/>
        </w:rPr>
        <w:t xml:space="preserve"> at</w:t>
      </w:r>
      <w:r w:rsidR="002C64E7" w:rsidRPr="00977E89">
        <w:rPr>
          <w:bCs/>
          <w:sz w:val="24"/>
          <w:szCs w:val="24"/>
        </w:rPr>
        <w:t xml:space="preserve"> the initial stage when the notification is sent from the PCBU to the regulator.</w:t>
      </w:r>
      <w:r w:rsidR="002C64E7">
        <w:rPr>
          <w:bCs/>
          <w:sz w:val="24"/>
          <w:szCs w:val="24"/>
        </w:rPr>
        <w:t xml:space="preserve"> The person that has been sexually assaulted may choose to disclose their identity at any point in time. The regulator </w:t>
      </w:r>
      <w:r w:rsidR="002C64E7" w:rsidRPr="00977E89">
        <w:rPr>
          <w:bCs/>
          <w:sz w:val="24"/>
          <w:szCs w:val="24"/>
        </w:rPr>
        <w:t xml:space="preserve">would </w:t>
      </w:r>
      <w:r w:rsidR="002C64E7">
        <w:rPr>
          <w:bCs/>
          <w:sz w:val="24"/>
          <w:szCs w:val="24"/>
        </w:rPr>
        <w:t xml:space="preserve">not </w:t>
      </w:r>
      <w:r w:rsidR="002C64E7" w:rsidRPr="00977E89">
        <w:rPr>
          <w:bCs/>
          <w:sz w:val="24"/>
          <w:szCs w:val="24"/>
        </w:rPr>
        <w:t>be</w:t>
      </w:r>
      <w:r w:rsidR="002C64E7">
        <w:rPr>
          <w:bCs/>
          <w:sz w:val="24"/>
          <w:szCs w:val="24"/>
        </w:rPr>
        <w:t xml:space="preserve"> interviewing persons that </w:t>
      </w:r>
      <w:r w:rsidR="002C64E7">
        <w:rPr>
          <w:bCs/>
          <w:sz w:val="24"/>
          <w:szCs w:val="24"/>
        </w:rPr>
        <w:lastRenderedPageBreak/>
        <w:t xml:space="preserve">have been sexually assaulted about the specific details of the incident. </w:t>
      </w:r>
      <w:r w:rsidR="002C64E7" w:rsidRPr="0055367A">
        <w:rPr>
          <w:bCs/>
          <w:sz w:val="24"/>
          <w:szCs w:val="24"/>
        </w:rPr>
        <w:t>The regulator could interview the</w:t>
      </w:r>
      <w:r w:rsidR="002C64E7">
        <w:rPr>
          <w:bCs/>
          <w:sz w:val="24"/>
          <w:szCs w:val="24"/>
        </w:rPr>
        <w:t>se persons,</w:t>
      </w:r>
      <w:r w:rsidR="002C64E7" w:rsidRPr="0055367A">
        <w:rPr>
          <w:bCs/>
          <w:sz w:val="24"/>
          <w:szCs w:val="24"/>
        </w:rPr>
        <w:t xml:space="preserve"> PCBU</w:t>
      </w:r>
      <w:r w:rsidR="002C64E7">
        <w:rPr>
          <w:bCs/>
          <w:sz w:val="24"/>
          <w:szCs w:val="24"/>
        </w:rPr>
        <w:t>s</w:t>
      </w:r>
      <w:r w:rsidR="002C64E7" w:rsidRPr="0055367A">
        <w:rPr>
          <w:bCs/>
          <w:sz w:val="24"/>
          <w:szCs w:val="24"/>
        </w:rPr>
        <w:t xml:space="preserve"> and other staff in the organisation </w:t>
      </w:r>
      <w:r w:rsidR="002C64E7">
        <w:rPr>
          <w:bCs/>
          <w:sz w:val="24"/>
          <w:szCs w:val="24"/>
        </w:rPr>
        <w:t xml:space="preserve">in relation to the reporting process, </w:t>
      </w:r>
      <w:r w:rsidR="002C64E7" w:rsidRPr="0055367A">
        <w:rPr>
          <w:bCs/>
          <w:sz w:val="24"/>
          <w:szCs w:val="24"/>
        </w:rPr>
        <w:t>WHS organisational policy and to confirm the awareness of incident notification requirements within the workplace</w:t>
      </w:r>
      <w:r w:rsidR="002C64E7">
        <w:rPr>
          <w:bCs/>
          <w:sz w:val="24"/>
          <w:szCs w:val="24"/>
        </w:rPr>
        <w:t>. A</w:t>
      </w:r>
      <w:r w:rsidR="002C64E7" w:rsidRPr="0055367A">
        <w:rPr>
          <w:bCs/>
          <w:sz w:val="24"/>
          <w:szCs w:val="24"/>
        </w:rPr>
        <w:t xml:space="preserve">ppropriate </w:t>
      </w:r>
      <w:r w:rsidR="002C64E7">
        <w:rPr>
          <w:bCs/>
          <w:sz w:val="24"/>
          <w:szCs w:val="24"/>
        </w:rPr>
        <w:t xml:space="preserve">work </w:t>
      </w:r>
      <w:r w:rsidR="002C64E7" w:rsidRPr="0055367A">
        <w:rPr>
          <w:bCs/>
          <w:sz w:val="24"/>
          <w:szCs w:val="24"/>
        </w:rPr>
        <w:t>health and safety documentation</w:t>
      </w:r>
      <w:r w:rsidR="002C64E7">
        <w:rPr>
          <w:bCs/>
          <w:sz w:val="24"/>
          <w:szCs w:val="24"/>
        </w:rPr>
        <w:t xml:space="preserve"> and </w:t>
      </w:r>
      <w:r w:rsidR="002C64E7" w:rsidRPr="0055367A">
        <w:rPr>
          <w:bCs/>
          <w:sz w:val="24"/>
          <w:szCs w:val="24"/>
        </w:rPr>
        <w:t xml:space="preserve">work practices </w:t>
      </w:r>
      <w:r w:rsidR="002C64E7">
        <w:rPr>
          <w:bCs/>
          <w:sz w:val="24"/>
          <w:szCs w:val="24"/>
        </w:rPr>
        <w:t xml:space="preserve">could be assessed by the regulator to determine whether PCBUs are </w:t>
      </w:r>
      <w:r w:rsidR="002C64E7" w:rsidRPr="0055367A">
        <w:rPr>
          <w:bCs/>
          <w:sz w:val="24"/>
          <w:szCs w:val="24"/>
        </w:rPr>
        <w:t>meet</w:t>
      </w:r>
      <w:r w:rsidR="002C64E7">
        <w:rPr>
          <w:bCs/>
          <w:sz w:val="24"/>
          <w:szCs w:val="24"/>
        </w:rPr>
        <w:t>ing</w:t>
      </w:r>
      <w:r w:rsidR="002C64E7" w:rsidRPr="0055367A">
        <w:rPr>
          <w:bCs/>
          <w:sz w:val="24"/>
          <w:szCs w:val="24"/>
        </w:rPr>
        <w:t xml:space="preserve"> their duties under the WHS Act.</w:t>
      </w:r>
    </w:p>
    <w:p w14:paraId="1D89D105" w14:textId="77777777" w:rsidR="002C64E7" w:rsidRPr="0055367A" w:rsidRDefault="002C64E7" w:rsidP="002C64E7">
      <w:pPr>
        <w:spacing w:after="0" w:line="240" w:lineRule="auto"/>
        <w:ind w:left="360"/>
        <w:rPr>
          <w:bCs/>
          <w:sz w:val="24"/>
          <w:szCs w:val="24"/>
        </w:rPr>
      </w:pPr>
    </w:p>
    <w:p w14:paraId="4B246503" w14:textId="77777777" w:rsidR="002C64E7" w:rsidRDefault="002C64E7" w:rsidP="002C64E7">
      <w:pPr>
        <w:spacing w:after="0" w:line="240" w:lineRule="auto"/>
        <w:rPr>
          <w:bCs/>
          <w:sz w:val="24"/>
          <w:szCs w:val="24"/>
        </w:rPr>
      </w:pPr>
      <w:r>
        <w:rPr>
          <w:bCs/>
          <w:sz w:val="24"/>
          <w:szCs w:val="24"/>
        </w:rPr>
        <w:t>Under this framework, the regulator’s role will be to monitor and analyse</w:t>
      </w:r>
      <w:r w:rsidRPr="008E2890">
        <w:rPr>
          <w:bCs/>
          <w:sz w:val="24"/>
          <w:szCs w:val="24"/>
        </w:rPr>
        <w:t xml:space="preserve"> emerging trends in </w:t>
      </w:r>
      <w:r>
        <w:rPr>
          <w:bCs/>
          <w:sz w:val="24"/>
          <w:szCs w:val="24"/>
        </w:rPr>
        <w:t>sexual assault incidents</w:t>
      </w:r>
      <w:r w:rsidRPr="008E2890">
        <w:rPr>
          <w:bCs/>
          <w:sz w:val="24"/>
          <w:szCs w:val="24"/>
        </w:rPr>
        <w:t xml:space="preserve"> and to target PCBUs with education and compliance activities. This provides an appropriate level of oversight of PCBUs and ACT workplaces in an effort to prevent or reduce the incidents of sexual assault across workplaces and contribute to more effective work health and safety outcomes.</w:t>
      </w:r>
    </w:p>
    <w:p w14:paraId="7297C8A0" w14:textId="77777777" w:rsidR="00DE0A41" w:rsidRDefault="00DE0A41" w:rsidP="0058704A">
      <w:pPr>
        <w:spacing w:after="0" w:line="240" w:lineRule="auto"/>
        <w:ind w:left="360"/>
        <w:rPr>
          <w:bCs/>
          <w:sz w:val="24"/>
          <w:szCs w:val="24"/>
        </w:rPr>
      </w:pPr>
    </w:p>
    <w:p w14:paraId="2C04A7D0" w14:textId="67FE23FC" w:rsidR="00DE0A41" w:rsidRDefault="00DE0A41" w:rsidP="006E6208">
      <w:pPr>
        <w:spacing w:after="0" w:line="240" w:lineRule="auto"/>
        <w:rPr>
          <w:bCs/>
          <w:sz w:val="24"/>
          <w:szCs w:val="24"/>
        </w:rPr>
      </w:pPr>
      <w:r>
        <w:rPr>
          <w:bCs/>
          <w:sz w:val="24"/>
          <w:szCs w:val="24"/>
        </w:rPr>
        <w:t>Notification obligations are triggered when a PCBU becomes aware of an instance of sexual assault in the workplace</w:t>
      </w:r>
      <w:r w:rsidR="00432177">
        <w:rPr>
          <w:bCs/>
          <w:sz w:val="24"/>
          <w:szCs w:val="24"/>
        </w:rPr>
        <w:t>, or a suspected instance,</w:t>
      </w:r>
      <w:r>
        <w:rPr>
          <w:bCs/>
          <w:sz w:val="24"/>
          <w:szCs w:val="24"/>
        </w:rPr>
        <w:t xml:space="preserve"> and includes </w:t>
      </w:r>
      <w:r w:rsidR="00AD6492">
        <w:rPr>
          <w:bCs/>
          <w:sz w:val="24"/>
          <w:szCs w:val="24"/>
        </w:rPr>
        <w:t xml:space="preserve">circumstances </w:t>
      </w:r>
      <w:r>
        <w:rPr>
          <w:bCs/>
          <w:sz w:val="24"/>
          <w:szCs w:val="24"/>
        </w:rPr>
        <w:t>where a report is made directly or indirectly to the PCBU – such as where a report has been notified to police</w:t>
      </w:r>
      <w:r w:rsidR="00AD6492">
        <w:rPr>
          <w:bCs/>
          <w:sz w:val="24"/>
          <w:szCs w:val="24"/>
        </w:rPr>
        <w:t xml:space="preserve"> who then in turn inform the PCBU</w:t>
      </w:r>
      <w:r>
        <w:rPr>
          <w:bCs/>
          <w:sz w:val="24"/>
          <w:szCs w:val="24"/>
        </w:rPr>
        <w:t xml:space="preserve">. </w:t>
      </w:r>
      <w:r w:rsidR="00432177">
        <w:rPr>
          <w:bCs/>
          <w:sz w:val="24"/>
          <w:szCs w:val="24"/>
        </w:rPr>
        <w:t>It would not be necessary that there has been a conviction</w:t>
      </w:r>
      <w:r w:rsidR="002C64E7">
        <w:rPr>
          <w:bCs/>
          <w:sz w:val="24"/>
          <w:szCs w:val="24"/>
        </w:rPr>
        <w:t xml:space="preserve"> or</w:t>
      </w:r>
      <w:r w:rsidR="00432177">
        <w:rPr>
          <w:bCs/>
          <w:sz w:val="24"/>
          <w:szCs w:val="24"/>
        </w:rPr>
        <w:t xml:space="preserve"> court finding </w:t>
      </w:r>
      <w:r w:rsidR="002C64E7">
        <w:rPr>
          <w:bCs/>
          <w:sz w:val="24"/>
          <w:szCs w:val="24"/>
        </w:rPr>
        <w:t xml:space="preserve">has been recorded, </w:t>
      </w:r>
      <w:r w:rsidR="00432177">
        <w:rPr>
          <w:bCs/>
          <w:sz w:val="24"/>
          <w:szCs w:val="24"/>
        </w:rPr>
        <w:t xml:space="preserve">or </w:t>
      </w:r>
      <w:r w:rsidR="002C64E7">
        <w:rPr>
          <w:bCs/>
          <w:sz w:val="24"/>
          <w:szCs w:val="24"/>
        </w:rPr>
        <w:t xml:space="preserve">that </w:t>
      </w:r>
      <w:r w:rsidR="00432177">
        <w:rPr>
          <w:bCs/>
          <w:sz w:val="24"/>
          <w:szCs w:val="24"/>
        </w:rPr>
        <w:t xml:space="preserve">court proceedings </w:t>
      </w:r>
      <w:r w:rsidR="002C64E7">
        <w:rPr>
          <w:bCs/>
          <w:sz w:val="24"/>
          <w:szCs w:val="24"/>
        </w:rPr>
        <w:t xml:space="preserve">are </w:t>
      </w:r>
      <w:r w:rsidR="00432177">
        <w:rPr>
          <w:bCs/>
          <w:sz w:val="24"/>
          <w:szCs w:val="24"/>
        </w:rPr>
        <w:t>underway.</w:t>
      </w:r>
    </w:p>
    <w:p w14:paraId="66D1C378" w14:textId="1DC5739A" w:rsidR="00DE0A41" w:rsidRDefault="00DE0A41" w:rsidP="0058704A">
      <w:pPr>
        <w:spacing w:after="0" w:line="240" w:lineRule="auto"/>
        <w:ind w:left="360"/>
        <w:rPr>
          <w:bCs/>
          <w:sz w:val="24"/>
          <w:szCs w:val="24"/>
        </w:rPr>
      </w:pPr>
    </w:p>
    <w:p w14:paraId="3AF0A234" w14:textId="64EAB797" w:rsidR="00DE0A41" w:rsidRPr="0058704A" w:rsidRDefault="00DE0A41" w:rsidP="006E6208">
      <w:pPr>
        <w:spacing w:after="0" w:line="240" w:lineRule="auto"/>
        <w:rPr>
          <w:bCs/>
          <w:sz w:val="24"/>
          <w:szCs w:val="24"/>
        </w:rPr>
      </w:pPr>
      <w:r>
        <w:rPr>
          <w:bCs/>
          <w:sz w:val="24"/>
          <w:szCs w:val="24"/>
        </w:rPr>
        <w:t xml:space="preserve">The duty </w:t>
      </w:r>
      <w:r w:rsidR="002C64E7">
        <w:rPr>
          <w:bCs/>
          <w:sz w:val="24"/>
          <w:szCs w:val="24"/>
        </w:rPr>
        <w:t>to notify the regulator of a workplace sexual assault</w:t>
      </w:r>
      <w:r>
        <w:rPr>
          <w:bCs/>
          <w:sz w:val="24"/>
          <w:szCs w:val="24"/>
        </w:rPr>
        <w:t xml:space="preserve"> is not limited by conviction or proof – a </w:t>
      </w:r>
      <w:r w:rsidR="002C64E7">
        <w:rPr>
          <w:bCs/>
          <w:sz w:val="24"/>
          <w:szCs w:val="24"/>
        </w:rPr>
        <w:t xml:space="preserve">suspicion </w:t>
      </w:r>
      <w:r>
        <w:rPr>
          <w:bCs/>
          <w:sz w:val="24"/>
          <w:szCs w:val="24"/>
        </w:rPr>
        <w:t xml:space="preserve">is sufficient for the matter to be notified to the WHS Regulator and the duty is not impeded or limited by the PCBUs </w:t>
      </w:r>
      <w:r w:rsidR="00AD6492">
        <w:rPr>
          <w:bCs/>
          <w:sz w:val="24"/>
          <w:szCs w:val="24"/>
        </w:rPr>
        <w:t>certainty or lack of certainty with respect to the report</w:t>
      </w:r>
      <w:r w:rsidR="00432177">
        <w:rPr>
          <w:bCs/>
          <w:sz w:val="24"/>
          <w:szCs w:val="24"/>
        </w:rPr>
        <w:t>.</w:t>
      </w:r>
      <w:r w:rsidR="00AD6492">
        <w:rPr>
          <w:bCs/>
          <w:sz w:val="24"/>
          <w:szCs w:val="24"/>
        </w:rPr>
        <w:t xml:space="preserve"> </w:t>
      </w:r>
    </w:p>
    <w:p w14:paraId="77BAA497" w14:textId="77777777" w:rsidR="0058704A" w:rsidRDefault="0058704A" w:rsidP="000D41C4">
      <w:pPr>
        <w:spacing w:after="0" w:line="240" w:lineRule="auto"/>
        <w:ind w:left="360"/>
        <w:rPr>
          <w:bCs/>
          <w:sz w:val="24"/>
          <w:szCs w:val="24"/>
        </w:rPr>
      </w:pPr>
    </w:p>
    <w:p w14:paraId="41E982AF" w14:textId="32C38298" w:rsidR="0058704A" w:rsidRPr="0058704A" w:rsidRDefault="00AD6492" w:rsidP="006E6208">
      <w:pPr>
        <w:spacing w:after="0" w:line="240" w:lineRule="auto"/>
        <w:rPr>
          <w:bCs/>
          <w:sz w:val="24"/>
          <w:szCs w:val="24"/>
        </w:rPr>
      </w:pPr>
      <w:r>
        <w:rPr>
          <w:bCs/>
          <w:sz w:val="24"/>
          <w:szCs w:val="24"/>
        </w:rPr>
        <w:t xml:space="preserve">Consistent with existing arrangements for </w:t>
      </w:r>
      <w:r w:rsidR="0058704A">
        <w:rPr>
          <w:bCs/>
          <w:sz w:val="24"/>
          <w:szCs w:val="24"/>
        </w:rPr>
        <w:t>notifiable incidents, the Bill require</w:t>
      </w:r>
      <w:r>
        <w:rPr>
          <w:bCs/>
          <w:sz w:val="24"/>
          <w:szCs w:val="24"/>
        </w:rPr>
        <w:t>s</w:t>
      </w:r>
      <w:r w:rsidR="0058704A">
        <w:rPr>
          <w:bCs/>
          <w:sz w:val="24"/>
          <w:szCs w:val="24"/>
        </w:rPr>
        <w:t xml:space="preserve"> that </w:t>
      </w:r>
      <w:r w:rsidR="0058704A" w:rsidRPr="0058704A">
        <w:rPr>
          <w:bCs/>
          <w:sz w:val="24"/>
          <w:szCs w:val="24"/>
        </w:rPr>
        <w:t xml:space="preserve">reporting of a sexual assault incident should </w:t>
      </w:r>
      <w:r w:rsidR="00F753B8">
        <w:rPr>
          <w:bCs/>
          <w:sz w:val="24"/>
          <w:szCs w:val="24"/>
        </w:rPr>
        <w:t xml:space="preserve">be </w:t>
      </w:r>
      <w:r w:rsidR="0058704A" w:rsidRPr="0058704A">
        <w:rPr>
          <w:bCs/>
          <w:sz w:val="24"/>
          <w:szCs w:val="24"/>
        </w:rPr>
        <w:t>made to the WHS regulator immediately after the PCBU becomes aware of the incident.</w:t>
      </w:r>
    </w:p>
    <w:p w14:paraId="78308E57" w14:textId="77777777" w:rsidR="0058704A" w:rsidRDefault="0058704A" w:rsidP="0058704A">
      <w:pPr>
        <w:spacing w:after="0" w:line="240" w:lineRule="auto"/>
        <w:ind w:left="360"/>
        <w:rPr>
          <w:bCs/>
          <w:sz w:val="24"/>
          <w:szCs w:val="24"/>
        </w:rPr>
      </w:pPr>
    </w:p>
    <w:p w14:paraId="7F86B077" w14:textId="3CB2C4CB" w:rsidR="0058704A" w:rsidRDefault="003136DA" w:rsidP="006E6208">
      <w:pPr>
        <w:spacing w:after="0" w:line="240" w:lineRule="auto"/>
        <w:rPr>
          <w:bCs/>
          <w:sz w:val="24"/>
          <w:szCs w:val="24"/>
        </w:rPr>
      </w:pPr>
      <w:r>
        <w:rPr>
          <w:bCs/>
          <w:sz w:val="24"/>
          <w:szCs w:val="24"/>
        </w:rPr>
        <w:t>The Bill also amends</w:t>
      </w:r>
      <w:r w:rsidR="0058704A" w:rsidRPr="0058704A">
        <w:rPr>
          <w:bCs/>
          <w:sz w:val="24"/>
          <w:szCs w:val="24"/>
        </w:rPr>
        <w:t xml:space="preserve"> section 39 of the WHS Act to exclude a sexual assault incident from the duty to preserve the site, as this is considered to be within the criminal jurisdiction for the police investigation.</w:t>
      </w:r>
      <w:r w:rsidR="00432177">
        <w:rPr>
          <w:bCs/>
          <w:sz w:val="24"/>
          <w:szCs w:val="24"/>
        </w:rPr>
        <w:t xml:space="preserve"> In many instances, it would be impracticable and difficult for PCBUs to preserve the site after a sexual assault incident has been reported to them</w:t>
      </w:r>
      <w:r w:rsidR="00432177" w:rsidRPr="0058704A">
        <w:rPr>
          <w:bCs/>
          <w:sz w:val="24"/>
          <w:szCs w:val="24"/>
        </w:rPr>
        <w:t>.</w:t>
      </w:r>
    </w:p>
    <w:p w14:paraId="2D71B218" w14:textId="7DCA003B" w:rsidR="003136DA" w:rsidRDefault="003136DA" w:rsidP="0058704A">
      <w:pPr>
        <w:spacing w:after="0" w:line="240" w:lineRule="auto"/>
        <w:ind w:left="360"/>
        <w:rPr>
          <w:bCs/>
          <w:sz w:val="24"/>
          <w:szCs w:val="24"/>
        </w:rPr>
      </w:pPr>
    </w:p>
    <w:p w14:paraId="1653317C" w14:textId="287CB9E4" w:rsidR="003136DA" w:rsidRDefault="006A2405" w:rsidP="006E6208">
      <w:pPr>
        <w:spacing w:after="0" w:line="240" w:lineRule="auto"/>
        <w:rPr>
          <w:bCs/>
          <w:sz w:val="24"/>
          <w:szCs w:val="24"/>
        </w:rPr>
      </w:pPr>
      <w:r w:rsidRPr="00E33F94">
        <w:rPr>
          <w:bCs/>
          <w:sz w:val="24"/>
          <w:szCs w:val="24"/>
        </w:rPr>
        <w:t>P</w:t>
      </w:r>
      <w:r w:rsidR="003136DA" w:rsidRPr="00E33F94">
        <w:rPr>
          <w:bCs/>
          <w:sz w:val="24"/>
          <w:szCs w:val="24"/>
        </w:rPr>
        <w:t xml:space="preserve">enalties </w:t>
      </w:r>
      <w:r w:rsidRPr="00E33F94">
        <w:rPr>
          <w:bCs/>
          <w:sz w:val="24"/>
          <w:szCs w:val="24"/>
        </w:rPr>
        <w:t xml:space="preserve">associated with PCBUs not complying with obligations to notify the regulator of notifiable incidents </w:t>
      </w:r>
      <w:r w:rsidR="003136DA" w:rsidRPr="00E33F94">
        <w:rPr>
          <w:bCs/>
          <w:sz w:val="24"/>
          <w:szCs w:val="24"/>
        </w:rPr>
        <w:t xml:space="preserve">are outlined </w:t>
      </w:r>
      <w:r w:rsidRPr="00E33F94">
        <w:rPr>
          <w:bCs/>
          <w:sz w:val="24"/>
          <w:szCs w:val="24"/>
        </w:rPr>
        <w:t xml:space="preserve">in section 38(1) </w:t>
      </w:r>
      <w:r w:rsidR="003136DA" w:rsidRPr="00E33F94">
        <w:rPr>
          <w:bCs/>
          <w:sz w:val="24"/>
          <w:szCs w:val="24"/>
        </w:rPr>
        <w:t xml:space="preserve">of the WHS Act. </w:t>
      </w:r>
      <w:r w:rsidR="00667501" w:rsidRPr="00E33F94">
        <w:rPr>
          <w:bCs/>
          <w:sz w:val="24"/>
          <w:szCs w:val="24"/>
        </w:rPr>
        <w:t>As a result of the amendments</w:t>
      </w:r>
      <w:r w:rsidR="009118D2">
        <w:rPr>
          <w:bCs/>
          <w:sz w:val="24"/>
          <w:szCs w:val="24"/>
        </w:rPr>
        <w:t xml:space="preserve"> in the Bill</w:t>
      </w:r>
      <w:r w:rsidR="003136DA" w:rsidRPr="00E33F94">
        <w:rPr>
          <w:bCs/>
          <w:sz w:val="24"/>
          <w:szCs w:val="24"/>
        </w:rPr>
        <w:t>,</w:t>
      </w:r>
      <w:r w:rsidR="00667501" w:rsidRPr="00E33F94">
        <w:rPr>
          <w:bCs/>
          <w:sz w:val="24"/>
          <w:szCs w:val="24"/>
        </w:rPr>
        <w:t xml:space="preserve"> if a PCBU does not comply with the requirements to notify the regulator of a sexual assault in a workplace, </w:t>
      </w:r>
      <w:r w:rsidR="00E33F94" w:rsidRPr="00E33F94">
        <w:rPr>
          <w:bCs/>
          <w:sz w:val="24"/>
          <w:szCs w:val="24"/>
        </w:rPr>
        <w:t>the current penalty is $10,000 for individuals and $50,000 for body corporate organisations</w:t>
      </w:r>
      <w:r w:rsidR="00667501" w:rsidRPr="00E33F94">
        <w:rPr>
          <w:bCs/>
          <w:sz w:val="24"/>
          <w:szCs w:val="24"/>
        </w:rPr>
        <w:t>.</w:t>
      </w:r>
      <w:r w:rsidR="003136DA">
        <w:rPr>
          <w:bCs/>
          <w:sz w:val="24"/>
          <w:szCs w:val="24"/>
        </w:rPr>
        <w:t xml:space="preserve"> </w:t>
      </w:r>
    </w:p>
    <w:p w14:paraId="6BC69EC4" w14:textId="77777777" w:rsidR="0058704A" w:rsidRDefault="0058704A" w:rsidP="0058704A">
      <w:pPr>
        <w:spacing w:after="0" w:line="240" w:lineRule="auto"/>
        <w:ind w:left="360"/>
        <w:rPr>
          <w:bCs/>
          <w:sz w:val="24"/>
          <w:szCs w:val="24"/>
        </w:rPr>
      </w:pPr>
    </w:p>
    <w:p w14:paraId="45659FF6" w14:textId="32E706AA" w:rsidR="0058704A" w:rsidRDefault="003136DA" w:rsidP="006E6208">
      <w:pPr>
        <w:spacing w:after="0" w:line="240" w:lineRule="auto"/>
        <w:rPr>
          <w:bCs/>
          <w:sz w:val="24"/>
          <w:szCs w:val="24"/>
        </w:rPr>
      </w:pPr>
      <w:r>
        <w:rPr>
          <w:bCs/>
          <w:sz w:val="24"/>
          <w:szCs w:val="24"/>
        </w:rPr>
        <w:t xml:space="preserve">While this </w:t>
      </w:r>
      <w:r w:rsidR="0058704A" w:rsidRPr="0058704A">
        <w:rPr>
          <w:bCs/>
          <w:sz w:val="24"/>
          <w:szCs w:val="24"/>
        </w:rPr>
        <w:t>change would</w:t>
      </w:r>
      <w:r>
        <w:rPr>
          <w:bCs/>
          <w:sz w:val="24"/>
          <w:szCs w:val="24"/>
        </w:rPr>
        <w:t xml:space="preserve"> </w:t>
      </w:r>
      <w:r w:rsidR="0058704A" w:rsidRPr="0058704A">
        <w:rPr>
          <w:bCs/>
          <w:sz w:val="24"/>
          <w:szCs w:val="24"/>
        </w:rPr>
        <w:t>increase the reporting</w:t>
      </w:r>
      <w:r w:rsidR="00226046">
        <w:rPr>
          <w:bCs/>
          <w:sz w:val="24"/>
          <w:szCs w:val="24"/>
        </w:rPr>
        <w:t xml:space="preserve"> obligations on </w:t>
      </w:r>
      <w:r w:rsidR="0058704A" w:rsidRPr="0058704A">
        <w:rPr>
          <w:bCs/>
          <w:sz w:val="24"/>
          <w:szCs w:val="24"/>
        </w:rPr>
        <w:t>employers under the WHS Act</w:t>
      </w:r>
      <w:r>
        <w:rPr>
          <w:bCs/>
          <w:sz w:val="24"/>
          <w:szCs w:val="24"/>
        </w:rPr>
        <w:t xml:space="preserve">, </w:t>
      </w:r>
      <w:r w:rsidR="0058704A" w:rsidRPr="0058704A">
        <w:rPr>
          <w:bCs/>
          <w:sz w:val="24"/>
          <w:szCs w:val="24"/>
        </w:rPr>
        <w:t xml:space="preserve">the change is in line with the current policy direction of </w:t>
      </w:r>
      <w:r>
        <w:rPr>
          <w:bCs/>
          <w:sz w:val="24"/>
          <w:szCs w:val="24"/>
        </w:rPr>
        <w:t xml:space="preserve">the </w:t>
      </w:r>
      <w:r w:rsidR="0058704A" w:rsidRPr="0058704A">
        <w:rPr>
          <w:bCs/>
          <w:sz w:val="24"/>
          <w:szCs w:val="24"/>
        </w:rPr>
        <w:t xml:space="preserve">Government, the objective of improving work safety protections for workers and is considered to be proportionate to the serious impacts of sexual assault in the workplace. </w:t>
      </w:r>
    </w:p>
    <w:p w14:paraId="53590F05" w14:textId="1AA2083D" w:rsidR="00A3611F" w:rsidRDefault="00A3611F" w:rsidP="006E6208">
      <w:pPr>
        <w:spacing w:after="0" w:line="240" w:lineRule="auto"/>
        <w:rPr>
          <w:bCs/>
          <w:sz w:val="24"/>
          <w:szCs w:val="24"/>
        </w:rPr>
      </w:pPr>
    </w:p>
    <w:p w14:paraId="5522C255" w14:textId="19D82313" w:rsidR="00A3611F" w:rsidRDefault="00A3611F" w:rsidP="006E6208">
      <w:pPr>
        <w:spacing w:after="0" w:line="240" w:lineRule="auto"/>
        <w:rPr>
          <w:bCs/>
          <w:sz w:val="24"/>
          <w:szCs w:val="24"/>
        </w:rPr>
      </w:pPr>
      <w:r>
        <w:rPr>
          <w:bCs/>
          <w:sz w:val="24"/>
          <w:szCs w:val="24"/>
        </w:rPr>
        <w:lastRenderedPageBreak/>
        <w:t xml:space="preserve">It is noted that any increase in </w:t>
      </w:r>
      <w:r w:rsidR="00EA3F1F">
        <w:rPr>
          <w:bCs/>
          <w:sz w:val="24"/>
          <w:szCs w:val="24"/>
        </w:rPr>
        <w:t>regulatory burden from reporting sexual assault incidents should be minimal as it would already be considered a WHS risk that poses a serious hazard to workers’ psychological health in the workplace. Where PCBUs are meeting the</w:t>
      </w:r>
      <w:r w:rsidR="00226046">
        <w:rPr>
          <w:bCs/>
          <w:sz w:val="24"/>
          <w:szCs w:val="24"/>
        </w:rPr>
        <w:t>ir</w:t>
      </w:r>
      <w:r w:rsidR="00EA3F1F">
        <w:rPr>
          <w:bCs/>
          <w:sz w:val="24"/>
          <w:szCs w:val="24"/>
        </w:rPr>
        <w:t xml:space="preserve"> WHS obligations, mechanisms to assess, identify and manage WHS risks should already be implemented.</w:t>
      </w:r>
    </w:p>
    <w:p w14:paraId="16B067BC" w14:textId="088857AA" w:rsidR="00667501" w:rsidRDefault="00667501" w:rsidP="0058704A">
      <w:pPr>
        <w:spacing w:after="0" w:line="240" w:lineRule="auto"/>
        <w:ind w:left="360"/>
        <w:rPr>
          <w:bCs/>
          <w:sz w:val="24"/>
          <w:szCs w:val="24"/>
        </w:rPr>
      </w:pPr>
    </w:p>
    <w:p w14:paraId="3BEB188E" w14:textId="63F883EE" w:rsidR="00B12617" w:rsidRPr="00ED282E" w:rsidRDefault="00B12617" w:rsidP="00B12617">
      <w:pPr>
        <w:spacing w:after="0" w:line="240" w:lineRule="auto"/>
        <w:rPr>
          <w:b/>
          <w:bCs/>
          <w:i/>
          <w:iCs/>
          <w:sz w:val="24"/>
          <w:szCs w:val="24"/>
          <w:u w:val="single"/>
        </w:rPr>
      </w:pPr>
      <w:r w:rsidRPr="00ED282E">
        <w:rPr>
          <w:b/>
          <w:bCs/>
          <w:i/>
          <w:iCs/>
          <w:sz w:val="24"/>
          <w:szCs w:val="24"/>
          <w:u w:val="single"/>
        </w:rPr>
        <w:t>Work Health and Safety Regulation 2011</w:t>
      </w:r>
    </w:p>
    <w:p w14:paraId="509D6A42" w14:textId="1ABCBA85" w:rsidR="00DC43D3" w:rsidRPr="00DC43D3" w:rsidRDefault="00DC43D3" w:rsidP="00B12617">
      <w:pPr>
        <w:spacing w:after="0" w:line="240" w:lineRule="auto"/>
        <w:rPr>
          <w:bCs/>
          <w:sz w:val="24"/>
          <w:szCs w:val="24"/>
        </w:rPr>
      </w:pPr>
      <w:r w:rsidRPr="00DC43D3">
        <w:rPr>
          <w:bCs/>
          <w:sz w:val="24"/>
          <w:szCs w:val="24"/>
        </w:rPr>
        <w:t>Section 276(1) of the WHS Act provides for the Executive to make regulations in relation to any matter relating to work health and safety. Under section 276(2), the WHS Regulation may make a provision in relation to matters set out in Schedule 3.</w:t>
      </w:r>
    </w:p>
    <w:p w14:paraId="554C3CB5" w14:textId="77777777" w:rsidR="00DC43D3" w:rsidRPr="00DC43D3" w:rsidRDefault="00DC43D3" w:rsidP="00B12617">
      <w:pPr>
        <w:spacing w:after="0" w:line="240" w:lineRule="auto"/>
        <w:rPr>
          <w:bCs/>
          <w:sz w:val="24"/>
          <w:szCs w:val="24"/>
        </w:rPr>
      </w:pPr>
    </w:p>
    <w:p w14:paraId="7045FCAE" w14:textId="47F5644E" w:rsidR="000E7372" w:rsidRDefault="000E7372" w:rsidP="00B12617">
      <w:pPr>
        <w:spacing w:after="0" w:line="240" w:lineRule="auto"/>
        <w:rPr>
          <w:bCs/>
          <w:sz w:val="24"/>
          <w:szCs w:val="24"/>
        </w:rPr>
      </w:pPr>
      <w:r>
        <w:rPr>
          <w:bCs/>
          <w:sz w:val="24"/>
          <w:szCs w:val="24"/>
        </w:rPr>
        <w:t xml:space="preserve">The WHS Regulation is subordinate law under the WHS Act. The WHS Regulation is notified on the Legislation Register and presented to the Legislative Assembly according to Part 7 of the </w:t>
      </w:r>
      <w:r w:rsidRPr="000E7372">
        <w:rPr>
          <w:bCs/>
          <w:i/>
          <w:iCs/>
          <w:sz w:val="24"/>
          <w:szCs w:val="24"/>
        </w:rPr>
        <w:t>Legislation Act 2001</w:t>
      </w:r>
      <w:r>
        <w:rPr>
          <w:bCs/>
          <w:sz w:val="24"/>
          <w:szCs w:val="24"/>
        </w:rPr>
        <w:t xml:space="preserve">. </w:t>
      </w:r>
    </w:p>
    <w:p w14:paraId="18597720" w14:textId="77777777" w:rsidR="000E7372" w:rsidRDefault="000E7372" w:rsidP="00B12617">
      <w:pPr>
        <w:spacing w:after="0" w:line="240" w:lineRule="auto"/>
        <w:rPr>
          <w:bCs/>
          <w:sz w:val="24"/>
          <w:szCs w:val="24"/>
        </w:rPr>
      </w:pPr>
    </w:p>
    <w:p w14:paraId="0E52620E" w14:textId="47FB8CE8" w:rsidR="00DC43D3" w:rsidRDefault="00DC43D3" w:rsidP="00B12617">
      <w:pPr>
        <w:spacing w:after="0" w:line="240" w:lineRule="auto"/>
        <w:rPr>
          <w:bCs/>
          <w:sz w:val="24"/>
          <w:szCs w:val="24"/>
        </w:rPr>
      </w:pPr>
      <w:r w:rsidRPr="00DC43D3">
        <w:rPr>
          <w:bCs/>
          <w:sz w:val="24"/>
          <w:szCs w:val="24"/>
        </w:rPr>
        <w:t>The WHS Regulation implements the model WHS Regulation in the Territory and forms part of a system of nationally harmonised WHS laws.</w:t>
      </w:r>
    </w:p>
    <w:p w14:paraId="48943E7C" w14:textId="7A2DE7B0" w:rsidR="000D41C4" w:rsidRDefault="000D41C4" w:rsidP="00B12617">
      <w:pPr>
        <w:spacing w:after="0" w:line="240" w:lineRule="auto"/>
        <w:rPr>
          <w:bCs/>
          <w:sz w:val="24"/>
          <w:szCs w:val="24"/>
        </w:rPr>
      </w:pPr>
    </w:p>
    <w:p w14:paraId="4E1E34E3" w14:textId="23B4A787" w:rsidR="000D41C4" w:rsidRDefault="000D41C4" w:rsidP="00B12617">
      <w:pPr>
        <w:spacing w:after="0" w:line="240" w:lineRule="auto"/>
        <w:rPr>
          <w:bCs/>
          <w:sz w:val="24"/>
          <w:szCs w:val="24"/>
        </w:rPr>
      </w:pPr>
      <w:r w:rsidRPr="001636ED">
        <w:rPr>
          <w:bCs/>
          <w:sz w:val="24"/>
          <w:szCs w:val="24"/>
        </w:rPr>
        <w:t xml:space="preserve">The Bill makes consequential amendments to the WHS Regulation to implement </w:t>
      </w:r>
      <w:r w:rsidR="001636ED" w:rsidRPr="001636ED">
        <w:rPr>
          <w:bCs/>
          <w:sz w:val="24"/>
          <w:szCs w:val="24"/>
        </w:rPr>
        <w:t xml:space="preserve">two </w:t>
      </w:r>
      <w:r w:rsidRPr="001636ED">
        <w:rPr>
          <w:bCs/>
          <w:sz w:val="24"/>
          <w:szCs w:val="24"/>
        </w:rPr>
        <w:t>recommendations from</w:t>
      </w:r>
      <w:r>
        <w:rPr>
          <w:bCs/>
          <w:sz w:val="24"/>
          <w:szCs w:val="24"/>
        </w:rPr>
        <w:t xml:space="preserve"> the Boland Review</w:t>
      </w:r>
      <w:r w:rsidR="008309E9">
        <w:rPr>
          <w:bCs/>
          <w:sz w:val="24"/>
          <w:szCs w:val="24"/>
        </w:rPr>
        <w:t xml:space="preserve"> relating to</w:t>
      </w:r>
      <w:r>
        <w:rPr>
          <w:bCs/>
          <w:sz w:val="24"/>
          <w:szCs w:val="24"/>
        </w:rPr>
        <w:t>:</w:t>
      </w:r>
    </w:p>
    <w:p w14:paraId="745CED72" w14:textId="2C0E2241" w:rsidR="000D41C4" w:rsidRDefault="000D41C4" w:rsidP="00B12617">
      <w:pPr>
        <w:spacing w:after="0" w:line="240" w:lineRule="auto"/>
        <w:rPr>
          <w:bCs/>
          <w:sz w:val="24"/>
          <w:szCs w:val="24"/>
        </w:rPr>
      </w:pPr>
    </w:p>
    <w:p w14:paraId="37FFD741" w14:textId="2455910E" w:rsidR="000D41C4" w:rsidRPr="001636ED" w:rsidRDefault="000D41C4" w:rsidP="00DE2119">
      <w:pPr>
        <w:pStyle w:val="ListParagraph"/>
        <w:numPr>
          <w:ilvl w:val="0"/>
          <w:numId w:val="12"/>
        </w:numPr>
        <w:spacing w:after="0" w:line="240" w:lineRule="auto"/>
        <w:rPr>
          <w:bCs/>
          <w:sz w:val="24"/>
          <w:szCs w:val="24"/>
        </w:rPr>
      </w:pPr>
      <w:r w:rsidRPr="001636ED">
        <w:rPr>
          <w:bCs/>
          <w:sz w:val="24"/>
          <w:szCs w:val="24"/>
        </w:rPr>
        <w:t>ensur</w:t>
      </w:r>
      <w:r w:rsidR="008309E9" w:rsidRPr="001636ED">
        <w:rPr>
          <w:bCs/>
          <w:sz w:val="24"/>
          <w:szCs w:val="24"/>
        </w:rPr>
        <w:t>ing</w:t>
      </w:r>
      <w:r w:rsidRPr="001636ED">
        <w:rPr>
          <w:bCs/>
          <w:sz w:val="24"/>
          <w:szCs w:val="24"/>
        </w:rPr>
        <w:t xml:space="preserve"> the details of statutory notices issued by the WHS Regulator and evidence of operator training and instruction are included in the device’s log (</w:t>
      </w:r>
      <w:r w:rsidRPr="001636ED">
        <w:rPr>
          <w:bCs/>
          <w:i/>
          <w:iCs/>
          <w:sz w:val="24"/>
          <w:szCs w:val="24"/>
        </w:rPr>
        <w:t xml:space="preserve">Boland Review </w:t>
      </w:r>
      <w:r w:rsidRPr="001636ED">
        <w:rPr>
          <w:i/>
          <w:iCs/>
          <w:sz w:val="24"/>
          <w:szCs w:val="24"/>
        </w:rPr>
        <w:t>Recommendation</w:t>
      </w:r>
      <w:r w:rsidRPr="001636ED">
        <w:rPr>
          <w:bCs/>
          <w:i/>
          <w:iCs/>
          <w:sz w:val="24"/>
          <w:szCs w:val="24"/>
        </w:rPr>
        <w:t xml:space="preserve"> 28: Improved recording of amusement device infringements and operator training</w:t>
      </w:r>
      <w:r w:rsidRPr="001636ED">
        <w:rPr>
          <w:bCs/>
          <w:sz w:val="24"/>
          <w:szCs w:val="24"/>
        </w:rPr>
        <w:t>); and</w:t>
      </w:r>
    </w:p>
    <w:p w14:paraId="779FB1D9" w14:textId="77777777" w:rsidR="000D41C4" w:rsidRPr="000D41C4" w:rsidRDefault="000D41C4" w:rsidP="000D41C4">
      <w:pPr>
        <w:pStyle w:val="ListParagraph"/>
        <w:spacing w:after="0" w:line="240" w:lineRule="auto"/>
        <w:ind w:left="1080"/>
        <w:rPr>
          <w:bCs/>
          <w:sz w:val="24"/>
          <w:szCs w:val="24"/>
        </w:rPr>
      </w:pPr>
    </w:p>
    <w:p w14:paraId="3544EA8F" w14:textId="6BC918E3" w:rsidR="000D41C4" w:rsidRPr="00DC43D3" w:rsidRDefault="000D41C4" w:rsidP="00DE2119">
      <w:pPr>
        <w:pStyle w:val="ListParagraph"/>
        <w:numPr>
          <w:ilvl w:val="0"/>
          <w:numId w:val="12"/>
        </w:numPr>
        <w:spacing w:after="0" w:line="240" w:lineRule="auto"/>
        <w:rPr>
          <w:bCs/>
          <w:sz w:val="24"/>
          <w:szCs w:val="24"/>
        </w:rPr>
      </w:pPr>
      <w:r w:rsidRPr="000D41C4">
        <w:rPr>
          <w:bCs/>
          <w:sz w:val="24"/>
          <w:szCs w:val="24"/>
        </w:rPr>
        <w:t>amend</w:t>
      </w:r>
      <w:r w:rsidR="008309E9">
        <w:rPr>
          <w:bCs/>
          <w:sz w:val="24"/>
          <w:szCs w:val="24"/>
        </w:rPr>
        <w:t>ing</w:t>
      </w:r>
      <w:r w:rsidRPr="000D41C4">
        <w:rPr>
          <w:bCs/>
          <w:sz w:val="24"/>
          <w:szCs w:val="24"/>
        </w:rPr>
        <w:t xml:space="preserve"> section 15 of the model WHS Regulations to make it clear that compliance with Standards is not mandatory under the model WHS laws unless this is specifically stated (</w:t>
      </w:r>
      <w:r w:rsidRPr="008309E9">
        <w:rPr>
          <w:bCs/>
          <w:i/>
          <w:iCs/>
          <w:sz w:val="24"/>
          <w:szCs w:val="24"/>
        </w:rPr>
        <w:t xml:space="preserve">Boland </w:t>
      </w:r>
      <w:r w:rsidRPr="001636ED">
        <w:rPr>
          <w:bCs/>
          <w:i/>
          <w:iCs/>
          <w:sz w:val="24"/>
          <w:szCs w:val="24"/>
        </w:rPr>
        <w:t>Review Recommendation 31b: Compliance with Standards not mandatory unless specified</w:t>
      </w:r>
      <w:r w:rsidRPr="001636ED">
        <w:rPr>
          <w:bCs/>
          <w:sz w:val="24"/>
          <w:szCs w:val="24"/>
        </w:rPr>
        <w:t>).</w:t>
      </w:r>
    </w:p>
    <w:p w14:paraId="5C14D717" w14:textId="4FEA1B60" w:rsidR="003704B8" w:rsidRDefault="003704B8" w:rsidP="00B51BB2">
      <w:pPr>
        <w:spacing w:after="0" w:line="240" w:lineRule="auto"/>
        <w:rPr>
          <w:sz w:val="24"/>
          <w:szCs w:val="24"/>
        </w:rPr>
      </w:pPr>
    </w:p>
    <w:p w14:paraId="44A28B08" w14:textId="527D5BD2" w:rsidR="009118D2" w:rsidRDefault="000E7372" w:rsidP="00B51BB2">
      <w:pPr>
        <w:spacing w:after="0" w:line="240" w:lineRule="auto"/>
        <w:rPr>
          <w:sz w:val="24"/>
          <w:szCs w:val="24"/>
        </w:rPr>
      </w:pPr>
      <w:r>
        <w:rPr>
          <w:sz w:val="24"/>
          <w:szCs w:val="24"/>
        </w:rPr>
        <w:t>As t</w:t>
      </w:r>
      <w:r w:rsidRPr="000E7372">
        <w:rPr>
          <w:sz w:val="24"/>
          <w:szCs w:val="24"/>
        </w:rPr>
        <w:t xml:space="preserve">he amendments to the WHS Regulation implement </w:t>
      </w:r>
      <w:r>
        <w:rPr>
          <w:sz w:val="24"/>
          <w:szCs w:val="24"/>
        </w:rPr>
        <w:t xml:space="preserve">these </w:t>
      </w:r>
      <w:r w:rsidRPr="000E7372">
        <w:rPr>
          <w:sz w:val="24"/>
          <w:szCs w:val="24"/>
        </w:rPr>
        <w:t xml:space="preserve">two recommendations from the Boland Review, it is considered administratively efficient to </w:t>
      </w:r>
      <w:r>
        <w:rPr>
          <w:sz w:val="24"/>
          <w:szCs w:val="24"/>
        </w:rPr>
        <w:t>include these changes as part of this Bill</w:t>
      </w:r>
      <w:r w:rsidRPr="000E7372">
        <w:rPr>
          <w:sz w:val="24"/>
          <w:szCs w:val="24"/>
        </w:rPr>
        <w:t>.</w:t>
      </w:r>
    </w:p>
    <w:p w14:paraId="4C5836C8" w14:textId="77777777" w:rsidR="00EA3F1F" w:rsidRDefault="00EA3F1F" w:rsidP="00B51BB2">
      <w:pPr>
        <w:spacing w:after="0" w:line="240" w:lineRule="auto"/>
        <w:rPr>
          <w:sz w:val="24"/>
          <w:szCs w:val="24"/>
        </w:rPr>
      </w:pPr>
    </w:p>
    <w:p w14:paraId="3E2A234A" w14:textId="77777777" w:rsidR="000E7372" w:rsidRDefault="000E7372" w:rsidP="00B51BB2">
      <w:pPr>
        <w:spacing w:after="0" w:line="240" w:lineRule="auto"/>
        <w:rPr>
          <w:sz w:val="24"/>
          <w:szCs w:val="24"/>
        </w:rPr>
      </w:pPr>
    </w:p>
    <w:p w14:paraId="6DFB9E20" w14:textId="6B70E381" w:rsidR="007530AE" w:rsidRDefault="007530AE" w:rsidP="007530AE">
      <w:pPr>
        <w:spacing w:after="0" w:line="240" w:lineRule="auto"/>
        <w:rPr>
          <w:sz w:val="24"/>
          <w:szCs w:val="24"/>
        </w:rPr>
      </w:pPr>
    </w:p>
    <w:p w14:paraId="2C4BA2B7" w14:textId="2E386134" w:rsidR="00390634" w:rsidRPr="00226046" w:rsidRDefault="00390634" w:rsidP="00390634">
      <w:pPr>
        <w:spacing w:after="0" w:line="240" w:lineRule="auto"/>
        <w:rPr>
          <w:b/>
          <w:bCs/>
          <w:i/>
          <w:iCs/>
          <w:sz w:val="24"/>
          <w:szCs w:val="24"/>
          <w:u w:val="single"/>
        </w:rPr>
      </w:pPr>
      <w:r w:rsidRPr="00226046">
        <w:rPr>
          <w:b/>
          <w:bCs/>
          <w:i/>
          <w:iCs/>
          <w:sz w:val="24"/>
          <w:szCs w:val="24"/>
          <w:u w:val="single"/>
        </w:rPr>
        <w:t>Consultation on the amendments</w:t>
      </w:r>
    </w:p>
    <w:p w14:paraId="64D4BB5B" w14:textId="3BE5772F" w:rsidR="00390634" w:rsidRDefault="00E53871" w:rsidP="007530AE">
      <w:pPr>
        <w:spacing w:after="0" w:line="240" w:lineRule="auto"/>
        <w:rPr>
          <w:sz w:val="24"/>
          <w:szCs w:val="24"/>
        </w:rPr>
      </w:pPr>
      <w:r w:rsidRPr="00E53871">
        <w:rPr>
          <w:sz w:val="24"/>
          <w:szCs w:val="24"/>
        </w:rPr>
        <w:t xml:space="preserve">Consultation </w:t>
      </w:r>
      <w:r>
        <w:rPr>
          <w:sz w:val="24"/>
          <w:szCs w:val="24"/>
        </w:rPr>
        <w:t>on the policy associated with the Bill</w:t>
      </w:r>
      <w:r w:rsidRPr="00E53871">
        <w:rPr>
          <w:sz w:val="24"/>
          <w:szCs w:val="24"/>
        </w:rPr>
        <w:t xml:space="preserve"> occurred with the Work Health and Safety Council, approved </w:t>
      </w:r>
      <w:r w:rsidR="009118D2">
        <w:rPr>
          <w:sz w:val="24"/>
          <w:szCs w:val="24"/>
        </w:rPr>
        <w:t>i</w:t>
      </w:r>
      <w:r w:rsidRPr="00E53871">
        <w:rPr>
          <w:sz w:val="24"/>
          <w:szCs w:val="24"/>
        </w:rPr>
        <w:t>nsurers and self-insurers.</w:t>
      </w:r>
      <w:r w:rsidR="00AC68BF">
        <w:rPr>
          <w:sz w:val="24"/>
          <w:szCs w:val="24"/>
        </w:rPr>
        <w:t xml:space="preserve"> Changes were made to the Bill following these consultations.</w:t>
      </w:r>
    </w:p>
    <w:p w14:paraId="435DD034" w14:textId="01093303" w:rsidR="00E53871" w:rsidRDefault="00E53871" w:rsidP="007530AE">
      <w:pPr>
        <w:spacing w:after="0" w:line="240" w:lineRule="auto"/>
        <w:rPr>
          <w:sz w:val="24"/>
          <w:szCs w:val="24"/>
        </w:rPr>
      </w:pPr>
    </w:p>
    <w:p w14:paraId="58F69E94" w14:textId="61F2C770" w:rsidR="00E53871" w:rsidRDefault="00E53871" w:rsidP="007530AE">
      <w:pPr>
        <w:spacing w:after="0" w:line="240" w:lineRule="auto"/>
        <w:rPr>
          <w:sz w:val="24"/>
          <w:szCs w:val="24"/>
        </w:rPr>
      </w:pPr>
      <w:r w:rsidRPr="00E53871">
        <w:rPr>
          <w:sz w:val="24"/>
          <w:szCs w:val="24"/>
        </w:rPr>
        <w:t xml:space="preserve">Consultation with directorates and WorkSafe ACT </w:t>
      </w:r>
      <w:r>
        <w:rPr>
          <w:sz w:val="24"/>
          <w:szCs w:val="24"/>
        </w:rPr>
        <w:t>occurred during the development of the Bill</w:t>
      </w:r>
      <w:r w:rsidRPr="00E53871">
        <w:rPr>
          <w:sz w:val="24"/>
          <w:szCs w:val="24"/>
        </w:rPr>
        <w:t>.</w:t>
      </w:r>
    </w:p>
    <w:p w14:paraId="0E75D50F" w14:textId="597B6575" w:rsidR="00E53871" w:rsidRDefault="00E53871" w:rsidP="007530AE">
      <w:pPr>
        <w:spacing w:after="0" w:line="240" w:lineRule="auto"/>
        <w:rPr>
          <w:sz w:val="24"/>
          <w:szCs w:val="24"/>
        </w:rPr>
      </w:pPr>
    </w:p>
    <w:p w14:paraId="6DF01E81" w14:textId="0099B668" w:rsidR="00E53871" w:rsidRDefault="00E53871" w:rsidP="007530AE">
      <w:pPr>
        <w:spacing w:after="0" w:line="240" w:lineRule="auto"/>
        <w:rPr>
          <w:sz w:val="24"/>
          <w:szCs w:val="24"/>
        </w:rPr>
      </w:pPr>
      <w:r w:rsidRPr="00E53871">
        <w:rPr>
          <w:sz w:val="24"/>
          <w:szCs w:val="24"/>
        </w:rPr>
        <w:lastRenderedPageBreak/>
        <w:t>Changes to the model WHS laws follow the usual consultative process through Safe Work Australia, including with jurisdictions and social partners (industry and trade unions).</w:t>
      </w:r>
    </w:p>
    <w:p w14:paraId="21EA159B" w14:textId="2D37C55B" w:rsidR="00390634" w:rsidRDefault="00390634" w:rsidP="007530AE">
      <w:pPr>
        <w:spacing w:after="0" w:line="240" w:lineRule="auto"/>
        <w:rPr>
          <w:sz w:val="24"/>
          <w:szCs w:val="24"/>
        </w:rPr>
      </w:pPr>
    </w:p>
    <w:p w14:paraId="4F9AF9AB" w14:textId="77777777" w:rsidR="009118D2" w:rsidRPr="00DE3B1F" w:rsidRDefault="009118D2" w:rsidP="007530AE">
      <w:pPr>
        <w:spacing w:after="0" w:line="240" w:lineRule="auto"/>
        <w:rPr>
          <w:sz w:val="24"/>
          <w:szCs w:val="24"/>
        </w:rPr>
      </w:pPr>
    </w:p>
    <w:p w14:paraId="0973208F" w14:textId="77777777" w:rsidR="001D2C51" w:rsidRDefault="001D2C51" w:rsidP="001D2C51">
      <w:pPr>
        <w:spacing w:after="0" w:line="240" w:lineRule="auto"/>
        <w:rPr>
          <w:b/>
          <w:sz w:val="24"/>
          <w:szCs w:val="24"/>
          <w:u w:val="single"/>
        </w:rPr>
      </w:pPr>
      <w:r>
        <w:rPr>
          <w:b/>
          <w:sz w:val="24"/>
          <w:szCs w:val="24"/>
          <w:u w:val="single"/>
        </w:rPr>
        <w:t>Climate Change Vulnerability Assessment</w:t>
      </w:r>
    </w:p>
    <w:p w14:paraId="20B4D270" w14:textId="77777777" w:rsidR="001D2C51" w:rsidRDefault="001D2C51" w:rsidP="001D2C51">
      <w:pPr>
        <w:spacing w:after="0" w:line="240" w:lineRule="auto"/>
        <w:rPr>
          <w:bCs/>
          <w:sz w:val="24"/>
          <w:szCs w:val="24"/>
        </w:rPr>
      </w:pPr>
    </w:p>
    <w:p w14:paraId="44E871BC" w14:textId="3050C9A3" w:rsidR="00150A29" w:rsidRPr="001D2C51" w:rsidRDefault="001D2C51" w:rsidP="006F3062">
      <w:pPr>
        <w:spacing w:after="0" w:line="240" w:lineRule="auto"/>
        <w:rPr>
          <w:bCs/>
          <w:sz w:val="24"/>
          <w:szCs w:val="24"/>
        </w:rPr>
      </w:pPr>
      <w:r>
        <w:rPr>
          <w:bCs/>
          <w:sz w:val="24"/>
          <w:szCs w:val="24"/>
        </w:rPr>
        <w:t>There are no climate change implications associated with the Bill.</w:t>
      </w:r>
    </w:p>
    <w:p w14:paraId="60846886" w14:textId="184D3DB3" w:rsidR="00510B38" w:rsidRPr="00186BE2" w:rsidRDefault="00186BE2" w:rsidP="00510B38">
      <w:pPr>
        <w:spacing w:after="0" w:line="240" w:lineRule="auto"/>
        <w:rPr>
          <w:b/>
          <w:sz w:val="24"/>
          <w:szCs w:val="24"/>
        </w:rPr>
      </w:pPr>
      <w:r w:rsidRPr="00186BE2">
        <w:rPr>
          <w:b/>
          <w:sz w:val="24"/>
          <w:szCs w:val="24"/>
        </w:rPr>
        <w:br w:type="page"/>
      </w:r>
      <w:r w:rsidRPr="00186BE2">
        <w:rPr>
          <w:b/>
          <w:sz w:val="24"/>
          <w:szCs w:val="24"/>
        </w:rPr>
        <w:lastRenderedPageBreak/>
        <w:t>CONSISTENCY WITH HUMAN RIGHTS</w:t>
      </w:r>
    </w:p>
    <w:p w14:paraId="144A5D23" w14:textId="77777777" w:rsidR="00510B38" w:rsidRDefault="00510B38" w:rsidP="00510B38">
      <w:pPr>
        <w:pStyle w:val="ESText"/>
        <w:spacing w:line="240" w:lineRule="auto"/>
        <w:rPr>
          <w:rFonts w:ascii="Calibri" w:hAnsi="Calibri"/>
          <w:szCs w:val="24"/>
        </w:rPr>
      </w:pPr>
    </w:p>
    <w:p w14:paraId="1945585D" w14:textId="278121D0" w:rsidR="000A356F" w:rsidRDefault="000A356F" w:rsidP="000A356F">
      <w:pPr>
        <w:pStyle w:val="ESText"/>
        <w:spacing w:line="240" w:lineRule="auto"/>
        <w:rPr>
          <w:rFonts w:ascii="Calibri" w:hAnsi="Calibri"/>
          <w:szCs w:val="24"/>
        </w:rPr>
      </w:pPr>
      <w:r>
        <w:rPr>
          <w:rFonts w:ascii="Calibri" w:hAnsi="Calibri"/>
          <w:szCs w:val="24"/>
        </w:rPr>
        <w:t xml:space="preserve">This section provides an overview of the human rights which may be engaged by the </w:t>
      </w:r>
      <w:r w:rsidR="00932AEA">
        <w:rPr>
          <w:rFonts w:ascii="Calibri" w:hAnsi="Calibri"/>
          <w:szCs w:val="24"/>
        </w:rPr>
        <w:t>Bill</w:t>
      </w:r>
      <w:r>
        <w:rPr>
          <w:rFonts w:ascii="Calibri" w:hAnsi="Calibri"/>
          <w:szCs w:val="24"/>
        </w:rPr>
        <w:t>, together with a discussion of the reasonableness of any possible limitations.</w:t>
      </w:r>
    </w:p>
    <w:p w14:paraId="1F4093F5" w14:textId="0B78EB69" w:rsidR="002129EE" w:rsidRDefault="002129EE" w:rsidP="000A356F">
      <w:pPr>
        <w:pStyle w:val="ESText"/>
        <w:spacing w:line="240" w:lineRule="auto"/>
        <w:rPr>
          <w:rFonts w:ascii="Calibri" w:hAnsi="Calibri"/>
          <w:szCs w:val="24"/>
        </w:rPr>
      </w:pPr>
    </w:p>
    <w:p w14:paraId="4317FFF8" w14:textId="684AB29E" w:rsidR="001D428E" w:rsidRPr="00D20D87" w:rsidRDefault="001D428E" w:rsidP="001D428E">
      <w:pPr>
        <w:pStyle w:val="ESText"/>
        <w:spacing w:after="120" w:line="240" w:lineRule="auto"/>
        <w:rPr>
          <w:rFonts w:ascii="Calibri" w:hAnsi="Calibri"/>
          <w:szCs w:val="24"/>
        </w:rPr>
      </w:pPr>
      <w:r w:rsidRPr="00D20D87">
        <w:rPr>
          <w:rFonts w:ascii="Calibri" w:hAnsi="Calibri"/>
          <w:szCs w:val="24"/>
        </w:rPr>
        <w:t xml:space="preserve">Section 28(1) of the </w:t>
      </w:r>
      <w:r w:rsidRPr="00932AEA">
        <w:rPr>
          <w:rFonts w:ascii="Calibri" w:hAnsi="Calibri"/>
          <w:i/>
          <w:iCs/>
          <w:szCs w:val="24"/>
        </w:rPr>
        <w:t>Human Rights Act 2004</w:t>
      </w:r>
      <w:r w:rsidRPr="00D20D87">
        <w:rPr>
          <w:rFonts w:ascii="Calibri" w:hAnsi="Calibri"/>
          <w:szCs w:val="24"/>
        </w:rPr>
        <w:t xml:space="preserve"> </w:t>
      </w:r>
      <w:r>
        <w:rPr>
          <w:rFonts w:ascii="Calibri" w:hAnsi="Calibri"/>
          <w:szCs w:val="24"/>
        </w:rPr>
        <w:t xml:space="preserve">(HR Act) </w:t>
      </w:r>
      <w:r w:rsidRPr="00D20D87">
        <w:rPr>
          <w:rFonts w:ascii="Calibri" w:hAnsi="Calibri"/>
          <w:szCs w:val="24"/>
        </w:rPr>
        <w:t xml:space="preserve">provides that human rights may be subject to reasonable limits set by laws that can be demonstrably justified in a free and democratic society. </w:t>
      </w:r>
      <w:r w:rsidR="00084987" w:rsidRPr="00084987">
        <w:rPr>
          <w:rFonts w:ascii="Calibri" w:hAnsi="Calibri"/>
          <w:szCs w:val="24"/>
        </w:rPr>
        <w:t>Rights under the HR</w:t>
      </w:r>
      <w:r w:rsidR="00B13D35">
        <w:rPr>
          <w:rFonts w:ascii="Calibri" w:hAnsi="Calibri"/>
          <w:szCs w:val="24"/>
        </w:rPr>
        <w:t xml:space="preserve"> Act</w:t>
      </w:r>
      <w:r w:rsidR="00084987" w:rsidRPr="00084987">
        <w:rPr>
          <w:rFonts w:ascii="Calibri" w:hAnsi="Calibri"/>
          <w:szCs w:val="24"/>
        </w:rPr>
        <w:t xml:space="preserve"> may be limited if such limitations are reasonable and proportionate. </w:t>
      </w:r>
      <w:r>
        <w:rPr>
          <w:rFonts w:ascii="Calibri" w:hAnsi="Calibri"/>
          <w:szCs w:val="24"/>
        </w:rPr>
        <w:t>Section 28(2) of the HR Act contains a framework that is used to determine the acceptable limitations that may be placed on human rights, specifically a number of relevant factors to be considered,</w:t>
      </w:r>
      <w:r w:rsidRPr="00D20D87">
        <w:rPr>
          <w:rFonts w:ascii="Calibri" w:hAnsi="Calibri"/>
          <w:szCs w:val="24"/>
        </w:rPr>
        <w:t xml:space="preserve"> including:</w:t>
      </w:r>
    </w:p>
    <w:p w14:paraId="0AC394A7" w14:textId="77777777" w:rsidR="001D428E" w:rsidRDefault="001D428E" w:rsidP="001D428E">
      <w:pPr>
        <w:pStyle w:val="ESText"/>
        <w:numPr>
          <w:ilvl w:val="0"/>
          <w:numId w:val="3"/>
        </w:numPr>
        <w:spacing w:after="120" w:line="240" w:lineRule="auto"/>
        <w:rPr>
          <w:rFonts w:ascii="Calibri" w:hAnsi="Calibri"/>
          <w:szCs w:val="24"/>
        </w:rPr>
      </w:pPr>
      <w:r w:rsidRPr="00D20D87">
        <w:rPr>
          <w:rFonts w:ascii="Calibri" w:hAnsi="Calibri"/>
          <w:szCs w:val="24"/>
        </w:rPr>
        <w:t>the nature of the right affected;</w:t>
      </w:r>
    </w:p>
    <w:p w14:paraId="0C2A900E" w14:textId="77777777" w:rsidR="001D428E" w:rsidRDefault="001D428E" w:rsidP="001D428E">
      <w:pPr>
        <w:pStyle w:val="ESText"/>
        <w:numPr>
          <w:ilvl w:val="0"/>
          <w:numId w:val="3"/>
        </w:numPr>
        <w:spacing w:after="120" w:line="240" w:lineRule="auto"/>
        <w:rPr>
          <w:rFonts w:ascii="Calibri" w:hAnsi="Calibri"/>
          <w:szCs w:val="24"/>
        </w:rPr>
      </w:pPr>
      <w:r w:rsidRPr="00D20D87">
        <w:rPr>
          <w:rFonts w:ascii="Calibri" w:hAnsi="Calibri"/>
          <w:szCs w:val="24"/>
        </w:rPr>
        <w:t>the importance of the purpose of the limitation;</w:t>
      </w:r>
    </w:p>
    <w:p w14:paraId="57E52434" w14:textId="77777777" w:rsidR="001D428E" w:rsidRDefault="001D428E" w:rsidP="001D428E">
      <w:pPr>
        <w:pStyle w:val="ESText"/>
        <w:numPr>
          <w:ilvl w:val="0"/>
          <w:numId w:val="3"/>
        </w:numPr>
        <w:spacing w:after="120" w:line="240" w:lineRule="auto"/>
        <w:rPr>
          <w:rFonts w:ascii="Calibri" w:hAnsi="Calibri"/>
          <w:szCs w:val="24"/>
        </w:rPr>
      </w:pPr>
      <w:r w:rsidRPr="00D20D87">
        <w:rPr>
          <w:rFonts w:ascii="Calibri" w:hAnsi="Calibri"/>
          <w:szCs w:val="24"/>
        </w:rPr>
        <w:t>the nature and extent of the limitation;</w:t>
      </w:r>
    </w:p>
    <w:p w14:paraId="0CAAC4CC" w14:textId="77777777" w:rsidR="001D428E" w:rsidRDefault="001D428E" w:rsidP="001D428E">
      <w:pPr>
        <w:pStyle w:val="ESText"/>
        <w:numPr>
          <w:ilvl w:val="0"/>
          <w:numId w:val="3"/>
        </w:numPr>
        <w:spacing w:after="120" w:line="240" w:lineRule="auto"/>
        <w:rPr>
          <w:rFonts w:ascii="Calibri" w:hAnsi="Calibri"/>
          <w:szCs w:val="24"/>
        </w:rPr>
      </w:pPr>
      <w:r w:rsidRPr="00D20D87">
        <w:rPr>
          <w:rFonts w:ascii="Calibri" w:hAnsi="Calibri"/>
          <w:szCs w:val="24"/>
        </w:rPr>
        <w:t>the relationship between the limitation and its purpose; and</w:t>
      </w:r>
    </w:p>
    <w:p w14:paraId="0E4C7ACA" w14:textId="77777777" w:rsidR="001D428E" w:rsidRPr="00D20D87" w:rsidRDefault="001D428E" w:rsidP="001D428E">
      <w:pPr>
        <w:pStyle w:val="ESText"/>
        <w:numPr>
          <w:ilvl w:val="0"/>
          <w:numId w:val="3"/>
        </w:numPr>
        <w:spacing w:line="240" w:lineRule="auto"/>
        <w:rPr>
          <w:rFonts w:ascii="Calibri" w:hAnsi="Calibri"/>
          <w:szCs w:val="24"/>
        </w:rPr>
      </w:pPr>
      <w:r w:rsidRPr="00D20D87">
        <w:rPr>
          <w:rFonts w:ascii="Calibri" w:hAnsi="Calibri"/>
          <w:szCs w:val="24"/>
        </w:rPr>
        <w:t>any less restrictive means reasonably available to achieve the purpose the limitation seeks to achieve.</w:t>
      </w:r>
    </w:p>
    <w:p w14:paraId="270F3F19" w14:textId="77777777" w:rsidR="001D428E" w:rsidRDefault="001D428E" w:rsidP="001D428E">
      <w:pPr>
        <w:pStyle w:val="ESText"/>
        <w:spacing w:line="240" w:lineRule="auto"/>
        <w:rPr>
          <w:rFonts w:ascii="Calibri" w:hAnsi="Calibri"/>
          <w:szCs w:val="24"/>
        </w:rPr>
      </w:pPr>
    </w:p>
    <w:p w14:paraId="4FEABFB1" w14:textId="77777777" w:rsidR="00587047" w:rsidRPr="00587047" w:rsidRDefault="00587047" w:rsidP="001D428E">
      <w:pPr>
        <w:pStyle w:val="ESText"/>
        <w:spacing w:after="120" w:line="240" w:lineRule="auto"/>
        <w:rPr>
          <w:rFonts w:ascii="Calibri" w:hAnsi="Calibri"/>
          <w:b/>
          <w:bCs/>
          <w:i/>
          <w:iCs/>
          <w:szCs w:val="24"/>
        </w:rPr>
      </w:pPr>
      <w:r w:rsidRPr="00587047">
        <w:rPr>
          <w:rFonts w:ascii="Calibri" w:hAnsi="Calibri"/>
          <w:b/>
          <w:bCs/>
          <w:i/>
          <w:iCs/>
          <w:szCs w:val="24"/>
        </w:rPr>
        <w:t>Rights Engaged</w:t>
      </w:r>
    </w:p>
    <w:p w14:paraId="097C6211" w14:textId="7965C2AF" w:rsidR="001D428E" w:rsidRDefault="001D428E" w:rsidP="001D428E">
      <w:pPr>
        <w:pStyle w:val="ESText"/>
        <w:spacing w:after="120" w:line="240" w:lineRule="auto"/>
        <w:rPr>
          <w:rFonts w:ascii="Calibri" w:hAnsi="Calibri"/>
          <w:szCs w:val="24"/>
        </w:rPr>
      </w:pPr>
      <w:r>
        <w:rPr>
          <w:rFonts w:ascii="Calibri" w:hAnsi="Calibri"/>
          <w:szCs w:val="24"/>
        </w:rPr>
        <w:t>The Bill may be considered to engage</w:t>
      </w:r>
      <w:r w:rsidR="006C2B41">
        <w:rPr>
          <w:rFonts w:ascii="Calibri" w:hAnsi="Calibri"/>
          <w:szCs w:val="24"/>
        </w:rPr>
        <w:t xml:space="preserve"> with</w:t>
      </w:r>
      <w:r>
        <w:rPr>
          <w:rFonts w:ascii="Calibri" w:hAnsi="Calibri"/>
          <w:szCs w:val="24"/>
        </w:rPr>
        <w:t xml:space="preserve"> the following rights under the HR Act:</w:t>
      </w:r>
    </w:p>
    <w:p w14:paraId="03CADB61" w14:textId="77777777" w:rsidR="001D428E" w:rsidRDefault="001D428E" w:rsidP="001D428E">
      <w:pPr>
        <w:pStyle w:val="ESText"/>
        <w:numPr>
          <w:ilvl w:val="0"/>
          <w:numId w:val="2"/>
        </w:numPr>
        <w:spacing w:after="120" w:line="240" w:lineRule="auto"/>
        <w:rPr>
          <w:rFonts w:ascii="Calibri" w:hAnsi="Calibri"/>
          <w:szCs w:val="24"/>
        </w:rPr>
      </w:pPr>
      <w:r>
        <w:rPr>
          <w:rFonts w:ascii="Calibri" w:hAnsi="Calibri"/>
          <w:szCs w:val="24"/>
        </w:rPr>
        <w:t xml:space="preserve">section 12 (Privacy and reputation); </w:t>
      </w:r>
    </w:p>
    <w:p w14:paraId="56E35A2C" w14:textId="43F5E088" w:rsidR="00084987" w:rsidRDefault="00084987" w:rsidP="00084987">
      <w:pPr>
        <w:pStyle w:val="ESText"/>
        <w:numPr>
          <w:ilvl w:val="0"/>
          <w:numId w:val="2"/>
        </w:numPr>
        <w:spacing w:after="120" w:line="240" w:lineRule="auto"/>
        <w:ind w:left="714" w:hanging="357"/>
        <w:rPr>
          <w:rFonts w:ascii="Calibri" w:hAnsi="Calibri"/>
          <w:szCs w:val="24"/>
        </w:rPr>
      </w:pPr>
      <w:r>
        <w:rPr>
          <w:rFonts w:ascii="Calibri" w:hAnsi="Calibri"/>
          <w:szCs w:val="24"/>
        </w:rPr>
        <w:t xml:space="preserve">section 27B (Rights to work and other work-related rights); </w:t>
      </w:r>
    </w:p>
    <w:p w14:paraId="772C8D78" w14:textId="74542EAE" w:rsidR="002C64E7" w:rsidRDefault="002C64E7" w:rsidP="00084987">
      <w:pPr>
        <w:pStyle w:val="ESText"/>
        <w:numPr>
          <w:ilvl w:val="0"/>
          <w:numId w:val="2"/>
        </w:numPr>
        <w:spacing w:after="120" w:line="240" w:lineRule="auto"/>
        <w:ind w:left="714" w:hanging="357"/>
        <w:rPr>
          <w:rFonts w:ascii="Calibri" w:hAnsi="Calibri"/>
          <w:szCs w:val="24"/>
        </w:rPr>
      </w:pPr>
      <w:r>
        <w:rPr>
          <w:rFonts w:ascii="Calibri" w:hAnsi="Calibri"/>
          <w:szCs w:val="24"/>
        </w:rPr>
        <w:t>section 8 (</w:t>
      </w:r>
      <w:r w:rsidRPr="00B51710">
        <w:rPr>
          <w:rFonts w:ascii="Calibri" w:hAnsi="Calibri"/>
          <w:szCs w:val="24"/>
        </w:rPr>
        <w:t>Right to equality and non-discrimination</w:t>
      </w:r>
      <w:r>
        <w:rPr>
          <w:rFonts w:ascii="Calibri" w:hAnsi="Calibri"/>
          <w:szCs w:val="24"/>
        </w:rPr>
        <w:t>); and</w:t>
      </w:r>
    </w:p>
    <w:p w14:paraId="762A48FA" w14:textId="4AB396AD" w:rsidR="00587047" w:rsidRDefault="002C64E7" w:rsidP="00084987">
      <w:pPr>
        <w:pStyle w:val="ESText"/>
        <w:numPr>
          <w:ilvl w:val="0"/>
          <w:numId w:val="2"/>
        </w:numPr>
        <w:spacing w:after="120" w:line="240" w:lineRule="auto"/>
        <w:ind w:left="714" w:hanging="357"/>
        <w:rPr>
          <w:rFonts w:ascii="Calibri" w:hAnsi="Calibri"/>
          <w:szCs w:val="24"/>
        </w:rPr>
      </w:pPr>
      <w:r>
        <w:rPr>
          <w:rFonts w:ascii="Calibri" w:hAnsi="Calibri"/>
          <w:szCs w:val="24"/>
        </w:rPr>
        <w:t>s</w:t>
      </w:r>
      <w:r w:rsidR="00587047" w:rsidRPr="00587047">
        <w:rPr>
          <w:rFonts w:ascii="Calibri" w:hAnsi="Calibri"/>
          <w:szCs w:val="24"/>
        </w:rPr>
        <w:t>ection 22 (Rights in criminal proceedings)</w:t>
      </w:r>
      <w:r w:rsidR="00587047">
        <w:rPr>
          <w:rFonts w:ascii="Calibri" w:hAnsi="Calibri"/>
          <w:szCs w:val="24"/>
        </w:rPr>
        <w:t>.</w:t>
      </w:r>
    </w:p>
    <w:p w14:paraId="65E554B3" w14:textId="77777777" w:rsidR="00084987" w:rsidRDefault="00084987" w:rsidP="000A356F">
      <w:pPr>
        <w:pStyle w:val="ESText"/>
        <w:spacing w:line="240" w:lineRule="auto"/>
        <w:rPr>
          <w:rFonts w:ascii="Calibri" w:hAnsi="Calibri"/>
          <w:szCs w:val="24"/>
        </w:rPr>
      </w:pPr>
    </w:p>
    <w:p w14:paraId="02562B6C" w14:textId="77777777" w:rsidR="00CA3C46" w:rsidRPr="00CA3C46" w:rsidRDefault="00CA3C46" w:rsidP="00084987">
      <w:pPr>
        <w:pStyle w:val="ESText"/>
        <w:spacing w:after="120" w:line="240" w:lineRule="auto"/>
        <w:rPr>
          <w:rFonts w:ascii="Calibri" w:hAnsi="Calibri"/>
          <w:b/>
          <w:bCs/>
          <w:i/>
          <w:iCs/>
          <w:szCs w:val="24"/>
        </w:rPr>
      </w:pPr>
      <w:r w:rsidRPr="00CA3C46">
        <w:rPr>
          <w:rFonts w:ascii="Calibri" w:hAnsi="Calibri"/>
          <w:b/>
          <w:bCs/>
          <w:i/>
          <w:iCs/>
          <w:szCs w:val="24"/>
        </w:rPr>
        <w:t>Rights Promoted</w:t>
      </w:r>
    </w:p>
    <w:p w14:paraId="431BA618" w14:textId="100DF3FF" w:rsidR="00084987" w:rsidRPr="00084987" w:rsidRDefault="00084987" w:rsidP="00084987">
      <w:pPr>
        <w:pStyle w:val="ESText"/>
        <w:spacing w:after="120" w:line="240" w:lineRule="auto"/>
        <w:rPr>
          <w:rFonts w:ascii="Calibri" w:hAnsi="Calibri"/>
          <w:b/>
          <w:bCs/>
          <w:szCs w:val="24"/>
        </w:rPr>
      </w:pPr>
      <w:r w:rsidRPr="00084987">
        <w:rPr>
          <w:rFonts w:ascii="Calibri" w:hAnsi="Calibri"/>
          <w:b/>
          <w:bCs/>
          <w:szCs w:val="24"/>
        </w:rPr>
        <w:t>Section 12 (Privacy and reputation)</w:t>
      </w:r>
    </w:p>
    <w:p w14:paraId="44E9713D" w14:textId="3CB65F76" w:rsidR="00A40D98" w:rsidRDefault="00A40D98" w:rsidP="00084987">
      <w:pPr>
        <w:pStyle w:val="ESText"/>
        <w:spacing w:after="120" w:line="240" w:lineRule="auto"/>
        <w:rPr>
          <w:rFonts w:ascii="Calibri" w:hAnsi="Calibri"/>
          <w:szCs w:val="24"/>
        </w:rPr>
      </w:pPr>
      <w:r w:rsidRPr="00A40D98">
        <w:rPr>
          <w:rFonts w:ascii="Calibri" w:hAnsi="Calibri"/>
          <w:szCs w:val="24"/>
        </w:rPr>
        <w:t>Th</w:t>
      </w:r>
      <w:r>
        <w:rPr>
          <w:rFonts w:ascii="Calibri" w:hAnsi="Calibri"/>
          <w:szCs w:val="24"/>
        </w:rPr>
        <w:t>e</w:t>
      </w:r>
      <w:r w:rsidRPr="00A40D98">
        <w:rPr>
          <w:rFonts w:ascii="Calibri" w:hAnsi="Calibri"/>
          <w:szCs w:val="24"/>
        </w:rPr>
        <w:t xml:space="preserve"> amendment </w:t>
      </w:r>
      <w:r>
        <w:rPr>
          <w:rFonts w:ascii="Calibri" w:hAnsi="Calibri"/>
          <w:szCs w:val="24"/>
        </w:rPr>
        <w:t xml:space="preserve">to introduce </w:t>
      </w:r>
      <w:r w:rsidRPr="00A40D98">
        <w:rPr>
          <w:rFonts w:ascii="Calibri" w:hAnsi="Calibri"/>
          <w:szCs w:val="24"/>
        </w:rPr>
        <w:t>the</w:t>
      </w:r>
      <w:r>
        <w:rPr>
          <w:rFonts w:ascii="Calibri" w:hAnsi="Calibri"/>
          <w:szCs w:val="24"/>
        </w:rPr>
        <w:t xml:space="preserve"> mandatory</w:t>
      </w:r>
      <w:r w:rsidRPr="00A40D98">
        <w:rPr>
          <w:rFonts w:ascii="Calibri" w:hAnsi="Calibri"/>
          <w:szCs w:val="24"/>
        </w:rPr>
        <w:t xml:space="preserve"> notification of workplace sexual assault to the work </w:t>
      </w:r>
      <w:r w:rsidR="00EB5B08">
        <w:rPr>
          <w:rFonts w:ascii="Calibri" w:hAnsi="Calibri"/>
          <w:szCs w:val="24"/>
        </w:rPr>
        <w:t xml:space="preserve">health and </w:t>
      </w:r>
      <w:r w:rsidRPr="00A40D98">
        <w:rPr>
          <w:rFonts w:ascii="Calibri" w:hAnsi="Calibri"/>
          <w:szCs w:val="24"/>
        </w:rPr>
        <w:t>safety regulator</w:t>
      </w:r>
      <w:r>
        <w:rPr>
          <w:rFonts w:ascii="Calibri" w:hAnsi="Calibri"/>
          <w:szCs w:val="24"/>
        </w:rPr>
        <w:t xml:space="preserve"> </w:t>
      </w:r>
      <w:r w:rsidR="005D3806">
        <w:rPr>
          <w:rFonts w:ascii="Calibri" w:hAnsi="Calibri"/>
          <w:szCs w:val="24"/>
        </w:rPr>
        <w:t>engages the</w:t>
      </w:r>
      <w:r>
        <w:rPr>
          <w:rFonts w:ascii="Calibri" w:hAnsi="Calibri"/>
          <w:szCs w:val="24"/>
        </w:rPr>
        <w:t xml:space="preserve"> right to privacy</w:t>
      </w:r>
      <w:r w:rsidR="002C64E7">
        <w:rPr>
          <w:rFonts w:ascii="Calibri" w:hAnsi="Calibri"/>
          <w:szCs w:val="24"/>
        </w:rPr>
        <w:t>,</w:t>
      </w:r>
      <w:r>
        <w:rPr>
          <w:rFonts w:ascii="Calibri" w:hAnsi="Calibri"/>
          <w:szCs w:val="24"/>
        </w:rPr>
        <w:t xml:space="preserve"> given that the PCBU is required to make a notification to the regulator</w:t>
      </w:r>
      <w:r w:rsidR="00B13D35">
        <w:rPr>
          <w:rFonts w:ascii="Calibri" w:hAnsi="Calibri"/>
          <w:szCs w:val="24"/>
        </w:rPr>
        <w:t>, and that notification may include private or personal information protected by the right to privacy</w:t>
      </w:r>
      <w:r>
        <w:rPr>
          <w:rFonts w:ascii="Calibri" w:hAnsi="Calibri"/>
          <w:szCs w:val="24"/>
        </w:rPr>
        <w:t>. However</w:t>
      </w:r>
      <w:r w:rsidR="00EA3F1F">
        <w:rPr>
          <w:rFonts w:ascii="Calibri" w:hAnsi="Calibri"/>
          <w:szCs w:val="24"/>
        </w:rPr>
        <w:t>,</w:t>
      </w:r>
      <w:r w:rsidR="00447A09">
        <w:rPr>
          <w:rFonts w:ascii="Calibri" w:hAnsi="Calibri"/>
          <w:szCs w:val="24"/>
        </w:rPr>
        <w:t xml:space="preserve"> </w:t>
      </w:r>
      <w:r w:rsidR="00642F9A">
        <w:rPr>
          <w:rFonts w:ascii="Calibri" w:hAnsi="Calibri"/>
          <w:szCs w:val="24"/>
        </w:rPr>
        <w:t>section 9(a), limits the information that the PCBU is required to provide to the regulator, specifically:</w:t>
      </w:r>
    </w:p>
    <w:p w14:paraId="619AC4C7" w14:textId="77777777" w:rsidR="00642F9A" w:rsidRPr="00642F9A" w:rsidRDefault="00642F9A" w:rsidP="00DE2119">
      <w:pPr>
        <w:pStyle w:val="ESText"/>
        <w:numPr>
          <w:ilvl w:val="0"/>
          <w:numId w:val="5"/>
        </w:numPr>
        <w:spacing w:after="120" w:line="240" w:lineRule="auto"/>
        <w:rPr>
          <w:rFonts w:ascii="Calibri" w:hAnsi="Calibri"/>
          <w:szCs w:val="24"/>
        </w:rPr>
      </w:pPr>
      <w:r w:rsidRPr="00642F9A">
        <w:rPr>
          <w:rFonts w:ascii="Calibri" w:hAnsi="Calibri"/>
          <w:szCs w:val="24"/>
        </w:rPr>
        <w:t>the name and contact details of the person conducting the business or undertaking;</w:t>
      </w:r>
    </w:p>
    <w:p w14:paraId="097BDF50" w14:textId="641AD628" w:rsidR="00642F9A" w:rsidRPr="00642F9A" w:rsidRDefault="00642F9A" w:rsidP="00DE2119">
      <w:pPr>
        <w:pStyle w:val="ESText"/>
        <w:numPr>
          <w:ilvl w:val="0"/>
          <w:numId w:val="5"/>
        </w:numPr>
        <w:spacing w:after="120" w:line="240" w:lineRule="auto"/>
        <w:rPr>
          <w:rFonts w:ascii="Calibri" w:hAnsi="Calibri"/>
          <w:szCs w:val="24"/>
        </w:rPr>
      </w:pPr>
      <w:r w:rsidRPr="00642F9A">
        <w:rPr>
          <w:rFonts w:ascii="Calibri" w:hAnsi="Calibri"/>
          <w:szCs w:val="24"/>
        </w:rPr>
        <w:t>a description of the workplace where the incident happened;</w:t>
      </w:r>
      <w:r>
        <w:rPr>
          <w:rFonts w:ascii="Calibri" w:hAnsi="Calibri"/>
          <w:szCs w:val="24"/>
        </w:rPr>
        <w:t xml:space="preserve"> and</w:t>
      </w:r>
    </w:p>
    <w:p w14:paraId="00CB59A6" w14:textId="40F426D0" w:rsidR="00642F9A" w:rsidRDefault="00642F9A" w:rsidP="00DE2119">
      <w:pPr>
        <w:pStyle w:val="ESText"/>
        <w:numPr>
          <w:ilvl w:val="0"/>
          <w:numId w:val="5"/>
        </w:numPr>
        <w:spacing w:after="120" w:line="240" w:lineRule="auto"/>
        <w:rPr>
          <w:rFonts w:ascii="Calibri" w:hAnsi="Calibri"/>
          <w:szCs w:val="24"/>
        </w:rPr>
      </w:pPr>
      <w:r w:rsidRPr="00642F9A">
        <w:rPr>
          <w:rFonts w:ascii="Calibri" w:hAnsi="Calibri"/>
          <w:szCs w:val="24"/>
        </w:rPr>
        <w:t>whether or not the incident was reported to police</w:t>
      </w:r>
      <w:r>
        <w:rPr>
          <w:rFonts w:ascii="Calibri" w:hAnsi="Calibri"/>
          <w:szCs w:val="24"/>
        </w:rPr>
        <w:t>.</w:t>
      </w:r>
    </w:p>
    <w:p w14:paraId="757BC5E9" w14:textId="6D4997F9" w:rsidR="00642F9A" w:rsidRDefault="00642F9A" w:rsidP="00642F9A">
      <w:pPr>
        <w:pStyle w:val="ESText"/>
        <w:spacing w:after="120" w:line="240" w:lineRule="auto"/>
        <w:rPr>
          <w:rFonts w:ascii="Calibri" w:hAnsi="Calibri"/>
          <w:szCs w:val="24"/>
        </w:rPr>
      </w:pPr>
      <w:r>
        <w:rPr>
          <w:rFonts w:ascii="Calibri" w:hAnsi="Calibri"/>
          <w:szCs w:val="24"/>
        </w:rPr>
        <w:t xml:space="preserve">Section 9(b) further clarifies that the PCBU </w:t>
      </w:r>
      <w:r w:rsidR="00EB5B08">
        <w:rPr>
          <w:rFonts w:ascii="Calibri" w:hAnsi="Calibri"/>
          <w:szCs w:val="24"/>
        </w:rPr>
        <w:t xml:space="preserve">must </w:t>
      </w:r>
      <w:r>
        <w:rPr>
          <w:rFonts w:ascii="Calibri" w:hAnsi="Calibri"/>
          <w:szCs w:val="24"/>
        </w:rPr>
        <w:t>not give information disclos</w:t>
      </w:r>
      <w:r w:rsidR="00E85FD1">
        <w:rPr>
          <w:rFonts w:ascii="Calibri" w:hAnsi="Calibri"/>
          <w:szCs w:val="24"/>
        </w:rPr>
        <w:t>ing</w:t>
      </w:r>
      <w:r>
        <w:rPr>
          <w:rFonts w:ascii="Calibri" w:hAnsi="Calibri"/>
          <w:szCs w:val="24"/>
        </w:rPr>
        <w:t xml:space="preserve"> the identity of </w:t>
      </w:r>
      <w:r w:rsidR="00EB5B08">
        <w:rPr>
          <w:rFonts w:ascii="Calibri" w:hAnsi="Calibri"/>
          <w:szCs w:val="24"/>
        </w:rPr>
        <w:t xml:space="preserve">any </w:t>
      </w:r>
      <w:r>
        <w:rPr>
          <w:rFonts w:ascii="Calibri" w:hAnsi="Calibri"/>
          <w:szCs w:val="24"/>
        </w:rPr>
        <w:t>person involved in the incident</w:t>
      </w:r>
      <w:r w:rsidR="00E85FD1">
        <w:rPr>
          <w:rFonts w:ascii="Calibri" w:hAnsi="Calibri"/>
          <w:szCs w:val="24"/>
        </w:rPr>
        <w:t xml:space="preserve"> when notifying the regulator</w:t>
      </w:r>
      <w:r>
        <w:rPr>
          <w:rFonts w:ascii="Calibri" w:hAnsi="Calibri"/>
          <w:szCs w:val="24"/>
        </w:rPr>
        <w:t xml:space="preserve">. </w:t>
      </w:r>
    </w:p>
    <w:p w14:paraId="09CFC81E" w14:textId="3B582644" w:rsidR="006C2B41" w:rsidRDefault="00AB6D9B" w:rsidP="00642F9A">
      <w:pPr>
        <w:pStyle w:val="ESText"/>
        <w:spacing w:after="120" w:line="240" w:lineRule="auto"/>
        <w:rPr>
          <w:rFonts w:ascii="Calibri" w:hAnsi="Calibri"/>
          <w:szCs w:val="24"/>
        </w:rPr>
      </w:pPr>
      <w:r>
        <w:rPr>
          <w:rFonts w:ascii="Calibri" w:hAnsi="Calibri"/>
          <w:szCs w:val="24"/>
        </w:rPr>
        <w:lastRenderedPageBreak/>
        <w:t>By restricting the disclosure of personal or identifying information to the regulator, the Bill’s potential limitation on the right to privacy is</w:t>
      </w:r>
      <w:r w:rsidR="006C2B41">
        <w:rPr>
          <w:rFonts w:ascii="Calibri" w:hAnsi="Calibri"/>
          <w:szCs w:val="24"/>
        </w:rPr>
        <w:t xml:space="preserve"> considered reasonable and justified. With this new incident notification requirement, the regulator will be able to monitor incidents of sexual assault across ACT workplaces</w:t>
      </w:r>
      <w:r w:rsidR="00C41136">
        <w:rPr>
          <w:rFonts w:ascii="Calibri" w:hAnsi="Calibri"/>
          <w:szCs w:val="24"/>
        </w:rPr>
        <w:t xml:space="preserve"> as part of their broader work health and safety compliance and enforcement functions, and undertake timely investigation, where appropriate and required. </w:t>
      </w:r>
      <w:r w:rsidR="002C64E7">
        <w:rPr>
          <w:rFonts w:ascii="Calibri" w:hAnsi="Calibri"/>
          <w:szCs w:val="24"/>
        </w:rPr>
        <w:t>P</w:t>
      </w:r>
      <w:r w:rsidR="00C41136">
        <w:rPr>
          <w:rFonts w:ascii="Calibri" w:hAnsi="Calibri"/>
          <w:szCs w:val="24"/>
        </w:rPr>
        <w:t xml:space="preserve">roviding limited information to the regulator about workplace sexual assault incidents is </w:t>
      </w:r>
      <w:r w:rsidR="002C64E7">
        <w:rPr>
          <w:rFonts w:ascii="Calibri" w:hAnsi="Calibri"/>
          <w:szCs w:val="24"/>
        </w:rPr>
        <w:t xml:space="preserve">likely to be </w:t>
      </w:r>
      <w:r w:rsidR="00C41136">
        <w:rPr>
          <w:rFonts w:ascii="Calibri" w:hAnsi="Calibri"/>
          <w:szCs w:val="24"/>
        </w:rPr>
        <w:t>proportionate to the legitimate purpose of protecting ACT workers through early incident notifications and allowing the regulator to gather intelligence of work health and safety systems of work and issues.</w:t>
      </w:r>
    </w:p>
    <w:p w14:paraId="17C7A592" w14:textId="412A2B66" w:rsidR="005C7B49" w:rsidRDefault="00642F9A" w:rsidP="00642F9A">
      <w:pPr>
        <w:pStyle w:val="ESText"/>
        <w:spacing w:after="120" w:line="240" w:lineRule="auto"/>
        <w:rPr>
          <w:rFonts w:ascii="Calibri" w:hAnsi="Calibri"/>
          <w:szCs w:val="24"/>
        </w:rPr>
      </w:pPr>
      <w:r>
        <w:rPr>
          <w:rFonts w:ascii="Calibri" w:hAnsi="Calibri"/>
          <w:szCs w:val="24"/>
        </w:rPr>
        <w:t>It is noted that PCBUs may</w:t>
      </w:r>
      <w:r w:rsidR="005C7B49">
        <w:rPr>
          <w:rFonts w:ascii="Calibri" w:hAnsi="Calibri"/>
          <w:szCs w:val="24"/>
        </w:rPr>
        <w:t xml:space="preserve"> amend their workplace incident notification systems to allow workers to report incidents of sexual assault in the workplace in addition to the existing notifiable incidents of:</w:t>
      </w:r>
    </w:p>
    <w:p w14:paraId="75426FC8" w14:textId="77777777" w:rsidR="005C7B49" w:rsidRDefault="005C7B49" w:rsidP="00DE2119">
      <w:pPr>
        <w:pStyle w:val="ESText"/>
        <w:numPr>
          <w:ilvl w:val="0"/>
          <w:numId w:val="6"/>
        </w:numPr>
        <w:spacing w:after="120" w:line="240" w:lineRule="auto"/>
        <w:rPr>
          <w:rFonts w:ascii="Calibri" w:hAnsi="Calibri"/>
          <w:szCs w:val="24"/>
        </w:rPr>
      </w:pPr>
      <w:r>
        <w:rPr>
          <w:rFonts w:ascii="Calibri" w:hAnsi="Calibri"/>
          <w:szCs w:val="24"/>
        </w:rPr>
        <w:t>a death of a person;</w:t>
      </w:r>
    </w:p>
    <w:p w14:paraId="1E44F8AD" w14:textId="3BDDF946" w:rsidR="005C7B49" w:rsidRDefault="005C7B49" w:rsidP="00DE2119">
      <w:pPr>
        <w:pStyle w:val="ESText"/>
        <w:numPr>
          <w:ilvl w:val="0"/>
          <w:numId w:val="6"/>
        </w:numPr>
        <w:spacing w:after="120" w:line="240" w:lineRule="auto"/>
        <w:rPr>
          <w:rFonts w:ascii="Calibri" w:hAnsi="Calibri"/>
          <w:szCs w:val="24"/>
        </w:rPr>
      </w:pPr>
      <w:r>
        <w:rPr>
          <w:rFonts w:ascii="Calibri" w:hAnsi="Calibri"/>
          <w:szCs w:val="24"/>
        </w:rPr>
        <w:t>a serious injury or illness of a person; or</w:t>
      </w:r>
    </w:p>
    <w:p w14:paraId="0C856495" w14:textId="72F20A92" w:rsidR="00642F9A" w:rsidRDefault="005C7B49" w:rsidP="00DE2119">
      <w:pPr>
        <w:pStyle w:val="ESText"/>
        <w:numPr>
          <w:ilvl w:val="0"/>
          <w:numId w:val="6"/>
        </w:numPr>
        <w:spacing w:after="120" w:line="240" w:lineRule="auto"/>
        <w:rPr>
          <w:rFonts w:ascii="Calibri" w:hAnsi="Calibri"/>
          <w:szCs w:val="24"/>
        </w:rPr>
      </w:pPr>
      <w:r>
        <w:rPr>
          <w:rFonts w:ascii="Calibri" w:hAnsi="Calibri"/>
          <w:szCs w:val="24"/>
        </w:rPr>
        <w:t>a dangerous incident.</w:t>
      </w:r>
    </w:p>
    <w:p w14:paraId="2CEC6E46" w14:textId="0601841A" w:rsidR="005C7B49" w:rsidRDefault="005C7B49" w:rsidP="00642F9A">
      <w:pPr>
        <w:pStyle w:val="ESText"/>
        <w:spacing w:after="120" w:line="240" w:lineRule="auto"/>
        <w:rPr>
          <w:rFonts w:ascii="Calibri" w:hAnsi="Calibri"/>
          <w:szCs w:val="24"/>
        </w:rPr>
      </w:pPr>
      <w:r>
        <w:rPr>
          <w:rFonts w:ascii="Calibri" w:hAnsi="Calibri"/>
          <w:szCs w:val="24"/>
        </w:rPr>
        <w:t xml:space="preserve">Some of these systems may be used to allow PCBUs or corporate areas to monitor and track work health and safety risks and implement appropriate controls to prevent or minimise the incidents from occurring into the future. With the introduction of workplace sexual assault as a notifiable incident, appropriate arrangements </w:t>
      </w:r>
      <w:r w:rsidR="00E85FD1">
        <w:rPr>
          <w:rFonts w:ascii="Calibri" w:hAnsi="Calibri"/>
          <w:szCs w:val="24"/>
        </w:rPr>
        <w:t xml:space="preserve">will </w:t>
      </w:r>
      <w:r>
        <w:rPr>
          <w:rFonts w:ascii="Calibri" w:hAnsi="Calibri"/>
          <w:szCs w:val="24"/>
        </w:rPr>
        <w:t>need to be put in place</w:t>
      </w:r>
      <w:r w:rsidR="002C64E7">
        <w:rPr>
          <w:rFonts w:ascii="Calibri" w:hAnsi="Calibri"/>
          <w:szCs w:val="24"/>
        </w:rPr>
        <w:t xml:space="preserve"> by PCBUs</w:t>
      </w:r>
      <w:r>
        <w:rPr>
          <w:rFonts w:ascii="Calibri" w:hAnsi="Calibri"/>
          <w:szCs w:val="24"/>
        </w:rPr>
        <w:t xml:space="preserve"> to ensure that the </w:t>
      </w:r>
      <w:r w:rsidR="002C64E7">
        <w:rPr>
          <w:rFonts w:ascii="Calibri" w:hAnsi="Calibri"/>
          <w:szCs w:val="24"/>
        </w:rPr>
        <w:t xml:space="preserve">right to </w:t>
      </w:r>
      <w:r>
        <w:rPr>
          <w:rFonts w:ascii="Calibri" w:hAnsi="Calibri"/>
          <w:szCs w:val="24"/>
        </w:rPr>
        <w:t>privacy of the victim and the accused is maintained.</w:t>
      </w:r>
    </w:p>
    <w:p w14:paraId="7181DD97" w14:textId="5490B04E" w:rsidR="00642F9A" w:rsidRDefault="005C7B49" w:rsidP="00642F9A">
      <w:pPr>
        <w:pStyle w:val="ESText"/>
        <w:spacing w:after="120" w:line="240" w:lineRule="auto"/>
        <w:rPr>
          <w:rFonts w:ascii="Calibri" w:hAnsi="Calibri"/>
          <w:szCs w:val="24"/>
        </w:rPr>
      </w:pPr>
      <w:r>
        <w:rPr>
          <w:rFonts w:ascii="Calibri" w:hAnsi="Calibri"/>
          <w:szCs w:val="24"/>
        </w:rPr>
        <w:t xml:space="preserve">As a result, PCBUs and the regulator </w:t>
      </w:r>
      <w:r w:rsidR="002C64E7">
        <w:rPr>
          <w:rFonts w:ascii="Calibri" w:hAnsi="Calibri"/>
          <w:szCs w:val="24"/>
        </w:rPr>
        <w:t xml:space="preserve">may also </w:t>
      </w:r>
      <w:r>
        <w:rPr>
          <w:rFonts w:ascii="Calibri" w:hAnsi="Calibri"/>
          <w:szCs w:val="24"/>
        </w:rPr>
        <w:t xml:space="preserve">be required to comply with </w:t>
      </w:r>
      <w:r w:rsidR="002C64E7">
        <w:rPr>
          <w:rFonts w:ascii="Calibri" w:hAnsi="Calibri"/>
          <w:szCs w:val="24"/>
        </w:rPr>
        <w:t xml:space="preserve">any applicable </w:t>
      </w:r>
      <w:r>
        <w:rPr>
          <w:rFonts w:ascii="Calibri" w:hAnsi="Calibri"/>
          <w:szCs w:val="24"/>
        </w:rPr>
        <w:t>privacy obligations under the</w:t>
      </w:r>
      <w:r w:rsidRPr="005C7B49">
        <w:rPr>
          <w:rFonts w:ascii="Calibri" w:hAnsi="Calibri"/>
          <w:szCs w:val="24"/>
        </w:rPr>
        <w:t xml:space="preserve"> </w:t>
      </w:r>
      <w:r w:rsidRPr="005C7B49">
        <w:rPr>
          <w:rFonts w:ascii="Calibri" w:hAnsi="Calibri"/>
          <w:i/>
          <w:iCs/>
          <w:szCs w:val="24"/>
        </w:rPr>
        <w:t>Privacy Act 1988</w:t>
      </w:r>
      <w:r>
        <w:rPr>
          <w:rFonts w:ascii="Calibri" w:hAnsi="Calibri"/>
          <w:szCs w:val="24"/>
        </w:rPr>
        <w:t xml:space="preserve"> (Cwlth)</w:t>
      </w:r>
      <w:r w:rsidR="00642F9A">
        <w:rPr>
          <w:rFonts w:ascii="Calibri" w:hAnsi="Calibri"/>
          <w:szCs w:val="24"/>
        </w:rPr>
        <w:t xml:space="preserve"> and the </w:t>
      </w:r>
      <w:r w:rsidR="00642F9A" w:rsidRPr="00642F9A">
        <w:rPr>
          <w:rFonts w:ascii="Calibri" w:hAnsi="Calibri"/>
          <w:i/>
          <w:iCs/>
          <w:szCs w:val="24"/>
        </w:rPr>
        <w:t>Information Privacy Act 2014</w:t>
      </w:r>
      <w:r w:rsidR="00E85FD1">
        <w:rPr>
          <w:rFonts w:ascii="Calibri" w:hAnsi="Calibri"/>
          <w:szCs w:val="24"/>
        </w:rPr>
        <w:t xml:space="preserve"> in relation to the notification of the sexual assault in the workplace</w:t>
      </w:r>
      <w:r w:rsidR="00642F9A">
        <w:rPr>
          <w:rFonts w:ascii="Calibri" w:hAnsi="Calibri"/>
          <w:szCs w:val="24"/>
        </w:rPr>
        <w:t>.</w:t>
      </w:r>
    </w:p>
    <w:p w14:paraId="3102E566" w14:textId="77777777" w:rsidR="00084987" w:rsidRDefault="00084987" w:rsidP="00084987">
      <w:pPr>
        <w:pStyle w:val="ESText"/>
        <w:spacing w:after="120" w:line="240" w:lineRule="auto"/>
        <w:rPr>
          <w:rFonts w:ascii="Calibri" w:hAnsi="Calibri"/>
          <w:szCs w:val="24"/>
        </w:rPr>
      </w:pPr>
    </w:p>
    <w:p w14:paraId="16BFC821" w14:textId="370E43D3" w:rsidR="00084987" w:rsidRPr="00084987" w:rsidRDefault="00084987" w:rsidP="00084987">
      <w:pPr>
        <w:pStyle w:val="ESText"/>
        <w:spacing w:after="120" w:line="240" w:lineRule="auto"/>
        <w:rPr>
          <w:rFonts w:ascii="Calibri" w:hAnsi="Calibri"/>
          <w:b/>
          <w:bCs/>
          <w:szCs w:val="24"/>
        </w:rPr>
      </w:pPr>
      <w:r w:rsidRPr="00084987">
        <w:rPr>
          <w:rFonts w:ascii="Calibri" w:hAnsi="Calibri"/>
          <w:b/>
          <w:bCs/>
          <w:szCs w:val="24"/>
        </w:rPr>
        <w:t>Section 27B (Rights to work and other work-related rights)</w:t>
      </w:r>
    </w:p>
    <w:p w14:paraId="06ECA62D" w14:textId="4C667F76" w:rsidR="00B42F25" w:rsidRPr="00B42F25" w:rsidRDefault="00B42F25" w:rsidP="00B42F25">
      <w:pPr>
        <w:pStyle w:val="ESText"/>
        <w:spacing w:after="120" w:line="240" w:lineRule="auto"/>
        <w:rPr>
          <w:rFonts w:ascii="Calibri" w:hAnsi="Calibri"/>
          <w:szCs w:val="24"/>
        </w:rPr>
      </w:pPr>
      <w:r w:rsidRPr="00B42F25">
        <w:rPr>
          <w:rFonts w:ascii="Calibri" w:hAnsi="Calibri"/>
          <w:szCs w:val="24"/>
        </w:rPr>
        <w:t xml:space="preserve">The right to work is set out at section 27B of the </w:t>
      </w:r>
      <w:r>
        <w:rPr>
          <w:rFonts w:ascii="Calibri" w:hAnsi="Calibri"/>
          <w:szCs w:val="24"/>
        </w:rPr>
        <w:t xml:space="preserve">HR </w:t>
      </w:r>
      <w:r w:rsidRPr="00B42F25">
        <w:rPr>
          <w:rFonts w:ascii="Calibri" w:hAnsi="Calibri"/>
          <w:szCs w:val="24"/>
        </w:rPr>
        <w:t>Act</w:t>
      </w:r>
      <w:r>
        <w:rPr>
          <w:rFonts w:ascii="Calibri" w:hAnsi="Calibri"/>
          <w:szCs w:val="24"/>
        </w:rPr>
        <w:t xml:space="preserve">, where </w:t>
      </w:r>
      <w:r w:rsidRPr="00B42F25">
        <w:rPr>
          <w:rFonts w:ascii="Calibri" w:hAnsi="Calibri"/>
          <w:szCs w:val="24"/>
        </w:rPr>
        <w:t>section 27B(1) particularly sets out that every</w:t>
      </w:r>
      <w:r w:rsidR="006C2B41">
        <w:rPr>
          <w:rFonts w:ascii="Calibri" w:hAnsi="Calibri"/>
          <w:szCs w:val="24"/>
        </w:rPr>
        <w:t>one</w:t>
      </w:r>
      <w:r w:rsidRPr="00B42F25">
        <w:rPr>
          <w:rFonts w:ascii="Calibri" w:hAnsi="Calibri"/>
          <w:szCs w:val="24"/>
        </w:rPr>
        <w:t xml:space="preserve"> has the right to work, including the right to choose their occupation or profession freely.</w:t>
      </w:r>
      <w:r w:rsidR="006C2B41">
        <w:rPr>
          <w:rFonts w:ascii="Calibri" w:hAnsi="Calibri"/>
          <w:szCs w:val="24"/>
        </w:rPr>
        <w:t xml:space="preserve"> S</w:t>
      </w:r>
      <w:r w:rsidRPr="00B42F25">
        <w:rPr>
          <w:rFonts w:ascii="Calibri" w:hAnsi="Calibri"/>
          <w:szCs w:val="24"/>
        </w:rPr>
        <w:t>ection 27B(2)</w:t>
      </w:r>
      <w:r w:rsidR="006C2B41">
        <w:rPr>
          <w:rFonts w:ascii="Calibri" w:hAnsi="Calibri"/>
          <w:szCs w:val="24"/>
        </w:rPr>
        <w:t xml:space="preserve"> provides that</w:t>
      </w:r>
      <w:r w:rsidRPr="00B42F25">
        <w:rPr>
          <w:rFonts w:ascii="Calibri" w:hAnsi="Calibri"/>
          <w:szCs w:val="24"/>
        </w:rPr>
        <w:t xml:space="preserve"> everyone has the right to the enjoyment of just and favourable conditions of work</w:t>
      </w:r>
      <w:r w:rsidR="006C2B41">
        <w:rPr>
          <w:rFonts w:ascii="Calibri" w:hAnsi="Calibri"/>
          <w:szCs w:val="24"/>
        </w:rPr>
        <w:t xml:space="preserve"> and </w:t>
      </w:r>
      <w:r w:rsidRPr="00B42F25">
        <w:rPr>
          <w:rFonts w:ascii="Calibri" w:hAnsi="Calibri"/>
          <w:szCs w:val="24"/>
        </w:rPr>
        <w:t>section 27B(5) sets out that everyone is entitled to enjoy the</w:t>
      </w:r>
      <w:r w:rsidR="006C2B41">
        <w:rPr>
          <w:rFonts w:ascii="Calibri" w:hAnsi="Calibri"/>
          <w:szCs w:val="24"/>
        </w:rPr>
        <w:t>se</w:t>
      </w:r>
      <w:r w:rsidRPr="00B42F25">
        <w:rPr>
          <w:rFonts w:ascii="Calibri" w:hAnsi="Calibri"/>
          <w:szCs w:val="24"/>
        </w:rPr>
        <w:t xml:space="preserve"> rights without discrimination.</w:t>
      </w:r>
    </w:p>
    <w:p w14:paraId="73E106AA" w14:textId="20205943" w:rsidR="00995F38" w:rsidRDefault="00B42F25" w:rsidP="00995F38">
      <w:pPr>
        <w:pStyle w:val="ESText"/>
        <w:spacing w:after="120" w:line="240" w:lineRule="auto"/>
        <w:rPr>
          <w:rFonts w:ascii="Calibri" w:hAnsi="Calibri"/>
          <w:szCs w:val="24"/>
        </w:rPr>
      </w:pPr>
      <w:r w:rsidRPr="00EA0AA4">
        <w:rPr>
          <w:rFonts w:ascii="Calibri" w:hAnsi="Calibri"/>
          <w:szCs w:val="24"/>
        </w:rPr>
        <w:t xml:space="preserve">The </w:t>
      </w:r>
      <w:r w:rsidR="006C2B41" w:rsidRPr="00EA0AA4">
        <w:rPr>
          <w:rFonts w:ascii="Calibri" w:hAnsi="Calibri"/>
          <w:szCs w:val="24"/>
        </w:rPr>
        <w:t xml:space="preserve">Bill </w:t>
      </w:r>
      <w:r w:rsidR="00600D5E">
        <w:rPr>
          <w:rFonts w:ascii="Calibri" w:hAnsi="Calibri"/>
          <w:szCs w:val="24"/>
        </w:rPr>
        <w:t>promotes</w:t>
      </w:r>
      <w:r w:rsidR="006C2B41" w:rsidRPr="00EA0AA4">
        <w:rPr>
          <w:rFonts w:ascii="Calibri" w:hAnsi="Calibri"/>
          <w:szCs w:val="24"/>
        </w:rPr>
        <w:t xml:space="preserve"> workers</w:t>
      </w:r>
      <w:r w:rsidR="00226046">
        <w:rPr>
          <w:rFonts w:ascii="Calibri" w:hAnsi="Calibri"/>
          <w:szCs w:val="24"/>
        </w:rPr>
        <w:t>’</w:t>
      </w:r>
      <w:r w:rsidR="006C2B41" w:rsidRPr="00EA0AA4">
        <w:rPr>
          <w:rFonts w:ascii="Calibri" w:hAnsi="Calibri"/>
          <w:szCs w:val="24"/>
        </w:rPr>
        <w:t xml:space="preserve"> rights</w:t>
      </w:r>
      <w:r w:rsidR="00DF0BC7" w:rsidRPr="00EA0AA4">
        <w:rPr>
          <w:rFonts w:ascii="Calibri" w:hAnsi="Calibri"/>
          <w:szCs w:val="24"/>
        </w:rPr>
        <w:t xml:space="preserve"> by addressing the under-reporting of sexual assaults in workplaces through a legislative obligation to report these incidents externally to the regulator</w:t>
      </w:r>
      <w:r w:rsidR="006C2B41" w:rsidRPr="00EA0AA4">
        <w:rPr>
          <w:rFonts w:ascii="Calibri" w:hAnsi="Calibri"/>
          <w:szCs w:val="24"/>
        </w:rPr>
        <w:t>.</w:t>
      </w:r>
      <w:r w:rsidR="00EA0AA4" w:rsidRPr="00EA0AA4">
        <w:rPr>
          <w:rFonts w:ascii="Calibri" w:hAnsi="Calibri"/>
          <w:szCs w:val="24"/>
        </w:rPr>
        <w:t xml:space="preserve"> This provides for early sexual assault incident notifications to be sent which will allow the regulator to gather intelligence of work health and safety systems of work and issues that may require timely investigation</w:t>
      </w:r>
      <w:r w:rsidR="00EA0AA4">
        <w:rPr>
          <w:rFonts w:ascii="Calibri" w:hAnsi="Calibri"/>
          <w:szCs w:val="24"/>
        </w:rPr>
        <w:t xml:space="preserve"> using the regulator’s powers under the </w:t>
      </w:r>
      <w:r w:rsidR="00E85FD1">
        <w:rPr>
          <w:rFonts w:ascii="Calibri" w:hAnsi="Calibri"/>
          <w:szCs w:val="24"/>
        </w:rPr>
        <w:br/>
      </w:r>
      <w:r w:rsidR="00EA0AA4">
        <w:rPr>
          <w:rFonts w:ascii="Calibri" w:hAnsi="Calibri"/>
          <w:szCs w:val="24"/>
        </w:rPr>
        <w:t>WHS Act.</w:t>
      </w:r>
      <w:r w:rsidR="00995F38">
        <w:rPr>
          <w:rFonts w:ascii="Calibri" w:hAnsi="Calibri"/>
          <w:szCs w:val="24"/>
        </w:rPr>
        <w:t xml:space="preserve"> </w:t>
      </w:r>
      <w:r w:rsidR="00995F38" w:rsidRPr="00994562">
        <w:rPr>
          <w:rFonts w:ascii="Calibri" w:hAnsi="Calibri"/>
          <w:szCs w:val="24"/>
        </w:rPr>
        <w:t xml:space="preserve">The </w:t>
      </w:r>
      <w:r w:rsidR="00995F38">
        <w:rPr>
          <w:rFonts w:ascii="Calibri" w:hAnsi="Calibri"/>
          <w:szCs w:val="24"/>
        </w:rPr>
        <w:t>Government</w:t>
      </w:r>
      <w:r w:rsidR="00995F38" w:rsidRPr="00994562">
        <w:rPr>
          <w:rFonts w:ascii="Calibri" w:hAnsi="Calibri"/>
          <w:szCs w:val="24"/>
        </w:rPr>
        <w:t xml:space="preserve"> recognises the role that PCBUs have in ensuring workplaces are safe for all workers, which includes the elimination of factors, risks and hazards that might contribute to sexual assault, particularly in terms of workplace culture. In recognition of the important role that PCBUs have in creating a workplace culture that is healthy and safe</w:t>
      </w:r>
      <w:r w:rsidR="00995F38">
        <w:rPr>
          <w:rFonts w:ascii="Calibri" w:hAnsi="Calibri"/>
          <w:szCs w:val="24"/>
        </w:rPr>
        <w:t xml:space="preserve">, requiring PCBUs to report </w:t>
      </w:r>
      <w:r w:rsidR="009D25F2">
        <w:rPr>
          <w:rFonts w:ascii="Calibri" w:hAnsi="Calibri"/>
          <w:szCs w:val="24"/>
        </w:rPr>
        <w:t xml:space="preserve">on </w:t>
      </w:r>
      <w:r w:rsidR="00995F38">
        <w:rPr>
          <w:rFonts w:ascii="Calibri" w:hAnsi="Calibri"/>
          <w:szCs w:val="24"/>
        </w:rPr>
        <w:t>workplace sexual assault incidents to the regulator</w:t>
      </w:r>
      <w:r w:rsidR="009D25F2">
        <w:rPr>
          <w:rFonts w:ascii="Calibri" w:hAnsi="Calibri"/>
          <w:szCs w:val="24"/>
        </w:rPr>
        <w:t xml:space="preserve"> further supports</w:t>
      </w:r>
      <w:r w:rsidR="00995F38">
        <w:rPr>
          <w:rFonts w:ascii="Calibri" w:hAnsi="Calibri"/>
          <w:szCs w:val="24"/>
        </w:rPr>
        <w:t xml:space="preserve"> worker’s rights to the enjoyment of just and favourable conditions of work.</w:t>
      </w:r>
    </w:p>
    <w:p w14:paraId="1AC9996D" w14:textId="0A71B081" w:rsidR="00995F38" w:rsidRDefault="002C64E7" w:rsidP="00995F38">
      <w:pPr>
        <w:pStyle w:val="ESText"/>
        <w:spacing w:after="120" w:line="240" w:lineRule="auto"/>
        <w:rPr>
          <w:rFonts w:ascii="Calibri" w:hAnsi="Calibri"/>
          <w:b/>
          <w:bCs/>
          <w:szCs w:val="24"/>
        </w:rPr>
      </w:pPr>
      <w:r>
        <w:rPr>
          <w:rFonts w:ascii="Calibri" w:hAnsi="Calibri"/>
          <w:b/>
          <w:bCs/>
          <w:szCs w:val="24"/>
        </w:rPr>
        <w:lastRenderedPageBreak/>
        <w:t>Section 8 (</w:t>
      </w:r>
      <w:r w:rsidR="00995F38">
        <w:rPr>
          <w:rFonts w:ascii="Calibri" w:hAnsi="Calibri"/>
          <w:b/>
          <w:bCs/>
          <w:szCs w:val="24"/>
        </w:rPr>
        <w:t>R</w:t>
      </w:r>
      <w:r w:rsidR="00995F38" w:rsidRPr="00994562">
        <w:rPr>
          <w:rFonts w:ascii="Calibri" w:hAnsi="Calibri"/>
          <w:b/>
          <w:bCs/>
          <w:szCs w:val="24"/>
        </w:rPr>
        <w:t>ight to equality and non-discrimination</w:t>
      </w:r>
      <w:r>
        <w:rPr>
          <w:rFonts w:ascii="Calibri" w:hAnsi="Calibri"/>
          <w:b/>
          <w:bCs/>
          <w:szCs w:val="24"/>
        </w:rPr>
        <w:t>)</w:t>
      </w:r>
      <w:r w:rsidR="00995F38" w:rsidRPr="00994562">
        <w:rPr>
          <w:rFonts w:ascii="Calibri" w:hAnsi="Calibri"/>
          <w:b/>
          <w:bCs/>
          <w:szCs w:val="24"/>
        </w:rPr>
        <w:t xml:space="preserve"> </w:t>
      </w:r>
    </w:p>
    <w:p w14:paraId="2C23074A" w14:textId="54015FFC" w:rsidR="001636ED" w:rsidRPr="001636ED" w:rsidRDefault="001636ED" w:rsidP="001636ED">
      <w:pPr>
        <w:pStyle w:val="ESText"/>
        <w:spacing w:after="120" w:line="240" w:lineRule="auto"/>
        <w:rPr>
          <w:rFonts w:ascii="Calibri" w:hAnsi="Calibri"/>
          <w:szCs w:val="24"/>
        </w:rPr>
      </w:pPr>
      <w:r>
        <w:rPr>
          <w:rFonts w:ascii="Calibri" w:hAnsi="Calibri"/>
          <w:szCs w:val="24"/>
        </w:rPr>
        <w:t>The Bill positively engages with gender discrimination</w:t>
      </w:r>
      <w:r w:rsidR="00EA0AA4">
        <w:rPr>
          <w:rFonts w:ascii="Calibri" w:hAnsi="Calibri"/>
          <w:szCs w:val="24"/>
        </w:rPr>
        <w:t xml:space="preserve"> given that the majority of sexual assaults are aimed at women</w:t>
      </w:r>
      <w:r>
        <w:rPr>
          <w:rFonts w:ascii="Calibri" w:hAnsi="Calibri"/>
          <w:szCs w:val="24"/>
        </w:rPr>
        <w:t xml:space="preserve"> and </w:t>
      </w:r>
      <w:r w:rsidR="00AB0162">
        <w:rPr>
          <w:rFonts w:ascii="Calibri" w:hAnsi="Calibri"/>
          <w:szCs w:val="24"/>
        </w:rPr>
        <w:t xml:space="preserve">attempts to </w:t>
      </w:r>
      <w:r>
        <w:rPr>
          <w:rFonts w:ascii="Calibri" w:hAnsi="Calibri"/>
          <w:szCs w:val="24"/>
        </w:rPr>
        <w:t>address t</w:t>
      </w:r>
      <w:r w:rsidRPr="001636ED">
        <w:rPr>
          <w:rFonts w:ascii="Calibri" w:hAnsi="Calibri"/>
          <w:szCs w:val="24"/>
        </w:rPr>
        <w:t xml:space="preserve">he prevalence of workplace sexual assault and harassment </w:t>
      </w:r>
      <w:r w:rsidR="00EA0AA4">
        <w:rPr>
          <w:rFonts w:ascii="Calibri" w:hAnsi="Calibri"/>
          <w:szCs w:val="24"/>
        </w:rPr>
        <w:t xml:space="preserve">across workplaces which has been raised </w:t>
      </w:r>
      <w:r w:rsidRPr="001636ED">
        <w:rPr>
          <w:rFonts w:ascii="Calibri" w:hAnsi="Calibri"/>
          <w:szCs w:val="24"/>
        </w:rPr>
        <w:t>in the public discourse over recent years.</w:t>
      </w:r>
    </w:p>
    <w:p w14:paraId="5B2B6DE0" w14:textId="77777777" w:rsidR="001636ED" w:rsidRDefault="001636ED" w:rsidP="00B42F25">
      <w:pPr>
        <w:pStyle w:val="ESText"/>
        <w:spacing w:after="120" w:line="240" w:lineRule="auto"/>
        <w:rPr>
          <w:rFonts w:ascii="Calibri" w:hAnsi="Calibri"/>
          <w:szCs w:val="24"/>
        </w:rPr>
      </w:pPr>
    </w:p>
    <w:p w14:paraId="643F4E50" w14:textId="77777777" w:rsidR="00CA3C46" w:rsidRPr="00587047" w:rsidRDefault="00CA3C46" w:rsidP="00084987">
      <w:pPr>
        <w:pStyle w:val="ESText"/>
        <w:spacing w:after="120" w:line="240" w:lineRule="auto"/>
        <w:rPr>
          <w:rFonts w:ascii="Calibri" w:hAnsi="Calibri"/>
          <w:b/>
          <w:bCs/>
          <w:i/>
          <w:iCs/>
          <w:szCs w:val="24"/>
        </w:rPr>
      </w:pPr>
      <w:r w:rsidRPr="00587047">
        <w:rPr>
          <w:rFonts w:ascii="Calibri" w:hAnsi="Calibri"/>
          <w:b/>
          <w:bCs/>
          <w:i/>
          <w:iCs/>
          <w:szCs w:val="24"/>
        </w:rPr>
        <w:t>Rights Limited</w:t>
      </w:r>
    </w:p>
    <w:p w14:paraId="51A647DF" w14:textId="77777777" w:rsidR="00084987" w:rsidRDefault="00084987" w:rsidP="00084987">
      <w:pPr>
        <w:pStyle w:val="ESText"/>
        <w:spacing w:line="240" w:lineRule="auto"/>
        <w:rPr>
          <w:rFonts w:ascii="Calibri" w:hAnsi="Calibri"/>
          <w:b/>
          <w:bCs/>
          <w:szCs w:val="24"/>
        </w:rPr>
      </w:pPr>
      <w:r w:rsidRPr="00143541">
        <w:rPr>
          <w:rFonts w:ascii="Calibri" w:hAnsi="Calibri"/>
          <w:b/>
          <w:bCs/>
          <w:szCs w:val="24"/>
        </w:rPr>
        <w:t>Section 22 (Rights in criminal proceedings)</w:t>
      </w:r>
    </w:p>
    <w:p w14:paraId="73200B81" w14:textId="77777777" w:rsidR="00084987" w:rsidRDefault="00084987" w:rsidP="00084987">
      <w:pPr>
        <w:pStyle w:val="ESText"/>
        <w:spacing w:line="240" w:lineRule="auto"/>
        <w:rPr>
          <w:rFonts w:ascii="Calibri" w:hAnsi="Calibri"/>
          <w:b/>
          <w:bCs/>
          <w:szCs w:val="24"/>
        </w:rPr>
      </w:pPr>
    </w:p>
    <w:p w14:paraId="381A78D9" w14:textId="5A07EAD2" w:rsidR="00995F38" w:rsidRDefault="00995F38" w:rsidP="00995F38">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 xml:space="preserve">The two aspects </w:t>
      </w:r>
      <w:r w:rsidR="002C64E7">
        <w:rPr>
          <w:rFonts w:asciiTheme="minorHAnsi" w:hAnsiTheme="minorHAnsi" w:cstheme="minorHAnsi"/>
          <w:color w:val="000000"/>
        </w:rPr>
        <w:t xml:space="preserve">of the right to the presumption of innocence in section 22 </w:t>
      </w:r>
      <w:r>
        <w:rPr>
          <w:rFonts w:asciiTheme="minorHAnsi" w:hAnsiTheme="minorHAnsi" w:cstheme="minorHAnsi"/>
          <w:color w:val="000000"/>
        </w:rPr>
        <w:t>relevant to the Bill are:</w:t>
      </w:r>
    </w:p>
    <w:p w14:paraId="6A9AFEFC" w14:textId="73D771CE" w:rsidR="00995F38" w:rsidRPr="00E84257" w:rsidRDefault="00E85FD1" w:rsidP="00DE2119">
      <w:pPr>
        <w:pStyle w:val="NormalWeb"/>
        <w:numPr>
          <w:ilvl w:val="0"/>
          <w:numId w:val="17"/>
        </w:numPr>
        <w:shd w:val="clear" w:color="auto" w:fill="FFFFFF"/>
        <w:spacing w:line="276" w:lineRule="atLeast"/>
        <w:rPr>
          <w:rFonts w:asciiTheme="minorHAnsi" w:hAnsiTheme="minorHAnsi" w:cstheme="minorHAnsi"/>
          <w:color w:val="000000"/>
        </w:rPr>
      </w:pPr>
      <w:r>
        <w:rPr>
          <w:rFonts w:asciiTheme="minorHAnsi" w:hAnsiTheme="minorHAnsi" w:cstheme="minorHAnsi"/>
          <w:color w:val="000000"/>
        </w:rPr>
        <w:t>t</w:t>
      </w:r>
      <w:r w:rsidRPr="00E84257">
        <w:rPr>
          <w:rFonts w:asciiTheme="minorHAnsi" w:hAnsiTheme="minorHAnsi" w:cstheme="minorHAnsi"/>
          <w:color w:val="000000"/>
        </w:rPr>
        <w:t>he risk that this Bill limits the right to presumption of innocence for a</w:t>
      </w:r>
      <w:r>
        <w:rPr>
          <w:rFonts w:asciiTheme="minorHAnsi" w:hAnsiTheme="minorHAnsi" w:cstheme="minorHAnsi"/>
          <w:color w:val="000000"/>
        </w:rPr>
        <w:t xml:space="preserve"> person accused of workplace</w:t>
      </w:r>
      <w:r w:rsidRPr="00E84257">
        <w:rPr>
          <w:rFonts w:asciiTheme="minorHAnsi" w:hAnsiTheme="minorHAnsi" w:cstheme="minorHAnsi"/>
          <w:color w:val="000000"/>
        </w:rPr>
        <w:t xml:space="preserve"> sexual assault</w:t>
      </w:r>
      <w:r w:rsidR="00995F38">
        <w:rPr>
          <w:rFonts w:asciiTheme="minorHAnsi" w:hAnsiTheme="minorHAnsi" w:cstheme="minorHAnsi"/>
          <w:color w:val="000000"/>
        </w:rPr>
        <w:t>; and</w:t>
      </w:r>
    </w:p>
    <w:p w14:paraId="573507CD" w14:textId="4AEA18A1" w:rsidR="00995F38" w:rsidRDefault="00E85FD1" w:rsidP="00DE2119">
      <w:pPr>
        <w:pStyle w:val="NormalWeb"/>
        <w:numPr>
          <w:ilvl w:val="0"/>
          <w:numId w:val="17"/>
        </w:numPr>
        <w:shd w:val="clear" w:color="auto" w:fill="FFFFFF"/>
        <w:spacing w:before="0" w:beforeAutospacing="0" w:after="200" w:afterAutospacing="0" w:line="276" w:lineRule="atLeast"/>
        <w:rPr>
          <w:rFonts w:asciiTheme="minorHAnsi" w:hAnsiTheme="minorHAnsi" w:cstheme="minorHAnsi"/>
          <w:color w:val="000000"/>
        </w:rPr>
      </w:pPr>
      <w:r w:rsidRPr="00E85FD1">
        <w:rPr>
          <w:rFonts w:asciiTheme="minorHAnsi" w:hAnsiTheme="minorHAnsi" w:cstheme="minorHAnsi"/>
          <w:color w:val="000000"/>
        </w:rPr>
        <w:t xml:space="preserve"> </w:t>
      </w:r>
      <w:r>
        <w:rPr>
          <w:rFonts w:asciiTheme="minorHAnsi" w:hAnsiTheme="minorHAnsi" w:cstheme="minorHAnsi"/>
          <w:color w:val="000000"/>
        </w:rPr>
        <w:t>t</w:t>
      </w:r>
      <w:r w:rsidRPr="00E84257">
        <w:rPr>
          <w:rFonts w:asciiTheme="minorHAnsi" w:hAnsiTheme="minorHAnsi" w:cstheme="minorHAnsi"/>
          <w:color w:val="000000"/>
        </w:rPr>
        <w:t>he strict liability offence where a PCBU fails to notify of a sexual assault</w:t>
      </w:r>
      <w:r w:rsidR="00995F38" w:rsidRPr="00E84257">
        <w:rPr>
          <w:rFonts w:asciiTheme="minorHAnsi" w:hAnsiTheme="minorHAnsi" w:cstheme="minorHAnsi"/>
          <w:color w:val="000000"/>
        </w:rPr>
        <w:t>.</w:t>
      </w:r>
    </w:p>
    <w:p w14:paraId="28791FC9" w14:textId="77777777" w:rsidR="00995F38" w:rsidRPr="00E84257" w:rsidRDefault="00995F38" w:rsidP="00995F38">
      <w:pPr>
        <w:pStyle w:val="NormalWeb"/>
        <w:shd w:val="clear" w:color="auto" w:fill="FFFFFF"/>
        <w:spacing w:before="0" w:beforeAutospacing="0" w:after="200" w:afterAutospacing="0" w:line="276" w:lineRule="atLeast"/>
        <w:rPr>
          <w:rFonts w:asciiTheme="minorHAnsi" w:hAnsiTheme="minorHAnsi" w:cstheme="minorHAnsi"/>
          <w:color w:val="000000"/>
          <w:u w:val="single"/>
        </w:rPr>
      </w:pPr>
      <w:r>
        <w:rPr>
          <w:rFonts w:asciiTheme="minorHAnsi" w:hAnsiTheme="minorHAnsi" w:cstheme="minorHAnsi"/>
          <w:color w:val="000000"/>
          <w:u w:val="single"/>
        </w:rPr>
        <w:t>R</w:t>
      </w:r>
      <w:r w:rsidRPr="00E84257">
        <w:rPr>
          <w:rFonts w:asciiTheme="minorHAnsi" w:hAnsiTheme="minorHAnsi" w:cstheme="minorHAnsi"/>
          <w:color w:val="000000"/>
          <w:u w:val="single"/>
        </w:rPr>
        <w:t xml:space="preserve">ight to presumption of innocence for a person accused of workplace sexual assault </w:t>
      </w:r>
    </w:p>
    <w:p w14:paraId="4329064C" w14:textId="77777777" w:rsidR="002C64E7" w:rsidRDefault="002C64E7" w:rsidP="002C64E7">
      <w:pPr>
        <w:pStyle w:val="NormalWeb"/>
        <w:shd w:val="clear" w:color="auto" w:fill="FFFFFF"/>
        <w:spacing w:before="0" w:beforeAutospacing="0" w:after="200" w:afterAutospacing="0" w:line="276" w:lineRule="atLeast"/>
        <w:rPr>
          <w:rFonts w:asciiTheme="minorHAnsi" w:hAnsiTheme="minorHAnsi" w:cstheme="minorHAnsi"/>
          <w:color w:val="000000"/>
        </w:rPr>
      </w:pPr>
      <w:r w:rsidRPr="00CA3C46">
        <w:rPr>
          <w:rFonts w:asciiTheme="minorHAnsi" w:hAnsiTheme="minorHAnsi" w:cstheme="minorHAnsi"/>
          <w:color w:val="000000"/>
        </w:rPr>
        <w:t xml:space="preserve">The right to the presumption of innocence </w:t>
      </w:r>
      <w:r>
        <w:rPr>
          <w:rFonts w:asciiTheme="minorHAnsi" w:hAnsiTheme="minorHAnsi" w:cstheme="minorHAnsi"/>
          <w:color w:val="000000"/>
        </w:rPr>
        <w:t>ha</w:t>
      </w:r>
      <w:r w:rsidRPr="00CA3C46">
        <w:rPr>
          <w:rFonts w:asciiTheme="minorHAnsi" w:hAnsiTheme="minorHAnsi" w:cstheme="minorHAnsi"/>
          <w:color w:val="000000"/>
        </w:rPr>
        <w:t>s</w:t>
      </w:r>
      <w:r>
        <w:rPr>
          <w:rFonts w:asciiTheme="minorHAnsi" w:hAnsiTheme="minorHAnsi" w:cstheme="minorHAnsi"/>
          <w:color w:val="000000"/>
        </w:rPr>
        <w:t xml:space="preserve"> a potential to be</w:t>
      </w:r>
      <w:r w:rsidRPr="00CA3C46">
        <w:rPr>
          <w:rFonts w:asciiTheme="minorHAnsi" w:hAnsiTheme="minorHAnsi" w:cstheme="minorHAnsi"/>
          <w:color w:val="000000"/>
        </w:rPr>
        <w:t xml:space="preserve"> engaged </w:t>
      </w:r>
      <w:r>
        <w:rPr>
          <w:rFonts w:asciiTheme="minorHAnsi" w:hAnsiTheme="minorHAnsi" w:cstheme="minorHAnsi"/>
          <w:color w:val="000000"/>
        </w:rPr>
        <w:t>for a person who is accused of a sexual assault incident, within the meaning of this Bill. If the sexual assault incident is referred to the police and a criminal proceeding is underway, there is a question of whether the person who is accused of a sexual assault against another worker will be considered innocent until proved guilty through a criminal proceeding, where a sexual assault incident notification has been lodged against the accused.</w:t>
      </w:r>
    </w:p>
    <w:p w14:paraId="78DDBF9E" w14:textId="77777777" w:rsidR="002C64E7" w:rsidRDefault="002C64E7" w:rsidP="002C64E7">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The Bill is</w:t>
      </w:r>
      <w:r w:rsidRPr="00E84257">
        <w:rPr>
          <w:rFonts w:asciiTheme="minorHAnsi" w:hAnsiTheme="minorHAnsi" w:cstheme="minorHAnsi"/>
          <w:color w:val="000000"/>
        </w:rPr>
        <w:t xml:space="preserve"> very unlikely </w:t>
      </w:r>
      <w:r>
        <w:rPr>
          <w:rFonts w:asciiTheme="minorHAnsi" w:hAnsiTheme="minorHAnsi" w:cstheme="minorHAnsi"/>
          <w:color w:val="000000"/>
        </w:rPr>
        <w:t xml:space="preserve">to limit the right to presumption of innocence in criminal proceedings, because </w:t>
      </w:r>
      <w:r w:rsidRPr="00E84257">
        <w:rPr>
          <w:rFonts w:asciiTheme="minorHAnsi" w:hAnsiTheme="minorHAnsi" w:cstheme="minorHAnsi"/>
          <w:color w:val="000000"/>
        </w:rPr>
        <w:t xml:space="preserve">the Bill’s framework </w:t>
      </w:r>
      <w:r>
        <w:rPr>
          <w:rFonts w:asciiTheme="minorHAnsi" w:hAnsiTheme="minorHAnsi" w:cstheme="minorHAnsi"/>
          <w:color w:val="000000"/>
        </w:rPr>
        <w:t xml:space="preserve">is not intended to have any </w:t>
      </w:r>
      <w:r w:rsidRPr="00E84257">
        <w:rPr>
          <w:rFonts w:asciiTheme="minorHAnsi" w:hAnsiTheme="minorHAnsi" w:cstheme="minorHAnsi"/>
          <w:color w:val="000000"/>
        </w:rPr>
        <w:t>bearing on criminal proceedings or the presumption of innocence in those proceedings</w:t>
      </w:r>
      <w:r>
        <w:rPr>
          <w:rFonts w:asciiTheme="minorHAnsi" w:hAnsiTheme="minorHAnsi" w:cstheme="minorHAnsi"/>
          <w:color w:val="000000"/>
        </w:rPr>
        <w:t xml:space="preserve">. </w:t>
      </w:r>
    </w:p>
    <w:p w14:paraId="2496E7D2" w14:textId="77777777" w:rsidR="002C64E7" w:rsidRDefault="002C64E7" w:rsidP="002C64E7">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 xml:space="preserve">It is not the policy intent of the Bill that a person who commits or is suspected of committing a sexual assault incident should be considered guilty of a criminal sexual assault, if a sexual assault incident notification is lodged in relation to their conduct. </w:t>
      </w:r>
    </w:p>
    <w:p w14:paraId="7CE8D755" w14:textId="24AE7E5A" w:rsidR="00587047" w:rsidRDefault="005C65BB" w:rsidP="00CA3C46">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 xml:space="preserve">It is noted that </w:t>
      </w:r>
      <w:r w:rsidR="00587047">
        <w:rPr>
          <w:rFonts w:asciiTheme="minorHAnsi" w:hAnsiTheme="minorHAnsi" w:cstheme="minorHAnsi"/>
          <w:color w:val="000000"/>
        </w:rPr>
        <w:t>some evidence in the workplace may be used as part of the criminal proceedings</w:t>
      </w:r>
      <w:r>
        <w:rPr>
          <w:rFonts w:asciiTheme="minorHAnsi" w:hAnsiTheme="minorHAnsi" w:cstheme="minorHAnsi"/>
          <w:color w:val="000000"/>
        </w:rPr>
        <w:t xml:space="preserve"> and any subsequent investigation by the regulator. </w:t>
      </w:r>
    </w:p>
    <w:p w14:paraId="2068C40D" w14:textId="77777777" w:rsidR="00995F38" w:rsidRDefault="00995F38" w:rsidP="00995F38">
      <w:pPr>
        <w:pStyle w:val="NormalWeb"/>
        <w:shd w:val="clear" w:color="auto" w:fill="FFFFFF"/>
        <w:spacing w:before="0" w:beforeAutospacing="0" w:after="200" w:afterAutospacing="0" w:line="276" w:lineRule="atLeast"/>
        <w:rPr>
          <w:rFonts w:asciiTheme="minorHAnsi" w:hAnsiTheme="minorHAnsi" w:cstheme="minorHAnsi"/>
          <w:color w:val="000000"/>
        </w:rPr>
      </w:pPr>
      <w:r w:rsidRPr="00E84257">
        <w:rPr>
          <w:rFonts w:asciiTheme="minorHAnsi" w:hAnsiTheme="minorHAnsi" w:cstheme="minorHAnsi"/>
          <w:color w:val="000000"/>
          <w:u w:val="single"/>
        </w:rPr>
        <w:t>Strict liability offence where a PCBU fails to notify of a sexual assault</w:t>
      </w:r>
    </w:p>
    <w:p w14:paraId="5C6C5E58" w14:textId="77777777" w:rsidR="00AB0162" w:rsidRPr="00AB0162" w:rsidRDefault="00AB0162" w:rsidP="00DE2119">
      <w:pPr>
        <w:pStyle w:val="ListParagraph"/>
        <w:numPr>
          <w:ilvl w:val="0"/>
          <w:numId w:val="15"/>
        </w:numPr>
        <w:spacing w:after="0" w:line="240" w:lineRule="auto"/>
        <w:rPr>
          <w:rFonts w:asciiTheme="minorHAnsi" w:hAnsiTheme="minorHAnsi" w:cstheme="minorHAnsi"/>
          <w:b/>
          <w:bCs/>
          <w:i/>
          <w:sz w:val="24"/>
          <w:szCs w:val="24"/>
        </w:rPr>
      </w:pPr>
      <w:r w:rsidRPr="00AB0162">
        <w:rPr>
          <w:rFonts w:asciiTheme="minorHAnsi" w:hAnsiTheme="minorHAnsi" w:cstheme="minorHAnsi"/>
          <w:b/>
          <w:bCs/>
          <w:i/>
          <w:sz w:val="24"/>
          <w:szCs w:val="24"/>
        </w:rPr>
        <w:t>Nature of the right and the limitation (s28(a) and (c))</w:t>
      </w:r>
    </w:p>
    <w:p w14:paraId="0583296F" w14:textId="77777777" w:rsidR="002C64E7" w:rsidRPr="00BA52D6" w:rsidRDefault="002C64E7" w:rsidP="002C64E7">
      <w:pPr>
        <w:pStyle w:val="ESText"/>
        <w:spacing w:line="240" w:lineRule="auto"/>
        <w:rPr>
          <w:rFonts w:asciiTheme="minorHAnsi" w:hAnsiTheme="minorHAnsi" w:cstheme="minorHAnsi"/>
          <w:szCs w:val="24"/>
        </w:rPr>
      </w:pPr>
      <w:r w:rsidRPr="000F4211">
        <w:rPr>
          <w:rFonts w:ascii="Calibri" w:hAnsi="Calibri"/>
          <w:szCs w:val="24"/>
        </w:rPr>
        <w:t>Offences of strict liability engage the right to be presumed innocent under section 22(1) of the HR</w:t>
      </w:r>
      <w:r w:rsidRPr="00BA52D6">
        <w:rPr>
          <w:rFonts w:ascii="Calibri" w:hAnsi="Calibri"/>
          <w:szCs w:val="24"/>
        </w:rPr>
        <w:t xml:space="preserve"> Act, </w:t>
      </w:r>
      <w:r w:rsidRPr="00BA52D6">
        <w:rPr>
          <w:rFonts w:asciiTheme="minorHAnsi" w:hAnsiTheme="minorHAnsi" w:cstheme="minorHAnsi"/>
          <w:szCs w:val="24"/>
        </w:rPr>
        <w:t xml:space="preserve">as they may reverse the onus of proof from the prosecution onto the defendant. </w:t>
      </w:r>
    </w:p>
    <w:p w14:paraId="446C40E4" w14:textId="42648580" w:rsidR="00AB0162" w:rsidRPr="00AB0162" w:rsidRDefault="002C64E7" w:rsidP="00BE1BA4">
      <w:pPr>
        <w:spacing w:before="120"/>
        <w:rPr>
          <w:rFonts w:asciiTheme="minorHAnsi" w:hAnsiTheme="minorHAnsi" w:cstheme="minorHAnsi"/>
          <w:iCs/>
          <w:sz w:val="24"/>
          <w:szCs w:val="24"/>
        </w:rPr>
      </w:pPr>
      <w:r w:rsidRPr="003A6531">
        <w:rPr>
          <w:rFonts w:asciiTheme="minorHAnsi" w:hAnsiTheme="minorHAnsi" w:cstheme="minorHAnsi"/>
          <w:color w:val="000000"/>
          <w:sz w:val="24"/>
          <w:szCs w:val="24"/>
        </w:rPr>
        <w:t>Everyone charged with a criminal offence has the right to be presumed innocent until proved guilty according to the law. </w:t>
      </w:r>
      <w:r w:rsidR="00AB0162" w:rsidRPr="003A6531">
        <w:rPr>
          <w:rFonts w:asciiTheme="minorHAnsi" w:hAnsiTheme="minorHAnsi" w:cstheme="minorHAnsi"/>
          <w:iCs/>
          <w:sz w:val="24"/>
          <w:szCs w:val="24"/>
        </w:rPr>
        <w:t xml:space="preserve">While the Government is taking positive steps through the Bill to protect the health and safety of workers and prevent workplace injuries, the Bill potentially engages and limits the right to the presumption of innocence through the </w:t>
      </w:r>
      <w:r w:rsidR="00AB0162" w:rsidRPr="003A6531">
        <w:rPr>
          <w:rFonts w:asciiTheme="minorHAnsi" w:hAnsiTheme="minorHAnsi" w:cstheme="minorHAnsi"/>
          <w:iCs/>
          <w:sz w:val="24"/>
          <w:szCs w:val="24"/>
        </w:rPr>
        <w:lastRenderedPageBreak/>
        <w:t>application of strict liability</w:t>
      </w:r>
      <w:r w:rsidR="00AB0162" w:rsidRPr="00AB0162">
        <w:rPr>
          <w:rFonts w:asciiTheme="minorHAnsi" w:hAnsiTheme="minorHAnsi" w:cstheme="minorHAnsi"/>
          <w:iCs/>
          <w:sz w:val="24"/>
          <w:szCs w:val="24"/>
        </w:rPr>
        <w:t xml:space="preserve"> provisions </w:t>
      </w:r>
      <w:r w:rsidR="001C157F">
        <w:rPr>
          <w:rFonts w:asciiTheme="minorHAnsi" w:hAnsiTheme="minorHAnsi" w:cstheme="minorHAnsi"/>
          <w:iCs/>
          <w:sz w:val="24"/>
          <w:szCs w:val="24"/>
        </w:rPr>
        <w:t>in</w:t>
      </w:r>
      <w:r w:rsidR="00AB0162" w:rsidRPr="00AB0162">
        <w:rPr>
          <w:rFonts w:asciiTheme="minorHAnsi" w:hAnsiTheme="minorHAnsi" w:cstheme="minorHAnsi"/>
          <w:iCs/>
          <w:sz w:val="24"/>
          <w:szCs w:val="24"/>
        </w:rPr>
        <w:t xml:space="preserve"> section 12A of the</w:t>
      </w:r>
      <w:r w:rsidR="00AB0162">
        <w:rPr>
          <w:rFonts w:asciiTheme="minorHAnsi" w:hAnsiTheme="minorHAnsi" w:cstheme="minorHAnsi"/>
          <w:iCs/>
          <w:sz w:val="24"/>
          <w:szCs w:val="24"/>
        </w:rPr>
        <w:t xml:space="preserve"> WHS Act</w:t>
      </w:r>
      <w:r w:rsidR="00AB0162" w:rsidRPr="00AB0162">
        <w:rPr>
          <w:rFonts w:asciiTheme="minorHAnsi" w:hAnsiTheme="minorHAnsi" w:cstheme="minorHAnsi"/>
          <w:iCs/>
          <w:sz w:val="24"/>
          <w:szCs w:val="24"/>
        </w:rPr>
        <w:t xml:space="preserve"> which apply to elements of the offence provisions in </w:t>
      </w:r>
      <w:r w:rsidR="00AB0162">
        <w:rPr>
          <w:rFonts w:asciiTheme="minorHAnsi" w:hAnsiTheme="minorHAnsi" w:cstheme="minorHAnsi"/>
          <w:iCs/>
          <w:sz w:val="24"/>
          <w:szCs w:val="24"/>
        </w:rPr>
        <w:t>Part 3</w:t>
      </w:r>
      <w:r w:rsidR="00AB0162" w:rsidRPr="00AB0162">
        <w:rPr>
          <w:rFonts w:asciiTheme="minorHAnsi" w:hAnsiTheme="minorHAnsi" w:cstheme="minorHAnsi"/>
          <w:iCs/>
          <w:sz w:val="24"/>
          <w:szCs w:val="24"/>
        </w:rPr>
        <w:t>.</w:t>
      </w:r>
    </w:p>
    <w:p w14:paraId="08024C63" w14:textId="6488E1B5" w:rsidR="00AB0162" w:rsidRPr="003A6531" w:rsidRDefault="00AB0162" w:rsidP="003A6531">
      <w:pPr>
        <w:pStyle w:val="NormalWeb"/>
        <w:shd w:val="clear" w:color="auto" w:fill="FFFFFF"/>
        <w:spacing w:before="0" w:beforeAutospacing="0" w:after="200" w:afterAutospacing="0" w:line="276" w:lineRule="atLeast"/>
        <w:rPr>
          <w:rFonts w:asciiTheme="minorHAnsi" w:hAnsiTheme="minorHAnsi" w:cstheme="minorHAnsi"/>
          <w:color w:val="000000"/>
        </w:rPr>
      </w:pPr>
      <w:r w:rsidRPr="003A6531">
        <w:rPr>
          <w:rFonts w:asciiTheme="minorHAnsi" w:hAnsiTheme="minorHAnsi" w:cstheme="minorHAnsi"/>
          <w:color w:val="000000"/>
        </w:rPr>
        <w:t>Strict liability provisions generally engage and limit the right to be presumed innocent as they remove the need for prosecution to prove an accused person’s fault (i.e. the mental element of intent or recklessness) in relation to an offence generally or for particular elements of an offence. As a result, this reverses the onus in criminal proceedings and requires an accused to prove a defence for those elements to which strict liability applies, such as a mistake of fact under the Criminal Code 2002.</w:t>
      </w:r>
    </w:p>
    <w:p w14:paraId="779500E7" w14:textId="55320B99" w:rsidR="00995F38" w:rsidRDefault="00995F38" w:rsidP="00995F38">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 xml:space="preserve">Under section 38 of the WHS Act, PCBUs must ensure that the regulator is immediately notified after becoming aware that a notifiable incident in the workplace has occurred – breach of this duty is an offence under the WHS Act attracting a maximum penalty of </w:t>
      </w:r>
      <w:r w:rsidRPr="003A6531">
        <w:rPr>
          <w:rFonts w:asciiTheme="minorHAnsi" w:hAnsiTheme="minorHAnsi" w:cstheme="minorHAnsi"/>
          <w:color w:val="000000"/>
        </w:rPr>
        <w:t xml:space="preserve"> $10,000 for individuals and $50,000 for body corporate organisations.</w:t>
      </w:r>
    </w:p>
    <w:p w14:paraId="2A508C84" w14:textId="72FBA294" w:rsidR="00995F38" w:rsidRDefault="00995F38" w:rsidP="00995F38">
      <w:pPr>
        <w:pStyle w:val="NormalWeb"/>
        <w:shd w:val="clear" w:color="auto" w:fill="FFFFFF"/>
        <w:spacing w:before="0" w:beforeAutospacing="0" w:after="200" w:afterAutospacing="0" w:line="276" w:lineRule="atLeast"/>
        <w:rPr>
          <w:rFonts w:asciiTheme="minorHAnsi" w:hAnsiTheme="minorHAnsi" w:cstheme="minorHAnsi"/>
          <w:color w:val="000000"/>
        </w:rPr>
      </w:pPr>
      <w:r>
        <w:rPr>
          <w:rFonts w:asciiTheme="minorHAnsi" w:hAnsiTheme="minorHAnsi" w:cstheme="minorHAnsi"/>
          <w:color w:val="000000"/>
        </w:rPr>
        <w:t xml:space="preserve">Strict liability applies </w:t>
      </w:r>
      <w:r w:rsidR="00E85FD1">
        <w:rPr>
          <w:rFonts w:asciiTheme="minorHAnsi" w:hAnsiTheme="minorHAnsi" w:cstheme="minorHAnsi"/>
          <w:color w:val="000000"/>
        </w:rPr>
        <w:t xml:space="preserve">to </w:t>
      </w:r>
      <w:r>
        <w:rPr>
          <w:rFonts w:asciiTheme="minorHAnsi" w:hAnsiTheme="minorHAnsi" w:cstheme="minorHAnsi"/>
          <w:color w:val="000000"/>
        </w:rPr>
        <w:t xml:space="preserve">each physical element of this offence, as per section 12A of the WHS Act and will extend to sexual assault as a notifiable incident under the Bill.   </w:t>
      </w:r>
      <w:r w:rsidR="00DE2119" w:rsidRPr="003A6531">
        <w:rPr>
          <w:rFonts w:asciiTheme="minorHAnsi" w:hAnsiTheme="minorHAnsi" w:cstheme="minorHAnsi"/>
          <w:color w:val="000000"/>
        </w:rPr>
        <w:t xml:space="preserve">A strict liability offence for PCBUs not notifying the regulator of a sexual assault is considered appropriate. </w:t>
      </w:r>
      <w:r>
        <w:rPr>
          <w:rFonts w:asciiTheme="minorHAnsi" w:hAnsiTheme="minorHAnsi" w:cstheme="minorHAnsi"/>
          <w:color w:val="000000"/>
        </w:rPr>
        <w:t>As with existing provisions, the offence of the duty relates to the notification provision - it is not applied to the incident or circumstances of the incident.</w:t>
      </w:r>
    </w:p>
    <w:p w14:paraId="5B393879" w14:textId="77777777" w:rsidR="00AB0162" w:rsidRPr="00AB0162" w:rsidRDefault="00AB0162" w:rsidP="00DE2119">
      <w:pPr>
        <w:pStyle w:val="ListParagraph"/>
        <w:numPr>
          <w:ilvl w:val="0"/>
          <w:numId w:val="15"/>
        </w:numPr>
        <w:spacing w:after="0" w:line="240" w:lineRule="auto"/>
        <w:rPr>
          <w:rFonts w:asciiTheme="minorHAnsi" w:hAnsiTheme="minorHAnsi" w:cstheme="minorHAnsi"/>
          <w:b/>
          <w:bCs/>
          <w:i/>
          <w:sz w:val="24"/>
          <w:szCs w:val="24"/>
        </w:rPr>
      </w:pPr>
      <w:r w:rsidRPr="00AB0162">
        <w:rPr>
          <w:rFonts w:asciiTheme="minorHAnsi" w:hAnsiTheme="minorHAnsi" w:cstheme="minorHAnsi"/>
          <w:b/>
          <w:bCs/>
          <w:i/>
          <w:sz w:val="24"/>
          <w:szCs w:val="24"/>
        </w:rPr>
        <w:t>Legitimate purpose (s28(b))</w:t>
      </w:r>
    </w:p>
    <w:p w14:paraId="3D3850E0" w14:textId="543F9D44" w:rsidR="00AB0162" w:rsidRPr="00AB0162" w:rsidRDefault="00AB0162" w:rsidP="00BE1BA4">
      <w:pPr>
        <w:spacing w:before="120"/>
        <w:rPr>
          <w:rFonts w:asciiTheme="minorHAnsi" w:hAnsiTheme="minorHAnsi" w:cstheme="minorHAnsi"/>
          <w:iCs/>
          <w:sz w:val="24"/>
          <w:szCs w:val="24"/>
        </w:rPr>
      </w:pPr>
      <w:r w:rsidRPr="00AB0162">
        <w:rPr>
          <w:rFonts w:asciiTheme="minorHAnsi" w:hAnsiTheme="minorHAnsi" w:cstheme="minorHAnsi"/>
          <w:iCs/>
          <w:sz w:val="24"/>
          <w:szCs w:val="24"/>
        </w:rPr>
        <w:t xml:space="preserve">The legitimate purpose of the strict liability provision(s) is </w:t>
      </w:r>
      <w:r w:rsidR="004A11C8">
        <w:rPr>
          <w:rFonts w:asciiTheme="minorHAnsi" w:hAnsiTheme="minorHAnsi" w:cstheme="minorHAnsi"/>
          <w:iCs/>
          <w:sz w:val="24"/>
          <w:szCs w:val="24"/>
        </w:rPr>
        <w:t xml:space="preserve">that they </w:t>
      </w:r>
      <w:r w:rsidR="001C157F">
        <w:rPr>
          <w:rFonts w:asciiTheme="minorHAnsi" w:hAnsiTheme="minorHAnsi" w:cstheme="minorHAnsi"/>
          <w:iCs/>
          <w:sz w:val="24"/>
          <w:szCs w:val="24"/>
        </w:rPr>
        <w:t xml:space="preserve">seek to </w:t>
      </w:r>
      <w:r w:rsidR="004A11C8">
        <w:rPr>
          <w:rFonts w:asciiTheme="minorHAnsi" w:hAnsiTheme="minorHAnsi" w:cstheme="minorHAnsi"/>
          <w:iCs/>
          <w:sz w:val="24"/>
          <w:szCs w:val="24"/>
        </w:rPr>
        <w:t>protect the health and safety of workers and acts as a deterrent against PCBUs providing unsafe workplaces and work cultures</w:t>
      </w:r>
      <w:r w:rsidRPr="00AB0162">
        <w:rPr>
          <w:rFonts w:asciiTheme="minorHAnsi" w:hAnsiTheme="minorHAnsi" w:cstheme="minorHAnsi"/>
          <w:iCs/>
          <w:sz w:val="24"/>
          <w:szCs w:val="24"/>
        </w:rPr>
        <w:t>. The WHS Act imposes health and safety duties on all PCBUs in the Territory, as well as duties to their officers and workers. All PCBUs are required to be aware of their health and safety duties under the WHS Act.</w:t>
      </w:r>
    </w:p>
    <w:p w14:paraId="34836FD3" w14:textId="77777777" w:rsidR="00AB0162" w:rsidRPr="00AB0162" w:rsidRDefault="00AB0162" w:rsidP="00DE2119">
      <w:pPr>
        <w:pStyle w:val="ListParagraph"/>
        <w:numPr>
          <w:ilvl w:val="0"/>
          <w:numId w:val="15"/>
        </w:numPr>
        <w:spacing w:after="0" w:line="240" w:lineRule="auto"/>
        <w:rPr>
          <w:rFonts w:asciiTheme="minorHAnsi" w:hAnsiTheme="minorHAnsi" w:cstheme="minorHAnsi"/>
          <w:b/>
          <w:bCs/>
          <w:i/>
          <w:sz w:val="24"/>
          <w:szCs w:val="24"/>
        </w:rPr>
      </w:pPr>
      <w:r w:rsidRPr="00AB0162">
        <w:rPr>
          <w:rFonts w:asciiTheme="minorHAnsi" w:hAnsiTheme="minorHAnsi" w:cstheme="minorHAnsi"/>
          <w:b/>
          <w:bCs/>
          <w:i/>
          <w:sz w:val="24"/>
          <w:szCs w:val="24"/>
        </w:rPr>
        <w:t>Rational connection between the limitation and the purpose (s28(d))</w:t>
      </w:r>
    </w:p>
    <w:p w14:paraId="3165D250" w14:textId="7B0A8C57" w:rsidR="00AB0162" w:rsidRPr="00AB0162" w:rsidRDefault="00AB0162" w:rsidP="00BE1BA4">
      <w:pPr>
        <w:spacing w:before="120"/>
        <w:rPr>
          <w:rFonts w:asciiTheme="minorHAnsi" w:hAnsiTheme="minorHAnsi" w:cstheme="minorHAnsi"/>
          <w:iCs/>
          <w:sz w:val="24"/>
          <w:szCs w:val="24"/>
        </w:rPr>
      </w:pPr>
      <w:r w:rsidRPr="00AB0162">
        <w:rPr>
          <w:rFonts w:asciiTheme="minorHAnsi" w:hAnsiTheme="minorHAnsi" w:cstheme="minorHAnsi"/>
          <w:iCs/>
          <w:sz w:val="24"/>
          <w:szCs w:val="24"/>
        </w:rPr>
        <w:t>The offence elements applying strict liability have been considered during the development of the</w:t>
      </w:r>
      <w:r w:rsidR="004A11C8">
        <w:rPr>
          <w:rFonts w:asciiTheme="minorHAnsi" w:hAnsiTheme="minorHAnsi" w:cstheme="minorHAnsi"/>
          <w:iCs/>
          <w:sz w:val="24"/>
          <w:szCs w:val="24"/>
        </w:rPr>
        <w:t xml:space="preserve"> Bill</w:t>
      </w:r>
      <w:r w:rsidRPr="00AB0162">
        <w:rPr>
          <w:rFonts w:asciiTheme="minorHAnsi" w:hAnsiTheme="minorHAnsi" w:cstheme="minorHAnsi"/>
          <w:iCs/>
          <w:sz w:val="24"/>
          <w:szCs w:val="24"/>
        </w:rPr>
        <w:t xml:space="preserve">. The strict liability offences arise in a regulatory context where, for reasons such as public safety, the public interest in ensuring that regulatory schemes are observed, requires the sanction of criminal penalties. The rationale for its use in </w:t>
      </w:r>
      <w:r w:rsidR="004A11C8">
        <w:rPr>
          <w:rFonts w:asciiTheme="minorHAnsi" w:hAnsiTheme="minorHAnsi" w:cstheme="minorHAnsi"/>
          <w:iCs/>
          <w:sz w:val="24"/>
          <w:szCs w:val="24"/>
        </w:rPr>
        <w:t>the context of the Bill</w:t>
      </w:r>
      <w:r w:rsidRPr="00AB0162">
        <w:rPr>
          <w:rFonts w:asciiTheme="minorHAnsi" w:hAnsiTheme="minorHAnsi" w:cstheme="minorHAnsi"/>
          <w:iCs/>
          <w:sz w:val="24"/>
          <w:szCs w:val="24"/>
        </w:rPr>
        <w:t xml:space="preserve"> is that people who ow</w:t>
      </w:r>
      <w:r w:rsidR="004A11C8">
        <w:rPr>
          <w:rFonts w:asciiTheme="minorHAnsi" w:hAnsiTheme="minorHAnsi" w:cstheme="minorHAnsi"/>
          <w:iCs/>
          <w:sz w:val="24"/>
          <w:szCs w:val="24"/>
        </w:rPr>
        <w:t>e</w:t>
      </w:r>
      <w:r w:rsidRPr="00AB0162">
        <w:rPr>
          <w:rFonts w:asciiTheme="minorHAnsi" w:hAnsiTheme="minorHAnsi" w:cstheme="minorHAnsi"/>
          <w:iCs/>
          <w:sz w:val="24"/>
          <w:szCs w:val="24"/>
        </w:rPr>
        <w:t xml:space="preserve"> work safety duties such as PCBUs, persons in control of aspects of work, as opposed to members of the general public, can be expected to be aware of their duties and obligations to workers and the wider public. In particular, where an accused can reasonably be expected, because of his or her professional involvement, to know the requirements of the law, the mental (or fault) element can justifiably be excluded. Accordingly, strict liability offences are applied so that every relevant person complies with their obligations at all times and acts appropriately to secure the health and safety of workers and others at the workplace.</w:t>
      </w:r>
    </w:p>
    <w:p w14:paraId="56ACFD28" w14:textId="77777777" w:rsidR="003A6531" w:rsidRDefault="003A6531">
      <w:pPr>
        <w:spacing w:after="0" w:line="240" w:lineRule="auto"/>
        <w:rPr>
          <w:rFonts w:asciiTheme="minorHAnsi" w:hAnsiTheme="minorHAnsi" w:cstheme="minorHAnsi"/>
          <w:b/>
          <w:bCs/>
          <w:i/>
          <w:sz w:val="24"/>
          <w:szCs w:val="24"/>
        </w:rPr>
      </w:pPr>
      <w:r>
        <w:rPr>
          <w:rFonts w:asciiTheme="minorHAnsi" w:hAnsiTheme="minorHAnsi" w:cstheme="minorHAnsi"/>
          <w:b/>
          <w:bCs/>
          <w:i/>
          <w:sz w:val="24"/>
          <w:szCs w:val="24"/>
        </w:rPr>
        <w:br w:type="page"/>
      </w:r>
    </w:p>
    <w:p w14:paraId="2A4206AE" w14:textId="04F8C512" w:rsidR="00AB0162" w:rsidRPr="00AB0162" w:rsidRDefault="00AB0162" w:rsidP="00DE2119">
      <w:pPr>
        <w:pStyle w:val="ListParagraph"/>
        <w:numPr>
          <w:ilvl w:val="0"/>
          <w:numId w:val="15"/>
        </w:numPr>
        <w:spacing w:after="0" w:line="240" w:lineRule="auto"/>
        <w:rPr>
          <w:rFonts w:asciiTheme="minorHAnsi" w:hAnsiTheme="minorHAnsi" w:cstheme="minorHAnsi"/>
          <w:b/>
          <w:bCs/>
          <w:i/>
          <w:sz w:val="24"/>
          <w:szCs w:val="24"/>
        </w:rPr>
      </w:pPr>
      <w:r w:rsidRPr="00AB0162">
        <w:rPr>
          <w:rFonts w:asciiTheme="minorHAnsi" w:hAnsiTheme="minorHAnsi" w:cstheme="minorHAnsi"/>
          <w:b/>
          <w:bCs/>
          <w:i/>
          <w:sz w:val="24"/>
          <w:szCs w:val="24"/>
        </w:rPr>
        <w:lastRenderedPageBreak/>
        <w:t>Proportionality (s28 (e))</w:t>
      </w:r>
    </w:p>
    <w:p w14:paraId="4206FCDB" w14:textId="5945B02D" w:rsidR="00AB0162" w:rsidRPr="00AB0162" w:rsidRDefault="00AB0162" w:rsidP="00BE1BA4">
      <w:pPr>
        <w:spacing w:before="120"/>
        <w:rPr>
          <w:rFonts w:asciiTheme="minorHAnsi" w:hAnsiTheme="minorHAnsi" w:cstheme="minorHAnsi"/>
          <w:iCs/>
          <w:sz w:val="24"/>
          <w:szCs w:val="24"/>
        </w:rPr>
      </w:pPr>
      <w:r w:rsidRPr="00AB0162">
        <w:rPr>
          <w:rFonts w:asciiTheme="minorHAnsi" w:hAnsiTheme="minorHAnsi" w:cstheme="minorHAnsi"/>
          <w:iCs/>
          <w:sz w:val="24"/>
          <w:szCs w:val="24"/>
        </w:rPr>
        <w:t xml:space="preserve">Given the serious </w:t>
      </w:r>
      <w:r w:rsidR="004A11C8">
        <w:rPr>
          <w:rFonts w:asciiTheme="minorHAnsi" w:hAnsiTheme="minorHAnsi" w:cstheme="minorHAnsi"/>
          <w:iCs/>
          <w:sz w:val="24"/>
          <w:szCs w:val="24"/>
        </w:rPr>
        <w:t>impacts that sexual assault incidents</w:t>
      </w:r>
      <w:r w:rsidRPr="00AB0162">
        <w:rPr>
          <w:rFonts w:asciiTheme="minorHAnsi" w:hAnsiTheme="minorHAnsi" w:cstheme="minorHAnsi"/>
          <w:iCs/>
          <w:sz w:val="24"/>
          <w:szCs w:val="24"/>
        </w:rPr>
        <w:t xml:space="preserve"> may have on workers, the application of strict liability is necessary and proportionate to ensure a culture of safe work practices. It is not considered that there are any less restrictive means reasonably available to achieve the purpose of </w:t>
      </w:r>
      <w:r w:rsidR="001C157F">
        <w:rPr>
          <w:rFonts w:asciiTheme="minorHAnsi" w:hAnsiTheme="minorHAnsi" w:cstheme="minorHAnsi"/>
          <w:iCs/>
          <w:sz w:val="24"/>
          <w:szCs w:val="24"/>
        </w:rPr>
        <w:t>protecting worker safety and deterring PCBUs from providing unsafe workplaces,</w:t>
      </w:r>
      <w:r w:rsidRPr="00AB0162">
        <w:rPr>
          <w:rFonts w:asciiTheme="minorHAnsi" w:hAnsiTheme="minorHAnsi" w:cstheme="minorHAnsi"/>
          <w:iCs/>
          <w:sz w:val="24"/>
          <w:szCs w:val="24"/>
        </w:rPr>
        <w:t xml:space="preserve"> and encouraging proactive work health and safety compliance is far more difficult to achieve without the use of strict liability offences. Strict liability clearly identifies the essential elements that form part of the regulatory framework that encourage PCBUs to maintain a workplace that is free from harm or injury.</w:t>
      </w:r>
    </w:p>
    <w:p w14:paraId="211F2784" w14:textId="57807849" w:rsidR="00AB0162" w:rsidRPr="00AB0162" w:rsidRDefault="00AB0162" w:rsidP="00AB0162">
      <w:pPr>
        <w:rPr>
          <w:rFonts w:asciiTheme="minorHAnsi" w:hAnsiTheme="minorHAnsi" w:cstheme="minorHAnsi"/>
          <w:iCs/>
          <w:sz w:val="24"/>
          <w:szCs w:val="24"/>
        </w:rPr>
      </w:pPr>
      <w:r w:rsidRPr="00AB0162">
        <w:rPr>
          <w:rFonts w:asciiTheme="minorHAnsi" w:hAnsiTheme="minorHAnsi" w:cstheme="minorHAnsi"/>
          <w:iCs/>
          <w:sz w:val="24"/>
          <w:szCs w:val="24"/>
        </w:rPr>
        <w:t xml:space="preserve">The application of strict liability is reasonable to protect the health and safety of workers. Strict liability is only applied to particular elements of the WHS Act. It ensures those who hold responsibility for a health or safety duty uphold that responsibility and cannot escape liability by claiming ignorance of the duty or ignorance of the effect of their conduct. The defence of mistake of fact as provided by the </w:t>
      </w:r>
      <w:r w:rsidRPr="00AB0162">
        <w:rPr>
          <w:rFonts w:asciiTheme="minorHAnsi" w:hAnsiTheme="minorHAnsi" w:cstheme="minorHAnsi"/>
          <w:i/>
          <w:sz w:val="24"/>
          <w:szCs w:val="24"/>
        </w:rPr>
        <w:t>Criminal Code 2002</w:t>
      </w:r>
      <w:r w:rsidRPr="00AB0162">
        <w:rPr>
          <w:rFonts w:asciiTheme="minorHAnsi" w:hAnsiTheme="minorHAnsi" w:cstheme="minorHAnsi"/>
          <w:iCs/>
          <w:sz w:val="24"/>
          <w:szCs w:val="24"/>
        </w:rPr>
        <w:t xml:space="preserve"> remains available to any accused for any strict liability provisions.  The requirement to which the offences apply are not burdensome or out of alignment with the WHS framework</w:t>
      </w:r>
      <w:r w:rsidR="004A11C8">
        <w:rPr>
          <w:rFonts w:asciiTheme="minorHAnsi" w:hAnsiTheme="minorHAnsi" w:cstheme="minorHAnsi"/>
          <w:iCs/>
          <w:sz w:val="24"/>
          <w:szCs w:val="24"/>
        </w:rPr>
        <w:t xml:space="preserve"> -</w:t>
      </w:r>
      <w:r w:rsidRPr="00AB0162">
        <w:rPr>
          <w:rFonts w:asciiTheme="minorHAnsi" w:hAnsiTheme="minorHAnsi" w:cstheme="minorHAnsi"/>
          <w:iCs/>
          <w:sz w:val="24"/>
          <w:szCs w:val="24"/>
        </w:rPr>
        <w:t xml:space="preserve"> they relate to ensuring the safety of workers as well as the broader ACT community.</w:t>
      </w:r>
    </w:p>
    <w:p w14:paraId="2F664E5F" w14:textId="3369969F" w:rsidR="00084987" w:rsidRPr="00BE1BA4" w:rsidRDefault="00BE1BA4" w:rsidP="00BE1BA4">
      <w:pPr>
        <w:rPr>
          <w:sz w:val="24"/>
          <w:szCs w:val="24"/>
        </w:rPr>
      </w:pPr>
      <w:r w:rsidRPr="00BE1BA4">
        <w:rPr>
          <w:rFonts w:asciiTheme="minorHAnsi" w:hAnsiTheme="minorHAnsi" w:cstheme="minorHAnsi"/>
          <w:iCs/>
          <w:sz w:val="24"/>
          <w:szCs w:val="24"/>
        </w:rPr>
        <w:t xml:space="preserve">The Bill places the least restrictive limitation on the right to presumption of innocence, as it </w:t>
      </w:r>
      <w:r w:rsidR="001C157F" w:rsidRPr="001B26BE">
        <w:rPr>
          <w:rFonts w:asciiTheme="minorHAnsi" w:hAnsiTheme="minorHAnsi" w:cstheme="minorHAnsi"/>
          <w:iCs/>
          <w:sz w:val="24"/>
          <w:szCs w:val="24"/>
        </w:rPr>
        <w:t>only applies to the physical fault elements which upholds or maintains the defen</w:t>
      </w:r>
      <w:r w:rsidR="001C157F">
        <w:rPr>
          <w:rFonts w:asciiTheme="minorHAnsi" w:hAnsiTheme="minorHAnsi" w:cstheme="minorHAnsi"/>
          <w:iCs/>
          <w:sz w:val="24"/>
          <w:szCs w:val="24"/>
        </w:rPr>
        <w:t>c</w:t>
      </w:r>
      <w:r w:rsidR="001C157F" w:rsidRPr="001B26BE">
        <w:rPr>
          <w:rFonts w:asciiTheme="minorHAnsi" w:hAnsiTheme="minorHAnsi" w:cstheme="minorHAnsi"/>
          <w:iCs/>
          <w:sz w:val="24"/>
          <w:szCs w:val="24"/>
        </w:rPr>
        <w:t>e of the accused</w:t>
      </w:r>
      <w:r w:rsidRPr="00BE1BA4">
        <w:rPr>
          <w:rFonts w:asciiTheme="minorHAnsi" w:hAnsiTheme="minorHAnsi" w:cstheme="minorHAnsi"/>
          <w:iCs/>
          <w:sz w:val="24"/>
          <w:szCs w:val="24"/>
        </w:rPr>
        <w:t>.</w:t>
      </w:r>
    </w:p>
    <w:p w14:paraId="09D762BE" w14:textId="53231053" w:rsidR="002129EE" w:rsidRPr="00084987" w:rsidRDefault="002129EE" w:rsidP="00084987">
      <w:pPr>
        <w:pStyle w:val="ESText"/>
        <w:spacing w:after="120" w:line="240" w:lineRule="auto"/>
        <w:rPr>
          <w:rFonts w:asciiTheme="minorHAnsi" w:hAnsiTheme="minorHAnsi" w:cs="Arial"/>
          <w:b/>
          <w:bCs/>
          <w:sz w:val="28"/>
          <w:szCs w:val="28"/>
          <w:lang w:eastAsia="en-AU"/>
        </w:rPr>
      </w:pPr>
      <w:r w:rsidRPr="00084987">
        <w:rPr>
          <w:rFonts w:asciiTheme="minorHAnsi" w:hAnsiTheme="minorHAnsi" w:cs="Arial"/>
          <w:b/>
          <w:bCs/>
          <w:sz w:val="28"/>
          <w:szCs w:val="28"/>
          <w:lang w:eastAsia="en-AU"/>
        </w:rPr>
        <w:br w:type="page"/>
      </w:r>
    </w:p>
    <w:p w14:paraId="7B8836FF" w14:textId="5E2B95FB" w:rsidR="002129EE" w:rsidRDefault="002129EE" w:rsidP="005E2D1A">
      <w:pPr>
        <w:pStyle w:val="Heading4"/>
        <w:ind w:left="-108"/>
        <w:jc w:val="center"/>
        <w:rPr>
          <w:rFonts w:asciiTheme="minorHAnsi" w:eastAsia="Times New Roman" w:hAnsiTheme="minorHAnsi" w:cs="Arial"/>
          <w:bCs/>
          <w:i w:val="0"/>
          <w:iCs w:val="0"/>
          <w:color w:val="auto"/>
          <w:sz w:val="28"/>
          <w:szCs w:val="28"/>
          <w:lang w:eastAsia="en-AU"/>
        </w:rPr>
      </w:pPr>
      <w:r w:rsidRPr="002129EE">
        <w:rPr>
          <w:rFonts w:asciiTheme="minorHAnsi" w:eastAsia="Times New Roman" w:hAnsiTheme="minorHAnsi" w:cs="Arial"/>
          <w:bCs/>
          <w:i w:val="0"/>
          <w:iCs w:val="0"/>
          <w:color w:val="auto"/>
          <w:sz w:val="28"/>
          <w:szCs w:val="28"/>
          <w:lang w:eastAsia="en-AU"/>
        </w:rPr>
        <w:lastRenderedPageBreak/>
        <w:t>Workplace Legislation Amendment Bill 2022</w:t>
      </w:r>
    </w:p>
    <w:p w14:paraId="0A60BEA7" w14:textId="1AA65E9C" w:rsidR="005E2D1A" w:rsidRPr="003E5EE6" w:rsidRDefault="005E2D1A" w:rsidP="005E2D1A">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3C7EB2CF" w14:textId="77777777" w:rsidR="005E2D1A" w:rsidRDefault="005E2D1A" w:rsidP="005E2D1A"/>
    <w:p w14:paraId="639E7422" w14:textId="77777777" w:rsidR="005E2D1A" w:rsidRPr="00D77995" w:rsidRDefault="005E2D1A" w:rsidP="005E2D1A"/>
    <w:p w14:paraId="50DA1A63" w14:textId="2231827E" w:rsidR="005E2D1A" w:rsidRDefault="005E2D1A" w:rsidP="005E2D1A">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2129EE" w:rsidRPr="002129EE">
        <w:rPr>
          <w:rFonts w:asciiTheme="minorHAnsi" w:hAnsiTheme="minorHAnsi"/>
          <w:b/>
        </w:rPr>
        <w:t>Workplace Legislation Amendment Bill 2022</w:t>
      </w:r>
      <w:r w:rsidRPr="00521950">
        <w:rPr>
          <w:rFonts w:asciiTheme="minorHAnsi" w:hAnsiTheme="minorHAnsi"/>
        </w:rPr>
        <w:t>.  In my opinion,</w:t>
      </w:r>
      <w:r>
        <w:rPr>
          <w:rFonts w:asciiTheme="minorHAnsi" w:hAnsiTheme="minorHAnsi"/>
        </w:rPr>
        <w:t xml:space="preserve"> having regard to the Bill and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 xml:space="preserve">to the Legislative </w:t>
      </w:r>
      <w:r w:rsidRPr="001C157F">
        <w:rPr>
          <w:rFonts w:asciiTheme="minorHAnsi" w:hAnsiTheme="minorHAnsi"/>
        </w:rPr>
        <w:t>Assembly</w:t>
      </w:r>
      <w:r w:rsidRPr="001C157F">
        <w:rPr>
          <w:rFonts w:asciiTheme="minorHAnsi" w:hAnsiTheme="minorHAnsi"/>
          <w:b/>
        </w:rPr>
        <w:t xml:space="preserve"> is </w:t>
      </w:r>
      <w:r w:rsidRPr="001C157F">
        <w:rPr>
          <w:rFonts w:asciiTheme="minorHAnsi" w:hAnsiTheme="minorHAnsi"/>
        </w:rPr>
        <w:t>consistent</w:t>
      </w:r>
      <w:r w:rsidRPr="00521950">
        <w:rPr>
          <w:rFonts w:asciiTheme="minorHAnsi" w:hAnsiTheme="minorHAnsi"/>
        </w:rPr>
        <w:t xml:space="preserve"> with the </w:t>
      </w:r>
      <w:r w:rsidRPr="00521950">
        <w:rPr>
          <w:rFonts w:asciiTheme="minorHAnsi" w:hAnsiTheme="minorHAnsi"/>
          <w:i/>
          <w:iCs/>
        </w:rPr>
        <w:t>Human Rights Act 2004</w:t>
      </w:r>
      <w:r>
        <w:rPr>
          <w:rFonts w:asciiTheme="minorHAnsi" w:hAnsiTheme="minorHAnsi"/>
          <w:i/>
          <w:iCs/>
        </w:rPr>
        <w:t>.</w:t>
      </w:r>
    </w:p>
    <w:p w14:paraId="5A33203B" w14:textId="77777777" w:rsidR="005E2D1A" w:rsidRDefault="005E2D1A" w:rsidP="005E2D1A">
      <w:pPr>
        <w:rPr>
          <w:rFonts w:asciiTheme="minorHAnsi" w:hAnsiTheme="minorHAnsi" w:cstheme="minorHAnsi"/>
        </w:rPr>
      </w:pPr>
    </w:p>
    <w:p w14:paraId="76685038" w14:textId="77777777" w:rsidR="005E2D1A" w:rsidRDefault="005E2D1A" w:rsidP="005E2D1A">
      <w:pPr>
        <w:rPr>
          <w:rFonts w:asciiTheme="minorHAnsi" w:hAnsiTheme="minorHAnsi" w:cstheme="minorHAnsi"/>
        </w:rPr>
      </w:pPr>
    </w:p>
    <w:p w14:paraId="1ADA7DEA" w14:textId="77777777" w:rsidR="005E2D1A" w:rsidRDefault="005E2D1A" w:rsidP="005E2D1A">
      <w:pPr>
        <w:rPr>
          <w:rFonts w:asciiTheme="minorHAnsi" w:hAnsiTheme="minorHAnsi" w:cstheme="minorHAnsi"/>
        </w:rPr>
      </w:pPr>
      <w:r>
        <w:rPr>
          <w:rFonts w:asciiTheme="minorHAnsi" w:hAnsiTheme="minorHAnsi" w:cstheme="minorHAnsi"/>
        </w:rPr>
        <w:t>………………………………………………….</w:t>
      </w:r>
    </w:p>
    <w:p w14:paraId="4562C132" w14:textId="678CCF68" w:rsidR="005E2D1A" w:rsidRDefault="002129EE" w:rsidP="005E2D1A">
      <w:pPr>
        <w:rPr>
          <w:rFonts w:asciiTheme="minorHAnsi" w:hAnsiTheme="minorHAnsi" w:cstheme="minorHAnsi"/>
        </w:rPr>
      </w:pPr>
      <w:r>
        <w:rPr>
          <w:rFonts w:asciiTheme="minorHAnsi" w:hAnsiTheme="minorHAnsi" w:cstheme="minorHAnsi"/>
        </w:rPr>
        <w:t>Shane Rattenbury MLA</w:t>
      </w:r>
      <w:r w:rsidR="005E2D1A">
        <w:rPr>
          <w:rFonts w:asciiTheme="minorHAnsi" w:hAnsiTheme="minorHAnsi" w:cstheme="minorHAnsi"/>
        </w:rPr>
        <w:br/>
        <w:t>Attorney-General</w:t>
      </w:r>
    </w:p>
    <w:p w14:paraId="7194DBDC" w14:textId="265448C2" w:rsidR="002466F7" w:rsidRPr="001D2C51" w:rsidRDefault="005E2D1A" w:rsidP="001D2C51">
      <w:pPr>
        <w:rPr>
          <w:rFonts w:asciiTheme="minorHAnsi" w:hAnsiTheme="minorHAnsi" w:cstheme="minorHAnsi"/>
        </w:rPr>
      </w:pPr>
      <w:r>
        <w:rPr>
          <w:rFonts w:asciiTheme="minorHAnsi" w:hAnsiTheme="minorHAnsi" w:cstheme="minorHAnsi"/>
        </w:rPr>
        <w:br w:type="page"/>
      </w:r>
    </w:p>
    <w:p w14:paraId="769D0D3C" w14:textId="402EDFDE" w:rsidR="00510B38" w:rsidRDefault="002129EE" w:rsidP="00510B38">
      <w:pPr>
        <w:spacing w:after="120" w:line="240" w:lineRule="auto"/>
      </w:pPr>
      <w:r w:rsidRPr="002129EE">
        <w:rPr>
          <w:rFonts w:eastAsia="Times New Roman"/>
          <w:b/>
          <w:bCs/>
          <w:sz w:val="28"/>
          <w:szCs w:val="28"/>
        </w:rPr>
        <w:lastRenderedPageBreak/>
        <w:t>Workplace Legislation Amendment Bill 2022</w:t>
      </w:r>
    </w:p>
    <w:p w14:paraId="1403B490" w14:textId="77777777" w:rsidR="002129EE" w:rsidRDefault="002129EE" w:rsidP="00186BE2">
      <w:pPr>
        <w:spacing w:after="120" w:line="240" w:lineRule="auto"/>
        <w:rPr>
          <w:rFonts w:ascii="Arial" w:hAnsi="Arial" w:cs="Arial"/>
          <w:b/>
          <w:sz w:val="24"/>
          <w:szCs w:val="24"/>
        </w:rPr>
      </w:pPr>
    </w:p>
    <w:p w14:paraId="739A346D" w14:textId="7C2E3712" w:rsidR="00510B38" w:rsidRDefault="00141F54" w:rsidP="00186BE2">
      <w:pPr>
        <w:spacing w:after="120" w:line="240" w:lineRule="auto"/>
        <w:rPr>
          <w:rFonts w:ascii="Arial" w:hAnsi="Arial" w:cs="Arial"/>
          <w:b/>
          <w:sz w:val="24"/>
          <w:szCs w:val="24"/>
        </w:rPr>
      </w:pPr>
      <w:r w:rsidRPr="00186BE2">
        <w:rPr>
          <w:rFonts w:ascii="Arial" w:hAnsi="Arial" w:cs="Arial"/>
          <w:b/>
          <w:sz w:val="24"/>
          <w:szCs w:val="24"/>
        </w:rPr>
        <w:t>CLAUSE NOTES</w:t>
      </w:r>
    </w:p>
    <w:p w14:paraId="6B02BCAE" w14:textId="77777777" w:rsidR="00186BE2" w:rsidRPr="00186BE2" w:rsidRDefault="00186BE2" w:rsidP="00186BE2">
      <w:pPr>
        <w:spacing w:after="120" w:line="240" w:lineRule="auto"/>
        <w:rPr>
          <w:rFonts w:ascii="Arial" w:hAnsi="Arial" w:cs="Arial"/>
          <w:b/>
          <w:sz w:val="24"/>
          <w:szCs w:val="24"/>
        </w:rPr>
      </w:pPr>
    </w:p>
    <w:p w14:paraId="54CD245A" w14:textId="630D57FE" w:rsidR="00270733" w:rsidRPr="00DA7022" w:rsidRDefault="00DA7022" w:rsidP="00510B38">
      <w:pPr>
        <w:spacing w:after="120" w:line="240" w:lineRule="auto"/>
        <w:rPr>
          <w:b/>
          <w:bCs/>
          <w:sz w:val="28"/>
          <w:szCs w:val="28"/>
        </w:rPr>
      </w:pPr>
      <w:r w:rsidRPr="00DA7022">
        <w:rPr>
          <w:b/>
          <w:bCs/>
          <w:sz w:val="28"/>
          <w:szCs w:val="28"/>
        </w:rPr>
        <w:t>Part 1</w:t>
      </w:r>
      <w:r w:rsidRPr="00DA7022">
        <w:rPr>
          <w:b/>
          <w:bCs/>
          <w:sz w:val="28"/>
          <w:szCs w:val="28"/>
        </w:rPr>
        <w:tab/>
      </w:r>
      <w:r w:rsidR="003D6B8C">
        <w:rPr>
          <w:b/>
          <w:bCs/>
          <w:sz w:val="28"/>
          <w:szCs w:val="28"/>
        </w:rPr>
        <w:tab/>
        <w:t>Preliminary</w:t>
      </w:r>
      <w:r w:rsidRPr="00DA7022">
        <w:rPr>
          <w:b/>
          <w:bCs/>
          <w:sz w:val="28"/>
          <w:szCs w:val="28"/>
        </w:rPr>
        <w:tab/>
      </w:r>
    </w:p>
    <w:p w14:paraId="17254361" w14:textId="77777777" w:rsidR="004B5989" w:rsidRDefault="00882008" w:rsidP="00DF3DFD">
      <w:pPr>
        <w:numPr>
          <w:ilvl w:val="0"/>
          <w:numId w:val="1"/>
        </w:numPr>
        <w:spacing w:after="100" w:afterAutospacing="1"/>
        <w:rPr>
          <w:b/>
          <w:sz w:val="24"/>
          <w:szCs w:val="24"/>
        </w:rPr>
      </w:pPr>
      <w:r>
        <w:rPr>
          <w:b/>
          <w:sz w:val="24"/>
          <w:szCs w:val="24"/>
        </w:rPr>
        <w:t>Name of Act</w:t>
      </w:r>
    </w:p>
    <w:p w14:paraId="6BD1FB2B" w14:textId="25A1735E" w:rsidR="00882008" w:rsidRPr="00F373F4" w:rsidRDefault="00882008" w:rsidP="005800CD">
      <w:pPr>
        <w:spacing w:after="100" w:afterAutospacing="1"/>
        <w:rPr>
          <w:rFonts w:asciiTheme="minorHAnsi" w:hAnsiTheme="minorHAnsi" w:cstheme="minorHAnsi"/>
          <w:bCs/>
          <w:sz w:val="24"/>
          <w:szCs w:val="24"/>
        </w:rPr>
      </w:pPr>
      <w:r w:rsidRPr="00F373F4">
        <w:rPr>
          <w:rFonts w:asciiTheme="minorHAnsi" w:hAnsiTheme="minorHAnsi" w:cstheme="minorHAnsi"/>
          <w:bCs/>
          <w:sz w:val="24"/>
          <w:szCs w:val="24"/>
        </w:rPr>
        <w:t xml:space="preserve">This clause provides the name of the Act as the </w:t>
      </w:r>
      <w:r w:rsidR="002129EE" w:rsidRPr="002129EE">
        <w:rPr>
          <w:rFonts w:asciiTheme="minorHAnsi" w:hAnsiTheme="minorHAnsi" w:cstheme="minorHAnsi"/>
          <w:bCs/>
          <w:sz w:val="24"/>
          <w:szCs w:val="24"/>
        </w:rPr>
        <w:t>Workplace Legislation Amendment Bill 2022</w:t>
      </w:r>
      <w:r w:rsidR="007D2766" w:rsidRPr="00F373F4">
        <w:rPr>
          <w:rFonts w:asciiTheme="minorHAnsi" w:hAnsiTheme="minorHAnsi" w:cstheme="minorHAnsi"/>
          <w:bCs/>
          <w:sz w:val="24"/>
          <w:szCs w:val="24"/>
        </w:rPr>
        <w:t>.</w:t>
      </w:r>
    </w:p>
    <w:p w14:paraId="0214138C" w14:textId="342231C2" w:rsidR="00987D01" w:rsidRDefault="00163766" w:rsidP="00601ACD">
      <w:pPr>
        <w:numPr>
          <w:ilvl w:val="0"/>
          <w:numId w:val="1"/>
        </w:numPr>
        <w:spacing w:after="100" w:afterAutospacing="1"/>
        <w:rPr>
          <w:b/>
          <w:sz w:val="24"/>
          <w:szCs w:val="24"/>
        </w:rPr>
      </w:pPr>
      <w:r w:rsidRPr="00601ACD">
        <w:rPr>
          <w:b/>
          <w:sz w:val="24"/>
          <w:szCs w:val="24"/>
        </w:rPr>
        <w:t xml:space="preserve"> </w:t>
      </w:r>
      <w:r w:rsidR="00882008">
        <w:rPr>
          <w:b/>
          <w:sz w:val="24"/>
          <w:szCs w:val="24"/>
        </w:rPr>
        <w:t>Commencement</w:t>
      </w:r>
    </w:p>
    <w:p w14:paraId="46D4802A" w14:textId="38000018" w:rsidR="00B12617" w:rsidRPr="00B12617" w:rsidRDefault="00B12617" w:rsidP="00B12617">
      <w:pPr>
        <w:spacing w:after="0" w:line="240" w:lineRule="auto"/>
        <w:rPr>
          <w:bCs/>
          <w:sz w:val="24"/>
          <w:szCs w:val="24"/>
        </w:rPr>
      </w:pPr>
      <w:r>
        <w:rPr>
          <w:bCs/>
          <w:sz w:val="24"/>
          <w:szCs w:val="24"/>
        </w:rPr>
        <w:t>The Bill is split into the following parts:</w:t>
      </w:r>
    </w:p>
    <w:p w14:paraId="3BFC187B" w14:textId="042CD42D" w:rsidR="00B12617" w:rsidRPr="00B12617" w:rsidRDefault="00B12617" w:rsidP="00DE2119">
      <w:pPr>
        <w:pStyle w:val="ListParagraph"/>
        <w:numPr>
          <w:ilvl w:val="0"/>
          <w:numId w:val="4"/>
        </w:numPr>
        <w:spacing w:after="0" w:line="240" w:lineRule="auto"/>
        <w:ind w:hanging="578"/>
        <w:rPr>
          <w:bCs/>
          <w:sz w:val="24"/>
          <w:szCs w:val="24"/>
        </w:rPr>
      </w:pPr>
      <w:r>
        <w:rPr>
          <w:bCs/>
          <w:sz w:val="24"/>
          <w:szCs w:val="24"/>
        </w:rPr>
        <w:t xml:space="preserve">Part 2: </w:t>
      </w:r>
      <w:r w:rsidRPr="008B5C5D">
        <w:rPr>
          <w:bCs/>
          <w:i/>
          <w:iCs/>
          <w:sz w:val="24"/>
          <w:szCs w:val="24"/>
        </w:rPr>
        <w:t>Long Service Leave (Portable Schemes) Act 2009</w:t>
      </w:r>
      <w:r w:rsidRPr="00B12617">
        <w:rPr>
          <w:bCs/>
          <w:sz w:val="24"/>
          <w:szCs w:val="24"/>
        </w:rPr>
        <w:t>;</w:t>
      </w:r>
    </w:p>
    <w:p w14:paraId="25093E7D" w14:textId="5AE2A8D7" w:rsidR="00434292" w:rsidRPr="00434292" w:rsidRDefault="00434292" w:rsidP="00DE2119">
      <w:pPr>
        <w:pStyle w:val="ListParagraph"/>
        <w:numPr>
          <w:ilvl w:val="0"/>
          <w:numId w:val="4"/>
        </w:numPr>
        <w:spacing w:after="0" w:line="240" w:lineRule="auto"/>
        <w:ind w:hanging="578"/>
        <w:rPr>
          <w:bCs/>
          <w:sz w:val="24"/>
          <w:szCs w:val="24"/>
        </w:rPr>
      </w:pPr>
      <w:r>
        <w:rPr>
          <w:bCs/>
          <w:sz w:val="24"/>
          <w:szCs w:val="24"/>
        </w:rPr>
        <w:t xml:space="preserve">Part 3: </w:t>
      </w:r>
      <w:r w:rsidRPr="00B12617">
        <w:rPr>
          <w:bCs/>
          <w:i/>
          <w:iCs/>
          <w:sz w:val="24"/>
          <w:szCs w:val="24"/>
        </w:rPr>
        <w:t>Workers Compensation Act 1951</w:t>
      </w:r>
      <w:r w:rsidRPr="00434292">
        <w:rPr>
          <w:bCs/>
          <w:sz w:val="24"/>
          <w:szCs w:val="24"/>
        </w:rPr>
        <w:t>;</w:t>
      </w:r>
    </w:p>
    <w:p w14:paraId="5143F8CE" w14:textId="386FA3EB" w:rsidR="00B12617" w:rsidRPr="00B12617" w:rsidRDefault="00B12617" w:rsidP="00DE2119">
      <w:pPr>
        <w:pStyle w:val="ListParagraph"/>
        <w:numPr>
          <w:ilvl w:val="0"/>
          <w:numId w:val="4"/>
        </w:numPr>
        <w:spacing w:after="0" w:line="240" w:lineRule="auto"/>
        <w:ind w:hanging="578"/>
        <w:rPr>
          <w:bCs/>
          <w:sz w:val="24"/>
          <w:szCs w:val="24"/>
        </w:rPr>
      </w:pPr>
      <w:r>
        <w:rPr>
          <w:bCs/>
          <w:sz w:val="24"/>
          <w:szCs w:val="24"/>
        </w:rPr>
        <w:t xml:space="preserve">Part </w:t>
      </w:r>
      <w:r w:rsidR="00434292">
        <w:rPr>
          <w:bCs/>
          <w:sz w:val="24"/>
          <w:szCs w:val="24"/>
        </w:rPr>
        <w:t>4</w:t>
      </w:r>
      <w:r>
        <w:rPr>
          <w:bCs/>
          <w:sz w:val="24"/>
          <w:szCs w:val="24"/>
        </w:rPr>
        <w:t xml:space="preserve">: </w:t>
      </w:r>
      <w:r w:rsidRPr="000E4CF7">
        <w:rPr>
          <w:bCs/>
          <w:i/>
          <w:iCs/>
          <w:sz w:val="24"/>
          <w:szCs w:val="24"/>
        </w:rPr>
        <w:t>Work Health and Safety Act 2011</w:t>
      </w:r>
      <w:r w:rsidRPr="00B12617">
        <w:rPr>
          <w:bCs/>
          <w:sz w:val="24"/>
          <w:szCs w:val="24"/>
        </w:rPr>
        <w:t>;</w:t>
      </w:r>
      <w:r w:rsidR="00434292">
        <w:rPr>
          <w:bCs/>
          <w:sz w:val="24"/>
          <w:szCs w:val="24"/>
        </w:rPr>
        <w:t xml:space="preserve"> and</w:t>
      </w:r>
    </w:p>
    <w:p w14:paraId="7C414958" w14:textId="754E79F3" w:rsidR="00B12617" w:rsidRPr="00434292" w:rsidRDefault="00B12617" w:rsidP="003E4325">
      <w:pPr>
        <w:pStyle w:val="ListParagraph"/>
        <w:numPr>
          <w:ilvl w:val="0"/>
          <w:numId w:val="4"/>
        </w:numPr>
        <w:spacing w:after="0" w:line="240" w:lineRule="auto"/>
        <w:ind w:hanging="578"/>
        <w:rPr>
          <w:bCs/>
          <w:sz w:val="24"/>
          <w:szCs w:val="24"/>
        </w:rPr>
      </w:pPr>
      <w:r w:rsidRPr="00434292">
        <w:rPr>
          <w:bCs/>
          <w:sz w:val="24"/>
          <w:szCs w:val="24"/>
        </w:rPr>
        <w:t xml:space="preserve">Part </w:t>
      </w:r>
      <w:r w:rsidR="00434292">
        <w:rPr>
          <w:bCs/>
          <w:sz w:val="24"/>
          <w:szCs w:val="24"/>
        </w:rPr>
        <w:t>5</w:t>
      </w:r>
      <w:r w:rsidRPr="00434292">
        <w:rPr>
          <w:bCs/>
          <w:sz w:val="24"/>
          <w:szCs w:val="24"/>
        </w:rPr>
        <w:t xml:space="preserve">: </w:t>
      </w:r>
      <w:r w:rsidRPr="00434292">
        <w:rPr>
          <w:bCs/>
          <w:i/>
          <w:iCs/>
          <w:sz w:val="24"/>
          <w:szCs w:val="24"/>
        </w:rPr>
        <w:t>Work Health and Safety Regulation 2011</w:t>
      </w:r>
      <w:r w:rsidR="00434292" w:rsidRPr="00434292">
        <w:rPr>
          <w:bCs/>
          <w:sz w:val="24"/>
          <w:szCs w:val="24"/>
        </w:rPr>
        <w:t>.</w:t>
      </w:r>
    </w:p>
    <w:p w14:paraId="3170C397" w14:textId="5630BB36" w:rsidR="00B12617" w:rsidRPr="00B12617" w:rsidRDefault="0011783F" w:rsidP="00B12617">
      <w:pPr>
        <w:spacing w:after="100" w:afterAutospacing="1"/>
        <w:rPr>
          <w:bCs/>
          <w:sz w:val="24"/>
          <w:szCs w:val="24"/>
        </w:rPr>
      </w:pPr>
      <w:r>
        <w:rPr>
          <w:bCs/>
          <w:sz w:val="24"/>
          <w:szCs w:val="24"/>
        </w:rPr>
        <w:br/>
      </w:r>
      <w:r w:rsidRPr="0011783F">
        <w:rPr>
          <w:bCs/>
          <w:sz w:val="24"/>
          <w:szCs w:val="24"/>
        </w:rPr>
        <w:t xml:space="preserve">This clause provides for the commencement of the Act. </w:t>
      </w:r>
      <w:r w:rsidR="00B12617" w:rsidRPr="00B12617">
        <w:rPr>
          <w:bCs/>
          <w:sz w:val="24"/>
          <w:szCs w:val="24"/>
        </w:rPr>
        <w:t>Section 3 and part 2 commence on the day after this Act’s notification day.</w:t>
      </w:r>
    </w:p>
    <w:p w14:paraId="465131BF" w14:textId="7A0736E7" w:rsidR="00B12617" w:rsidRPr="00B12617" w:rsidRDefault="00434292" w:rsidP="00B12617">
      <w:pPr>
        <w:spacing w:after="100" w:afterAutospacing="1"/>
        <w:rPr>
          <w:bCs/>
          <w:sz w:val="24"/>
          <w:szCs w:val="24"/>
        </w:rPr>
      </w:pPr>
      <w:r>
        <w:rPr>
          <w:bCs/>
          <w:sz w:val="24"/>
          <w:szCs w:val="24"/>
        </w:rPr>
        <w:t>Section 14 and parts</w:t>
      </w:r>
      <w:r w:rsidR="00B12617" w:rsidRPr="00B12617">
        <w:rPr>
          <w:bCs/>
          <w:sz w:val="24"/>
          <w:szCs w:val="24"/>
        </w:rPr>
        <w:t xml:space="preserve"> 4 </w:t>
      </w:r>
      <w:r>
        <w:rPr>
          <w:bCs/>
          <w:sz w:val="24"/>
          <w:szCs w:val="24"/>
        </w:rPr>
        <w:t xml:space="preserve">and 5 </w:t>
      </w:r>
      <w:r w:rsidR="00B12617" w:rsidRPr="00B12617">
        <w:rPr>
          <w:bCs/>
          <w:sz w:val="24"/>
          <w:szCs w:val="24"/>
        </w:rPr>
        <w:t xml:space="preserve">commence </w:t>
      </w:r>
      <w:r w:rsidR="00BE1181">
        <w:rPr>
          <w:bCs/>
          <w:sz w:val="24"/>
          <w:szCs w:val="24"/>
        </w:rPr>
        <w:t>6 months</w:t>
      </w:r>
      <w:r w:rsidR="00B12617" w:rsidRPr="00B12617">
        <w:rPr>
          <w:bCs/>
          <w:sz w:val="24"/>
          <w:szCs w:val="24"/>
        </w:rPr>
        <w:t xml:space="preserve"> after the notification day.</w:t>
      </w:r>
    </w:p>
    <w:p w14:paraId="28E00A33" w14:textId="4357E03A" w:rsidR="00B12617" w:rsidRPr="00B12617" w:rsidRDefault="00B12617" w:rsidP="00B12617">
      <w:pPr>
        <w:spacing w:after="100" w:afterAutospacing="1"/>
        <w:rPr>
          <w:bCs/>
          <w:sz w:val="24"/>
          <w:szCs w:val="24"/>
        </w:rPr>
      </w:pPr>
      <w:r w:rsidRPr="00B12617">
        <w:rPr>
          <w:bCs/>
          <w:sz w:val="24"/>
          <w:szCs w:val="24"/>
        </w:rPr>
        <w:t>The remaining provisions commence 1 month after the notification day.</w:t>
      </w:r>
    </w:p>
    <w:p w14:paraId="664355AD" w14:textId="50B64C23" w:rsidR="006D6ACB" w:rsidRDefault="00F373F4" w:rsidP="00DF3DFD">
      <w:pPr>
        <w:numPr>
          <w:ilvl w:val="0"/>
          <w:numId w:val="1"/>
        </w:numPr>
        <w:spacing w:after="100" w:afterAutospacing="1"/>
        <w:rPr>
          <w:b/>
          <w:sz w:val="24"/>
          <w:szCs w:val="24"/>
        </w:rPr>
      </w:pPr>
      <w:r>
        <w:rPr>
          <w:b/>
          <w:sz w:val="24"/>
          <w:szCs w:val="24"/>
        </w:rPr>
        <w:t>Legislation amended</w:t>
      </w:r>
    </w:p>
    <w:p w14:paraId="218246BE" w14:textId="4578DB85" w:rsidR="00B12617" w:rsidRDefault="0011783F" w:rsidP="00B12617">
      <w:pPr>
        <w:spacing w:after="100" w:afterAutospacing="1"/>
        <w:rPr>
          <w:rFonts w:asciiTheme="minorHAnsi" w:hAnsiTheme="minorHAnsi" w:cstheme="minorHAnsi"/>
          <w:bCs/>
          <w:sz w:val="24"/>
          <w:szCs w:val="24"/>
        </w:rPr>
      </w:pPr>
      <w:r w:rsidRPr="0011783F">
        <w:rPr>
          <w:rFonts w:asciiTheme="minorHAnsi" w:hAnsiTheme="minorHAnsi" w:cstheme="minorHAnsi"/>
          <w:bCs/>
          <w:sz w:val="24"/>
          <w:szCs w:val="24"/>
        </w:rPr>
        <w:t>This clause provides for the amending of the legislation mentioned in part</w:t>
      </w:r>
      <w:r w:rsidR="003A6531">
        <w:rPr>
          <w:rFonts w:asciiTheme="minorHAnsi" w:hAnsiTheme="minorHAnsi" w:cstheme="minorHAnsi"/>
          <w:bCs/>
          <w:sz w:val="24"/>
          <w:szCs w:val="24"/>
        </w:rPr>
        <w:t>s</w:t>
      </w:r>
      <w:r w:rsidRPr="0011783F">
        <w:rPr>
          <w:rFonts w:asciiTheme="minorHAnsi" w:hAnsiTheme="minorHAnsi" w:cstheme="minorHAnsi"/>
          <w:bCs/>
          <w:sz w:val="24"/>
          <w:szCs w:val="24"/>
        </w:rPr>
        <w:t xml:space="preserve"> 2, 3</w:t>
      </w:r>
      <w:r>
        <w:rPr>
          <w:rFonts w:asciiTheme="minorHAnsi" w:hAnsiTheme="minorHAnsi" w:cstheme="minorHAnsi"/>
          <w:bCs/>
          <w:sz w:val="24"/>
          <w:szCs w:val="24"/>
        </w:rPr>
        <w:t>,</w:t>
      </w:r>
      <w:r w:rsidRPr="0011783F">
        <w:rPr>
          <w:rFonts w:asciiTheme="minorHAnsi" w:hAnsiTheme="minorHAnsi" w:cstheme="minorHAnsi"/>
          <w:bCs/>
          <w:sz w:val="24"/>
          <w:szCs w:val="24"/>
        </w:rPr>
        <w:t xml:space="preserve"> 4 and</w:t>
      </w:r>
      <w:r>
        <w:rPr>
          <w:rFonts w:asciiTheme="minorHAnsi" w:hAnsiTheme="minorHAnsi" w:cstheme="minorHAnsi"/>
          <w:bCs/>
          <w:sz w:val="24"/>
          <w:szCs w:val="24"/>
        </w:rPr>
        <w:t xml:space="preserve"> 5</w:t>
      </w:r>
      <w:r w:rsidRPr="0011783F">
        <w:rPr>
          <w:rFonts w:asciiTheme="minorHAnsi" w:hAnsiTheme="minorHAnsi" w:cstheme="minorHAnsi"/>
          <w:bCs/>
          <w:sz w:val="24"/>
          <w:szCs w:val="24"/>
        </w:rPr>
        <w:t>.</w:t>
      </w:r>
      <w:r w:rsidR="00B35D94">
        <w:rPr>
          <w:rFonts w:asciiTheme="minorHAnsi" w:hAnsiTheme="minorHAnsi" w:cstheme="minorHAnsi"/>
          <w:bCs/>
          <w:sz w:val="24"/>
          <w:szCs w:val="24"/>
        </w:rPr>
        <w:br/>
      </w:r>
    </w:p>
    <w:p w14:paraId="0C436BD2" w14:textId="07C8A4C0" w:rsidR="00F373F4" w:rsidRDefault="00F373F4" w:rsidP="00F373F4">
      <w:pPr>
        <w:spacing w:after="100" w:afterAutospacing="1"/>
        <w:rPr>
          <w:rFonts w:asciiTheme="minorHAnsi" w:hAnsiTheme="minorHAnsi" w:cstheme="minorHAnsi"/>
          <w:b/>
          <w:sz w:val="28"/>
          <w:szCs w:val="28"/>
        </w:rPr>
      </w:pPr>
      <w:r w:rsidRPr="0011783F">
        <w:rPr>
          <w:rFonts w:asciiTheme="minorHAnsi" w:hAnsiTheme="minorHAnsi" w:cstheme="minorHAnsi"/>
          <w:b/>
          <w:sz w:val="28"/>
          <w:szCs w:val="28"/>
        </w:rPr>
        <w:t xml:space="preserve">Part 2 </w:t>
      </w:r>
      <w:r w:rsidR="003D6B8C" w:rsidRPr="0011783F">
        <w:rPr>
          <w:rFonts w:asciiTheme="minorHAnsi" w:hAnsiTheme="minorHAnsi" w:cstheme="minorHAnsi"/>
          <w:b/>
          <w:sz w:val="28"/>
          <w:szCs w:val="28"/>
        </w:rPr>
        <w:tab/>
      </w:r>
      <w:r w:rsidR="009A4731" w:rsidRPr="0011783F">
        <w:rPr>
          <w:rFonts w:asciiTheme="minorHAnsi" w:hAnsiTheme="minorHAnsi" w:cstheme="minorHAnsi"/>
          <w:b/>
          <w:sz w:val="28"/>
          <w:szCs w:val="28"/>
        </w:rPr>
        <w:t>Long Service Leave (Portable Schemes) Act 2009</w:t>
      </w:r>
    </w:p>
    <w:p w14:paraId="394F0C0A" w14:textId="3D896BB0" w:rsidR="00841C5A" w:rsidRPr="00B35D94" w:rsidRDefault="00841C5A" w:rsidP="00841C5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How are leave payments worked out for the contract cleaning industry?</w:t>
      </w:r>
    </w:p>
    <w:p w14:paraId="288DA331" w14:textId="68530D63" w:rsidR="00841C5A" w:rsidRDefault="00841C5A" w:rsidP="00841C5A">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substitutes </w:t>
      </w:r>
      <w:r>
        <w:rPr>
          <w:rFonts w:asciiTheme="minorHAnsi" w:hAnsiTheme="minorHAnsi" w:cstheme="minorHAnsi"/>
          <w:bCs/>
          <w:sz w:val="24"/>
          <w:szCs w:val="24"/>
        </w:rPr>
        <w:t>the example at section 2.11 of Schedule 2</w:t>
      </w:r>
      <w:r w:rsidRPr="00B35D94">
        <w:rPr>
          <w:rFonts w:asciiTheme="minorHAnsi" w:hAnsiTheme="minorHAnsi" w:cstheme="minorHAnsi"/>
          <w:bCs/>
          <w:sz w:val="24"/>
          <w:szCs w:val="24"/>
        </w:rPr>
        <w:t>.</w:t>
      </w:r>
    </w:p>
    <w:p w14:paraId="6091B13B" w14:textId="339F98B1" w:rsidR="00841C5A" w:rsidRPr="00B35D94" w:rsidRDefault="00841C5A" w:rsidP="00841C5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Payments for leave – community sector industry</w:t>
      </w:r>
    </w:p>
    <w:p w14:paraId="27E2EFF9" w14:textId="154BD66C" w:rsidR="00841C5A" w:rsidRDefault="00841C5A" w:rsidP="00841C5A">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sidRPr="0011783F">
        <w:rPr>
          <w:rFonts w:asciiTheme="minorHAnsi" w:hAnsiTheme="minorHAnsi" w:cstheme="minorHAnsi"/>
          <w:bCs/>
          <w:sz w:val="24"/>
          <w:szCs w:val="24"/>
        </w:rPr>
        <w:t xml:space="preserve">omits the </w:t>
      </w:r>
      <w:r>
        <w:rPr>
          <w:rFonts w:asciiTheme="minorHAnsi" w:hAnsiTheme="minorHAnsi" w:cstheme="minorHAnsi"/>
          <w:bCs/>
          <w:sz w:val="24"/>
          <w:szCs w:val="24"/>
        </w:rPr>
        <w:t>reference</w:t>
      </w:r>
      <w:r w:rsidRPr="0011783F">
        <w:rPr>
          <w:rFonts w:asciiTheme="minorHAnsi" w:hAnsiTheme="minorHAnsi" w:cstheme="minorHAnsi"/>
          <w:bCs/>
          <w:sz w:val="24"/>
          <w:szCs w:val="24"/>
        </w:rPr>
        <w:t xml:space="preserve"> ‘</w:t>
      </w:r>
      <w:r>
        <w:rPr>
          <w:rFonts w:asciiTheme="minorHAnsi" w:hAnsiTheme="minorHAnsi" w:cstheme="minorHAnsi"/>
          <w:bCs/>
          <w:sz w:val="24"/>
          <w:szCs w:val="24"/>
        </w:rPr>
        <w:t>3.7’</w:t>
      </w:r>
      <w:r w:rsidRPr="0011783F">
        <w:rPr>
          <w:rFonts w:asciiTheme="minorHAnsi" w:hAnsiTheme="minorHAnsi" w:cstheme="minorHAnsi"/>
          <w:bCs/>
          <w:sz w:val="24"/>
          <w:szCs w:val="24"/>
        </w:rPr>
        <w:t xml:space="preserve"> and </w:t>
      </w:r>
      <w:r>
        <w:rPr>
          <w:rFonts w:asciiTheme="minorHAnsi" w:hAnsiTheme="minorHAnsi" w:cstheme="minorHAnsi"/>
          <w:bCs/>
          <w:sz w:val="24"/>
          <w:szCs w:val="24"/>
        </w:rPr>
        <w:t>substitutes</w:t>
      </w:r>
      <w:r w:rsidRPr="0011783F">
        <w:rPr>
          <w:rFonts w:asciiTheme="minorHAnsi" w:hAnsiTheme="minorHAnsi" w:cstheme="minorHAnsi"/>
          <w:bCs/>
          <w:sz w:val="24"/>
          <w:szCs w:val="24"/>
        </w:rPr>
        <w:t xml:space="preserve"> it with ‘</w:t>
      </w:r>
      <w:r>
        <w:rPr>
          <w:rFonts w:asciiTheme="minorHAnsi" w:hAnsiTheme="minorHAnsi" w:cstheme="minorHAnsi"/>
          <w:bCs/>
          <w:sz w:val="24"/>
          <w:szCs w:val="24"/>
        </w:rPr>
        <w:t>3.8’</w:t>
      </w:r>
      <w:r w:rsidRPr="0011783F">
        <w:rPr>
          <w:rFonts w:asciiTheme="minorHAnsi" w:hAnsiTheme="minorHAnsi" w:cstheme="minorHAnsi"/>
          <w:bCs/>
          <w:sz w:val="24"/>
          <w:szCs w:val="24"/>
        </w:rPr>
        <w:t xml:space="preserve">, as </w:t>
      </w:r>
      <w:r>
        <w:rPr>
          <w:rFonts w:asciiTheme="minorHAnsi" w:hAnsiTheme="minorHAnsi" w:cstheme="minorHAnsi"/>
          <w:bCs/>
          <w:sz w:val="24"/>
          <w:szCs w:val="24"/>
        </w:rPr>
        <w:t xml:space="preserve">a </w:t>
      </w:r>
      <w:r w:rsidRPr="0011783F">
        <w:rPr>
          <w:rFonts w:asciiTheme="minorHAnsi" w:hAnsiTheme="minorHAnsi" w:cstheme="minorHAnsi"/>
          <w:bCs/>
          <w:sz w:val="24"/>
          <w:szCs w:val="24"/>
        </w:rPr>
        <w:t>technical amendment</w:t>
      </w:r>
      <w:r>
        <w:rPr>
          <w:rFonts w:asciiTheme="minorHAnsi" w:hAnsiTheme="minorHAnsi" w:cstheme="minorHAnsi"/>
          <w:bCs/>
          <w:sz w:val="24"/>
          <w:szCs w:val="24"/>
        </w:rPr>
        <w:t>, at section 3.10 of Schedule 3</w:t>
      </w:r>
      <w:r w:rsidRPr="0011783F">
        <w:rPr>
          <w:rFonts w:asciiTheme="minorHAnsi" w:hAnsiTheme="minorHAnsi" w:cstheme="minorHAnsi"/>
          <w:bCs/>
          <w:sz w:val="24"/>
          <w:szCs w:val="24"/>
        </w:rPr>
        <w:t>.</w:t>
      </w:r>
    </w:p>
    <w:p w14:paraId="196DA7C2" w14:textId="77777777" w:rsidR="00841C5A" w:rsidRDefault="00841C5A" w:rsidP="00841C5A">
      <w:pPr>
        <w:spacing w:after="100" w:afterAutospacing="1"/>
        <w:rPr>
          <w:rFonts w:asciiTheme="minorHAnsi" w:hAnsiTheme="minorHAnsi" w:cstheme="minorHAnsi"/>
          <w:bCs/>
          <w:sz w:val="24"/>
          <w:szCs w:val="24"/>
        </w:rPr>
      </w:pPr>
    </w:p>
    <w:p w14:paraId="35207EB4" w14:textId="51EE143A" w:rsidR="00841C5A" w:rsidRPr="00B35D94" w:rsidRDefault="00841C5A" w:rsidP="00841C5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lastRenderedPageBreak/>
        <w:t>Payments instead of leave – community sector industry</w:t>
      </w:r>
    </w:p>
    <w:p w14:paraId="3AA98B25" w14:textId="6FCC675D" w:rsidR="00841C5A" w:rsidRDefault="00841C5A" w:rsidP="00841C5A">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sidRPr="0011783F">
        <w:rPr>
          <w:rFonts w:asciiTheme="minorHAnsi" w:hAnsiTheme="minorHAnsi" w:cstheme="minorHAnsi"/>
          <w:bCs/>
          <w:sz w:val="24"/>
          <w:szCs w:val="24"/>
        </w:rPr>
        <w:t xml:space="preserve">omits the </w:t>
      </w:r>
      <w:r>
        <w:rPr>
          <w:rFonts w:asciiTheme="minorHAnsi" w:hAnsiTheme="minorHAnsi" w:cstheme="minorHAnsi"/>
          <w:bCs/>
          <w:sz w:val="24"/>
          <w:szCs w:val="24"/>
        </w:rPr>
        <w:t>reference</w:t>
      </w:r>
      <w:r w:rsidRPr="0011783F">
        <w:rPr>
          <w:rFonts w:asciiTheme="minorHAnsi" w:hAnsiTheme="minorHAnsi" w:cstheme="minorHAnsi"/>
          <w:bCs/>
          <w:sz w:val="24"/>
          <w:szCs w:val="24"/>
        </w:rPr>
        <w:t xml:space="preserve"> ‘</w:t>
      </w:r>
      <w:r>
        <w:rPr>
          <w:rFonts w:asciiTheme="minorHAnsi" w:hAnsiTheme="minorHAnsi" w:cstheme="minorHAnsi"/>
          <w:bCs/>
          <w:sz w:val="24"/>
          <w:szCs w:val="24"/>
        </w:rPr>
        <w:t>3.10’</w:t>
      </w:r>
      <w:r w:rsidRPr="0011783F">
        <w:rPr>
          <w:rFonts w:asciiTheme="minorHAnsi" w:hAnsiTheme="minorHAnsi" w:cstheme="minorHAnsi"/>
          <w:bCs/>
          <w:sz w:val="24"/>
          <w:szCs w:val="24"/>
        </w:rPr>
        <w:t xml:space="preserve"> and </w:t>
      </w:r>
      <w:r>
        <w:rPr>
          <w:rFonts w:asciiTheme="minorHAnsi" w:hAnsiTheme="minorHAnsi" w:cstheme="minorHAnsi"/>
          <w:bCs/>
          <w:sz w:val="24"/>
          <w:szCs w:val="24"/>
        </w:rPr>
        <w:t>substitutes</w:t>
      </w:r>
      <w:r w:rsidRPr="0011783F">
        <w:rPr>
          <w:rFonts w:asciiTheme="minorHAnsi" w:hAnsiTheme="minorHAnsi" w:cstheme="minorHAnsi"/>
          <w:bCs/>
          <w:sz w:val="24"/>
          <w:szCs w:val="24"/>
        </w:rPr>
        <w:t xml:space="preserve"> it with ‘</w:t>
      </w:r>
      <w:r>
        <w:rPr>
          <w:rFonts w:asciiTheme="minorHAnsi" w:hAnsiTheme="minorHAnsi" w:cstheme="minorHAnsi"/>
          <w:bCs/>
          <w:sz w:val="24"/>
          <w:szCs w:val="24"/>
        </w:rPr>
        <w:t>3.12’</w:t>
      </w:r>
      <w:r w:rsidRPr="0011783F">
        <w:rPr>
          <w:rFonts w:asciiTheme="minorHAnsi" w:hAnsiTheme="minorHAnsi" w:cstheme="minorHAnsi"/>
          <w:bCs/>
          <w:sz w:val="24"/>
          <w:szCs w:val="24"/>
        </w:rPr>
        <w:t xml:space="preserve">, as </w:t>
      </w:r>
      <w:r>
        <w:rPr>
          <w:rFonts w:asciiTheme="minorHAnsi" w:hAnsiTheme="minorHAnsi" w:cstheme="minorHAnsi"/>
          <w:bCs/>
          <w:sz w:val="24"/>
          <w:szCs w:val="24"/>
        </w:rPr>
        <w:t xml:space="preserve">a </w:t>
      </w:r>
      <w:r w:rsidRPr="0011783F">
        <w:rPr>
          <w:rFonts w:asciiTheme="minorHAnsi" w:hAnsiTheme="minorHAnsi" w:cstheme="minorHAnsi"/>
          <w:bCs/>
          <w:sz w:val="24"/>
          <w:szCs w:val="24"/>
        </w:rPr>
        <w:t>technical amendment</w:t>
      </w:r>
      <w:r>
        <w:rPr>
          <w:rFonts w:asciiTheme="minorHAnsi" w:hAnsiTheme="minorHAnsi" w:cstheme="minorHAnsi"/>
          <w:bCs/>
          <w:sz w:val="24"/>
          <w:szCs w:val="24"/>
        </w:rPr>
        <w:t>, at section 3.11 of Schedule 3</w:t>
      </w:r>
      <w:r w:rsidRPr="0011783F">
        <w:rPr>
          <w:rFonts w:asciiTheme="minorHAnsi" w:hAnsiTheme="minorHAnsi" w:cstheme="minorHAnsi"/>
          <w:bCs/>
          <w:sz w:val="24"/>
          <w:szCs w:val="24"/>
        </w:rPr>
        <w:t>.</w:t>
      </w:r>
    </w:p>
    <w:p w14:paraId="4CBAE549" w14:textId="2F796664" w:rsidR="00841C5A" w:rsidRPr="00B35D94" w:rsidRDefault="00841C5A" w:rsidP="00841C5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How are leave payments worked out for the community sector industry?</w:t>
      </w:r>
    </w:p>
    <w:p w14:paraId="38FB028D" w14:textId="7E46C70D" w:rsidR="00841C5A" w:rsidRDefault="00841C5A" w:rsidP="00841C5A">
      <w:pPr>
        <w:spacing w:after="100" w:afterAutospacing="1"/>
        <w:rPr>
          <w:rFonts w:asciiTheme="minorHAnsi" w:hAnsiTheme="minorHAnsi" w:cstheme="minorHAnsi"/>
          <w:bCs/>
          <w:sz w:val="24"/>
          <w:szCs w:val="24"/>
        </w:rPr>
      </w:pPr>
      <w:r w:rsidRPr="00841C5A">
        <w:rPr>
          <w:rFonts w:asciiTheme="minorHAnsi" w:hAnsiTheme="minorHAnsi" w:cstheme="minorHAnsi"/>
          <w:bCs/>
          <w:sz w:val="24"/>
          <w:szCs w:val="24"/>
        </w:rPr>
        <w:t xml:space="preserve">This clause substitutes the example at section </w:t>
      </w:r>
      <w:r>
        <w:rPr>
          <w:rFonts w:asciiTheme="minorHAnsi" w:hAnsiTheme="minorHAnsi" w:cstheme="minorHAnsi"/>
          <w:bCs/>
          <w:sz w:val="24"/>
          <w:szCs w:val="24"/>
        </w:rPr>
        <w:t xml:space="preserve">3.12 </w:t>
      </w:r>
      <w:r w:rsidRPr="00841C5A">
        <w:rPr>
          <w:rFonts w:asciiTheme="minorHAnsi" w:hAnsiTheme="minorHAnsi" w:cstheme="minorHAnsi"/>
          <w:bCs/>
          <w:sz w:val="24"/>
          <w:szCs w:val="24"/>
        </w:rPr>
        <w:t xml:space="preserve">of Schedule </w:t>
      </w:r>
      <w:r>
        <w:rPr>
          <w:rFonts w:asciiTheme="minorHAnsi" w:hAnsiTheme="minorHAnsi" w:cstheme="minorHAnsi"/>
          <w:bCs/>
          <w:sz w:val="24"/>
          <w:szCs w:val="24"/>
        </w:rPr>
        <w:t>3</w:t>
      </w:r>
      <w:r w:rsidRPr="00841C5A">
        <w:rPr>
          <w:rFonts w:asciiTheme="minorHAnsi" w:hAnsiTheme="minorHAnsi" w:cstheme="minorHAnsi"/>
          <w:bCs/>
          <w:sz w:val="24"/>
          <w:szCs w:val="24"/>
        </w:rPr>
        <w:t>.</w:t>
      </w:r>
    </w:p>
    <w:p w14:paraId="7D0108F7" w14:textId="4F2307D9" w:rsidR="00310882" w:rsidRPr="0011783F" w:rsidRDefault="009A4731" w:rsidP="0011783F">
      <w:pPr>
        <w:numPr>
          <w:ilvl w:val="0"/>
          <w:numId w:val="1"/>
        </w:numPr>
        <w:spacing w:after="100" w:afterAutospacing="1"/>
        <w:ind w:left="1418" w:hanging="1418"/>
        <w:rPr>
          <w:rFonts w:asciiTheme="minorHAnsi" w:hAnsiTheme="minorHAnsi" w:cstheme="minorHAnsi"/>
          <w:b/>
          <w:sz w:val="24"/>
          <w:szCs w:val="24"/>
        </w:rPr>
      </w:pPr>
      <w:r w:rsidRPr="0011783F">
        <w:rPr>
          <w:rFonts w:asciiTheme="minorHAnsi" w:hAnsiTheme="minorHAnsi" w:cstheme="minorHAnsi"/>
          <w:b/>
          <w:sz w:val="24"/>
          <w:szCs w:val="24"/>
        </w:rPr>
        <w:t>Payments by reciprocal authority on authority’s behalf—community sector industry</w:t>
      </w:r>
    </w:p>
    <w:p w14:paraId="4FBBC172" w14:textId="591B61F7" w:rsidR="004B5B7F" w:rsidRDefault="001E7A99" w:rsidP="002129EE">
      <w:pPr>
        <w:spacing w:after="100" w:afterAutospacing="1"/>
        <w:rPr>
          <w:rFonts w:asciiTheme="minorHAnsi" w:hAnsiTheme="minorHAnsi" w:cstheme="minorHAnsi"/>
          <w:bCs/>
          <w:sz w:val="24"/>
          <w:szCs w:val="24"/>
        </w:rPr>
      </w:pPr>
      <w:r w:rsidRPr="0011783F">
        <w:rPr>
          <w:rFonts w:asciiTheme="minorHAnsi" w:hAnsiTheme="minorHAnsi" w:cstheme="minorHAnsi"/>
          <w:bCs/>
          <w:sz w:val="24"/>
          <w:szCs w:val="24"/>
        </w:rPr>
        <w:t>T</w:t>
      </w:r>
      <w:r w:rsidR="00194AB1" w:rsidRPr="0011783F">
        <w:rPr>
          <w:rFonts w:asciiTheme="minorHAnsi" w:hAnsiTheme="minorHAnsi" w:cstheme="minorHAnsi"/>
          <w:bCs/>
          <w:sz w:val="24"/>
          <w:szCs w:val="24"/>
        </w:rPr>
        <w:t>hi</w:t>
      </w:r>
      <w:r w:rsidRPr="0011783F">
        <w:rPr>
          <w:rFonts w:asciiTheme="minorHAnsi" w:hAnsiTheme="minorHAnsi" w:cstheme="minorHAnsi"/>
          <w:bCs/>
          <w:sz w:val="24"/>
          <w:szCs w:val="24"/>
        </w:rPr>
        <w:t xml:space="preserve">s clause </w:t>
      </w:r>
      <w:r w:rsidR="0059476F" w:rsidRPr="0011783F">
        <w:rPr>
          <w:rFonts w:asciiTheme="minorHAnsi" w:hAnsiTheme="minorHAnsi" w:cstheme="minorHAnsi"/>
          <w:bCs/>
          <w:sz w:val="24"/>
          <w:szCs w:val="24"/>
        </w:rPr>
        <w:t>omits</w:t>
      </w:r>
      <w:r w:rsidR="0011783F" w:rsidRPr="0011783F">
        <w:rPr>
          <w:rFonts w:asciiTheme="minorHAnsi" w:hAnsiTheme="minorHAnsi" w:cstheme="minorHAnsi"/>
          <w:bCs/>
          <w:sz w:val="24"/>
          <w:szCs w:val="24"/>
        </w:rPr>
        <w:t xml:space="preserve"> the term ‘contract cleaning’ and replaces it with ‘community sector</w:t>
      </w:r>
      <w:r w:rsidR="00841C5A">
        <w:rPr>
          <w:rFonts w:asciiTheme="minorHAnsi" w:hAnsiTheme="minorHAnsi" w:cstheme="minorHAnsi"/>
          <w:bCs/>
          <w:sz w:val="24"/>
          <w:szCs w:val="24"/>
        </w:rPr>
        <w:t>’</w:t>
      </w:r>
      <w:r w:rsidR="0011783F" w:rsidRPr="0011783F">
        <w:rPr>
          <w:rFonts w:asciiTheme="minorHAnsi" w:hAnsiTheme="minorHAnsi" w:cstheme="minorHAnsi"/>
          <w:bCs/>
          <w:sz w:val="24"/>
          <w:szCs w:val="24"/>
        </w:rPr>
        <w:t xml:space="preserve">, as </w:t>
      </w:r>
      <w:r w:rsidR="00841C5A">
        <w:rPr>
          <w:rFonts w:asciiTheme="minorHAnsi" w:hAnsiTheme="minorHAnsi" w:cstheme="minorHAnsi"/>
          <w:bCs/>
          <w:sz w:val="24"/>
          <w:szCs w:val="24"/>
        </w:rPr>
        <w:t xml:space="preserve">a </w:t>
      </w:r>
      <w:r w:rsidR="0011783F" w:rsidRPr="0011783F">
        <w:rPr>
          <w:rFonts w:asciiTheme="minorHAnsi" w:hAnsiTheme="minorHAnsi" w:cstheme="minorHAnsi"/>
          <w:bCs/>
          <w:sz w:val="24"/>
          <w:szCs w:val="24"/>
        </w:rPr>
        <w:t>technical amendment</w:t>
      </w:r>
      <w:r w:rsidR="00B51CD1" w:rsidRPr="0011783F">
        <w:rPr>
          <w:rFonts w:asciiTheme="minorHAnsi" w:hAnsiTheme="minorHAnsi" w:cstheme="minorHAnsi"/>
          <w:bCs/>
          <w:sz w:val="24"/>
          <w:szCs w:val="24"/>
        </w:rPr>
        <w:t>.</w:t>
      </w:r>
    </w:p>
    <w:p w14:paraId="7377132D" w14:textId="1FEEF6A8" w:rsidR="00841C5A" w:rsidRPr="00B35D94" w:rsidRDefault="00841C5A" w:rsidP="00841C5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Payments for leave – security industry</w:t>
      </w:r>
    </w:p>
    <w:p w14:paraId="3A279FA2" w14:textId="0BB7C9D6" w:rsidR="00841C5A" w:rsidRDefault="00841C5A" w:rsidP="00841C5A">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sidRPr="0011783F">
        <w:rPr>
          <w:rFonts w:asciiTheme="minorHAnsi" w:hAnsiTheme="minorHAnsi" w:cstheme="minorHAnsi"/>
          <w:bCs/>
          <w:sz w:val="24"/>
          <w:szCs w:val="24"/>
        </w:rPr>
        <w:t xml:space="preserve">omits the </w:t>
      </w:r>
      <w:r>
        <w:rPr>
          <w:rFonts w:asciiTheme="minorHAnsi" w:hAnsiTheme="minorHAnsi" w:cstheme="minorHAnsi"/>
          <w:bCs/>
          <w:sz w:val="24"/>
          <w:szCs w:val="24"/>
        </w:rPr>
        <w:t>reference</w:t>
      </w:r>
      <w:r w:rsidRPr="0011783F">
        <w:rPr>
          <w:rFonts w:asciiTheme="minorHAnsi" w:hAnsiTheme="minorHAnsi" w:cstheme="minorHAnsi"/>
          <w:bCs/>
          <w:sz w:val="24"/>
          <w:szCs w:val="24"/>
        </w:rPr>
        <w:t xml:space="preserve"> ‘</w:t>
      </w:r>
      <w:r>
        <w:rPr>
          <w:rFonts w:asciiTheme="minorHAnsi" w:hAnsiTheme="minorHAnsi" w:cstheme="minorHAnsi"/>
          <w:bCs/>
          <w:sz w:val="24"/>
          <w:szCs w:val="24"/>
        </w:rPr>
        <w:t>4.7’</w:t>
      </w:r>
      <w:r w:rsidRPr="0011783F">
        <w:rPr>
          <w:rFonts w:asciiTheme="minorHAnsi" w:hAnsiTheme="minorHAnsi" w:cstheme="minorHAnsi"/>
          <w:bCs/>
          <w:sz w:val="24"/>
          <w:szCs w:val="24"/>
        </w:rPr>
        <w:t xml:space="preserve"> and </w:t>
      </w:r>
      <w:r>
        <w:rPr>
          <w:rFonts w:asciiTheme="minorHAnsi" w:hAnsiTheme="minorHAnsi" w:cstheme="minorHAnsi"/>
          <w:bCs/>
          <w:sz w:val="24"/>
          <w:szCs w:val="24"/>
        </w:rPr>
        <w:t>substitutes</w:t>
      </w:r>
      <w:r w:rsidRPr="0011783F">
        <w:rPr>
          <w:rFonts w:asciiTheme="minorHAnsi" w:hAnsiTheme="minorHAnsi" w:cstheme="minorHAnsi"/>
          <w:bCs/>
          <w:sz w:val="24"/>
          <w:szCs w:val="24"/>
        </w:rPr>
        <w:t xml:space="preserve"> it with ‘</w:t>
      </w:r>
      <w:r>
        <w:rPr>
          <w:rFonts w:asciiTheme="minorHAnsi" w:hAnsiTheme="minorHAnsi" w:cstheme="minorHAnsi"/>
          <w:bCs/>
          <w:sz w:val="24"/>
          <w:szCs w:val="24"/>
        </w:rPr>
        <w:t>4.8’</w:t>
      </w:r>
      <w:r w:rsidRPr="0011783F">
        <w:rPr>
          <w:rFonts w:asciiTheme="minorHAnsi" w:hAnsiTheme="minorHAnsi" w:cstheme="minorHAnsi"/>
          <w:bCs/>
          <w:sz w:val="24"/>
          <w:szCs w:val="24"/>
        </w:rPr>
        <w:t xml:space="preserve">, as </w:t>
      </w:r>
      <w:r>
        <w:rPr>
          <w:rFonts w:asciiTheme="minorHAnsi" w:hAnsiTheme="minorHAnsi" w:cstheme="minorHAnsi"/>
          <w:bCs/>
          <w:sz w:val="24"/>
          <w:szCs w:val="24"/>
        </w:rPr>
        <w:t xml:space="preserve">a </w:t>
      </w:r>
      <w:r w:rsidRPr="0011783F">
        <w:rPr>
          <w:rFonts w:asciiTheme="minorHAnsi" w:hAnsiTheme="minorHAnsi" w:cstheme="minorHAnsi"/>
          <w:bCs/>
          <w:sz w:val="24"/>
          <w:szCs w:val="24"/>
        </w:rPr>
        <w:t>technical amendment</w:t>
      </w:r>
      <w:r>
        <w:rPr>
          <w:rFonts w:asciiTheme="minorHAnsi" w:hAnsiTheme="minorHAnsi" w:cstheme="minorHAnsi"/>
          <w:bCs/>
          <w:sz w:val="24"/>
          <w:szCs w:val="24"/>
        </w:rPr>
        <w:t>, at section 4.10 of Schedule 4</w:t>
      </w:r>
      <w:r w:rsidRPr="0011783F">
        <w:rPr>
          <w:rFonts w:asciiTheme="minorHAnsi" w:hAnsiTheme="minorHAnsi" w:cstheme="minorHAnsi"/>
          <w:bCs/>
          <w:sz w:val="24"/>
          <w:szCs w:val="24"/>
        </w:rPr>
        <w:t>.</w:t>
      </w:r>
    </w:p>
    <w:p w14:paraId="3F5F766E" w14:textId="763EBDB0" w:rsidR="00841C5A" w:rsidRPr="00B35D94" w:rsidRDefault="00841C5A" w:rsidP="00841C5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Schedule 4, section 4.10 (2)</w:t>
      </w:r>
    </w:p>
    <w:p w14:paraId="4C4F2869" w14:textId="7EA23E76" w:rsidR="00841C5A" w:rsidRDefault="00841C5A" w:rsidP="00841C5A">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Pr>
          <w:rFonts w:asciiTheme="minorHAnsi" w:hAnsiTheme="minorHAnsi" w:cstheme="minorHAnsi"/>
          <w:bCs/>
          <w:sz w:val="24"/>
          <w:szCs w:val="24"/>
        </w:rPr>
        <w:t xml:space="preserve">inserts the word ‘leave’ after the phrase ‘How are’. </w:t>
      </w:r>
    </w:p>
    <w:p w14:paraId="4907CCE2" w14:textId="383C4412" w:rsidR="00841C5A" w:rsidRPr="00B35D94" w:rsidRDefault="00841C5A" w:rsidP="00841C5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Schedule 4, section 4.12, heading</w:t>
      </w:r>
    </w:p>
    <w:p w14:paraId="4B4BE5EC" w14:textId="0CB97BCE" w:rsidR="00841C5A" w:rsidRDefault="00841C5A" w:rsidP="00841C5A">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Pr>
          <w:rFonts w:asciiTheme="minorHAnsi" w:hAnsiTheme="minorHAnsi" w:cstheme="minorHAnsi"/>
          <w:bCs/>
          <w:sz w:val="24"/>
          <w:szCs w:val="24"/>
        </w:rPr>
        <w:t xml:space="preserve">substitutes the existing heading with: ‘How are leave payments worked out for the security industry?’ </w:t>
      </w:r>
    </w:p>
    <w:p w14:paraId="59C7AE0A" w14:textId="06EDBD1D" w:rsidR="00841C5A" w:rsidRPr="00B35D94" w:rsidRDefault="00841C5A" w:rsidP="00841C5A">
      <w:pPr>
        <w:numPr>
          <w:ilvl w:val="0"/>
          <w:numId w:val="1"/>
        </w:numPr>
        <w:spacing w:after="100" w:afterAutospacing="1"/>
        <w:rPr>
          <w:rFonts w:asciiTheme="minorHAnsi" w:hAnsiTheme="minorHAnsi" w:cstheme="minorHAnsi"/>
          <w:b/>
          <w:sz w:val="24"/>
          <w:szCs w:val="24"/>
        </w:rPr>
      </w:pPr>
      <w:r>
        <w:rPr>
          <w:rFonts w:asciiTheme="minorHAnsi" w:hAnsiTheme="minorHAnsi" w:cstheme="minorHAnsi"/>
          <w:b/>
          <w:sz w:val="24"/>
          <w:szCs w:val="24"/>
        </w:rPr>
        <w:t>Schedule 4, section 4.12, example</w:t>
      </w:r>
    </w:p>
    <w:p w14:paraId="5C6C8E46" w14:textId="46EE950C" w:rsidR="00841C5A" w:rsidRDefault="00841C5A" w:rsidP="00841C5A">
      <w:pPr>
        <w:spacing w:after="100" w:afterAutospacing="1"/>
        <w:rPr>
          <w:rFonts w:asciiTheme="minorHAnsi" w:hAnsiTheme="minorHAnsi" w:cstheme="minorHAnsi"/>
          <w:bCs/>
          <w:sz w:val="24"/>
          <w:szCs w:val="24"/>
        </w:rPr>
      </w:pPr>
      <w:r w:rsidRPr="00841C5A">
        <w:rPr>
          <w:rFonts w:asciiTheme="minorHAnsi" w:hAnsiTheme="minorHAnsi" w:cstheme="minorHAnsi"/>
          <w:bCs/>
          <w:sz w:val="24"/>
          <w:szCs w:val="24"/>
        </w:rPr>
        <w:t xml:space="preserve">This clause substitutes the example at section </w:t>
      </w:r>
      <w:r>
        <w:rPr>
          <w:rFonts w:asciiTheme="minorHAnsi" w:hAnsiTheme="minorHAnsi" w:cstheme="minorHAnsi"/>
          <w:bCs/>
          <w:sz w:val="24"/>
          <w:szCs w:val="24"/>
        </w:rPr>
        <w:t xml:space="preserve">4.12 </w:t>
      </w:r>
      <w:r w:rsidRPr="00841C5A">
        <w:rPr>
          <w:rFonts w:asciiTheme="minorHAnsi" w:hAnsiTheme="minorHAnsi" w:cstheme="minorHAnsi"/>
          <w:bCs/>
          <w:sz w:val="24"/>
          <w:szCs w:val="24"/>
        </w:rPr>
        <w:t xml:space="preserve">of Schedule </w:t>
      </w:r>
      <w:r>
        <w:rPr>
          <w:rFonts w:asciiTheme="minorHAnsi" w:hAnsiTheme="minorHAnsi" w:cstheme="minorHAnsi"/>
          <w:bCs/>
          <w:sz w:val="24"/>
          <w:szCs w:val="24"/>
        </w:rPr>
        <w:t>4</w:t>
      </w:r>
      <w:r w:rsidRPr="00841C5A">
        <w:rPr>
          <w:rFonts w:asciiTheme="minorHAnsi" w:hAnsiTheme="minorHAnsi" w:cstheme="minorHAnsi"/>
          <w:bCs/>
          <w:sz w:val="24"/>
          <w:szCs w:val="24"/>
        </w:rPr>
        <w:t>.</w:t>
      </w:r>
    </w:p>
    <w:p w14:paraId="6A7305FA" w14:textId="78089A68" w:rsidR="00841C5A" w:rsidRPr="00B35D94" w:rsidRDefault="00841C5A" w:rsidP="00841C5A">
      <w:pPr>
        <w:numPr>
          <w:ilvl w:val="0"/>
          <w:numId w:val="1"/>
        </w:numPr>
        <w:spacing w:after="100" w:afterAutospacing="1"/>
        <w:ind w:left="1418" w:hanging="1418"/>
        <w:rPr>
          <w:rFonts w:asciiTheme="minorHAnsi" w:hAnsiTheme="minorHAnsi" w:cstheme="minorHAnsi"/>
          <w:b/>
          <w:sz w:val="24"/>
          <w:szCs w:val="24"/>
        </w:rPr>
      </w:pPr>
      <w:r>
        <w:rPr>
          <w:rFonts w:asciiTheme="minorHAnsi" w:hAnsiTheme="minorHAnsi" w:cstheme="minorHAnsi"/>
          <w:b/>
          <w:sz w:val="24"/>
          <w:szCs w:val="24"/>
        </w:rPr>
        <w:t>Leave payments for service as registered voluntary member – security industry</w:t>
      </w:r>
    </w:p>
    <w:p w14:paraId="59B931EB" w14:textId="77777777" w:rsidR="00841C5A" w:rsidRDefault="00841C5A" w:rsidP="00841C5A">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Pr>
          <w:rFonts w:asciiTheme="minorHAnsi" w:hAnsiTheme="minorHAnsi" w:cstheme="minorHAnsi"/>
          <w:bCs/>
          <w:sz w:val="24"/>
          <w:szCs w:val="24"/>
        </w:rPr>
        <w:t xml:space="preserve">inserts the word ‘leave’ after the phrase ‘How are’. </w:t>
      </w:r>
    </w:p>
    <w:p w14:paraId="7A07A730" w14:textId="671D3F99" w:rsidR="00A84558" w:rsidRDefault="00A84558" w:rsidP="00D15310">
      <w:pPr>
        <w:rPr>
          <w:rFonts w:asciiTheme="minorHAnsi" w:hAnsiTheme="minorHAnsi" w:cstheme="minorHAnsi"/>
          <w:b/>
          <w:sz w:val="28"/>
          <w:szCs w:val="28"/>
        </w:rPr>
      </w:pPr>
    </w:p>
    <w:p w14:paraId="681DD175" w14:textId="77777777" w:rsidR="00434292" w:rsidRDefault="00434292" w:rsidP="00D15310">
      <w:pPr>
        <w:rPr>
          <w:rFonts w:asciiTheme="minorHAnsi" w:hAnsiTheme="minorHAnsi" w:cstheme="minorHAnsi"/>
          <w:b/>
          <w:sz w:val="28"/>
          <w:szCs w:val="28"/>
        </w:rPr>
      </w:pPr>
    </w:p>
    <w:p w14:paraId="1B435F73" w14:textId="147A0D73" w:rsidR="00434292" w:rsidRPr="00390634" w:rsidRDefault="00434292" w:rsidP="00F3325C">
      <w:pPr>
        <w:keepNext/>
        <w:spacing w:after="100" w:afterAutospacing="1"/>
        <w:rPr>
          <w:rFonts w:asciiTheme="minorHAnsi" w:hAnsiTheme="minorHAnsi" w:cstheme="minorHAnsi"/>
          <w:b/>
          <w:sz w:val="28"/>
          <w:szCs w:val="28"/>
        </w:rPr>
      </w:pPr>
      <w:r w:rsidRPr="00390634">
        <w:rPr>
          <w:rFonts w:asciiTheme="minorHAnsi" w:hAnsiTheme="minorHAnsi" w:cstheme="minorHAnsi"/>
          <w:b/>
          <w:sz w:val="28"/>
          <w:szCs w:val="28"/>
        </w:rPr>
        <w:lastRenderedPageBreak/>
        <w:t xml:space="preserve">Part </w:t>
      </w:r>
      <w:r w:rsidR="00541AFC">
        <w:rPr>
          <w:rFonts w:asciiTheme="minorHAnsi" w:hAnsiTheme="minorHAnsi" w:cstheme="minorHAnsi"/>
          <w:b/>
          <w:sz w:val="28"/>
          <w:szCs w:val="28"/>
        </w:rPr>
        <w:t>3</w:t>
      </w:r>
      <w:r w:rsidRPr="00390634">
        <w:rPr>
          <w:rFonts w:asciiTheme="minorHAnsi" w:hAnsiTheme="minorHAnsi" w:cstheme="minorHAnsi"/>
          <w:b/>
          <w:sz w:val="28"/>
          <w:szCs w:val="28"/>
        </w:rPr>
        <w:t xml:space="preserve"> </w:t>
      </w:r>
      <w:r w:rsidRPr="00390634">
        <w:rPr>
          <w:rFonts w:asciiTheme="minorHAnsi" w:hAnsiTheme="minorHAnsi" w:cstheme="minorHAnsi"/>
          <w:b/>
          <w:sz w:val="28"/>
          <w:szCs w:val="28"/>
        </w:rPr>
        <w:tab/>
        <w:t>Workers Compensation Act 1951</w:t>
      </w:r>
    </w:p>
    <w:p w14:paraId="02B1749E" w14:textId="77777777" w:rsidR="00434292" w:rsidRPr="00390634" w:rsidRDefault="00434292" w:rsidP="00434292">
      <w:pPr>
        <w:numPr>
          <w:ilvl w:val="0"/>
          <w:numId w:val="1"/>
        </w:numPr>
        <w:spacing w:after="100" w:afterAutospacing="1"/>
        <w:rPr>
          <w:rFonts w:asciiTheme="minorHAnsi" w:hAnsiTheme="minorHAnsi" w:cstheme="minorHAnsi"/>
          <w:b/>
          <w:sz w:val="24"/>
          <w:szCs w:val="24"/>
        </w:rPr>
      </w:pPr>
      <w:r w:rsidRPr="00390634">
        <w:rPr>
          <w:rFonts w:asciiTheme="minorHAnsi" w:hAnsiTheme="minorHAnsi" w:cstheme="minorHAnsi"/>
          <w:b/>
          <w:sz w:val="24"/>
          <w:szCs w:val="24"/>
        </w:rPr>
        <w:t>Section 46</w:t>
      </w:r>
    </w:p>
    <w:p w14:paraId="6CD38535" w14:textId="77777777" w:rsidR="00434292" w:rsidRPr="00390634" w:rsidRDefault="00434292" w:rsidP="00434292">
      <w:pPr>
        <w:spacing w:after="100" w:afterAutospacing="1"/>
        <w:rPr>
          <w:rFonts w:asciiTheme="minorHAnsi" w:hAnsiTheme="minorHAnsi" w:cstheme="minorHAnsi"/>
          <w:bCs/>
          <w:sz w:val="24"/>
          <w:szCs w:val="24"/>
        </w:rPr>
      </w:pPr>
      <w:r w:rsidRPr="00390634">
        <w:rPr>
          <w:rFonts w:asciiTheme="minorHAnsi" w:hAnsiTheme="minorHAnsi" w:cstheme="minorHAnsi"/>
          <w:bCs/>
          <w:sz w:val="24"/>
          <w:szCs w:val="24"/>
        </w:rPr>
        <w:t xml:space="preserve">This clause substitutes section 46 and permits the taking/accrual of annual leave and long service leave as contemplated by section 130(2) of the </w:t>
      </w:r>
      <w:r w:rsidRPr="00390634">
        <w:rPr>
          <w:rFonts w:asciiTheme="minorHAnsi" w:hAnsiTheme="minorHAnsi" w:cstheme="minorHAnsi"/>
          <w:bCs/>
          <w:i/>
          <w:iCs/>
          <w:sz w:val="24"/>
          <w:szCs w:val="24"/>
        </w:rPr>
        <w:t>Fair Work Act 2009</w:t>
      </w:r>
      <w:r w:rsidRPr="00390634">
        <w:rPr>
          <w:rFonts w:asciiTheme="minorHAnsi" w:hAnsiTheme="minorHAnsi" w:cstheme="minorHAnsi"/>
          <w:bCs/>
          <w:sz w:val="24"/>
          <w:szCs w:val="24"/>
        </w:rPr>
        <w:t xml:space="preserve"> (Cth).</w:t>
      </w:r>
      <w:r>
        <w:rPr>
          <w:rFonts w:asciiTheme="minorHAnsi" w:hAnsiTheme="minorHAnsi" w:cstheme="minorHAnsi"/>
          <w:bCs/>
          <w:sz w:val="24"/>
          <w:szCs w:val="24"/>
        </w:rPr>
        <w:t xml:space="preserve"> This provision is not intended to affect any other entitlement of a worker to a benefit or payment (that is not leave) under any other law in force in the ACT.</w:t>
      </w:r>
    </w:p>
    <w:p w14:paraId="09AA4679" w14:textId="77777777" w:rsidR="00434292" w:rsidRPr="00390634" w:rsidRDefault="00434292" w:rsidP="00434292">
      <w:pPr>
        <w:numPr>
          <w:ilvl w:val="0"/>
          <w:numId w:val="1"/>
        </w:numPr>
        <w:spacing w:after="100" w:afterAutospacing="1"/>
        <w:rPr>
          <w:rFonts w:asciiTheme="minorHAnsi" w:hAnsiTheme="minorHAnsi" w:cstheme="minorHAnsi"/>
          <w:b/>
          <w:sz w:val="24"/>
          <w:szCs w:val="24"/>
        </w:rPr>
      </w:pPr>
      <w:r w:rsidRPr="00390634">
        <w:rPr>
          <w:rFonts w:asciiTheme="minorHAnsi" w:hAnsiTheme="minorHAnsi" w:cstheme="minorHAnsi"/>
          <w:b/>
          <w:sz w:val="24"/>
          <w:szCs w:val="24"/>
        </w:rPr>
        <w:t>Compliance by workers</w:t>
      </w:r>
    </w:p>
    <w:p w14:paraId="645E344C" w14:textId="77777777" w:rsidR="00434292" w:rsidRPr="00390634" w:rsidRDefault="00434292" w:rsidP="00434292">
      <w:pPr>
        <w:spacing w:after="100" w:afterAutospacing="1"/>
        <w:rPr>
          <w:rFonts w:asciiTheme="minorHAnsi" w:hAnsiTheme="minorHAnsi" w:cstheme="minorHAnsi"/>
          <w:bCs/>
          <w:sz w:val="24"/>
          <w:szCs w:val="24"/>
        </w:rPr>
      </w:pPr>
      <w:r w:rsidRPr="00390634">
        <w:rPr>
          <w:rFonts w:asciiTheme="minorHAnsi" w:hAnsiTheme="minorHAnsi" w:cstheme="minorHAnsi"/>
          <w:bCs/>
          <w:sz w:val="24"/>
          <w:szCs w:val="24"/>
        </w:rPr>
        <w:t>This clause omits the word ‘Minister’ and substitutes it with ‘regulator’ in section 113(2).</w:t>
      </w:r>
    </w:p>
    <w:p w14:paraId="0D092520" w14:textId="77777777" w:rsidR="00434292" w:rsidRPr="00390634" w:rsidRDefault="00434292" w:rsidP="00434292">
      <w:pPr>
        <w:numPr>
          <w:ilvl w:val="0"/>
          <w:numId w:val="1"/>
        </w:numPr>
        <w:spacing w:after="100" w:afterAutospacing="1"/>
        <w:rPr>
          <w:rFonts w:asciiTheme="minorHAnsi" w:hAnsiTheme="minorHAnsi" w:cstheme="minorHAnsi"/>
          <w:b/>
          <w:sz w:val="24"/>
          <w:szCs w:val="24"/>
        </w:rPr>
      </w:pPr>
      <w:r w:rsidRPr="00390634">
        <w:rPr>
          <w:rFonts w:asciiTheme="minorHAnsi" w:hAnsiTheme="minorHAnsi" w:cstheme="minorHAnsi"/>
          <w:b/>
          <w:sz w:val="24"/>
          <w:szCs w:val="24"/>
        </w:rPr>
        <w:t>Unreasonableness in stopping payment</w:t>
      </w:r>
    </w:p>
    <w:p w14:paraId="32E1E41D" w14:textId="77777777" w:rsidR="00434292" w:rsidRDefault="00434292" w:rsidP="00434292">
      <w:pPr>
        <w:spacing w:after="100" w:afterAutospacing="1"/>
        <w:rPr>
          <w:rFonts w:asciiTheme="minorHAnsi" w:hAnsiTheme="minorHAnsi" w:cstheme="minorHAnsi"/>
          <w:bCs/>
          <w:sz w:val="24"/>
          <w:szCs w:val="24"/>
        </w:rPr>
      </w:pPr>
      <w:r w:rsidRPr="00390634">
        <w:rPr>
          <w:rFonts w:asciiTheme="minorHAnsi" w:hAnsiTheme="minorHAnsi" w:cstheme="minorHAnsi"/>
          <w:bCs/>
          <w:sz w:val="24"/>
          <w:szCs w:val="24"/>
        </w:rPr>
        <w:t>This clause omits the word ‘Minister’ and substitutes it with ‘regulator’ in section 114.</w:t>
      </w:r>
    </w:p>
    <w:p w14:paraId="65E71BAA" w14:textId="77777777" w:rsidR="00434292" w:rsidRPr="00390634" w:rsidRDefault="00434292" w:rsidP="00434292">
      <w:pPr>
        <w:numPr>
          <w:ilvl w:val="0"/>
          <w:numId w:val="1"/>
        </w:numPr>
        <w:spacing w:after="100" w:afterAutospacing="1"/>
        <w:rPr>
          <w:rFonts w:asciiTheme="minorHAnsi" w:hAnsiTheme="minorHAnsi" w:cstheme="minorHAnsi"/>
          <w:b/>
          <w:sz w:val="24"/>
          <w:szCs w:val="24"/>
        </w:rPr>
      </w:pPr>
      <w:r w:rsidRPr="00390634">
        <w:rPr>
          <w:rFonts w:asciiTheme="minorHAnsi" w:hAnsiTheme="minorHAnsi" w:cstheme="minorHAnsi"/>
          <w:b/>
          <w:sz w:val="24"/>
          <w:szCs w:val="24"/>
        </w:rPr>
        <w:t>Regulation-making power</w:t>
      </w:r>
    </w:p>
    <w:p w14:paraId="6E1D2EE2" w14:textId="77777777" w:rsidR="00434292" w:rsidRPr="00853DB0" w:rsidRDefault="00434292" w:rsidP="00434292">
      <w:pPr>
        <w:spacing w:after="100" w:afterAutospacing="1"/>
        <w:rPr>
          <w:rFonts w:asciiTheme="minorHAnsi" w:hAnsiTheme="minorHAnsi" w:cstheme="minorHAnsi"/>
          <w:bCs/>
          <w:sz w:val="24"/>
          <w:szCs w:val="24"/>
        </w:rPr>
      </w:pPr>
      <w:r w:rsidRPr="00A51A7F">
        <w:rPr>
          <w:rFonts w:asciiTheme="minorHAnsi" w:hAnsiTheme="minorHAnsi" w:cstheme="minorHAnsi"/>
          <w:bCs/>
          <w:sz w:val="24"/>
          <w:szCs w:val="24"/>
        </w:rPr>
        <w:t xml:space="preserve">This clause increases the penalty cap restriction from $1,000 to $17,000, consistent with the </w:t>
      </w:r>
      <w:hyperlink r:id="rId13" w:history="1">
        <w:r w:rsidRPr="00A51A7F">
          <w:rPr>
            <w:rStyle w:val="Hyperlink"/>
            <w:sz w:val="24"/>
            <w:szCs w:val="24"/>
          </w:rPr>
          <w:t>Guide for Framing Offences</w:t>
        </w:r>
      </w:hyperlink>
      <w:r w:rsidRPr="00A51A7F">
        <w:rPr>
          <w:sz w:val="24"/>
          <w:szCs w:val="24"/>
        </w:rPr>
        <w:t xml:space="preserve"> (April 2010)</w:t>
      </w:r>
      <w:r>
        <w:rPr>
          <w:sz w:val="24"/>
          <w:szCs w:val="24"/>
        </w:rPr>
        <w:t xml:space="preserve"> in setting the cap at approximately 20 per cent of the associated offence under the </w:t>
      </w:r>
      <w:r>
        <w:rPr>
          <w:i/>
          <w:iCs/>
          <w:sz w:val="24"/>
          <w:szCs w:val="24"/>
        </w:rPr>
        <w:t>Workers Compensation Act 1951</w:t>
      </w:r>
      <w:r>
        <w:rPr>
          <w:sz w:val="24"/>
          <w:szCs w:val="24"/>
        </w:rPr>
        <w:t xml:space="preserve">, section 145I for insurers and section 145T for self-insurers, for breach of a licence condition which is set at 100 penalty units. By setting the maximum at twenty per cent it is similar to the policy for applying infringement notices to offences under the </w:t>
      </w:r>
      <w:hyperlink r:id="rId14" w:history="1">
        <w:r w:rsidRPr="00A51A7F">
          <w:rPr>
            <w:rStyle w:val="Hyperlink"/>
            <w:sz w:val="24"/>
            <w:szCs w:val="24"/>
          </w:rPr>
          <w:t>Guide for Framing Offences</w:t>
        </w:r>
      </w:hyperlink>
      <w:r w:rsidRPr="00A51A7F">
        <w:rPr>
          <w:sz w:val="24"/>
          <w:szCs w:val="24"/>
        </w:rPr>
        <w:t xml:space="preserve"> (April 2010)</w:t>
      </w:r>
      <w:r>
        <w:rPr>
          <w:sz w:val="24"/>
          <w:szCs w:val="24"/>
        </w:rPr>
        <w:t>.</w:t>
      </w:r>
    </w:p>
    <w:p w14:paraId="709C840B" w14:textId="77777777" w:rsidR="00434292" w:rsidRPr="00390634" w:rsidRDefault="00434292" w:rsidP="00434292">
      <w:pPr>
        <w:numPr>
          <w:ilvl w:val="0"/>
          <w:numId w:val="1"/>
        </w:numPr>
        <w:spacing w:after="100" w:afterAutospacing="1"/>
        <w:rPr>
          <w:rFonts w:asciiTheme="minorHAnsi" w:hAnsiTheme="minorHAnsi" w:cstheme="minorHAnsi"/>
          <w:b/>
          <w:sz w:val="24"/>
          <w:szCs w:val="24"/>
        </w:rPr>
      </w:pPr>
      <w:r w:rsidRPr="00390634">
        <w:rPr>
          <w:rFonts w:asciiTheme="minorHAnsi" w:hAnsiTheme="minorHAnsi" w:cstheme="minorHAnsi"/>
          <w:b/>
          <w:sz w:val="24"/>
          <w:szCs w:val="24"/>
        </w:rPr>
        <w:t>Section 223(3)</w:t>
      </w:r>
    </w:p>
    <w:p w14:paraId="3F828239" w14:textId="77777777" w:rsidR="00434292" w:rsidRPr="00A51A7F" w:rsidRDefault="00434292" w:rsidP="00434292">
      <w:pPr>
        <w:spacing w:after="100" w:afterAutospacing="1"/>
        <w:rPr>
          <w:rFonts w:asciiTheme="minorHAnsi" w:hAnsiTheme="minorHAnsi" w:cstheme="minorHAnsi"/>
          <w:bCs/>
          <w:sz w:val="24"/>
          <w:szCs w:val="24"/>
        </w:rPr>
      </w:pPr>
      <w:r w:rsidRPr="00A51A7F">
        <w:rPr>
          <w:rFonts w:asciiTheme="minorHAnsi" w:hAnsiTheme="minorHAnsi" w:cstheme="minorHAnsi"/>
          <w:bCs/>
          <w:sz w:val="24"/>
          <w:szCs w:val="24"/>
        </w:rPr>
        <w:t xml:space="preserve">This clause increases the </w:t>
      </w:r>
      <w:r>
        <w:rPr>
          <w:rFonts w:asciiTheme="minorHAnsi" w:hAnsiTheme="minorHAnsi" w:cstheme="minorHAnsi"/>
          <w:bCs/>
          <w:sz w:val="24"/>
          <w:szCs w:val="24"/>
        </w:rPr>
        <w:t xml:space="preserve">cap on </w:t>
      </w:r>
      <w:r w:rsidRPr="00A51A7F">
        <w:rPr>
          <w:rFonts w:asciiTheme="minorHAnsi" w:hAnsiTheme="minorHAnsi" w:cstheme="minorHAnsi"/>
          <w:bCs/>
          <w:sz w:val="24"/>
          <w:szCs w:val="24"/>
        </w:rPr>
        <w:t>penalty units from 10 to 20,</w:t>
      </w:r>
      <w:r>
        <w:rPr>
          <w:rFonts w:asciiTheme="minorHAnsi" w:hAnsiTheme="minorHAnsi" w:cstheme="minorHAnsi"/>
          <w:bCs/>
          <w:sz w:val="24"/>
          <w:szCs w:val="24"/>
        </w:rPr>
        <w:t xml:space="preserve"> consistent with the</w:t>
      </w:r>
      <w:r w:rsidRPr="00A51A7F">
        <w:rPr>
          <w:rFonts w:asciiTheme="minorHAnsi" w:hAnsiTheme="minorHAnsi" w:cstheme="minorHAnsi"/>
          <w:bCs/>
          <w:sz w:val="24"/>
          <w:szCs w:val="24"/>
        </w:rPr>
        <w:t xml:space="preserve"> </w:t>
      </w:r>
      <w:hyperlink r:id="rId15" w:history="1">
        <w:r w:rsidRPr="00A51A7F">
          <w:rPr>
            <w:rStyle w:val="Hyperlink"/>
            <w:sz w:val="24"/>
            <w:szCs w:val="24"/>
          </w:rPr>
          <w:t>Guide for Framing Offences</w:t>
        </w:r>
      </w:hyperlink>
      <w:r w:rsidRPr="00A51A7F">
        <w:rPr>
          <w:sz w:val="24"/>
          <w:szCs w:val="24"/>
        </w:rPr>
        <w:t xml:space="preserve"> (April 2010)</w:t>
      </w:r>
      <w:r w:rsidRPr="00A51A7F">
        <w:rPr>
          <w:rFonts w:asciiTheme="minorHAnsi" w:hAnsiTheme="minorHAnsi" w:cstheme="minorHAnsi"/>
          <w:bCs/>
          <w:sz w:val="24"/>
          <w:szCs w:val="24"/>
        </w:rPr>
        <w:t>.</w:t>
      </w:r>
    </w:p>
    <w:p w14:paraId="490FF030" w14:textId="77777777" w:rsidR="00B35D94" w:rsidRDefault="00B35D94" w:rsidP="00D15310">
      <w:pPr>
        <w:rPr>
          <w:rFonts w:asciiTheme="minorHAnsi" w:hAnsiTheme="minorHAnsi" w:cstheme="minorHAnsi"/>
          <w:b/>
          <w:sz w:val="28"/>
          <w:szCs w:val="28"/>
        </w:rPr>
      </w:pPr>
    </w:p>
    <w:p w14:paraId="026D046D" w14:textId="59C9ABA2" w:rsidR="009A4731" w:rsidRPr="002129EE" w:rsidRDefault="009A4731" w:rsidP="009A4731">
      <w:pPr>
        <w:spacing w:after="100" w:afterAutospacing="1"/>
        <w:rPr>
          <w:rFonts w:asciiTheme="minorHAnsi" w:hAnsiTheme="minorHAnsi" w:cstheme="minorHAnsi"/>
          <w:b/>
          <w:sz w:val="28"/>
          <w:szCs w:val="28"/>
          <w:highlight w:val="yellow"/>
        </w:rPr>
      </w:pPr>
      <w:r w:rsidRPr="0011783F">
        <w:rPr>
          <w:rFonts w:asciiTheme="minorHAnsi" w:hAnsiTheme="minorHAnsi" w:cstheme="minorHAnsi"/>
          <w:b/>
          <w:sz w:val="28"/>
          <w:szCs w:val="28"/>
        </w:rPr>
        <w:t xml:space="preserve">Part </w:t>
      </w:r>
      <w:r w:rsidR="00541AFC">
        <w:rPr>
          <w:rFonts w:asciiTheme="minorHAnsi" w:hAnsiTheme="minorHAnsi" w:cstheme="minorHAnsi"/>
          <w:b/>
          <w:sz w:val="28"/>
          <w:szCs w:val="28"/>
        </w:rPr>
        <w:t>4</w:t>
      </w:r>
      <w:r w:rsidRPr="0011783F">
        <w:rPr>
          <w:rFonts w:asciiTheme="minorHAnsi" w:hAnsiTheme="minorHAnsi" w:cstheme="minorHAnsi"/>
          <w:b/>
          <w:sz w:val="28"/>
          <w:szCs w:val="28"/>
        </w:rPr>
        <w:t xml:space="preserve"> </w:t>
      </w:r>
      <w:r w:rsidRPr="0011783F">
        <w:rPr>
          <w:rFonts w:asciiTheme="minorHAnsi" w:hAnsiTheme="minorHAnsi" w:cstheme="minorHAnsi"/>
          <w:b/>
          <w:sz w:val="28"/>
          <w:szCs w:val="28"/>
        </w:rPr>
        <w:tab/>
        <w:t>Work Health</w:t>
      </w:r>
      <w:r w:rsidRPr="009A4731">
        <w:rPr>
          <w:rFonts w:asciiTheme="minorHAnsi" w:hAnsiTheme="minorHAnsi" w:cstheme="minorHAnsi"/>
          <w:b/>
          <w:sz w:val="28"/>
          <w:szCs w:val="28"/>
        </w:rPr>
        <w:t xml:space="preserve"> and Safety Act 2011</w:t>
      </w:r>
    </w:p>
    <w:p w14:paraId="2B4F85FE" w14:textId="32012132" w:rsidR="009A4731" w:rsidRPr="00B35D94" w:rsidRDefault="0011783F" w:rsidP="009A4731">
      <w:pPr>
        <w:numPr>
          <w:ilvl w:val="0"/>
          <w:numId w:val="1"/>
        </w:numPr>
        <w:spacing w:after="100" w:afterAutospacing="1"/>
        <w:rPr>
          <w:rFonts w:asciiTheme="minorHAnsi" w:hAnsiTheme="minorHAnsi" w:cstheme="minorHAnsi"/>
          <w:b/>
          <w:sz w:val="24"/>
          <w:szCs w:val="24"/>
        </w:rPr>
      </w:pPr>
      <w:r w:rsidRPr="00B35D94">
        <w:rPr>
          <w:rFonts w:asciiTheme="minorHAnsi" w:hAnsiTheme="minorHAnsi" w:cstheme="minorHAnsi"/>
          <w:b/>
          <w:sz w:val="24"/>
          <w:szCs w:val="24"/>
        </w:rPr>
        <w:t>Section 31, heading</w:t>
      </w:r>
    </w:p>
    <w:p w14:paraId="24D42FAF" w14:textId="4939295A" w:rsidR="009A4731" w:rsidRDefault="009A4731" w:rsidP="009A4731">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omits </w:t>
      </w:r>
      <w:r w:rsidR="0011783F" w:rsidRPr="00B35D94">
        <w:rPr>
          <w:rFonts w:asciiTheme="minorHAnsi" w:hAnsiTheme="minorHAnsi" w:cstheme="minorHAnsi"/>
          <w:bCs/>
          <w:sz w:val="24"/>
          <w:szCs w:val="24"/>
        </w:rPr>
        <w:t>the heading ‘reckless conduct – category 1’ and replaces it with ‘Negligence or reckless conduct – category 1’</w:t>
      </w:r>
      <w:r w:rsidRPr="00B35D94">
        <w:rPr>
          <w:rFonts w:asciiTheme="minorHAnsi" w:hAnsiTheme="minorHAnsi" w:cstheme="minorHAnsi"/>
          <w:bCs/>
          <w:sz w:val="24"/>
          <w:szCs w:val="24"/>
        </w:rPr>
        <w:t>.</w:t>
      </w:r>
    </w:p>
    <w:p w14:paraId="30F4341E" w14:textId="77777777" w:rsidR="00434292" w:rsidRDefault="00434292" w:rsidP="009A4731">
      <w:pPr>
        <w:spacing w:after="100" w:afterAutospacing="1"/>
        <w:rPr>
          <w:rFonts w:asciiTheme="minorHAnsi" w:hAnsiTheme="minorHAnsi" w:cstheme="minorHAnsi"/>
          <w:bCs/>
          <w:sz w:val="24"/>
          <w:szCs w:val="24"/>
        </w:rPr>
      </w:pPr>
    </w:p>
    <w:p w14:paraId="5E63686B" w14:textId="35B59BB6" w:rsidR="009A4731" w:rsidRPr="00B35D94" w:rsidRDefault="0011783F" w:rsidP="009A4731">
      <w:pPr>
        <w:numPr>
          <w:ilvl w:val="0"/>
          <w:numId w:val="1"/>
        </w:numPr>
        <w:spacing w:after="100" w:afterAutospacing="1"/>
        <w:rPr>
          <w:rFonts w:asciiTheme="minorHAnsi" w:hAnsiTheme="minorHAnsi" w:cstheme="minorHAnsi"/>
          <w:b/>
          <w:sz w:val="24"/>
          <w:szCs w:val="24"/>
        </w:rPr>
      </w:pPr>
      <w:r w:rsidRPr="00B35D94">
        <w:rPr>
          <w:rFonts w:asciiTheme="minorHAnsi" w:hAnsiTheme="minorHAnsi" w:cstheme="minorHAnsi"/>
          <w:b/>
          <w:sz w:val="24"/>
          <w:szCs w:val="24"/>
        </w:rPr>
        <w:lastRenderedPageBreak/>
        <w:t>Section 31(1)(c)</w:t>
      </w:r>
    </w:p>
    <w:p w14:paraId="26A9BD5E" w14:textId="02DA616F" w:rsidR="009A4731" w:rsidRDefault="009A4731" w:rsidP="009A4731">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sidR="0011783F" w:rsidRPr="00B35D94">
        <w:rPr>
          <w:rFonts w:asciiTheme="minorHAnsi" w:hAnsiTheme="minorHAnsi" w:cstheme="minorHAnsi"/>
          <w:bCs/>
          <w:sz w:val="24"/>
          <w:szCs w:val="24"/>
        </w:rPr>
        <w:t xml:space="preserve">substitutes section 31(1)(c) and provides that </w:t>
      </w:r>
      <w:r w:rsidR="00ED4402" w:rsidRPr="00B35D94">
        <w:rPr>
          <w:rFonts w:asciiTheme="minorHAnsi" w:hAnsiTheme="minorHAnsi" w:cstheme="minorHAnsi"/>
          <w:bCs/>
          <w:sz w:val="24"/>
          <w:szCs w:val="24"/>
        </w:rPr>
        <w:t>a person commits a category 1 offence if the person (i) engages in the conduct with negligence; or (ii) is reckless as to the risk to an individual of death or serious injury or illness</w:t>
      </w:r>
      <w:r w:rsidRPr="00B35D94">
        <w:rPr>
          <w:rFonts w:asciiTheme="minorHAnsi" w:hAnsiTheme="minorHAnsi" w:cstheme="minorHAnsi"/>
          <w:bCs/>
          <w:sz w:val="24"/>
          <w:szCs w:val="24"/>
        </w:rPr>
        <w:t>.</w:t>
      </w:r>
    </w:p>
    <w:p w14:paraId="0ED890DB" w14:textId="71C86723" w:rsidR="00ED4402" w:rsidRDefault="00ED4402" w:rsidP="009A4731">
      <w:pPr>
        <w:spacing w:after="100" w:afterAutospacing="1"/>
        <w:rPr>
          <w:rFonts w:asciiTheme="minorHAnsi" w:hAnsiTheme="minorHAnsi" w:cstheme="minorHAnsi"/>
          <w:bCs/>
          <w:sz w:val="24"/>
          <w:szCs w:val="24"/>
        </w:rPr>
      </w:pPr>
      <w:r>
        <w:rPr>
          <w:rFonts w:asciiTheme="minorHAnsi" w:hAnsiTheme="minorHAnsi" w:cstheme="minorHAnsi"/>
          <w:bCs/>
          <w:sz w:val="24"/>
          <w:szCs w:val="24"/>
        </w:rPr>
        <w:t>I</w:t>
      </w:r>
      <w:r w:rsidRPr="00ED4402">
        <w:rPr>
          <w:rFonts w:asciiTheme="minorHAnsi" w:hAnsiTheme="minorHAnsi" w:cstheme="minorHAnsi"/>
          <w:bCs/>
          <w:sz w:val="24"/>
          <w:szCs w:val="24"/>
        </w:rPr>
        <w:t>n (i) the fault element of negligence applies to the physical element of conduct but in (ii) the fault element of recklessness applies to the physical element of a result of the conduct (see s</w:t>
      </w:r>
      <w:r>
        <w:rPr>
          <w:rFonts w:asciiTheme="minorHAnsi" w:hAnsiTheme="minorHAnsi" w:cstheme="minorHAnsi"/>
          <w:bCs/>
          <w:sz w:val="24"/>
          <w:szCs w:val="24"/>
        </w:rPr>
        <w:t>ection</w:t>
      </w:r>
      <w:r w:rsidRPr="00ED4402">
        <w:rPr>
          <w:rFonts w:asciiTheme="minorHAnsi" w:hAnsiTheme="minorHAnsi" w:cstheme="minorHAnsi"/>
          <w:bCs/>
          <w:sz w:val="24"/>
          <w:szCs w:val="24"/>
        </w:rPr>
        <w:t xml:space="preserve"> 14 of the Criminal Code for physical elements).</w:t>
      </w:r>
    </w:p>
    <w:p w14:paraId="58D29996" w14:textId="6E87D4AB" w:rsidR="009A4731" w:rsidRPr="00ED4402" w:rsidRDefault="00ED4402" w:rsidP="009A4731">
      <w:pPr>
        <w:numPr>
          <w:ilvl w:val="0"/>
          <w:numId w:val="1"/>
        </w:numPr>
        <w:spacing w:after="100" w:afterAutospacing="1"/>
        <w:rPr>
          <w:rFonts w:asciiTheme="minorHAnsi" w:hAnsiTheme="minorHAnsi" w:cstheme="minorHAnsi"/>
          <w:b/>
          <w:sz w:val="24"/>
          <w:szCs w:val="24"/>
        </w:rPr>
      </w:pPr>
      <w:r w:rsidRPr="00ED4402">
        <w:rPr>
          <w:rFonts w:asciiTheme="minorHAnsi" w:hAnsiTheme="minorHAnsi" w:cstheme="minorHAnsi"/>
          <w:b/>
          <w:sz w:val="24"/>
          <w:szCs w:val="24"/>
        </w:rPr>
        <w:t>What is a notifiable incident</w:t>
      </w:r>
    </w:p>
    <w:p w14:paraId="225AF28D" w14:textId="163A526F" w:rsidR="009A4731" w:rsidRDefault="009A4731" w:rsidP="009A4731">
      <w:pPr>
        <w:spacing w:after="100" w:afterAutospacing="1"/>
        <w:rPr>
          <w:rFonts w:asciiTheme="minorHAnsi" w:hAnsiTheme="minorHAnsi" w:cstheme="minorHAnsi"/>
          <w:bCs/>
          <w:sz w:val="24"/>
          <w:szCs w:val="24"/>
        </w:rPr>
      </w:pPr>
      <w:r w:rsidRPr="00ED4402">
        <w:rPr>
          <w:rFonts w:asciiTheme="minorHAnsi" w:hAnsiTheme="minorHAnsi" w:cstheme="minorHAnsi"/>
          <w:bCs/>
          <w:sz w:val="24"/>
          <w:szCs w:val="24"/>
        </w:rPr>
        <w:t xml:space="preserve">This clause </w:t>
      </w:r>
      <w:r w:rsidR="00ED4402" w:rsidRPr="00ED4402">
        <w:rPr>
          <w:rFonts w:asciiTheme="minorHAnsi" w:hAnsiTheme="minorHAnsi" w:cstheme="minorHAnsi"/>
          <w:bCs/>
          <w:sz w:val="24"/>
          <w:szCs w:val="24"/>
        </w:rPr>
        <w:t>inserts a new section 35(d) to include a sexual assault incident into the definition of a notifiable incident</w:t>
      </w:r>
      <w:r w:rsidRPr="00ED4402">
        <w:rPr>
          <w:rFonts w:asciiTheme="minorHAnsi" w:hAnsiTheme="minorHAnsi" w:cstheme="minorHAnsi"/>
          <w:bCs/>
          <w:sz w:val="24"/>
          <w:szCs w:val="24"/>
        </w:rPr>
        <w:t>.</w:t>
      </w:r>
    </w:p>
    <w:p w14:paraId="1617C3A6" w14:textId="6EE1EE3B" w:rsidR="009A4731" w:rsidRPr="00B606C4" w:rsidRDefault="00ED4402" w:rsidP="009A4731">
      <w:pPr>
        <w:numPr>
          <w:ilvl w:val="0"/>
          <w:numId w:val="1"/>
        </w:numPr>
        <w:spacing w:after="100" w:afterAutospacing="1"/>
        <w:rPr>
          <w:rFonts w:asciiTheme="minorHAnsi" w:hAnsiTheme="minorHAnsi" w:cstheme="minorHAnsi"/>
          <w:b/>
          <w:sz w:val="24"/>
          <w:szCs w:val="24"/>
        </w:rPr>
      </w:pPr>
      <w:r w:rsidRPr="00B606C4">
        <w:rPr>
          <w:rFonts w:asciiTheme="minorHAnsi" w:hAnsiTheme="minorHAnsi" w:cstheme="minorHAnsi"/>
          <w:b/>
          <w:sz w:val="24"/>
          <w:szCs w:val="24"/>
        </w:rPr>
        <w:t>New section 37A – What is a sexual assault incident</w:t>
      </w:r>
    </w:p>
    <w:p w14:paraId="5CC0B440" w14:textId="18AD4307" w:rsidR="00B606C4" w:rsidRPr="00B606C4" w:rsidRDefault="009A4731" w:rsidP="00E45DFE">
      <w:pPr>
        <w:spacing w:after="100" w:afterAutospacing="1"/>
        <w:rPr>
          <w:rFonts w:asciiTheme="minorHAnsi" w:hAnsiTheme="minorHAnsi" w:cstheme="minorHAnsi"/>
          <w:bCs/>
          <w:sz w:val="24"/>
          <w:szCs w:val="24"/>
        </w:rPr>
      </w:pPr>
      <w:r w:rsidRPr="00B606C4">
        <w:rPr>
          <w:rFonts w:asciiTheme="minorHAnsi" w:hAnsiTheme="minorHAnsi" w:cstheme="minorHAnsi"/>
          <w:bCs/>
          <w:sz w:val="24"/>
          <w:szCs w:val="24"/>
        </w:rPr>
        <w:t xml:space="preserve">This clause </w:t>
      </w:r>
      <w:r w:rsidR="00ED4402" w:rsidRPr="00B606C4">
        <w:rPr>
          <w:rFonts w:asciiTheme="minorHAnsi" w:hAnsiTheme="minorHAnsi" w:cstheme="minorHAnsi"/>
          <w:bCs/>
          <w:sz w:val="24"/>
          <w:szCs w:val="24"/>
        </w:rPr>
        <w:t xml:space="preserve">inserts a new section 37A to </w:t>
      </w:r>
      <w:r w:rsidR="00E45DFE">
        <w:rPr>
          <w:rFonts w:asciiTheme="minorHAnsi" w:hAnsiTheme="minorHAnsi" w:cstheme="minorHAnsi"/>
          <w:bCs/>
          <w:sz w:val="24"/>
          <w:szCs w:val="24"/>
        </w:rPr>
        <w:t xml:space="preserve">confirm that </w:t>
      </w:r>
      <w:r w:rsidR="00ED4402" w:rsidRPr="00B606C4">
        <w:rPr>
          <w:rFonts w:asciiTheme="minorHAnsi" w:hAnsiTheme="minorHAnsi" w:cstheme="minorHAnsi"/>
          <w:bCs/>
          <w:sz w:val="24"/>
          <w:szCs w:val="24"/>
        </w:rPr>
        <w:t>a sexual assault incident mean</w:t>
      </w:r>
      <w:r w:rsidR="00E45DFE">
        <w:rPr>
          <w:rFonts w:asciiTheme="minorHAnsi" w:hAnsiTheme="minorHAnsi" w:cstheme="minorHAnsi"/>
          <w:bCs/>
          <w:sz w:val="24"/>
          <w:szCs w:val="24"/>
        </w:rPr>
        <w:t>s</w:t>
      </w:r>
      <w:r w:rsidR="00B606C4" w:rsidRPr="00B606C4">
        <w:rPr>
          <w:rFonts w:asciiTheme="minorHAnsi" w:hAnsiTheme="minorHAnsi" w:cstheme="minorHAnsi"/>
          <w:bCs/>
          <w:sz w:val="24"/>
          <w:szCs w:val="24"/>
        </w:rPr>
        <w:t xml:space="preserve"> an incident </w:t>
      </w:r>
      <w:r w:rsidR="00E45DFE">
        <w:rPr>
          <w:rFonts w:asciiTheme="minorHAnsi" w:hAnsiTheme="minorHAnsi" w:cstheme="minorHAnsi"/>
          <w:bCs/>
          <w:sz w:val="24"/>
          <w:szCs w:val="24"/>
        </w:rPr>
        <w:t xml:space="preserve">(including a suspected incident) </w:t>
      </w:r>
      <w:r w:rsidR="00B606C4" w:rsidRPr="00B606C4">
        <w:rPr>
          <w:rFonts w:asciiTheme="minorHAnsi" w:hAnsiTheme="minorHAnsi" w:cstheme="minorHAnsi"/>
          <w:bCs/>
          <w:sz w:val="24"/>
          <w:szCs w:val="24"/>
        </w:rPr>
        <w:t>in relation to a workplace that</w:t>
      </w:r>
      <w:r w:rsidR="00E45DFE">
        <w:rPr>
          <w:rFonts w:asciiTheme="minorHAnsi" w:hAnsiTheme="minorHAnsi" w:cstheme="minorHAnsi"/>
          <w:bCs/>
          <w:sz w:val="24"/>
          <w:szCs w:val="24"/>
        </w:rPr>
        <w:t xml:space="preserve"> </w:t>
      </w:r>
      <w:r w:rsidR="00B606C4" w:rsidRPr="00B606C4">
        <w:rPr>
          <w:rFonts w:asciiTheme="minorHAnsi" w:hAnsiTheme="minorHAnsi" w:cstheme="minorHAnsi"/>
          <w:bCs/>
          <w:sz w:val="24"/>
          <w:szCs w:val="24"/>
        </w:rPr>
        <w:t>exposes a worker or any other person at the workplace to sexual assault</w:t>
      </w:r>
      <w:r w:rsidR="00E45DFE">
        <w:rPr>
          <w:rFonts w:asciiTheme="minorHAnsi" w:hAnsiTheme="minorHAnsi" w:cstheme="minorHAnsi"/>
          <w:bCs/>
          <w:sz w:val="24"/>
          <w:szCs w:val="24"/>
        </w:rPr>
        <w:t>.</w:t>
      </w:r>
    </w:p>
    <w:p w14:paraId="6AF7BB33" w14:textId="19F3F128" w:rsidR="009A4731" w:rsidRPr="00207D84" w:rsidRDefault="00ED4402" w:rsidP="009A4731">
      <w:pPr>
        <w:numPr>
          <w:ilvl w:val="0"/>
          <w:numId w:val="1"/>
        </w:numPr>
        <w:spacing w:after="100" w:afterAutospacing="1"/>
        <w:rPr>
          <w:rFonts w:asciiTheme="minorHAnsi" w:hAnsiTheme="minorHAnsi" w:cstheme="minorHAnsi"/>
          <w:b/>
          <w:sz w:val="24"/>
          <w:szCs w:val="24"/>
        </w:rPr>
      </w:pPr>
      <w:r w:rsidRPr="00207D84">
        <w:rPr>
          <w:rFonts w:asciiTheme="minorHAnsi" w:hAnsiTheme="minorHAnsi" w:cstheme="minorHAnsi"/>
          <w:b/>
          <w:sz w:val="24"/>
          <w:szCs w:val="24"/>
        </w:rPr>
        <w:t>Duty to notify of notifiable incidents</w:t>
      </w:r>
    </w:p>
    <w:p w14:paraId="6B88FC6F" w14:textId="323C2670" w:rsidR="00207D84" w:rsidRPr="00207D84" w:rsidRDefault="009A4731" w:rsidP="00207D84">
      <w:pPr>
        <w:pStyle w:val="ESText"/>
        <w:spacing w:after="120" w:line="240" w:lineRule="auto"/>
        <w:rPr>
          <w:rFonts w:ascii="Calibri" w:hAnsi="Calibri"/>
          <w:szCs w:val="24"/>
        </w:rPr>
      </w:pPr>
      <w:r w:rsidRPr="00207D84">
        <w:rPr>
          <w:rFonts w:asciiTheme="minorHAnsi" w:hAnsiTheme="minorHAnsi" w:cstheme="minorHAnsi"/>
          <w:bCs/>
          <w:szCs w:val="24"/>
        </w:rPr>
        <w:t>This clause</w:t>
      </w:r>
      <w:r w:rsidR="00ED4402" w:rsidRPr="00207D84">
        <w:rPr>
          <w:rFonts w:asciiTheme="minorHAnsi" w:hAnsiTheme="minorHAnsi" w:cstheme="minorHAnsi"/>
          <w:bCs/>
          <w:szCs w:val="24"/>
        </w:rPr>
        <w:t xml:space="preserve"> inserts a new section 38(9) </w:t>
      </w:r>
      <w:r w:rsidR="00207D84" w:rsidRPr="00207D84">
        <w:rPr>
          <w:rFonts w:asciiTheme="minorHAnsi" w:hAnsiTheme="minorHAnsi" w:cstheme="minorHAnsi"/>
          <w:bCs/>
          <w:szCs w:val="24"/>
        </w:rPr>
        <w:t xml:space="preserve">to </w:t>
      </w:r>
      <w:r w:rsidR="00207D84" w:rsidRPr="00207D84">
        <w:rPr>
          <w:rFonts w:ascii="Calibri" w:hAnsi="Calibri"/>
          <w:szCs w:val="24"/>
        </w:rPr>
        <w:t>limit the information that the PCBU is required to provide to the regulator, specifically:</w:t>
      </w:r>
    </w:p>
    <w:p w14:paraId="014925D7" w14:textId="77777777" w:rsidR="00207D84" w:rsidRPr="00207D84" w:rsidRDefault="00207D84" w:rsidP="00DE2119">
      <w:pPr>
        <w:pStyle w:val="ESText"/>
        <w:numPr>
          <w:ilvl w:val="0"/>
          <w:numId w:val="8"/>
        </w:numPr>
        <w:spacing w:after="120" w:line="240" w:lineRule="auto"/>
        <w:rPr>
          <w:rFonts w:ascii="Calibri" w:hAnsi="Calibri"/>
          <w:szCs w:val="24"/>
        </w:rPr>
      </w:pPr>
      <w:r w:rsidRPr="00207D84">
        <w:rPr>
          <w:rFonts w:ascii="Calibri" w:hAnsi="Calibri"/>
          <w:szCs w:val="24"/>
        </w:rPr>
        <w:t>the name and contact details of the person conducting the business or undertaking;</w:t>
      </w:r>
    </w:p>
    <w:p w14:paraId="6E3D51CA" w14:textId="77777777" w:rsidR="00207D84" w:rsidRPr="00207D84" w:rsidRDefault="00207D84" w:rsidP="00DE2119">
      <w:pPr>
        <w:pStyle w:val="ESText"/>
        <w:numPr>
          <w:ilvl w:val="0"/>
          <w:numId w:val="8"/>
        </w:numPr>
        <w:spacing w:after="120" w:line="240" w:lineRule="auto"/>
        <w:rPr>
          <w:rFonts w:ascii="Calibri" w:hAnsi="Calibri"/>
          <w:szCs w:val="24"/>
        </w:rPr>
      </w:pPr>
      <w:r w:rsidRPr="00207D84">
        <w:rPr>
          <w:rFonts w:ascii="Calibri" w:hAnsi="Calibri"/>
          <w:szCs w:val="24"/>
        </w:rPr>
        <w:t>a description of the workplace where the incident happened; and</w:t>
      </w:r>
    </w:p>
    <w:p w14:paraId="4177A46D" w14:textId="77777777" w:rsidR="00207D84" w:rsidRPr="00207D84" w:rsidRDefault="00207D84" w:rsidP="00DE2119">
      <w:pPr>
        <w:pStyle w:val="ESText"/>
        <w:numPr>
          <w:ilvl w:val="0"/>
          <w:numId w:val="8"/>
        </w:numPr>
        <w:spacing w:after="120" w:line="240" w:lineRule="auto"/>
        <w:rPr>
          <w:rFonts w:ascii="Calibri" w:hAnsi="Calibri"/>
          <w:szCs w:val="24"/>
        </w:rPr>
      </w:pPr>
      <w:r w:rsidRPr="00207D84">
        <w:rPr>
          <w:rFonts w:ascii="Calibri" w:hAnsi="Calibri"/>
          <w:szCs w:val="24"/>
        </w:rPr>
        <w:t>whether or not the incident was reported to police.</w:t>
      </w:r>
    </w:p>
    <w:p w14:paraId="3ACEC57B" w14:textId="5919BF04" w:rsidR="00E45DFE" w:rsidRDefault="00207D84" w:rsidP="00434292">
      <w:pPr>
        <w:pStyle w:val="ESText"/>
        <w:spacing w:after="120" w:line="240" w:lineRule="auto"/>
        <w:rPr>
          <w:rFonts w:asciiTheme="minorHAnsi" w:hAnsiTheme="minorHAnsi" w:cstheme="minorHAnsi"/>
          <w:bCs/>
          <w:szCs w:val="24"/>
        </w:rPr>
      </w:pPr>
      <w:r w:rsidRPr="00207D84">
        <w:rPr>
          <w:rFonts w:ascii="Calibri" w:hAnsi="Calibri"/>
          <w:szCs w:val="24"/>
        </w:rPr>
        <w:t xml:space="preserve">Section 9(b) </w:t>
      </w:r>
      <w:r w:rsidR="00E45DFE">
        <w:rPr>
          <w:rFonts w:ascii="Calibri" w:hAnsi="Calibri"/>
          <w:szCs w:val="24"/>
        </w:rPr>
        <w:t xml:space="preserve">requires that the </w:t>
      </w:r>
      <w:r w:rsidRPr="00207D84">
        <w:rPr>
          <w:rFonts w:ascii="Calibri" w:hAnsi="Calibri"/>
          <w:szCs w:val="24"/>
        </w:rPr>
        <w:t xml:space="preserve">PCBU </w:t>
      </w:r>
      <w:r w:rsidR="00E45DFE">
        <w:rPr>
          <w:rFonts w:ascii="Calibri" w:hAnsi="Calibri"/>
          <w:szCs w:val="24"/>
        </w:rPr>
        <w:t xml:space="preserve">must </w:t>
      </w:r>
      <w:r w:rsidRPr="00207D84">
        <w:rPr>
          <w:rFonts w:ascii="Calibri" w:hAnsi="Calibri"/>
          <w:szCs w:val="24"/>
        </w:rPr>
        <w:t>not give information disclos</w:t>
      </w:r>
      <w:r w:rsidR="00E45DFE">
        <w:rPr>
          <w:rFonts w:ascii="Calibri" w:hAnsi="Calibri"/>
          <w:szCs w:val="24"/>
        </w:rPr>
        <w:t>ing</w:t>
      </w:r>
      <w:r w:rsidRPr="00207D84">
        <w:rPr>
          <w:rFonts w:ascii="Calibri" w:hAnsi="Calibri"/>
          <w:szCs w:val="24"/>
        </w:rPr>
        <w:t xml:space="preserve"> the identity of </w:t>
      </w:r>
      <w:r w:rsidR="00E45DFE">
        <w:rPr>
          <w:rFonts w:ascii="Calibri" w:hAnsi="Calibri"/>
          <w:szCs w:val="24"/>
        </w:rPr>
        <w:t xml:space="preserve">any </w:t>
      </w:r>
      <w:r w:rsidRPr="00207D84">
        <w:rPr>
          <w:rFonts w:ascii="Calibri" w:hAnsi="Calibri"/>
          <w:szCs w:val="24"/>
        </w:rPr>
        <w:t>person involved in the incident</w:t>
      </w:r>
      <w:r w:rsidR="00E45DFE">
        <w:rPr>
          <w:rFonts w:ascii="Calibri" w:hAnsi="Calibri"/>
          <w:szCs w:val="24"/>
        </w:rPr>
        <w:t>, when notifying the regulator</w:t>
      </w:r>
      <w:r w:rsidRPr="00207D84">
        <w:rPr>
          <w:rFonts w:ascii="Calibri" w:hAnsi="Calibri"/>
          <w:szCs w:val="24"/>
        </w:rPr>
        <w:t>.</w:t>
      </w:r>
      <w:r>
        <w:rPr>
          <w:rFonts w:ascii="Calibri" w:hAnsi="Calibri"/>
          <w:szCs w:val="24"/>
        </w:rPr>
        <w:t xml:space="preserve"> </w:t>
      </w:r>
      <w:r w:rsidR="00434292">
        <w:rPr>
          <w:rFonts w:ascii="Calibri" w:hAnsi="Calibri"/>
          <w:szCs w:val="24"/>
        </w:rPr>
        <w:br/>
      </w:r>
    </w:p>
    <w:p w14:paraId="64C88A56" w14:textId="67FCC50D" w:rsidR="009A4731" w:rsidRPr="00ED4402" w:rsidRDefault="00ED4402" w:rsidP="009A4731">
      <w:pPr>
        <w:numPr>
          <w:ilvl w:val="0"/>
          <w:numId w:val="1"/>
        </w:numPr>
        <w:spacing w:after="100" w:afterAutospacing="1"/>
        <w:rPr>
          <w:rFonts w:asciiTheme="minorHAnsi" w:hAnsiTheme="minorHAnsi" w:cstheme="minorHAnsi"/>
          <w:b/>
          <w:sz w:val="24"/>
          <w:szCs w:val="24"/>
        </w:rPr>
      </w:pPr>
      <w:r w:rsidRPr="00ED4402">
        <w:rPr>
          <w:rFonts w:asciiTheme="minorHAnsi" w:hAnsiTheme="minorHAnsi" w:cstheme="minorHAnsi"/>
          <w:b/>
          <w:sz w:val="24"/>
          <w:szCs w:val="24"/>
        </w:rPr>
        <w:t>Duty to preserve incident sites</w:t>
      </w:r>
    </w:p>
    <w:p w14:paraId="7C6FF448" w14:textId="5E2061A5" w:rsidR="009A4731" w:rsidRDefault="009A4731" w:rsidP="009A4731">
      <w:pPr>
        <w:spacing w:after="100" w:afterAutospacing="1"/>
        <w:rPr>
          <w:rFonts w:asciiTheme="minorHAnsi" w:hAnsiTheme="minorHAnsi" w:cstheme="minorHAnsi"/>
          <w:bCs/>
          <w:sz w:val="24"/>
          <w:szCs w:val="24"/>
        </w:rPr>
      </w:pPr>
      <w:r w:rsidRPr="00ED4402">
        <w:rPr>
          <w:rFonts w:asciiTheme="minorHAnsi" w:hAnsiTheme="minorHAnsi" w:cstheme="minorHAnsi"/>
          <w:bCs/>
          <w:sz w:val="24"/>
          <w:szCs w:val="24"/>
        </w:rPr>
        <w:t xml:space="preserve">This clause </w:t>
      </w:r>
      <w:r w:rsidR="00ED4402" w:rsidRPr="00ED4402">
        <w:rPr>
          <w:rFonts w:asciiTheme="minorHAnsi" w:hAnsiTheme="minorHAnsi" w:cstheme="minorHAnsi"/>
          <w:bCs/>
          <w:sz w:val="24"/>
          <w:szCs w:val="24"/>
        </w:rPr>
        <w:t>inserts a new requirement at section 39(4) to exclude the duty to preserve incident sites in relation to a sexual assault incident.</w:t>
      </w:r>
    </w:p>
    <w:p w14:paraId="6DFB75B3" w14:textId="4602BD5D" w:rsidR="009A4731" w:rsidRPr="00B35D94" w:rsidRDefault="00ED4402" w:rsidP="009A4731">
      <w:pPr>
        <w:numPr>
          <w:ilvl w:val="0"/>
          <w:numId w:val="1"/>
        </w:numPr>
        <w:spacing w:after="100" w:afterAutospacing="1"/>
        <w:rPr>
          <w:rFonts w:asciiTheme="minorHAnsi" w:hAnsiTheme="minorHAnsi" w:cstheme="minorHAnsi"/>
          <w:b/>
          <w:sz w:val="24"/>
          <w:szCs w:val="24"/>
        </w:rPr>
      </w:pPr>
      <w:r w:rsidRPr="00B35D94">
        <w:rPr>
          <w:rFonts w:asciiTheme="minorHAnsi" w:hAnsiTheme="minorHAnsi" w:cstheme="minorHAnsi"/>
          <w:b/>
          <w:sz w:val="24"/>
          <w:szCs w:val="24"/>
        </w:rPr>
        <w:t>Negotiations for agreement for work group</w:t>
      </w:r>
    </w:p>
    <w:p w14:paraId="62DF447E" w14:textId="4BC1CF19" w:rsidR="009A4731" w:rsidRDefault="009A4731" w:rsidP="009A4731">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omits </w:t>
      </w:r>
      <w:r w:rsidR="00ED4402" w:rsidRPr="00B35D94">
        <w:rPr>
          <w:rFonts w:asciiTheme="minorHAnsi" w:hAnsiTheme="minorHAnsi" w:cstheme="minorHAnsi"/>
          <w:bCs/>
          <w:sz w:val="24"/>
          <w:szCs w:val="24"/>
        </w:rPr>
        <w:t>the word ‘will’ and replaces it with ‘are proposed to’</w:t>
      </w:r>
      <w:r w:rsidRPr="00B35D94">
        <w:rPr>
          <w:rFonts w:asciiTheme="minorHAnsi" w:hAnsiTheme="minorHAnsi" w:cstheme="minorHAnsi"/>
          <w:bCs/>
          <w:sz w:val="24"/>
          <w:szCs w:val="24"/>
        </w:rPr>
        <w:t>.</w:t>
      </w:r>
      <w:r w:rsidR="00ED4402" w:rsidRPr="00B35D94">
        <w:rPr>
          <w:rFonts w:asciiTheme="minorHAnsi" w:hAnsiTheme="minorHAnsi" w:cstheme="minorHAnsi"/>
          <w:bCs/>
          <w:sz w:val="24"/>
          <w:szCs w:val="24"/>
        </w:rPr>
        <w:t xml:space="preserve"> </w:t>
      </w:r>
    </w:p>
    <w:p w14:paraId="6532D955" w14:textId="77777777" w:rsidR="00434292" w:rsidRPr="00B35D94" w:rsidRDefault="00434292" w:rsidP="009A4731">
      <w:pPr>
        <w:spacing w:after="100" w:afterAutospacing="1"/>
        <w:rPr>
          <w:rFonts w:asciiTheme="minorHAnsi" w:hAnsiTheme="minorHAnsi" w:cstheme="minorHAnsi"/>
          <w:bCs/>
          <w:sz w:val="24"/>
          <w:szCs w:val="24"/>
        </w:rPr>
      </w:pPr>
    </w:p>
    <w:p w14:paraId="2A538857" w14:textId="177CEA7F" w:rsidR="009A4731" w:rsidRPr="00B35D94" w:rsidRDefault="00ED4402" w:rsidP="009A4731">
      <w:pPr>
        <w:numPr>
          <w:ilvl w:val="0"/>
          <w:numId w:val="1"/>
        </w:numPr>
        <w:spacing w:after="100" w:afterAutospacing="1"/>
        <w:rPr>
          <w:rFonts w:asciiTheme="minorHAnsi" w:hAnsiTheme="minorHAnsi" w:cstheme="minorHAnsi"/>
          <w:b/>
          <w:sz w:val="24"/>
          <w:szCs w:val="24"/>
        </w:rPr>
      </w:pPr>
      <w:r w:rsidRPr="00B35D94">
        <w:rPr>
          <w:rFonts w:asciiTheme="minorHAnsi" w:hAnsiTheme="minorHAnsi" w:cstheme="minorHAnsi"/>
          <w:b/>
          <w:sz w:val="24"/>
          <w:szCs w:val="24"/>
        </w:rPr>
        <w:lastRenderedPageBreak/>
        <w:t>Obligation to train health and safety representatives</w:t>
      </w:r>
    </w:p>
    <w:p w14:paraId="61A24107" w14:textId="65A5D430" w:rsidR="009A4731" w:rsidRDefault="009A4731" w:rsidP="009A4731">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sidR="006A2E90" w:rsidRPr="00B35D94">
        <w:rPr>
          <w:rFonts w:asciiTheme="minorHAnsi" w:hAnsiTheme="minorHAnsi" w:cstheme="minorHAnsi"/>
          <w:bCs/>
          <w:sz w:val="24"/>
          <w:szCs w:val="24"/>
        </w:rPr>
        <w:t xml:space="preserve">substitutes </w:t>
      </w:r>
      <w:r w:rsidR="00BE1181">
        <w:rPr>
          <w:rFonts w:asciiTheme="minorHAnsi" w:hAnsiTheme="minorHAnsi" w:cstheme="minorHAnsi"/>
          <w:bCs/>
          <w:sz w:val="24"/>
          <w:szCs w:val="24"/>
        </w:rPr>
        <w:t xml:space="preserve">section </w:t>
      </w:r>
      <w:r w:rsidR="006A2E90" w:rsidRPr="00B35D94">
        <w:rPr>
          <w:rFonts w:asciiTheme="minorHAnsi" w:hAnsiTheme="minorHAnsi" w:cstheme="minorHAnsi"/>
          <w:bCs/>
          <w:sz w:val="24"/>
          <w:szCs w:val="24"/>
        </w:rPr>
        <w:t>72(1)(c)</w:t>
      </w:r>
      <w:r w:rsidRPr="00B35D94">
        <w:rPr>
          <w:rFonts w:asciiTheme="minorHAnsi" w:hAnsiTheme="minorHAnsi" w:cstheme="minorHAnsi"/>
          <w:bCs/>
          <w:sz w:val="24"/>
          <w:szCs w:val="24"/>
        </w:rPr>
        <w:t>.</w:t>
      </w:r>
    </w:p>
    <w:p w14:paraId="28A59810" w14:textId="51262DAA" w:rsidR="009A4731" w:rsidRPr="00B35D94" w:rsidRDefault="006A2E90" w:rsidP="009A4731">
      <w:pPr>
        <w:numPr>
          <w:ilvl w:val="0"/>
          <w:numId w:val="1"/>
        </w:numPr>
        <w:spacing w:after="100" w:afterAutospacing="1"/>
        <w:rPr>
          <w:rFonts w:asciiTheme="minorHAnsi" w:hAnsiTheme="minorHAnsi" w:cstheme="minorHAnsi"/>
          <w:b/>
          <w:sz w:val="24"/>
          <w:szCs w:val="24"/>
        </w:rPr>
      </w:pPr>
      <w:r w:rsidRPr="00B35D94">
        <w:rPr>
          <w:rFonts w:asciiTheme="minorHAnsi" w:hAnsiTheme="minorHAnsi" w:cstheme="minorHAnsi"/>
          <w:b/>
          <w:sz w:val="24"/>
          <w:szCs w:val="24"/>
        </w:rPr>
        <w:t>Section 72(2)</w:t>
      </w:r>
    </w:p>
    <w:p w14:paraId="73C77494" w14:textId="0E6923E1" w:rsidR="009A4731" w:rsidRPr="00B35D94" w:rsidRDefault="009A4731" w:rsidP="009A4731">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omits </w:t>
      </w:r>
      <w:r w:rsidR="006A2E90" w:rsidRPr="00B35D94">
        <w:rPr>
          <w:rFonts w:asciiTheme="minorHAnsi" w:hAnsiTheme="minorHAnsi" w:cstheme="minorHAnsi"/>
          <w:bCs/>
          <w:sz w:val="24"/>
          <w:szCs w:val="24"/>
        </w:rPr>
        <w:t>the words ‘as to the matters set out in subsection (1)(c) and (2)’ and replaces it with ‘about a matter mentioned in subsection (2)’</w:t>
      </w:r>
      <w:r w:rsidRPr="00B35D94">
        <w:rPr>
          <w:rFonts w:asciiTheme="minorHAnsi" w:hAnsiTheme="minorHAnsi" w:cstheme="minorHAnsi"/>
          <w:bCs/>
          <w:sz w:val="24"/>
          <w:szCs w:val="24"/>
        </w:rPr>
        <w:t>.</w:t>
      </w:r>
    </w:p>
    <w:p w14:paraId="45D038A4" w14:textId="746128EA" w:rsidR="009A4731" w:rsidRPr="00B35D94" w:rsidRDefault="006A2E90" w:rsidP="009A4731">
      <w:pPr>
        <w:numPr>
          <w:ilvl w:val="0"/>
          <w:numId w:val="1"/>
        </w:numPr>
        <w:spacing w:after="100" w:afterAutospacing="1"/>
        <w:rPr>
          <w:rFonts w:asciiTheme="minorHAnsi" w:hAnsiTheme="minorHAnsi" w:cstheme="minorHAnsi"/>
          <w:b/>
          <w:sz w:val="24"/>
          <w:szCs w:val="24"/>
        </w:rPr>
      </w:pPr>
      <w:r w:rsidRPr="00B35D94">
        <w:rPr>
          <w:rFonts w:asciiTheme="minorHAnsi" w:hAnsiTheme="minorHAnsi" w:cstheme="minorHAnsi"/>
          <w:b/>
          <w:sz w:val="24"/>
          <w:szCs w:val="24"/>
        </w:rPr>
        <w:t>Power of regulatory to obtain information</w:t>
      </w:r>
    </w:p>
    <w:p w14:paraId="6019D48D" w14:textId="4A774914" w:rsidR="009A4731" w:rsidRPr="00B35D94" w:rsidRDefault="009A4731" w:rsidP="009A4731">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sidR="006A2E90" w:rsidRPr="00B35D94">
        <w:rPr>
          <w:rFonts w:asciiTheme="minorHAnsi" w:hAnsiTheme="minorHAnsi" w:cstheme="minorHAnsi"/>
          <w:bCs/>
          <w:sz w:val="24"/>
          <w:szCs w:val="24"/>
        </w:rPr>
        <w:t>inserts a new provision at 2A</w:t>
      </w:r>
      <w:r w:rsidRPr="00B35D94">
        <w:rPr>
          <w:rFonts w:asciiTheme="minorHAnsi" w:hAnsiTheme="minorHAnsi" w:cstheme="minorHAnsi"/>
          <w:bCs/>
          <w:sz w:val="24"/>
          <w:szCs w:val="24"/>
        </w:rPr>
        <w:t>.</w:t>
      </w:r>
    </w:p>
    <w:p w14:paraId="59FC116B" w14:textId="55775AD0" w:rsidR="009A4731" w:rsidRPr="00B35D94" w:rsidRDefault="006A2E90" w:rsidP="009A4731">
      <w:pPr>
        <w:numPr>
          <w:ilvl w:val="0"/>
          <w:numId w:val="1"/>
        </w:numPr>
        <w:spacing w:after="100" w:afterAutospacing="1"/>
        <w:rPr>
          <w:rFonts w:asciiTheme="minorHAnsi" w:hAnsiTheme="minorHAnsi" w:cstheme="minorHAnsi"/>
          <w:b/>
          <w:sz w:val="24"/>
          <w:szCs w:val="24"/>
        </w:rPr>
      </w:pPr>
      <w:r w:rsidRPr="00B35D94">
        <w:rPr>
          <w:rFonts w:asciiTheme="minorHAnsi" w:hAnsiTheme="minorHAnsi" w:cstheme="minorHAnsi"/>
          <w:b/>
          <w:sz w:val="24"/>
          <w:szCs w:val="24"/>
        </w:rPr>
        <w:t>Section 155(3)(b)</w:t>
      </w:r>
    </w:p>
    <w:p w14:paraId="36351ACD" w14:textId="5E291E09" w:rsidR="009A4731" w:rsidRDefault="009A4731" w:rsidP="009A4731">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sidR="006A2E90" w:rsidRPr="00B35D94">
        <w:rPr>
          <w:rFonts w:asciiTheme="minorHAnsi" w:hAnsiTheme="minorHAnsi" w:cstheme="minorHAnsi"/>
          <w:bCs/>
          <w:sz w:val="24"/>
          <w:szCs w:val="24"/>
        </w:rPr>
        <w:t>substitutes section 155(3)(b)</w:t>
      </w:r>
      <w:r w:rsidRPr="00B35D94">
        <w:rPr>
          <w:rFonts w:asciiTheme="minorHAnsi" w:hAnsiTheme="minorHAnsi" w:cstheme="minorHAnsi"/>
          <w:bCs/>
          <w:sz w:val="24"/>
          <w:szCs w:val="24"/>
        </w:rPr>
        <w:t>.</w:t>
      </w:r>
    </w:p>
    <w:p w14:paraId="2E51F7A6" w14:textId="527909EC" w:rsidR="009A4731" w:rsidRPr="006A2E90" w:rsidRDefault="006A2E90" w:rsidP="009A4731">
      <w:pPr>
        <w:numPr>
          <w:ilvl w:val="0"/>
          <w:numId w:val="1"/>
        </w:numPr>
        <w:spacing w:after="100" w:afterAutospacing="1"/>
        <w:rPr>
          <w:rFonts w:asciiTheme="minorHAnsi" w:hAnsiTheme="minorHAnsi" w:cstheme="minorHAnsi"/>
          <w:b/>
          <w:sz w:val="24"/>
          <w:szCs w:val="24"/>
        </w:rPr>
      </w:pPr>
      <w:r w:rsidRPr="006A2E90">
        <w:rPr>
          <w:rFonts w:asciiTheme="minorHAnsi" w:hAnsiTheme="minorHAnsi" w:cstheme="minorHAnsi"/>
          <w:b/>
          <w:sz w:val="24"/>
          <w:szCs w:val="24"/>
        </w:rPr>
        <w:t>New section 155(8)</w:t>
      </w:r>
    </w:p>
    <w:p w14:paraId="19967898" w14:textId="3A5D021D" w:rsidR="009A4731" w:rsidRDefault="009A4731" w:rsidP="009A4731">
      <w:pPr>
        <w:spacing w:after="100" w:afterAutospacing="1"/>
        <w:rPr>
          <w:rFonts w:asciiTheme="minorHAnsi" w:hAnsiTheme="minorHAnsi" w:cstheme="minorHAnsi"/>
          <w:bCs/>
          <w:sz w:val="24"/>
          <w:szCs w:val="24"/>
        </w:rPr>
      </w:pPr>
      <w:r w:rsidRPr="006A2E90">
        <w:rPr>
          <w:rFonts w:asciiTheme="minorHAnsi" w:hAnsiTheme="minorHAnsi" w:cstheme="minorHAnsi"/>
          <w:bCs/>
          <w:sz w:val="24"/>
          <w:szCs w:val="24"/>
        </w:rPr>
        <w:t xml:space="preserve">This clause </w:t>
      </w:r>
      <w:r w:rsidR="006A2E90" w:rsidRPr="006A2E90">
        <w:rPr>
          <w:rFonts w:asciiTheme="minorHAnsi" w:hAnsiTheme="minorHAnsi" w:cstheme="minorHAnsi"/>
          <w:bCs/>
          <w:sz w:val="24"/>
          <w:szCs w:val="24"/>
        </w:rPr>
        <w:t xml:space="preserve">inserts a new provision at section 155(8) to clarify when a notice may be served on </w:t>
      </w:r>
      <w:r w:rsidR="003A6531">
        <w:rPr>
          <w:rFonts w:asciiTheme="minorHAnsi" w:hAnsiTheme="minorHAnsi" w:cstheme="minorHAnsi"/>
          <w:bCs/>
          <w:sz w:val="24"/>
          <w:szCs w:val="24"/>
        </w:rPr>
        <w:t xml:space="preserve">a </w:t>
      </w:r>
      <w:r w:rsidR="006A2E90" w:rsidRPr="006A2E90">
        <w:rPr>
          <w:rFonts w:asciiTheme="minorHAnsi" w:hAnsiTheme="minorHAnsi" w:cstheme="minorHAnsi"/>
          <w:bCs/>
          <w:sz w:val="24"/>
          <w:szCs w:val="24"/>
        </w:rPr>
        <w:t>person</w:t>
      </w:r>
      <w:r w:rsidRPr="006A2E90">
        <w:rPr>
          <w:rFonts w:asciiTheme="minorHAnsi" w:hAnsiTheme="minorHAnsi" w:cstheme="minorHAnsi"/>
          <w:bCs/>
          <w:sz w:val="24"/>
          <w:szCs w:val="24"/>
        </w:rPr>
        <w:t>.</w:t>
      </w:r>
    </w:p>
    <w:p w14:paraId="3C9D182A" w14:textId="64E9364E" w:rsidR="009A4731" w:rsidRPr="006D4BDC" w:rsidRDefault="006A2E90"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Power to require production of documents and answers to questions</w:t>
      </w:r>
    </w:p>
    <w:p w14:paraId="71B4DEE4" w14:textId="7F46DF4D" w:rsidR="009A4731" w:rsidRDefault="009A4731" w:rsidP="009A4731">
      <w:pPr>
        <w:spacing w:after="100" w:afterAutospacing="1"/>
        <w:rPr>
          <w:rFonts w:asciiTheme="minorHAnsi" w:hAnsiTheme="minorHAnsi" w:cstheme="minorHAnsi"/>
          <w:bCs/>
          <w:sz w:val="24"/>
          <w:szCs w:val="24"/>
        </w:rPr>
      </w:pPr>
      <w:r w:rsidRPr="006D4BDC">
        <w:rPr>
          <w:rFonts w:asciiTheme="minorHAnsi" w:hAnsiTheme="minorHAnsi" w:cstheme="minorHAnsi"/>
          <w:bCs/>
          <w:sz w:val="24"/>
          <w:szCs w:val="24"/>
        </w:rPr>
        <w:t xml:space="preserve">This clause </w:t>
      </w:r>
      <w:r w:rsidR="006A2E90" w:rsidRPr="006D4BDC">
        <w:rPr>
          <w:rFonts w:asciiTheme="minorHAnsi" w:hAnsiTheme="minorHAnsi" w:cstheme="minorHAnsi"/>
          <w:bCs/>
          <w:sz w:val="24"/>
          <w:szCs w:val="24"/>
        </w:rPr>
        <w:t>clarifies the power that the inspector has while at the workplace to require production o</w:t>
      </w:r>
      <w:r w:rsidR="003A6531">
        <w:rPr>
          <w:rFonts w:asciiTheme="minorHAnsi" w:hAnsiTheme="minorHAnsi" w:cstheme="minorHAnsi"/>
          <w:bCs/>
          <w:sz w:val="24"/>
          <w:szCs w:val="24"/>
        </w:rPr>
        <w:t>f</w:t>
      </w:r>
      <w:r w:rsidR="006A2E90" w:rsidRPr="006D4BDC">
        <w:rPr>
          <w:rFonts w:asciiTheme="minorHAnsi" w:hAnsiTheme="minorHAnsi" w:cstheme="minorHAnsi"/>
          <w:bCs/>
          <w:sz w:val="24"/>
          <w:szCs w:val="24"/>
        </w:rPr>
        <w:t xml:space="preserve"> documents and answers to questions</w:t>
      </w:r>
      <w:r w:rsidRPr="006D4BDC">
        <w:rPr>
          <w:rFonts w:asciiTheme="minorHAnsi" w:hAnsiTheme="minorHAnsi" w:cstheme="minorHAnsi"/>
          <w:bCs/>
          <w:sz w:val="24"/>
          <w:szCs w:val="24"/>
        </w:rPr>
        <w:t>.</w:t>
      </w:r>
    </w:p>
    <w:p w14:paraId="42D7D6A6" w14:textId="04FFD33C" w:rsidR="009A4731" w:rsidRPr="006D4BDC" w:rsidRDefault="00F8684C"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Section 171(1)(b)</w:t>
      </w:r>
    </w:p>
    <w:p w14:paraId="6D528807" w14:textId="6B2E63E1" w:rsidR="009A4731" w:rsidRPr="006D4BDC" w:rsidRDefault="009A4731" w:rsidP="009A4731">
      <w:pPr>
        <w:spacing w:after="100" w:afterAutospacing="1"/>
        <w:rPr>
          <w:rFonts w:asciiTheme="minorHAnsi" w:hAnsiTheme="minorHAnsi" w:cstheme="minorHAnsi"/>
          <w:bCs/>
          <w:sz w:val="24"/>
          <w:szCs w:val="24"/>
        </w:rPr>
      </w:pPr>
      <w:r w:rsidRPr="006D4BDC">
        <w:rPr>
          <w:rFonts w:asciiTheme="minorHAnsi" w:hAnsiTheme="minorHAnsi" w:cstheme="minorHAnsi"/>
          <w:bCs/>
          <w:sz w:val="24"/>
          <w:szCs w:val="24"/>
        </w:rPr>
        <w:t xml:space="preserve">This clause </w:t>
      </w:r>
      <w:r w:rsidR="00F8684C" w:rsidRPr="006D4BDC">
        <w:rPr>
          <w:rFonts w:asciiTheme="minorHAnsi" w:hAnsiTheme="minorHAnsi" w:cstheme="minorHAnsi"/>
          <w:bCs/>
          <w:sz w:val="24"/>
          <w:szCs w:val="24"/>
        </w:rPr>
        <w:t>substitutes section 171(1)(b)</w:t>
      </w:r>
      <w:r w:rsidRPr="006D4BDC">
        <w:rPr>
          <w:rFonts w:asciiTheme="minorHAnsi" w:hAnsiTheme="minorHAnsi" w:cstheme="minorHAnsi"/>
          <w:bCs/>
          <w:sz w:val="24"/>
          <w:szCs w:val="24"/>
        </w:rPr>
        <w:t>.</w:t>
      </w:r>
    </w:p>
    <w:p w14:paraId="123959B3" w14:textId="7D80BCCB" w:rsidR="009A4731" w:rsidRPr="006D4BDC" w:rsidRDefault="00F8684C"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New section 171 (2A) to (2E)</w:t>
      </w:r>
    </w:p>
    <w:p w14:paraId="3D32E3E5" w14:textId="392E8232" w:rsidR="009A4731" w:rsidRPr="00F8684C" w:rsidRDefault="009A4731" w:rsidP="009A4731">
      <w:pPr>
        <w:spacing w:after="100" w:afterAutospacing="1"/>
        <w:rPr>
          <w:rFonts w:asciiTheme="minorHAnsi" w:hAnsiTheme="minorHAnsi" w:cstheme="minorHAnsi"/>
          <w:bCs/>
          <w:sz w:val="24"/>
          <w:szCs w:val="24"/>
        </w:rPr>
      </w:pPr>
      <w:r w:rsidRPr="00F8684C">
        <w:rPr>
          <w:rFonts w:asciiTheme="minorHAnsi" w:hAnsiTheme="minorHAnsi" w:cstheme="minorHAnsi"/>
          <w:bCs/>
          <w:sz w:val="24"/>
          <w:szCs w:val="24"/>
        </w:rPr>
        <w:t xml:space="preserve">This clause </w:t>
      </w:r>
      <w:r w:rsidR="00F8684C" w:rsidRPr="00F8684C">
        <w:rPr>
          <w:rFonts w:asciiTheme="minorHAnsi" w:hAnsiTheme="minorHAnsi" w:cstheme="minorHAnsi"/>
          <w:bCs/>
          <w:sz w:val="24"/>
          <w:szCs w:val="24"/>
        </w:rPr>
        <w:t xml:space="preserve">inserts </w:t>
      </w:r>
      <w:r w:rsidR="00BE1181">
        <w:rPr>
          <w:rFonts w:asciiTheme="minorHAnsi" w:hAnsiTheme="minorHAnsi" w:cstheme="minorHAnsi"/>
          <w:bCs/>
          <w:sz w:val="24"/>
          <w:szCs w:val="24"/>
        </w:rPr>
        <w:t xml:space="preserve">provisions </w:t>
      </w:r>
      <w:r w:rsidR="00F8684C" w:rsidRPr="00F8684C">
        <w:rPr>
          <w:rFonts w:asciiTheme="minorHAnsi" w:hAnsiTheme="minorHAnsi" w:cstheme="minorHAnsi"/>
          <w:bCs/>
          <w:sz w:val="24"/>
          <w:szCs w:val="24"/>
        </w:rPr>
        <w:t>2A, 2B, 2C, 2D and 2E</w:t>
      </w:r>
      <w:r w:rsidRPr="00F8684C">
        <w:rPr>
          <w:rFonts w:asciiTheme="minorHAnsi" w:hAnsiTheme="minorHAnsi" w:cstheme="minorHAnsi"/>
          <w:bCs/>
          <w:sz w:val="24"/>
          <w:szCs w:val="24"/>
        </w:rPr>
        <w:t>.</w:t>
      </w:r>
    </w:p>
    <w:p w14:paraId="645DA70C" w14:textId="60591BBD" w:rsidR="009A4731" w:rsidRPr="00F8684C" w:rsidRDefault="00F8684C" w:rsidP="009A4731">
      <w:pPr>
        <w:numPr>
          <w:ilvl w:val="0"/>
          <w:numId w:val="1"/>
        </w:numPr>
        <w:spacing w:after="100" w:afterAutospacing="1"/>
        <w:rPr>
          <w:rFonts w:asciiTheme="minorHAnsi" w:hAnsiTheme="minorHAnsi" w:cstheme="minorHAnsi"/>
          <w:b/>
          <w:sz w:val="24"/>
          <w:szCs w:val="24"/>
        </w:rPr>
      </w:pPr>
      <w:r w:rsidRPr="00F8684C">
        <w:rPr>
          <w:rFonts w:asciiTheme="minorHAnsi" w:hAnsiTheme="minorHAnsi" w:cstheme="minorHAnsi"/>
          <w:b/>
          <w:sz w:val="24"/>
          <w:szCs w:val="24"/>
        </w:rPr>
        <w:t>Section 171(3)</w:t>
      </w:r>
    </w:p>
    <w:p w14:paraId="77DE75E9" w14:textId="3FC052EA" w:rsidR="009A4731" w:rsidRDefault="009A4731" w:rsidP="009A4731">
      <w:pPr>
        <w:spacing w:after="100" w:afterAutospacing="1"/>
        <w:rPr>
          <w:rFonts w:asciiTheme="minorHAnsi" w:hAnsiTheme="minorHAnsi" w:cstheme="minorHAnsi"/>
          <w:bCs/>
          <w:sz w:val="24"/>
          <w:szCs w:val="24"/>
        </w:rPr>
      </w:pPr>
      <w:r w:rsidRPr="00F8684C">
        <w:rPr>
          <w:rFonts w:asciiTheme="minorHAnsi" w:hAnsiTheme="minorHAnsi" w:cstheme="minorHAnsi"/>
          <w:bCs/>
          <w:sz w:val="24"/>
          <w:szCs w:val="24"/>
        </w:rPr>
        <w:t xml:space="preserve">This clause </w:t>
      </w:r>
      <w:r w:rsidR="00F8684C" w:rsidRPr="00F8684C">
        <w:rPr>
          <w:rFonts w:asciiTheme="minorHAnsi" w:hAnsiTheme="minorHAnsi" w:cstheme="minorHAnsi"/>
          <w:bCs/>
          <w:sz w:val="24"/>
          <w:szCs w:val="24"/>
        </w:rPr>
        <w:t xml:space="preserve">is a consequential amendment to clause </w:t>
      </w:r>
      <w:r w:rsidR="007F3915">
        <w:rPr>
          <w:rFonts w:asciiTheme="minorHAnsi" w:hAnsiTheme="minorHAnsi" w:cstheme="minorHAnsi"/>
          <w:bCs/>
          <w:sz w:val="24"/>
          <w:szCs w:val="24"/>
        </w:rPr>
        <w:t>33</w:t>
      </w:r>
      <w:r w:rsidRPr="00F8684C">
        <w:rPr>
          <w:rFonts w:asciiTheme="minorHAnsi" w:hAnsiTheme="minorHAnsi" w:cstheme="minorHAnsi"/>
          <w:bCs/>
          <w:sz w:val="24"/>
          <w:szCs w:val="24"/>
        </w:rPr>
        <w:t>.</w:t>
      </w:r>
    </w:p>
    <w:p w14:paraId="2793EF9A" w14:textId="715BAB81" w:rsidR="00434292" w:rsidRDefault="00434292" w:rsidP="009A4731">
      <w:pPr>
        <w:spacing w:after="100" w:afterAutospacing="1"/>
        <w:rPr>
          <w:rFonts w:asciiTheme="minorHAnsi" w:hAnsiTheme="minorHAnsi" w:cstheme="minorHAnsi"/>
          <w:bCs/>
          <w:sz w:val="24"/>
          <w:szCs w:val="24"/>
        </w:rPr>
      </w:pPr>
    </w:p>
    <w:p w14:paraId="64CF556B" w14:textId="77777777" w:rsidR="00434292" w:rsidRDefault="00434292" w:rsidP="009A4731">
      <w:pPr>
        <w:spacing w:after="100" w:afterAutospacing="1"/>
        <w:rPr>
          <w:rFonts w:asciiTheme="minorHAnsi" w:hAnsiTheme="minorHAnsi" w:cstheme="minorHAnsi"/>
          <w:bCs/>
          <w:sz w:val="24"/>
          <w:szCs w:val="24"/>
        </w:rPr>
      </w:pPr>
    </w:p>
    <w:p w14:paraId="2C5E63D5" w14:textId="2BFDF215" w:rsidR="009A4731" w:rsidRPr="00F8684C" w:rsidRDefault="00F8684C" w:rsidP="009A4731">
      <w:pPr>
        <w:numPr>
          <w:ilvl w:val="0"/>
          <w:numId w:val="1"/>
        </w:numPr>
        <w:spacing w:after="100" w:afterAutospacing="1"/>
        <w:rPr>
          <w:rFonts w:asciiTheme="minorHAnsi" w:hAnsiTheme="minorHAnsi" w:cstheme="minorHAnsi"/>
          <w:b/>
          <w:sz w:val="24"/>
          <w:szCs w:val="24"/>
        </w:rPr>
      </w:pPr>
      <w:r w:rsidRPr="00F8684C">
        <w:rPr>
          <w:rFonts w:asciiTheme="minorHAnsi" w:hAnsiTheme="minorHAnsi" w:cstheme="minorHAnsi"/>
          <w:b/>
          <w:sz w:val="24"/>
          <w:szCs w:val="24"/>
        </w:rPr>
        <w:lastRenderedPageBreak/>
        <w:t>Abrogation of privilege against self-incrimination</w:t>
      </w:r>
    </w:p>
    <w:p w14:paraId="3C28A358" w14:textId="4701A201" w:rsidR="009A4731" w:rsidRPr="006D4BDC" w:rsidRDefault="009A4731" w:rsidP="009A4731">
      <w:pPr>
        <w:spacing w:after="100" w:afterAutospacing="1"/>
        <w:rPr>
          <w:rFonts w:asciiTheme="minorHAnsi" w:hAnsiTheme="minorHAnsi" w:cstheme="minorHAnsi"/>
          <w:bCs/>
          <w:sz w:val="24"/>
          <w:szCs w:val="24"/>
        </w:rPr>
      </w:pPr>
      <w:r w:rsidRPr="00F8684C">
        <w:rPr>
          <w:rFonts w:asciiTheme="minorHAnsi" w:hAnsiTheme="minorHAnsi" w:cstheme="minorHAnsi"/>
          <w:bCs/>
          <w:sz w:val="24"/>
          <w:szCs w:val="24"/>
        </w:rPr>
        <w:t xml:space="preserve">This clause </w:t>
      </w:r>
      <w:r w:rsidR="00F8684C" w:rsidRPr="00F8684C">
        <w:rPr>
          <w:rFonts w:asciiTheme="minorHAnsi" w:hAnsiTheme="minorHAnsi" w:cstheme="minorHAnsi"/>
          <w:bCs/>
          <w:sz w:val="24"/>
          <w:szCs w:val="24"/>
        </w:rPr>
        <w:t xml:space="preserve">inserts a new section 172(3) to provide that this section does not apply to answering a question or providing information or a document in response to a requirement made </w:t>
      </w:r>
      <w:r w:rsidR="00F8684C" w:rsidRPr="006D4BDC">
        <w:rPr>
          <w:rFonts w:asciiTheme="minorHAnsi" w:hAnsiTheme="minorHAnsi" w:cstheme="minorHAnsi"/>
          <w:bCs/>
          <w:sz w:val="24"/>
          <w:szCs w:val="24"/>
        </w:rPr>
        <w:t>under a corresponding WHS law</w:t>
      </w:r>
      <w:r w:rsidRPr="006D4BDC">
        <w:rPr>
          <w:rFonts w:asciiTheme="minorHAnsi" w:hAnsiTheme="minorHAnsi" w:cstheme="minorHAnsi"/>
          <w:bCs/>
          <w:sz w:val="24"/>
          <w:szCs w:val="24"/>
        </w:rPr>
        <w:t>.</w:t>
      </w:r>
      <w:r w:rsidR="00F8684C" w:rsidRPr="006D4BDC">
        <w:rPr>
          <w:rFonts w:asciiTheme="minorHAnsi" w:hAnsiTheme="minorHAnsi" w:cstheme="minorHAnsi"/>
          <w:bCs/>
          <w:sz w:val="24"/>
          <w:szCs w:val="24"/>
        </w:rPr>
        <w:t xml:space="preserve"> A footnote example is included.</w:t>
      </w:r>
    </w:p>
    <w:p w14:paraId="7E0F2CF3" w14:textId="40AF536C" w:rsidR="009A4731" w:rsidRPr="006D4BDC" w:rsidRDefault="00F8684C"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Warning to be given</w:t>
      </w:r>
    </w:p>
    <w:p w14:paraId="273C5925" w14:textId="678D1D5F" w:rsidR="009A4731" w:rsidRPr="006D4BDC" w:rsidRDefault="009A4731" w:rsidP="009A4731">
      <w:pPr>
        <w:spacing w:after="100" w:afterAutospacing="1"/>
        <w:rPr>
          <w:rFonts w:asciiTheme="minorHAnsi" w:hAnsiTheme="minorHAnsi" w:cstheme="minorHAnsi"/>
          <w:bCs/>
          <w:sz w:val="24"/>
          <w:szCs w:val="24"/>
        </w:rPr>
      </w:pPr>
      <w:r w:rsidRPr="006D4BDC">
        <w:rPr>
          <w:rFonts w:asciiTheme="minorHAnsi" w:hAnsiTheme="minorHAnsi" w:cstheme="minorHAnsi"/>
          <w:bCs/>
          <w:sz w:val="24"/>
          <w:szCs w:val="24"/>
        </w:rPr>
        <w:t xml:space="preserve">This clause </w:t>
      </w:r>
      <w:r w:rsidR="00F8684C" w:rsidRPr="006D4BDC">
        <w:rPr>
          <w:rFonts w:asciiTheme="minorHAnsi" w:hAnsiTheme="minorHAnsi" w:cstheme="minorHAnsi"/>
          <w:bCs/>
          <w:sz w:val="24"/>
          <w:szCs w:val="24"/>
        </w:rPr>
        <w:t xml:space="preserve">is a consequential amendment to clause </w:t>
      </w:r>
      <w:r w:rsidR="007F3915">
        <w:rPr>
          <w:rFonts w:asciiTheme="minorHAnsi" w:hAnsiTheme="minorHAnsi" w:cstheme="minorHAnsi"/>
          <w:bCs/>
          <w:sz w:val="24"/>
          <w:szCs w:val="24"/>
        </w:rPr>
        <w:t>33</w:t>
      </w:r>
      <w:r w:rsidR="00BE1181" w:rsidRPr="006D4BDC">
        <w:rPr>
          <w:rFonts w:asciiTheme="minorHAnsi" w:hAnsiTheme="minorHAnsi" w:cstheme="minorHAnsi"/>
          <w:bCs/>
          <w:sz w:val="24"/>
          <w:szCs w:val="24"/>
        </w:rPr>
        <w:t xml:space="preserve"> </w:t>
      </w:r>
      <w:r w:rsidR="00F8684C" w:rsidRPr="006D4BDC">
        <w:rPr>
          <w:rFonts w:asciiTheme="minorHAnsi" w:hAnsiTheme="minorHAnsi" w:cstheme="minorHAnsi"/>
          <w:bCs/>
          <w:sz w:val="24"/>
          <w:szCs w:val="24"/>
        </w:rPr>
        <w:t>and inserts the words ‘other than by a written notice under section 171(2A)’</w:t>
      </w:r>
      <w:r w:rsidRPr="006D4BDC">
        <w:rPr>
          <w:rFonts w:asciiTheme="minorHAnsi" w:hAnsiTheme="minorHAnsi" w:cstheme="minorHAnsi"/>
          <w:bCs/>
          <w:sz w:val="24"/>
          <w:szCs w:val="24"/>
        </w:rPr>
        <w:t>.</w:t>
      </w:r>
    </w:p>
    <w:p w14:paraId="5134A573" w14:textId="6D3BC1B9" w:rsidR="009A4731" w:rsidRPr="006D4BDC" w:rsidRDefault="00F8684C"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Section 173(1)(b)</w:t>
      </w:r>
    </w:p>
    <w:p w14:paraId="6BBC11C7" w14:textId="3840E469" w:rsidR="009A4731" w:rsidRPr="006D4BDC" w:rsidRDefault="009A4731" w:rsidP="009A4731">
      <w:pPr>
        <w:spacing w:after="100" w:afterAutospacing="1"/>
        <w:rPr>
          <w:rFonts w:asciiTheme="minorHAnsi" w:hAnsiTheme="minorHAnsi" w:cstheme="minorHAnsi"/>
          <w:bCs/>
          <w:sz w:val="24"/>
          <w:szCs w:val="24"/>
        </w:rPr>
      </w:pPr>
      <w:r w:rsidRPr="006D4BDC">
        <w:rPr>
          <w:rFonts w:asciiTheme="minorHAnsi" w:hAnsiTheme="minorHAnsi" w:cstheme="minorHAnsi"/>
          <w:bCs/>
          <w:sz w:val="24"/>
          <w:szCs w:val="24"/>
        </w:rPr>
        <w:t xml:space="preserve">This clause </w:t>
      </w:r>
      <w:r w:rsidR="00F8684C" w:rsidRPr="006D4BDC">
        <w:rPr>
          <w:rFonts w:asciiTheme="minorHAnsi" w:hAnsiTheme="minorHAnsi" w:cstheme="minorHAnsi"/>
          <w:bCs/>
          <w:sz w:val="24"/>
          <w:szCs w:val="24"/>
        </w:rPr>
        <w:t>substitutes section 173(1)(b)</w:t>
      </w:r>
      <w:r w:rsidRPr="006D4BDC">
        <w:rPr>
          <w:rFonts w:asciiTheme="minorHAnsi" w:hAnsiTheme="minorHAnsi" w:cstheme="minorHAnsi"/>
          <w:bCs/>
          <w:sz w:val="24"/>
          <w:szCs w:val="24"/>
        </w:rPr>
        <w:t>.</w:t>
      </w:r>
    </w:p>
    <w:p w14:paraId="2902F9CD" w14:textId="671E7B0F" w:rsidR="009A4731" w:rsidRPr="006D4BDC" w:rsidRDefault="00F8684C"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New section 173(1A)</w:t>
      </w:r>
    </w:p>
    <w:p w14:paraId="723606B6" w14:textId="18266121" w:rsidR="009A4731" w:rsidRDefault="009A4731" w:rsidP="009A4731">
      <w:pPr>
        <w:spacing w:after="100" w:afterAutospacing="1"/>
        <w:rPr>
          <w:rFonts w:asciiTheme="minorHAnsi" w:hAnsiTheme="minorHAnsi" w:cstheme="minorHAnsi"/>
          <w:bCs/>
          <w:sz w:val="24"/>
          <w:szCs w:val="24"/>
        </w:rPr>
      </w:pPr>
      <w:r w:rsidRPr="006D4BDC">
        <w:rPr>
          <w:rFonts w:asciiTheme="minorHAnsi" w:hAnsiTheme="minorHAnsi" w:cstheme="minorHAnsi"/>
          <w:bCs/>
          <w:sz w:val="24"/>
          <w:szCs w:val="24"/>
        </w:rPr>
        <w:t xml:space="preserve">This clause </w:t>
      </w:r>
      <w:r w:rsidR="00F8684C" w:rsidRPr="006D4BDC">
        <w:rPr>
          <w:rFonts w:asciiTheme="minorHAnsi" w:hAnsiTheme="minorHAnsi" w:cstheme="minorHAnsi"/>
          <w:bCs/>
          <w:sz w:val="24"/>
          <w:szCs w:val="24"/>
        </w:rPr>
        <w:t xml:space="preserve">is a consequential amendment to clause </w:t>
      </w:r>
      <w:r w:rsidR="007F3915">
        <w:rPr>
          <w:rFonts w:asciiTheme="minorHAnsi" w:hAnsiTheme="minorHAnsi" w:cstheme="minorHAnsi"/>
          <w:bCs/>
          <w:sz w:val="24"/>
          <w:szCs w:val="24"/>
        </w:rPr>
        <w:t>33</w:t>
      </w:r>
      <w:r w:rsidR="00BE1181" w:rsidRPr="006D4BDC">
        <w:rPr>
          <w:rFonts w:asciiTheme="minorHAnsi" w:hAnsiTheme="minorHAnsi" w:cstheme="minorHAnsi"/>
          <w:bCs/>
          <w:sz w:val="24"/>
          <w:szCs w:val="24"/>
        </w:rPr>
        <w:t xml:space="preserve"> </w:t>
      </w:r>
      <w:r w:rsidR="00F8684C" w:rsidRPr="006D4BDC">
        <w:rPr>
          <w:rFonts w:asciiTheme="minorHAnsi" w:hAnsiTheme="minorHAnsi" w:cstheme="minorHAnsi"/>
          <w:bCs/>
          <w:sz w:val="24"/>
          <w:szCs w:val="24"/>
        </w:rPr>
        <w:t>and inserts section 173(1A) to outline the requirements associated with a written notice under section 171(2A)</w:t>
      </w:r>
      <w:r w:rsidRPr="006D4BDC">
        <w:rPr>
          <w:rFonts w:asciiTheme="minorHAnsi" w:hAnsiTheme="minorHAnsi" w:cstheme="minorHAnsi"/>
          <w:bCs/>
          <w:sz w:val="24"/>
          <w:szCs w:val="24"/>
        </w:rPr>
        <w:t>.</w:t>
      </w:r>
    </w:p>
    <w:p w14:paraId="1DAC5AC5" w14:textId="23E180D6" w:rsidR="009A4731" w:rsidRPr="00F8684C" w:rsidRDefault="00F8684C" w:rsidP="009A4731">
      <w:pPr>
        <w:numPr>
          <w:ilvl w:val="0"/>
          <w:numId w:val="1"/>
        </w:numPr>
        <w:spacing w:after="100" w:afterAutospacing="1"/>
        <w:rPr>
          <w:rFonts w:asciiTheme="minorHAnsi" w:hAnsiTheme="minorHAnsi" w:cstheme="minorHAnsi"/>
          <w:b/>
          <w:sz w:val="24"/>
          <w:szCs w:val="24"/>
        </w:rPr>
      </w:pPr>
      <w:r w:rsidRPr="00F8684C">
        <w:rPr>
          <w:rFonts w:asciiTheme="minorHAnsi" w:hAnsiTheme="minorHAnsi" w:cstheme="minorHAnsi"/>
          <w:b/>
          <w:sz w:val="24"/>
          <w:szCs w:val="24"/>
        </w:rPr>
        <w:t>Section 173(2)</w:t>
      </w:r>
    </w:p>
    <w:p w14:paraId="78230BB5" w14:textId="4A07CB50" w:rsidR="009A4731" w:rsidRDefault="009A4731" w:rsidP="009A4731">
      <w:pPr>
        <w:spacing w:after="100" w:afterAutospacing="1"/>
        <w:rPr>
          <w:rFonts w:asciiTheme="minorHAnsi" w:hAnsiTheme="minorHAnsi" w:cstheme="minorHAnsi"/>
          <w:bCs/>
          <w:sz w:val="24"/>
          <w:szCs w:val="24"/>
        </w:rPr>
      </w:pPr>
      <w:r w:rsidRPr="00F8684C">
        <w:rPr>
          <w:rFonts w:asciiTheme="minorHAnsi" w:hAnsiTheme="minorHAnsi" w:cstheme="minorHAnsi"/>
          <w:bCs/>
          <w:sz w:val="24"/>
          <w:szCs w:val="24"/>
        </w:rPr>
        <w:t xml:space="preserve">This clause </w:t>
      </w:r>
      <w:r w:rsidR="00F8684C" w:rsidRPr="00F8684C">
        <w:rPr>
          <w:rFonts w:asciiTheme="minorHAnsi" w:hAnsiTheme="minorHAnsi" w:cstheme="minorHAnsi"/>
          <w:bCs/>
          <w:sz w:val="24"/>
          <w:szCs w:val="24"/>
        </w:rPr>
        <w:t>substitutes section 173(2)</w:t>
      </w:r>
      <w:r w:rsidRPr="00F8684C">
        <w:rPr>
          <w:rFonts w:asciiTheme="minorHAnsi" w:hAnsiTheme="minorHAnsi" w:cstheme="minorHAnsi"/>
          <w:bCs/>
          <w:sz w:val="24"/>
          <w:szCs w:val="24"/>
        </w:rPr>
        <w:t>.</w:t>
      </w:r>
      <w:r w:rsidR="00F8684C" w:rsidRPr="00F8684C">
        <w:rPr>
          <w:rFonts w:asciiTheme="minorHAnsi" w:hAnsiTheme="minorHAnsi" w:cstheme="minorHAnsi"/>
          <w:bCs/>
          <w:sz w:val="24"/>
          <w:szCs w:val="24"/>
        </w:rPr>
        <w:t xml:space="preserve"> Gendered language has been removed from this section.</w:t>
      </w:r>
    </w:p>
    <w:p w14:paraId="73851E47" w14:textId="40132363" w:rsidR="009A4731" w:rsidRPr="006D4BDC" w:rsidRDefault="00E421DC"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Procedure</w:t>
      </w:r>
      <w:r w:rsidR="00F8684C" w:rsidRPr="006D4BDC">
        <w:rPr>
          <w:rFonts w:asciiTheme="minorHAnsi" w:hAnsiTheme="minorHAnsi" w:cstheme="minorHAnsi"/>
          <w:b/>
          <w:sz w:val="24"/>
          <w:szCs w:val="24"/>
        </w:rPr>
        <w:t xml:space="preserve"> if prosecution is not brought</w:t>
      </w:r>
    </w:p>
    <w:p w14:paraId="54E78FFD" w14:textId="32E44D94" w:rsidR="009A4731" w:rsidRDefault="009A4731" w:rsidP="009A4731">
      <w:pPr>
        <w:spacing w:after="100" w:afterAutospacing="1"/>
        <w:rPr>
          <w:rFonts w:asciiTheme="minorHAnsi" w:hAnsiTheme="minorHAnsi" w:cstheme="minorHAnsi"/>
          <w:bCs/>
          <w:sz w:val="24"/>
          <w:szCs w:val="24"/>
        </w:rPr>
      </w:pPr>
      <w:r w:rsidRPr="006D4BDC">
        <w:rPr>
          <w:rFonts w:asciiTheme="minorHAnsi" w:hAnsiTheme="minorHAnsi" w:cstheme="minorHAnsi"/>
          <w:bCs/>
          <w:sz w:val="24"/>
          <w:szCs w:val="24"/>
        </w:rPr>
        <w:t xml:space="preserve">This clause </w:t>
      </w:r>
      <w:r w:rsidR="00E421DC" w:rsidRPr="006D4BDC">
        <w:rPr>
          <w:rFonts w:asciiTheme="minorHAnsi" w:hAnsiTheme="minorHAnsi" w:cstheme="minorHAnsi"/>
          <w:bCs/>
          <w:sz w:val="24"/>
          <w:szCs w:val="24"/>
        </w:rPr>
        <w:t>substitutes section 231(1)</w:t>
      </w:r>
      <w:r w:rsidRPr="006D4BDC">
        <w:rPr>
          <w:rFonts w:asciiTheme="minorHAnsi" w:hAnsiTheme="minorHAnsi" w:cstheme="minorHAnsi"/>
          <w:bCs/>
          <w:sz w:val="24"/>
          <w:szCs w:val="24"/>
        </w:rPr>
        <w:t>.</w:t>
      </w:r>
    </w:p>
    <w:p w14:paraId="528BC309" w14:textId="0D1A5C49" w:rsidR="009A4731" w:rsidRPr="006D4BDC" w:rsidRDefault="00E421DC"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New section 231(2A)</w:t>
      </w:r>
    </w:p>
    <w:p w14:paraId="56C62036" w14:textId="44E49C8E" w:rsidR="009A4731" w:rsidRPr="006D4BDC" w:rsidRDefault="009A4731" w:rsidP="009A4731">
      <w:pPr>
        <w:spacing w:after="100" w:afterAutospacing="1"/>
        <w:rPr>
          <w:rFonts w:asciiTheme="minorHAnsi" w:hAnsiTheme="minorHAnsi" w:cstheme="minorHAnsi"/>
          <w:bCs/>
          <w:sz w:val="24"/>
          <w:szCs w:val="24"/>
        </w:rPr>
      </w:pPr>
      <w:r w:rsidRPr="006D4BDC">
        <w:rPr>
          <w:rFonts w:asciiTheme="minorHAnsi" w:hAnsiTheme="minorHAnsi" w:cstheme="minorHAnsi"/>
          <w:bCs/>
          <w:sz w:val="24"/>
          <w:szCs w:val="24"/>
        </w:rPr>
        <w:t xml:space="preserve">This clause </w:t>
      </w:r>
      <w:r w:rsidR="00E421DC" w:rsidRPr="006D4BDC">
        <w:rPr>
          <w:rFonts w:asciiTheme="minorHAnsi" w:hAnsiTheme="minorHAnsi" w:cstheme="minorHAnsi"/>
          <w:bCs/>
          <w:sz w:val="24"/>
          <w:szCs w:val="24"/>
        </w:rPr>
        <w:t>inserts a new section 231(2A)</w:t>
      </w:r>
      <w:r w:rsidRPr="006D4BDC">
        <w:rPr>
          <w:rFonts w:asciiTheme="minorHAnsi" w:hAnsiTheme="minorHAnsi" w:cstheme="minorHAnsi"/>
          <w:bCs/>
          <w:sz w:val="24"/>
          <w:szCs w:val="24"/>
        </w:rPr>
        <w:t>.</w:t>
      </w:r>
    </w:p>
    <w:p w14:paraId="09CE9FB2" w14:textId="5428125C" w:rsidR="009A4731" w:rsidRPr="006D4BDC" w:rsidRDefault="00E421DC"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Section 231(3)</w:t>
      </w:r>
    </w:p>
    <w:p w14:paraId="56D12E9A" w14:textId="7222CF48" w:rsidR="009A4731" w:rsidRDefault="009A4731" w:rsidP="009A4731">
      <w:pPr>
        <w:spacing w:after="100" w:afterAutospacing="1"/>
        <w:rPr>
          <w:rFonts w:asciiTheme="minorHAnsi" w:hAnsiTheme="minorHAnsi" w:cstheme="minorHAnsi"/>
          <w:bCs/>
          <w:sz w:val="24"/>
          <w:szCs w:val="24"/>
        </w:rPr>
      </w:pPr>
      <w:r w:rsidRPr="006D4BDC">
        <w:rPr>
          <w:rFonts w:asciiTheme="minorHAnsi" w:hAnsiTheme="minorHAnsi" w:cstheme="minorHAnsi"/>
          <w:bCs/>
          <w:sz w:val="24"/>
          <w:szCs w:val="24"/>
        </w:rPr>
        <w:t xml:space="preserve">This clause </w:t>
      </w:r>
      <w:r w:rsidR="00E421DC" w:rsidRPr="006D4BDC">
        <w:rPr>
          <w:rFonts w:asciiTheme="minorHAnsi" w:hAnsiTheme="minorHAnsi" w:cstheme="minorHAnsi"/>
          <w:bCs/>
          <w:sz w:val="24"/>
          <w:szCs w:val="24"/>
        </w:rPr>
        <w:t>is a consequential amendment and inserts the words ‘under subsection (2) or (2A)</w:t>
      </w:r>
      <w:r w:rsidR="00BE1181">
        <w:rPr>
          <w:rFonts w:asciiTheme="minorHAnsi" w:hAnsiTheme="minorHAnsi" w:cstheme="minorHAnsi"/>
          <w:bCs/>
          <w:sz w:val="24"/>
          <w:szCs w:val="24"/>
        </w:rPr>
        <w:t>’</w:t>
      </w:r>
      <w:r w:rsidRPr="006D4BDC">
        <w:rPr>
          <w:rFonts w:asciiTheme="minorHAnsi" w:hAnsiTheme="minorHAnsi" w:cstheme="minorHAnsi"/>
          <w:bCs/>
          <w:sz w:val="24"/>
          <w:szCs w:val="24"/>
        </w:rPr>
        <w:t>.</w:t>
      </w:r>
    </w:p>
    <w:p w14:paraId="31F5B9F7" w14:textId="24392F2C" w:rsidR="009A4731" w:rsidRPr="006D4BDC" w:rsidRDefault="00E421DC" w:rsidP="009A4731">
      <w:pPr>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t>Confidentiality of information</w:t>
      </w:r>
    </w:p>
    <w:p w14:paraId="3AEC0169" w14:textId="2AFCBD3C" w:rsidR="009A4731" w:rsidRPr="006D4BDC" w:rsidRDefault="009A4731" w:rsidP="009A4731">
      <w:pPr>
        <w:spacing w:after="100" w:afterAutospacing="1"/>
        <w:rPr>
          <w:rFonts w:asciiTheme="minorHAnsi" w:hAnsiTheme="minorHAnsi" w:cstheme="minorHAnsi"/>
          <w:bCs/>
          <w:sz w:val="24"/>
          <w:szCs w:val="24"/>
        </w:rPr>
      </w:pPr>
      <w:r w:rsidRPr="006D4BDC">
        <w:rPr>
          <w:rFonts w:asciiTheme="minorHAnsi" w:hAnsiTheme="minorHAnsi" w:cstheme="minorHAnsi"/>
          <w:bCs/>
          <w:sz w:val="24"/>
          <w:szCs w:val="24"/>
        </w:rPr>
        <w:t xml:space="preserve">This clause </w:t>
      </w:r>
      <w:r w:rsidR="00A51A7F">
        <w:rPr>
          <w:rFonts w:asciiTheme="minorHAnsi" w:hAnsiTheme="minorHAnsi" w:cstheme="minorHAnsi"/>
          <w:bCs/>
          <w:sz w:val="24"/>
          <w:szCs w:val="24"/>
        </w:rPr>
        <w:t xml:space="preserve">is a consequential amendment and </w:t>
      </w:r>
      <w:r w:rsidR="00E421DC" w:rsidRPr="006D4BDC">
        <w:rPr>
          <w:rFonts w:asciiTheme="minorHAnsi" w:hAnsiTheme="minorHAnsi" w:cstheme="minorHAnsi"/>
          <w:bCs/>
          <w:sz w:val="24"/>
          <w:szCs w:val="24"/>
        </w:rPr>
        <w:t>substitutes section 271(3)(c)</w:t>
      </w:r>
      <w:r w:rsidRPr="006D4BDC">
        <w:rPr>
          <w:rFonts w:asciiTheme="minorHAnsi" w:hAnsiTheme="minorHAnsi" w:cstheme="minorHAnsi"/>
          <w:bCs/>
          <w:sz w:val="24"/>
          <w:szCs w:val="24"/>
        </w:rPr>
        <w:t>.</w:t>
      </w:r>
    </w:p>
    <w:p w14:paraId="0AFEFA55" w14:textId="64F44A09" w:rsidR="009A4731" w:rsidRPr="006D4BDC" w:rsidRDefault="00E421DC" w:rsidP="000B0E3B">
      <w:pPr>
        <w:keepNext/>
        <w:numPr>
          <w:ilvl w:val="0"/>
          <w:numId w:val="1"/>
        </w:numPr>
        <w:spacing w:after="100" w:afterAutospacing="1"/>
        <w:rPr>
          <w:rFonts w:asciiTheme="minorHAnsi" w:hAnsiTheme="minorHAnsi" w:cstheme="minorHAnsi"/>
          <w:b/>
          <w:sz w:val="24"/>
          <w:szCs w:val="24"/>
        </w:rPr>
      </w:pPr>
      <w:r w:rsidRPr="006D4BDC">
        <w:rPr>
          <w:rFonts w:asciiTheme="minorHAnsi" w:hAnsiTheme="minorHAnsi" w:cstheme="minorHAnsi"/>
          <w:b/>
          <w:sz w:val="24"/>
          <w:szCs w:val="24"/>
        </w:rPr>
        <w:lastRenderedPageBreak/>
        <w:t>New section 271A</w:t>
      </w:r>
    </w:p>
    <w:p w14:paraId="72D6328B" w14:textId="0F4FEE30" w:rsidR="009A4731" w:rsidRDefault="009A4731" w:rsidP="009A4731">
      <w:pPr>
        <w:spacing w:after="100" w:afterAutospacing="1"/>
        <w:rPr>
          <w:rFonts w:asciiTheme="minorHAnsi" w:hAnsiTheme="minorHAnsi" w:cstheme="minorHAnsi"/>
          <w:bCs/>
          <w:sz w:val="24"/>
          <w:szCs w:val="24"/>
        </w:rPr>
      </w:pPr>
      <w:r w:rsidRPr="006D4BDC">
        <w:rPr>
          <w:rFonts w:asciiTheme="minorHAnsi" w:hAnsiTheme="minorHAnsi" w:cstheme="minorHAnsi"/>
          <w:bCs/>
          <w:sz w:val="24"/>
          <w:szCs w:val="24"/>
        </w:rPr>
        <w:t xml:space="preserve">This clause </w:t>
      </w:r>
      <w:r w:rsidR="00E421DC" w:rsidRPr="006D4BDC">
        <w:rPr>
          <w:rFonts w:asciiTheme="minorHAnsi" w:hAnsiTheme="minorHAnsi" w:cstheme="minorHAnsi"/>
          <w:bCs/>
          <w:sz w:val="24"/>
          <w:szCs w:val="24"/>
        </w:rPr>
        <w:t>inserts section 271A covering additional ways that the regulator may use and share information</w:t>
      </w:r>
      <w:r w:rsidRPr="006D4BDC">
        <w:rPr>
          <w:rFonts w:asciiTheme="minorHAnsi" w:hAnsiTheme="minorHAnsi" w:cstheme="minorHAnsi"/>
          <w:bCs/>
          <w:sz w:val="24"/>
          <w:szCs w:val="24"/>
        </w:rPr>
        <w:t>.</w:t>
      </w:r>
      <w:r w:rsidR="006772BD" w:rsidRPr="006772BD">
        <w:t xml:space="preserve"> </w:t>
      </w:r>
      <w:r w:rsidR="006772BD" w:rsidRPr="006772BD">
        <w:rPr>
          <w:sz w:val="24"/>
          <w:szCs w:val="24"/>
        </w:rPr>
        <w:t xml:space="preserve">This amendment is part of the nationally agreed model WHS laws. </w:t>
      </w:r>
      <w:r w:rsidR="006772BD" w:rsidRPr="006772BD">
        <w:rPr>
          <w:rFonts w:asciiTheme="minorHAnsi" w:hAnsiTheme="minorHAnsi" w:cstheme="minorHAnsi"/>
          <w:bCs/>
          <w:sz w:val="24"/>
          <w:szCs w:val="24"/>
        </w:rPr>
        <w:t xml:space="preserve">In exercising these powers, the regulator would be required to comply with the privacy obligations under the </w:t>
      </w:r>
      <w:r w:rsidR="006772BD" w:rsidRPr="006772BD">
        <w:rPr>
          <w:rFonts w:asciiTheme="minorHAnsi" w:hAnsiTheme="minorHAnsi" w:cstheme="minorHAnsi"/>
          <w:bCs/>
          <w:i/>
          <w:iCs/>
          <w:sz w:val="24"/>
          <w:szCs w:val="24"/>
        </w:rPr>
        <w:t>Privacy Act 1988</w:t>
      </w:r>
      <w:r w:rsidR="006772BD" w:rsidRPr="006772BD">
        <w:rPr>
          <w:rFonts w:asciiTheme="minorHAnsi" w:hAnsiTheme="minorHAnsi" w:cstheme="minorHAnsi"/>
          <w:bCs/>
          <w:sz w:val="24"/>
          <w:szCs w:val="24"/>
        </w:rPr>
        <w:t xml:space="preserve"> (Cwlth), the </w:t>
      </w:r>
      <w:r w:rsidR="006772BD" w:rsidRPr="006772BD">
        <w:rPr>
          <w:rFonts w:asciiTheme="minorHAnsi" w:hAnsiTheme="minorHAnsi" w:cstheme="minorHAnsi"/>
          <w:bCs/>
          <w:i/>
          <w:iCs/>
          <w:sz w:val="24"/>
          <w:szCs w:val="24"/>
        </w:rPr>
        <w:t>Information Privacy Act 2014</w:t>
      </w:r>
      <w:r w:rsidR="006772BD" w:rsidRPr="006772BD">
        <w:rPr>
          <w:rFonts w:asciiTheme="minorHAnsi" w:hAnsiTheme="minorHAnsi" w:cstheme="minorHAnsi"/>
          <w:bCs/>
          <w:sz w:val="24"/>
          <w:szCs w:val="24"/>
        </w:rPr>
        <w:t xml:space="preserve"> and </w:t>
      </w:r>
      <w:r w:rsidR="006772BD" w:rsidRPr="006772BD">
        <w:rPr>
          <w:rFonts w:asciiTheme="minorHAnsi" w:hAnsiTheme="minorHAnsi" w:cstheme="minorHAnsi"/>
          <w:bCs/>
          <w:i/>
          <w:iCs/>
          <w:sz w:val="24"/>
          <w:szCs w:val="24"/>
        </w:rPr>
        <w:t>Health Records (Privacy and Access) Act 1997</w:t>
      </w:r>
      <w:r w:rsidR="006772BD" w:rsidRPr="006772BD">
        <w:rPr>
          <w:rFonts w:asciiTheme="minorHAnsi" w:hAnsiTheme="minorHAnsi" w:cstheme="minorHAnsi"/>
          <w:bCs/>
          <w:sz w:val="24"/>
          <w:szCs w:val="24"/>
        </w:rPr>
        <w:t>.</w:t>
      </w:r>
    </w:p>
    <w:p w14:paraId="1E5DEA05" w14:textId="2259A07F" w:rsidR="009A4731" w:rsidRPr="00207D84" w:rsidRDefault="00E421DC" w:rsidP="009A4731">
      <w:pPr>
        <w:numPr>
          <w:ilvl w:val="0"/>
          <w:numId w:val="1"/>
        </w:numPr>
        <w:spacing w:after="100" w:afterAutospacing="1"/>
        <w:rPr>
          <w:rFonts w:asciiTheme="minorHAnsi" w:hAnsiTheme="minorHAnsi" w:cstheme="minorHAnsi"/>
          <w:b/>
          <w:sz w:val="24"/>
          <w:szCs w:val="24"/>
        </w:rPr>
      </w:pPr>
      <w:r w:rsidRPr="00207D84">
        <w:rPr>
          <w:rFonts w:asciiTheme="minorHAnsi" w:hAnsiTheme="minorHAnsi" w:cstheme="minorHAnsi"/>
          <w:b/>
          <w:sz w:val="24"/>
          <w:szCs w:val="24"/>
        </w:rPr>
        <w:t>New section 272A and 272B</w:t>
      </w:r>
    </w:p>
    <w:p w14:paraId="13E78E79" w14:textId="564B9E26" w:rsidR="009A4731" w:rsidRDefault="009A4731" w:rsidP="009A4731">
      <w:pPr>
        <w:spacing w:after="100" w:afterAutospacing="1"/>
        <w:rPr>
          <w:rFonts w:asciiTheme="minorHAnsi" w:hAnsiTheme="minorHAnsi" w:cstheme="minorHAnsi"/>
          <w:bCs/>
          <w:sz w:val="24"/>
          <w:szCs w:val="24"/>
        </w:rPr>
      </w:pPr>
      <w:r w:rsidRPr="00207D84">
        <w:rPr>
          <w:rFonts w:asciiTheme="minorHAnsi" w:hAnsiTheme="minorHAnsi" w:cstheme="minorHAnsi"/>
          <w:bCs/>
          <w:sz w:val="24"/>
          <w:szCs w:val="24"/>
        </w:rPr>
        <w:t xml:space="preserve">This clause </w:t>
      </w:r>
      <w:r w:rsidR="00E421DC" w:rsidRPr="00207D84">
        <w:rPr>
          <w:rFonts w:asciiTheme="minorHAnsi" w:hAnsiTheme="minorHAnsi" w:cstheme="minorHAnsi"/>
          <w:bCs/>
          <w:sz w:val="24"/>
          <w:szCs w:val="24"/>
        </w:rPr>
        <w:t>inserts section 272A (No insurance or other indemnity against penalties) and section 272B (Liability of officers for offences by body corporate under section 272A)</w:t>
      </w:r>
      <w:r w:rsidR="00207D84" w:rsidRPr="00207D84">
        <w:rPr>
          <w:rFonts w:asciiTheme="minorHAnsi" w:hAnsiTheme="minorHAnsi" w:cstheme="minorHAnsi"/>
          <w:bCs/>
          <w:sz w:val="24"/>
          <w:szCs w:val="24"/>
        </w:rPr>
        <w:t xml:space="preserve"> which prevents PCBUs from entering into contracts of insurance to cover liabilities arising from financial penalties issued under the WHS Act for breach of duty</w:t>
      </w:r>
      <w:r w:rsidRPr="00207D84">
        <w:rPr>
          <w:rFonts w:asciiTheme="minorHAnsi" w:hAnsiTheme="minorHAnsi" w:cstheme="minorHAnsi"/>
          <w:bCs/>
          <w:sz w:val="24"/>
          <w:szCs w:val="24"/>
        </w:rPr>
        <w:t>.</w:t>
      </w:r>
      <w:r w:rsidR="00E421DC" w:rsidRPr="00207D84">
        <w:rPr>
          <w:rFonts w:asciiTheme="minorHAnsi" w:hAnsiTheme="minorHAnsi" w:cstheme="minorHAnsi"/>
          <w:bCs/>
          <w:sz w:val="24"/>
          <w:szCs w:val="24"/>
        </w:rPr>
        <w:t xml:space="preserve"> </w:t>
      </w:r>
    </w:p>
    <w:p w14:paraId="35516477" w14:textId="7E158A85" w:rsidR="009A4731" w:rsidRPr="00B35D94" w:rsidRDefault="00E421DC" w:rsidP="009A4731">
      <w:pPr>
        <w:numPr>
          <w:ilvl w:val="0"/>
          <w:numId w:val="1"/>
        </w:numPr>
        <w:spacing w:after="100" w:afterAutospacing="1"/>
        <w:rPr>
          <w:rFonts w:asciiTheme="minorHAnsi" w:hAnsiTheme="minorHAnsi" w:cstheme="minorHAnsi"/>
          <w:b/>
          <w:i/>
          <w:iCs/>
          <w:sz w:val="24"/>
          <w:szCs w:val="24"/>
        </w:rPr>
      </w:pPr>
      <w:r w:rsidRPr="00B35D94">
        <w:rPr>
          <w:rFonts w:asciiTheme="minorHAnsi" w:hAnsiTheme="minorHAnsi" w:cstheme="minorHAnsi"/>
          <w:b/>
          <w:sz w:val="24"/>
          <w:szCs w:val="24"/>
        </w:rPr>
        <w:t xml:space="preserve">Dictionary, new definition of </w:t>
      </w:r>
      <w:r w:rsidRPr="00B35D94">
        <w:rPr>
          <w:rFonts w:asciiTheme="minorHAnsi" w:hAnsiTheme="minorHAnsi" w:cstheme="minorHAnsi"/>
          <w:b/>
          <w:i/>
          <w:iCs/>
          <w:sz w:val="24"/>
          <w:szCs w:val="24"/>
        </w:rPr>
        <w:t>sexual assault incident</w:t>
      </w:r>
    </w:p>
    <w:p w14:paraId="0E87FF07" w14:textId="4DA42D1C" w:rsidR="009A4731" w:rsidRDefault="009A4731" w:rsidP="009A4731">
      <w:pPr>
        <w:spacing w:after="100" w:afterAutospacing="1"/>
        <w:rPr>
          <w:rFonts w:asciiTheme="minorHAnsi" w:hAnsiTheme="minorHAnsi" w:cstheme="minorHAnsi"/>
          <w:bCs/>
          <w:sz w:val="24"/>
          <w:szCs w:val="24"/>
        </w:rPr>
      </w:pPr>
      <w:r w:rsidRPr="00B35D94">
        <w:rPr>
          <w:rFonts w:asciiTheme="minorHAnsi" w:hAnsiTheme="minorHAnsi" w:cstheme="minorHAnsi"/>
          <w:bCs/>
          <w:sz w:val="24"/>
          <w:szCs w:val="24"/>
        </w:rPr>
        <w:t xml:space="preserve">This clause </w:t>
      </w:r>
      <w:r w:rsidR="00E421DC" w:rsidRPr="00B35D94">
        <w:rPr>
          <w:rFonts w:asciiTheme="minorHAnsi" w:hAnsiTheme="minorHAnsi" w:cstheme="minorHAnsi"/>
          <w:bCs/>
          <w:sz w:val="24"/>
          <w:szCs w:val="24"/>
        </w:rPr>
        <w:t xml:space="preserve">inserts the </w:t>
      </w:r>
      <w:r w:rsidR="00DC1F94">
        <w:rPr>
          <w:rFonts w:asciiTheme="minorHAnsi" w:hAnsiTheme="minorHAnsi" w:cstheme="minorHAnsi"/>
          <w:bCs/>
          <w:sz w:val="24"/>
          <w:szCs w:val="24"/>
        </w:rPr>
        <w:t xml:space="preserve">definition of </w:t>
      </w:r>
      <w:r w:rsidR="00E421DC" w:rsidRPr="00B35D94">
        <w:rPr>
          <w:rFonts w:asciiTheme="minorHAnsi" w:hAnsiTheme="minorHAnsi" w:cstheme="minorHAnsi"/>
          <w:bCs/>
          <w:sz w:val="24"/>
          <w:szCs w:val="24"/>
        </w:rPr>
        <w:t>sexual assault incident into the dictionary</w:t>
      </w:r>
      <w:r w:rsidRPr="00B35D94">
        <w:rPr>
          <w:rFonts w:asciiTheme="minorHAnsi" w:hAnsiTheme="minorHAnsi" w:cstheme="minorHAnsi"/>
          <w:bCs/>
          <w:sz w:val="24"/>
          <w:szCs w:val="24"/>
        </w:rPr>
        <w:t>.</w:t>
      </w:r>
    </w:p>
    <w:p w14:paraId="23A725D7" w14:textId="77777777" w:rsidR="009A4731" w:rsidRDefault="009A4731" w:rsidP="009A4731">
      <w:pPr>
        <w:spacing w:after="100" w:afterAutospacing="1"/>
        <w:rPr>
          <w:rFonts w:asciiTheme="minorHAnsi" w:hAnsiTheme="minorHAnsi" w:cstheme="minorHAnsi"/>
          <w:bCs/>
          <w:sz w:val="24"/>
          <w:szCs w:val="24"/>
        </w:rPr>
      </w:pPr>
    </w:p>
    <w:p w14:paraId="751EB470" w14:textId="747B3E21" w:rsidR="009A4731" w:rsidRPr="00B35D94" w:rsidRDefault="009A4731" w:rsidP="009A4731">
      <w:pPr>
        <w:spacing w:after="100" w:afterAutospacing="1"/>
        <w:rPr>
          <w:rFonts w:asciiTheme="minorHAnsi" w:hAnsiTheme="minorHAnsi" w:cstheme="minorHAnsi"/>
          <w:b/>
          <w:sz w:val="28"/>
          <w:szCs w:val="28"/>
        </w:rPr>
      </w:pPr>
      <w:r w:rsidRPr="00B35D94">
        <w:rPr>
          <w:rFonts w:asciiTheme="minorHAnsi" w:hAnsiTheme="minorHAnsi" w:cstheme="minorHAnsi"/>
          <w:b/>
          <w:sz w:val="28"/>
          <w:szCs w:val="28"/>
        </w:rPr>
        <w:t xml:space="preserve">Part </w:t>
      </w:r>
      <w:r w:rsidR="00541AFC">
        <w:rPr>
          <w:rFonts w:asciiTheme="minorHAnsi" w:hAnsiTheme="minorHAnsi" w:cstheme="minorHAnsi"/>
          <w:b/>
          <w:sz w:val="28"/>
          <w:szCs w:val="28"/>
        </w:rPr>
        <w:t>5</w:t>
      </w:r>
      <w:r w:rsidRPr="00B35D94">
        <w:rPr>
          <w:rFonts w:asciiTheme="minorHAnsi" w:hAnsiTheme="minorHAnsi" w:cstheme="minorHAnsi"/>
          <w:b/>
          <w:sz w:val="28"/>
          <w:szCs w:val="28"/>
        </w:rPr>
        <w:t xml:space="preserve"> </w:t>
      </w:r>
      <w:r w:rsidRPr="00B35D94">
        <w:rPr>
          <w:rFonts w:asciiTheme="minorHAnsi" w:hAnsiTheme="minorHAnsi" w:cstheme="minorHAnsi"/>
          <w:b/>
          <w:sz w:val="28"/>
          <w:szCs w:val="28"/>
        </w:rPr>
        <w:tab/>
        <w:t>Work Health and Safety Regulation 2011</w:t>
      </w:r>
    </w:p>
    <w:p w14:paraId="35FD18BC" w14:textId="1A9002A0" w:rsidR="009A4731" w:rsidRPr="00B35D94" w:rsidRDefault="00E421DC" w:rsidP="009A4731">
      <w:pPr>
        <w:numPr>
          <w:ilvl w:val="0"/>
          <w:numId w:val="1"/>
        </w:numPr>
        <w:spacing w:after="100" w:afterAutospacing="1"/>
        <w:rPr>
          <w:rFonts w:asciiTheme="minorHAnsi" w:hAnsiTheme="minorHAnsi" w:cstheme="minorHAnsi"/>
          <w:b/>
          <w:sz w:val="24"/>
          <w:szCs w:val="24"/>
        </w:rPr>
      </w:pPr>
      <w:r w:rsidRPr="00B35D94">
        <w:rPr>
          <w:rFonts w:asciiTheme="minorHAnsi" w:hAnsiTheme="minorHAnsi" w:cstheme="minorHAnsi"/>
          <w:b/>
          <w:sz w:val="24"/>
          <w:szCs w:val="24"/>
        </w:rPr>
        <w:t>Section 13, new note</w:t>
      </w:r>
    </w:p>
    <w:p w14:paraId="49AABB70" w14:textId="2DFF0487" w:rsidR="009A4731" w:rsidRDefault="009A4731" w:rsidP="009A4731">
      <w:pPr>
        <w:spacing w:after="100" w:afterAutospacing="1"/>
        <w:rPr>
          <w:rFonts w:asciiTheme="minorHAnsi" w:hAnsiTheme="minorHAnsi" w:cstheme="minorHAnsi"/>
          <w:bCs/>
          <w:sz w:val="24"/>
          <w:szCs w:val="24"/>
        </w:rPr>
      </w:pPr>
      <w:r w:rsidRPr="00447A09">
        <w:rPr>
          <w:rFonts w:asciiTheme="minorHAnsi" w:hAnsiTheme="minorHAnsi" w:cstheme="minorHAnsi"/>
          <w:bCs/>
          <w:sz w:val="24"/>
          <w:szCs w:val="24"/>
        </w:rPr>
        <w:t xml:space="preserve">This clause </w:t>
      </w:r>
      <w:r w:rsidR="00E421DC" w:rsidRPr="00447A09">
        <w:rPr>
          <w:rFonts w:asciiTheme="minorHAnsi" w:hAnsiTheme="minorHAnsi" w:cstheme="minorHAnsi"/>
          <w:bCs/>
          <w:sz w:val="24"/>
          <w:szCs w:val="24"/>
        </w:rPr>
        <w:t>inserts a note at section 13 to clarify the application of the Australian Standard or Australian/New Zealand Standard to the WHS Regulation</w:t>
      </w:r>
      <w:r w:rsidRPr="00447A09">
        <w:rPr>
          <w:rFonts w:asciiTheme="minorHAnsi" w:hAnsiTheme="minorHAnsi" w:cstheme="minorHAnsi"/>
          <w:bCs/>
          <w:sz w:val="24"/>
          <w:szCs w:val="24"/>
        </w:rPr>
        <w:t>.</w:t>
      </w:r>
      <w:r w:rsidR="00207D84" w:rsidRPr="00207D84">
        <w:rPr>
          <w:rFonts w:asciiTheme="minorHAnsi" w:hAnsiTheme="minorHAnsi" w:cstheme="minorHAnsi"/>
          <w:bCs/>
          <w:color w:val="FF0000"/>
          <w:sz w:val="24"/>
          <w:szCs w:val="24"/>
        </w:rPr>
        <w:t xml:space="preserve"> </w:t>
      </w:r>
    </w:p>
    <w:p w14:paraId="690C9481" w14:textId="32C0E9C3" w:rsidR="00E421DC" w:rsidRDefault="00E421DC" w:rsidP="009A4731">
      <w:pPr>
        <w:spacing w:after="100" w:afterAutospacing="1"/>
        <w:rPr>
          <w:rFonts w:asciiTheme="minorHAnsi" w:hAnsiTheme="minorHAnsi" w:cstheme="minorHAnsi"/>
          <w:bCs/>
          <w:sz w:val="24"/>
          <w:szCs w:val="24"/>
        </w:rPr>
      </w:pPr>
      <w:r>
        <w:rPr>
          <w:rFonts w:asciiTheme="minorHAnsi" w:hAnsiTheme="minorHAnsi" w:cstheme="minorHAnsi"/>
          <w:bCs/>
          <w:sz w:val="24"/>
          <w:szCs w:val="24"/>
        </w:rPr>
        <w:t xml:space="preserve">Section 164 of the </w:t>
      </w:r>
      <w:r w:rsidRPr="00E421DC">
        <w:rPr>
          <w:rFonts w:asciiTheme="minorHAnsi" w:hAnsiTheme="minorHAnsi" w:cstheme="minorHAnsi"/>
          <w:bCs/>
          <w:i/>
          <w:iCs/>
          <w:sz w:val="24"/>
          <w:szCs w:val="24"/>
        </w:rPr>
        <w:t>Legislation Act 2001</w:t>
      </w:r>
      <w:r>
        <w:rPr>
          <w:rFonts w:asciiTheme="minorHAnsi" w:hAnsiTheme="minorHAnsi" w:cstheme="minorHAnsi"/>
          <w:bCs/>
          <w:sz w:val="24"/>
          <w:szCs w:val="24"/>
        </w:rPr>
        <w:t xml:space="preserve"> outlines the requirements that apply to references to Australian Standards.</w:t>
      </w:r>
    </w:p>
    <w:p w14:paraId="124F6233" w14:textId="4A213454" w:rsidR="009A4731" w:rsidRPr="00E81144" w:rsidRDefault="00E421DC" w:rsidP="009A4731">
      <w:pPr>
        <w:numPr>
          <w:ilvl w:val="0"/>
          <w:numId w:val="1"/>
        </w:numPr>
        <w:spacing w:after="100" w:afterAutospacing="1"/>
        <w:rPr>
          <w:rFonts w:asciiTheme="minorHAnsi" w:hAnsiTheme="minorHAnsi" w:cstheme="minorHAnsi"/>
          <w:b/>
          <w:sz w:val="24"/>
          <w:szCs w:val="24"/>
        </w:rPr>
      </w:pPr>
      <w:r w:rsidRPr="00E81144">
        <w:rPr>
          <w:rFonts w:asciiTheme="minorHAnsi" w:hAnsiTheme="minorHAnsi" w:cstheme="minorHAnsi"/>
          <w:b/>
          <w:sz w:val="24"/>
          <w:szCs w:val="24"/>
        </w:rPr>
        <w:t>New section 238(3)</w:t>
      </w:r>
    </w:p>
    <w:p w14:paraId="0A76E9EA" w14:textId="6406ACED" w:rsidR="009A4731" w:rsidRPr="00E81144" w:rsidRDefault="009A4731" w:rsidP="009A4731">
      <w:pPr>
        <w:spacing w:after="100" w:afterAutospacing="1"/>
        <w:rPr>
          <w:rFonts w:asciiTheme="minorHAnsi" w:hAnsiTheme="minorHAnsi" w:cstheme="minorHAnsi"/>
          <w:bCs/>
          <w:sz w:val="24"/>
          <w:szCs w:val="24"/>
        </w:rPr>
      </w:pPr>
      <w:r w:rsidRPr="00E81144">
        <w:rPr>
          <w:rFonts w:asciiTheme="minorHAnsi" w:hAnsiTheme="minorHAnsi" w:cstheme="minorHAnsi"/>
          <w:bCs/>
          <w:sz w:val="24"/>
          <w:szCs w:val="24"/>
        </w:rPr>
        <w:t xml:space="preserve">This clause </w:t>
      </w:r>
      <w:r w:rsidR="00E421DC" w:rsidRPr="00E81144">
        <w:rPr>
          <w:rFonts w:asciiTheme="minorHAnsi" w:hAnsiTheme="minorHAnsi" w:cstheme="minorHAnsi"/>
          <w:bCs/>
          <w:sz w:val="24"/>
          <w:szCs w:val="24"/>
        </w:rPr>
        <w:t>inserts section 238(3)</w:t>
      </w:r>
      <w:r w:rsidRPr="00E81144">
        <w:rPr>
          <w:rFonts w:asciiTheme="minorHAnsi" w:hAnsiTheme="minorHAnsi" w:cstheme="minorHAnsi"/>
          <w:bCs/>
          <w:sz w:val="24"/>
          <w:szCs w:val="24"/>
        </w:rPr>
        <w:t>.</w:t>
      </w:r>
    </w:p>
    <w:p w14:paraId="0EF87001" w14:textId="76225073" w:rsidR="009A4731" w:rsidRPr="00E81144" w:rsidRDefault="00E421DC" w:rsidP="009A4731">
      <w:pPr>
        <w:numPr>
          <w:ilvl w:val="0"/>
          <w:numId w:val="1"/>
        </w:numPr>
        <w:spacing w:after="100" w:afterAutospacing="1"/>
        <w:rPr>
          <w:rFonts w:asciiTheme="minorHAnsi" w:hAnsiTheme="minorHAnsi" w:cstheme="minorHAnsi"/>
          <w:b/>
          <w:sz w:val="24"/>
          <w:szCs w:val="24"/>
        </w:rPr>
      </w:pPr>
      <w:r w:rsidRPr="00E81144">
        <w:rPr>
          <w:rFonts w:asciiTheme="minorHAnsi" w:hAnsiTheme="minorHAnsi" w:cstheme="minorHAnsi"/>
          <w:b/>
          <w:sz w:val="24"/>
          <w:szCs w:val="24"/>
        </w:rPr>
        <w:t>Section 242(1)(a)</w:t>
      </w:r>
    </w:p>
    <w:p w14:paraId="6BEDA077" w14:textId="0F0ECEEC" w:rsidR="009A4731" w:rsidRDefault="009A4731" w:rsidP="009A4731">
      <w:pPr>
        <w:spacing w:after="100" w:afterAutospacing="1"/>
        <w:rPr>
          <w:rFonts w:asciiTheme="minorHAnsi" w:hAnsiTheme="minorHAnsi" w:cstheme="minorHAnsi"/>
          <w:bCs/>
          <w:sz w:val="24"/>
          <w:szCs w:val="24"/>
        </w:rPr>
      </w:pPr>
      <w:r w:rsidRPr="00E81144">
        <w:rPr>
          <w:rFonts w:asciiTheme="minorHAnsi" w:hAnsiTheme="minorHAnsi" w:cstheme="minorHAnsi"/>
          <w:bCs/>
          <w:sz w:val="24"/>
          <w:szCs w:val="24"/>
        </w:rPr>
        <w:t xml:space="preserve">This clause </w:t>
      </w:r>
      <w:r w:rsidR="00E81144" w:rsidRPr="00E81144">
        <w:rPr>
          <w:rFonts w:asciiTheme="minorHAnsi" w:hAnsiTheme="minorHAnsi" w:cstheme="minorHAnsi"/>
          <w:bCs/>
          <w:sz w:val="24"/>
          <w:szCs w:val="24"/>
        </w:rPr>
        <w:t>substitutes</w:t>
      </w:r>
      <w:r w:rsidR="00E421DC" w:rsidRPr="00E81144">
        <w:rPr>
          <w:rFonts w:asciiTheme="minorHAnsi" w:hAnsiTheme="minorHAnsi" w:cstheme="minorHAnsi"/>
          <w:bCs/>
          <w:sz w:val="24"/>
          <w:szCs w:val="24"/>
        </w:rPr>
        <w:t xml:space="preserve"> </w:t>
      </w:r>
      <w:r w:rsidR="00E81144" w:rsidRPr="00E81144">
        <w:rPr>
          <w:rFonts w:asciiTheme="minorHAnsi" w:hAnsiTheme="minorHAnsi" w:cstheme="minorHAnsi"/>
          <w:bCs/>
          <w:sz w:val="24"/>
          <w:szCs w:val="24"/>
        </w:rPr>
        <w:t>section 242(1)(a)</w:t>
      </w:r>
      <w:r w:rsidRPr="00E81144">
        <w:rPr>
          <w:rFonts w:asciiTheme="minorHAnsi" w:hAnsiTheme="minorHAnsi" w:cstheme="minorHAnsi"/>
          <w:bCs/>
          <w:sz w:val="24"/>
          <w:szCs w:val="24"/>
        </w:rPr>
        <w:t>.</w:t>
      </w:r>
    </w:p>
    <w:p w14:paraId="4624FA64" w14:textId="010CD6E5" w:rsidR="009D4619" w:rsidRDefault="009D4619" w:rsidP="009A4731">
      <w:pPr>
        <w:spacing w:after="100" w:afterAutospacing="1"/>
        <w:rPr>
          <w:rFonts w:asciiTheme="minorHAnsi" w:hAnsiTheme="minorHAnsi" w:cstheme="minorHAnsi"/>
          <w:bCs/>
          <w:sz w:val="24"/>
          <w:szCs w:val="24"/>
        </w:rPr>
      </w:pPr>
    </w:p>
    <w:p w14:paraId="649CCDAE" w14:textId="77777777" w:rsidR="00434292" w:rsidRDefault="00434292" w:rsidP="009A4731">
      <w:pPr>
        <w:spacing w:after="100" w:afterAutospacing="1"/>
        <w:rPr>
          <w:rFonts w:asciiTheme="minorHAnsi" w:hAnsiTheme="minorHAnsi" w:cstheme="minorHAnsi"/>
          <w:bCs/>
          <w:sz w:val="24"/>
          <w:szCs w:val="24"/>
        </w:rPr>
      </w:pPr>
    </w:p>
    <w:p w14:paraId="1631E7B9" w14:textId="3FFAEFAD" w:rsidR="009A4731" w:rsidRPr="00E81144" w:rsidRDefault="00E81144" w:rsidP="009A4731">
      <w:pPr>
        <w:numPr>
          <w:ilvl w:val="0"/>
          <w:numId w:val="1"/>
        </w:numPr>
        <w:spacing w:after="100" w:afterAutospacing="1"/>
        <w:rPr>
          <w:rFonts w:asciiTheme="minorHAnsi" w:hAnsiTheme="minorHAnsi" w:cstheme="minorHAnsi"/>
          <w:b/>
          <w:sz w:val="24"/>
          <w:szCs w:val="24"/>
        </w:rPr>
      </w:pPr>
      <w:r w:rsidRPr="00E81144">
        <w:rPr>
          <w:rFonts w:asciiTheme="minorHAnsi" w:hAnsiTheme="minorHAnsi" w:cstheme="minorHAnsi"/>
          <w:b/>
          <w:sz w:val="24"/>
          <w:szCs w:val="24"/>
        </w:rPr>
        <w:lastRenderedPageBreak/>
        <w:t>New section 242(1A)</w:t>
      </w:r>
    </w:p>
    <w:p w14:paraId="13936CAA" w14:textId="067B7C44" w:rsidR="009A4731" w:rsidRPr="00E81144" w:rsidRDefault="009A4731" w:rsidP="009A4731">
      <w:pPr>
        <w:spacing w:after="100" w:afterAutospacing="1"/>
        <w:rPr>
          <w:rFonts w:asciiTheme="minorHAnsi" w:hAnsiTheme="minorHAnsi" w:cstheme="minorHAnsi"/>
          <w:bCs/>
          <w:sz w:val="24"/>
          <w:szCs w:val="24"/>
        </w:rPr>
      </w:pPr>
      <w:r w:rsidRPr="00E81144">
        <w:rPr>
          <w:rFonts w:asciiTheme="minorHAnsi" w:hAnsiTheme="minorHAnsi" w:cstheme="minorHAnsi"/>
          <w:bCs/>
          <w:sz w:val="24"/>
          <w:szCs w:val="24"/>
        </w:rPr>
        <w:t xml:space="preserve">This clause </w:t>
      </w:r>
      <w:r w:rsidR="00E81144" w:rsidRPr="00E81144">
        <w:rPr>
          <w:rFonts w:asciiTheme="minorHAnsi" w:hAnsiTheme="minorHAnsi" w:cstheme="minorHAnsi"/>
          <w:bCs/>
          <w:sz w:val="24"/>
          <w:szCs w:val="24"/>
        </w:rPr>
        <w:t>inserts section 242(1A) in relation to the record requirements of log books for an amusement device</w:t>
      </w:r>
      <w:r w:rsidRPr="00E81144">
        <w:rPr>
          <w:rFonts w:asciiTheme="minorHAnsi" w:hAnsiTheme="minorHAnsi" w:cstheme="minorHAnsi"/>
          <w:bCs/>
          <w:sz w:val="24"/>
          <w:szCs w:val="24"/>
        </w:rPr>
        <w:t>.</w:t>
      </w:r>
    </w:p>
    <w:p w14:paraId="19BC820A" w14:textId="72256B5C" w:rsidR="009A4731" w:rsidRPr="00E81144" w:rsidRDefault="00E81144" w:rsidP="009A4731">
      <w:pPr>
        <w:numPr>
          <w:ilvl w:val="0"/>
          <w:numId w:val="1"/>
        </w:numPr>
        <w:spacing w:after="100" w:afterAutospacing="1"/>
        <w:rPr>
          <w:rFonts w:asciiTheme="minorHAnsi" w:hAnsiTheme="minorHAnsi" w:cstheme="minorHAnsi"/>
          <w:b/>
          <w:sz w:val="24"/>
          <w:szCs w:val="24"/>
        </w:rPr>
      </w:pPr>
      <w:r w:rsidRPr="00E81144">
        <w:rPr>
          <w:rFonts w:asciiTheme="minorHAnsi" w:hAnsiTheme="minorHAnsi" w:cstheme="minorHAnsi"/>
          <w:b/>
          <w:sz w:val="24"/>
          <w:szCs w:val="24"/>
        </w:rPr>
        <w:t>Section 242(2)(a)</w:t>
      </w:r>
    </w:p>
    <w:p w14:paraId="6FD569A9" w14:textId="3A83057C" w:rsidR="009A4731" w:rsidRPr="00E81144" w:rsidRDefault="009A4731" w:rsidP="009A4731">
      <w:pPr>
        <w:spacing w:after="100" w:afterAutospacing="1"/>
        <w:rPr>
          <w:rFonts w:asciiTheme="minorHAnsi" w:hAnsiTheme="minorHAnsi" w:cstheme="minorHAnsi"/>
          <w:bCs/>
          <w:sz w:val="24"/>
          <w:szCs w:val="24"/>
        </w:rPr>
      </w:pPr>
      <w:r w:rsidRPr="00E81144">
        <w:rPr>
          <w:rFonts w:asciiTheme="minorHAnsi" w:hAnsiTheme="minorHAnsi" w:cstheme="minorHAnsi"/>
          <w:bCs/>
          <w:sz w:val="24"/>
          <w:szCs w:val="24"/>
        </w:rPr>
        <w:t xml:space="preserve">This clause </w:t>
      </w:r>
      <w:r w:rsidR="00E81144" w:rsidRPr="00E81144">
        <w:rPr>
          <w:rFonts w:asciiTheme="minorHAnsi" w:hAnsiTheme="minorHAnsi" w:cstheme="minorHAnsi"/>
          <w:bCs/>
          <w:sz w:val="24"/>
          <w:szCs w:val="24"/>
        </w:rPr>
        <w:t>substitutes section 242(2)(a)</w:t>
      </w:r>
      <w:r w:rsidRPr="00E81144">
        <w:rPr>
          <w:rFonts w:asciiTheme="minorHAnsi" w:hAnsiTheme="minorHAnsi" w:cstheme="minorHAnsi"/>
          <w:bCs/>
          <w:sz w:val="24"/>
          <w:szCs w:val="24"/>
        </w:rPr>
        <w:t>.</w:t>
      </w:r>
    </w:p>
    <w:p w14:paraId="694362CA" w14:textId="15CD9C08" w:rsidR="009A4731" w:rsidRPr="00E81144" w:rsidRDefault="00E81144" w:rsidP="009A4731">
      <w:pPr>
        <w:numPr>
          <w:ilvl w:val="0"/>
          <w:numId w:val="1"/>
        </w:numPr>
        <w:spacing w:after="100" w:afterAutospacing="1"/>
        <w:rPr>
          <w:rFonts w:asciiTheme="minorHAnsi" w:hAnsiTheme="minorHAnsi" w:cstheme="minorHAnsi"/>
          <w:b/>
          <w:sz w:val="24"/>
          <w:szCs w:val="24"/>
        </w:rPr>
      </w:pPr>
      <w:r w:rsidRPr="00E81144">
        <w:rPr>
          <w:rFonts w:asciiTheme="minorHAnsi" w:hAnsiTheme="minorHAnsi" w:cstheme="minorHAnsi"/>
          <w:b/>
          <w:sz w:val="24"/>
          <w:szCs w:val="24"/>
        </w:rPr>
        <w:t>Section 242(2), note 2</w:t>
      </w:r>
    </w:p>
    <w:p w14:paraId="5931DCE3" w14:textId="22AFA806" w:rsidR="009A4731" w:rsidRPr="00E81144" w:rsidRDefault="009A4731" w:rsidP="009A4731">
      <w:pPr>
        <w:spacing w:after="100" w:afterAutospacing="1"/>
        <w:rPr>
          <w:rFonts w:asciiTheme="minorHAnsi" w:hAnsiTheme="minorHAnsi" w:cstheme="minorHAnsi"/>
          <w:bCs/>
          <w:sz w:val="24"/>
          <w:szCs w:val="24"/>
        </w:rPr>
      </w:pPr>
      <w:r w:rsidRPr="00E81144">
        <w:rPr>
          <w:rFonts w:asciiTheme="minorHAnsi" w:hAnsiTheme="minorHAnsi" w:cstheme="minorHAnsi"/>
          <w:bCs/>
          <w:sz w:val="24"/>
          <w:szCs w:val="24"/>
        </w:rPr>
        <w:t xml:space="preserve">This clause omits </w:t>
      </w:r>
      <w:r w:rsidR="00E81144" w:rsidRPr="00E81144">
        <w:rPr>
          <w:rFonts w:asciiTheme="minorHAnsi" w:hAnsiTheme="minorHAnsi" w:cstheme="minorHAnsi"/>
          <w:bCs/>
          <w:sz w:val="24"/>
          <w:szCs w:val="24"/>
        </w:rPr>
        <w:t>note 2</w:t>
      </w:r>
      <w:r w:rsidRPr="00E81144">
        <w:rPr>
          <w:rFonts w:asciiTheme="minorHAnsi" w:hAnsiTheme="minorHAnsi" w:cstheme="minorHAnsi"/>
          <w:bCs/>
          <w:sz w:val="24"/>
          <w:szCs w:val="24"/>
        </w:rPr>
        <w:t>.</w:t>
      </w:r>
    </w:p>
    <w:p w14:paraId="68F3D3D1" w14:textId="40F28C0E" w:rsidR="009A4731" w:rsidRPr="00E81144" w:rsidRDefault="00E81144" w:rsidP="009A4731">
      <w:pPr>
        <w:numPr>
          <w:ilvl w:val="0"/>
          <w:numId w:val="1"/>
        </w:numPr>
        <w:spacing w:after="100" w:afterAutospacing="1"/>
        <w:rPr>
          <w:rFonts w:asciiTheme="minorHAnsi" w:hAnsiTheme="minorHAnsi" w:cstheme="minorHAnsi"/>
          <w:b/>
          <w:sz w:val="24"/>
          <w:szCs w:val="24"/>
        </w:rPr>
      </w:pPr>
      <w:r w:rsidRPr="00E81144">
        <w:rPr>
          <w:rFonts w:asciiTheme="minorHAnsi" w:hAnsiTheme="minorHAnsi" w:cstheme="minorHAnsi"/>
          <w:b/>
          <w:sz w:val="24"/>
          <w:szCs w:val="24"/>
        </w:rPr>
        <w:t>New section 242(3) and (4)</w:t>
      </w:r>
    </w:p>
    <w:p w14:paraId="6D11F395" w14:textId="01ECE085" w:rsidR="009A4731" w:rsidRDefault="009A4731" w:rsidP="009A4731">
      <w:pPr>
        <w:spacing w:after="100" w:afterAutospacing="1"/>
        <w:rPr>
          <w:rFonts w:asciiTheme="minorHAnsi" w:hAnsiTheme="minorHAnsi" w:cstheme="minorHAnsi"/>
          <w:bCs/>
          <w:sz w:val="24"/>
          <w:szCs w:val="24"/>
        </w:rPr>
      </w:pPr>
      <w:r w:rsidRPr="00E81144">
        <w:rPr>
          <w:rFonts w:asciiTheme="minorHAnsi" w:hAnsiTheme="minorHAnsi" w:cstheme="minorHAnsi"/>
          <w:bCs/>
          <w:sz w:val="24"/>
          <w:szCs w:val="24"/>
        </w:rPr>
        <w:t xml:space="preserve">This clause </w:t>
      </w:r>
      <w:r w:rsidR="00E81144" w:rsidRPr="00E81144">
        <w:rPr>
          <w:rFonts w:asciiTheme="minorHAnsi" w:hAnsiTheme="minorHAnsi" w:cstheme="minorHAnsi"/>
          <w:bCs/>
          <w:sz w:val="24"/>
          <w:szCs w:val="24"/>
        </w:rPr>
        <w:t>inserts section 242(3) and (4)</w:t>
      </w:r>
      <w:r w:rsidRPr="00E81144">
        <w:rPr>
          <w:rFonts w:asciiTheme="minorHAnsi" w:hAnsiTheme="minorHAnsi" w:cstheme="minorHAnsi"/>
          <w:bCs/>
          <w:sz w:val="24"/>
          <w:szCs w:val="24"/>
        </w:rPr>
        <w:t>.</w:t>
      </w:r>
    </w:p>
    <w:p w14:paraId="3A5CBF6E" w14:textId="17EE2716" w:rsidR="000E5D12" w:rsidRDefault="000E5D12" w:rsidP="00C22F1B">
      <w:pPr>
        <w:spacing w:after="100" w:afterAutospacing="1"/>
        <w:rPr>
          <w:rFonts w:asciiTheme="minorHAnsi" w:hAnsiTheme="minorHAnsi" w:cstheme="minorHAnsi"/>
          <w:b/>
          <w:sz w:val="24"/>
          <w:szCs w:val="24"/>
        </w:rPr>
      </w:pPr>
    </w:p>
    <w:p w14:paraId="265E4658" w14:textId="77777777" w:rsidR="009A4731" w:rsidRPr="0022005A" w:rsidRDefault="009A4731" w:rsidP="00C22F1B">
      <w:pPr>
        <w:spacing w:after="100" w:afterAutospacing="1"/>
        <w:rPr>
          <w:rFonts w:asciiTheme="minorHAnsi" w:hAnsiTheme="minorHAnsi" w:cstheme="minorHAnsi"/>
          <w:b/>
          <w:sz w:val="24"/>
          <w:szCs w:val="24"/>
        </w:rPr>
      </w:pPr>
    </w:p>
    <w:sectPr w:rsidR="009A4731" w:rsidRPr="0022005A" w:rsidSect="007F6AF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7503" w14:textId="77777777" w:rsidR="005B17FA" w:rsidRDefault="005B17FA" w:rsidP="00AF0C6A">
      <w:pPr>
        <w:spacing w:after="0" w:line="240" w:lineRule="auto"/>
      </w:pPr>
      <w:r>
        <w:separator/>
      </w:r>
    </w:p>
  </w:endnote>
  <w:endnote w:type="continuationSeparator" w:id="0">
    <w:p w14:paraId="6F1576A0" w14:textId="77777777" w:rsidR="005B17FA" w:rsidRDefault="005B17FA" w:rsidP="00AF0C6A">
      <w:pPr>
        <w:spacing w:after="0" w:line="240" w:lineRule="auto"/>
      </w:pPr>
      <w:r>
        <w:continuationSeparator/>
      </w:r>
    </w:p>
  </w:endnote>
  <w:endnote w:type="continuationNotice" w:id="1">
    <w:p w14:paraId="0D850CE3" w14:textId="77777777" w:rsidR="005B17FA" w:rsidRDefault="005B1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C4AA" w14:textId="77777777" w:rsidR="00EA1913" w:rsidRDefault="00EA1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CF452F" w:rsidRDefault="00CF452F" w:rsidP="00F3325C">
    <w:pPr>
      <w:pStyle w:val="Footer"/>
      <w:spacing w:before="60"/>
      <w:jc w:val="right"/>
    </w:pPr>
    <w:r>
      <w:fldChar w:fldCharType="begin"/>
    </w:r>
    <w:r>
      <w:instrText xml:space="preserve"> PAGE   \* MERGEFORMAT </w:instrText>
    </w:r>
    <w:r>
      <w:fldChar w:fldCharType="separate"/>
    </w:r>
    <w:r>
      <w:rPr>
        <w:noProof/>
      </w:rPr>
      <w:t>2</w:t>
    </w:r>
    <w:r>
      <w:rPr>
        <w:noProof/>
      </w:rPr>
      <w:fldChar w:fldCharType="end"/>
    </w:r>
  </w:p>
  <w:p w14:paraId="7D34F5C7" w14:textId="14D28C63" w:rsidR="00CF452F" w:rsidRPr="00EA1913" w:rsidRDefault="00EA1913" w:rsidP="00EA1913">
    <w:pPr>
      <w:pStyle w:val="Footer"/>
      <w:jc w:val="center"/>
      <w:rPr>
        <w:rFonts w:ascii="Arial" w:hAnsi="Arial" w:cs="Arial"/>
        <w:sz w:val="14"/>
      </w:rPr>
    </w:pPr>
    <w:r w:rsidRPr="00EA191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AD91" w14:textId="77777777" w:rsidR="00EA1913" w:rsidRDefault="00EA1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8C49" w14:textId="77777777" w:rsidR="005B17FA" w:rsidRDefault="005B17FA" w:rsidP="00AF0C6A">
      <w:pPr>
        <w:spacing w:after="0" w:line="240" w:lineRule="auto"/>
      </w:pPr>
      <w:r>
        <w:separator/>
      </w:r>
    </w:p>
  </w:footnote>
  <w:footnote w:type="continuationSeparator" w:id="0">
    <w:p w14:paraId="7D9D48B5" w14:textId="77777777" w:rsidR="005B17FA" w:rsidRDefault="005B17FA" w:rsidP="00AF0C6A">
      <w:pPr>
        <w:spacing w:after="0" w:line="240" w:lineRule="auto"/>
      </w:pPr>
      <w:r>
        <w:continuationSeparator/>
      </w:r>
    </w:p>
  </w:footnote>
  <w:footnote w:type="continuationNotice" w:id="1">
    <w:p w14:paraId="62918482" w14:textId="77777777" w:rsidR="005B17FA" w:rsidRDefault="005B17FA">
      <w:pPr>
        <w:spacing w:after="0" w:line="240" w:lineRule="auto"/>
      </w:pPr>
    </w:p>
  </w:footnote>
  <w:footnote w:id="2">
    <w:p w14:paraId="05DD2A2A" w14:textId="77777777" w:rsidR="00917A80" w:rsidRDefault="00917A80" w:rsidP="00917A80">
      <w:pPr>
        <w:pStyle w:val="FootnoteText"/>
      </w:pPr>
      <w:r>
        <w:rPr>
          <w:rStyle w:val="FootnoteReference"/>
        </w:rPr>
        <w:footnoteRef/>
      </w:r>
      <w:r>
        <w:t xml:space="preserve"> </w:t>
      </w:r>
      <w:r w:rsidRPr="00777C74">
        <w:rPr>
          <w:i/>
          <w:iCs/>
        </w:rPr>
        <w:t>Sexual assault means (1) sexual activity inflicted on a person without their consent; (2) (in some jurisdictions) a statutory crime replacing rape, divided into categories according to the degree of violence accompanying the sexual intercourse.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AC5B" w14:textId="77777777" w:rsidR="00EA1913" w:rsidRDefault="00EA1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20A7" w14:textId="2C460053" w:rsidR="00CF452F" w:rsidRPr="009118D2" w:rsidRDefault="00CF452F" w:rsidP="005C65BB">
    <w:pPr>
      <w:pStyle w:val="Header"/>
      <w:jc w:val="center"/>
      <w:rPr>
        <w:b/>
        <w:bCs/>
        <w:sz w:val="60"/>
        <w:szCs w:val="6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F08A" w14:textId="77777777" w:rsidR="00EA1913" w:rsidRDefault="00EA1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8B7"/>
    <w:multiLevelType w:val="hybridMultilevel"/>
    <w:tmpl w:val="F7F880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EB4AAB"/>
    <w:multiLevelType w:val="hybridMultilevel"/>
    <w:tmpl w:val="A4B2B34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60510EF"/>
    <w:multiLevelType w:val="hybridMultilevel"/>
    <w:tmpl w:val="896A2D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000080"/>
    <w:multiLevelType w:val="hybridMultilevel"/>
    <w:tmpl w:val="C4F6B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5579B"/>
    <w:multiLevelType w:val="hybridMultilevel"/>
    <w:tmpl w:val="317E0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A0A96"/>
    <w:multiLevelType w:val="hybridMultilevel"/>
    <w:tmpl w:val="7BF27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655BA9"/>
    <w:multiLevelType w:val="hybridMultilevel"/>
    <w:tmpl w:val="3D6A7D5A"/>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605DC8"/>
    <w:multiLevelType w:val="hybridMultilevel"/>
    <w:tmpl w:val="896A2D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413853"/>
    <w:multiLevelType w:val="hybridMultilevel"/>
    <w:tmpl w:val="BF887A48"/>
    <w:lvl w:ilvl="0" w:tplc="9182AF08">
      <w:start w:val="1"/>
      <w:numFmt w:val="decimal"/>
      <w:lvlText w:val="Clause %1"/>
      <w:lvlJc w:val="left"/>
      <w:pPr>
        <w:ind w:left="360" w:hanging="360"/>
      </w:pPr>
      <w:rPr>
        <w:rFonts w:hint="default"/>
        <w:b/>
        <w:bCs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AF45674"/>
    <w:multiLevelType w:val="hybridMultilevel"/>
    <w:tmpl w:val="B86C8D58"/>
    <w:lvl w:ilvl="0" w:tplc="DCC88DB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AE00D0"/>
    <w:multiLevelType w:val="hybridMultilevel"/>
    <w:tmpl w:val="B86C8D5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B4422D5"/>
    <w:multiLevelType w:val="hybridMultilevel"/>
    <w:tmpl w:val="1FCC1E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DA6B08"/>
    <w:multiLevelType w:val="hybridMultilevel"/>
    <w:tmpl w:val="BCE6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C973B3"/>
    <w:multiLevelType w:val="hybridMultilevel"/>
    <w:tmpl w:val="5C36FAF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90604BE"/>
    <w:multiLevelType w:val="hybridMultilevel"/>
    <w:tmpl w:val="5C36FAF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45309E"/>
    <w:multiLevelType w:val="hybridMultilevel"/>
    <w:tmpl w:val="A098649A"/>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C0513C0"/>
    <w:multiLevelType w:val="hybridMultilevel"/>
    <w:tmpl w:val="E36429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183B93"/>
    <w:multiLevelType w:val="hybridMultilevel"/>
    <w:tmpl w:val="8B12DD92"/>
    <w:lvl w:ilvl="0" w:tplc="4606B6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F7156D"/>
    <w:multiLevelType w:val="hybridMultilevel"/>
    <w:tmpl w:val="896A2D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3"/>
  </w:num>
  <w:num w:numId="5">
    <w:abstractNumId w:val="9"/>
  </w:num>
  <w:num w:numId="6">
    <w:abstractNumId w:val="0"/>
  </w:num>
  <w:num w:numId="7">
    <w:abstractNumId w:val="11"/>
  </w:num>
  <w:num w:numId="8">
    <w:abstractNumId w:val="10"/>
  </w:num>
  <w:num w:numId="9">
    <w:abstractNumId w:val="2"/>
  </w:num>
  <w:num w:numId="10">
    <w:abstractNumId w:val="16"/>
  </w:num>
  <w:num w:numId="11">
    <w:abstractNumId w:val="14"/>
  </w:num>
  <w:num w:numId="12">
    <w:abstractNumId w:val="13"/>
  </w:num>
  <w:num w:numId="13">
    <w:abstractNumId w:val="15"/>
  </w:num>
  <w:num w:numId="14">
    <w:abstractNumId w:val="5"/>
  </w:num>
  <w:num w:numId="15">
    <w:abstractNumId w:val="1"/>
  </w:num>
  <w:num w:numId="16">
    <w:abstractNumId w:val="17"/>
  </w:num>
  <w:num w:numId="17">
    <w:abstractNumId w:val="4"/>
  </w:num>
  <w:num w:numId="18">
    <w:abstractNumId w:val="7"/>
  </w:num>
  <w:num w:numId="1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38"/>
    <w:rsid w:val="00000D53"/>
    <w:rsid w:val="0000110C"/>
    <w:rsid w:val="00001387"/>
    <w:rsid w:val="00001C64"/>
    <w:rsid w:val="00001E72"/>
    <w:rsid w:val="00001F7A"/>
    <w:rsid w:val="00002211"/>
    <w:rsid w:val="0000227D"/>
    <w:rsid w:val="0000285F"/>
    <w:rsid w:val="00002922"/>
    <w:rsid w:val="00002B43"/>
    <w:rsid w:val="00002D42"/>
    <w:rsid w:val="00004150"/>
    <w:rsid w:val="000042A4"/>
    <w:rsid w:val="00005866"/>
    <w:rsid w:val="00005DB5"/>
    <w:rsid w:val="000061CF"/>
    <w:rsid w:val="00006844"/>
    <w:rsid w:val="000077AB"/>
    <w:rsid w:val="00007FE5"/>
    <w:rsid w:val="00010000"/>
    <w:rsid w:val="000108BE"/>
    <w:rsid w:val="00010900"/>
    <w:rsid w:val="00010A1A"/>
    <w:rsid w:val="00010AAE"/>
    <w:rsid w:val="00011575"/>
    <w:rsid w:val="00012FA1"/>
    <w:rsid w:val="000134BC"/>
    <w:rsid w:val="00013EFA"/>
    <w:rsid w:val="0001400F"/>
    <w:rsid w:val="00014562"/>
    <w:rsid w:val="00015635"/>
    <w:rsid w:val="000156E7"/>
    <w:rsid w:val="00015D24"/>
    <w:rsid w:val="00015E83"/>
    <w:rsid w:val="00015EB7"/>
    <w:rsid w:val="00016484"/>
    <w:rsid w:val="00016AE3"/>
    <w:rsid w:val="000173BA"/>
    <w:rsid w:val="000173F9"/>
    <w:rsid w:val="0001751B"/>
    <w:rsid w:val="0002106D"/>
    <w:rsid w:val="0002187A"/>
    <w:rsid w:val="00021939"/>
    <w:rsid w:val="000224D3"/>
    <w:rsid w:val="0002259E"/>
    <w:rsid w:val="00022E60"/>
    <w:rsid w:val="0002395F"/>
    <w:rsid w:val="00023BEF"/>
    <w:rsid w:val="00023C94"/>
    <w:rsid w:val="0002425D"/>
    <w:rsid w:val="000242A6"/>
    <w:rsid w:val="00024769"/>
    <w:rsid w:val="00024B8B"/>
    <w:rsid w:val="00024D59"/>
    <w:rsid w:val="00024E57"/>
    <w:rsid w:val="0002548B"/>
    <w:rsid w:val="00025B81"/>
    <w:rsid w:val="000263B7"/>
    <w:rsid w:val="0002688B"/>
    <w:rsid w:val="00026939"/>
    <w:rsid w:val="00026A10"/>
    <w:rsid w:val="00026BF0"/>
    <w:rsid w:val="00026C98"/>
    <w:rsid w:val="000271A4"/>
    <w:rsid w:val="000272FB"/>
    <w:rsid w:val="00027BC1"/>
    <w:rsid w:val="00027F1F"/>
    <w:rsid w:val="00030085"/>
    <w:rsid w:val="000305E8"/>
    <w:rsid w:val="00030837"/>
    <w:rsid w:val="00030E0F"/>
    <w:rsid w:val="00030F3B"/>
    <w:rsid w:val="000310A3"/>
    <w:rsid w:val="00031148"/>
    <w:rsid w:val="0003160E"/>
    <w:rsid w:val="00031836"/>
    <w:rsid w:val="00032386"/>
    <w:rsid w:val="000333D9"/>
    <w:rsid w:val="000334FA"/>
    <w:rsid w:val="00033512"/>
    <w:rsid w:val="0003412B"/>
    <w:rsid w:val="00034378"/>
    <w:rsid w:val="000344E9"/>
    <w:rsid w:val="0003454C"/>
    <w:rsid w:val="00034943"/>
    <w:rsid w:val="0003494F"/>
    <w:rsid w:val="00034966"/>
    <w:rsid w:val="00034A93"/>
    <w:rsid w:val="00034BEE"/>
    <w:rsid w:val="00034C65"/>
    <w:rsid w:val="000352CA"/>
    <w:rsid w:val="00036026"/>
    <w:rsid w:val="00036708"/>
    <w:rsid w:val="00036CCE"/>
    <w:rsid w:val="0003790A"/>
    <w:rsid w:val="00040066"/>
    <w:rsid w:val="000413D9"/>
    <w:rsid w:val="000416F7"/>
    <w:rsid w:val="00041A41"/>
    <w:rsid w:val="00041BD9"/>
    <w:rsid w:val="00041EF3"/>
    <w:rsid w:val="00042064"/>
    <w:rsid w:val="000425E1"/>
    <w:rsid w:val="00042936"/>
    <w:rsid w:val="00042AC6"/>
    <w:rsid w:val="00042EFE"/>
    <w:rsid w:val="00044366"/>
    <w:rsid w:val="00044468"/>
    <w:rsid w:val="00044494"/>
    <w:rsid w:val="0004457B"/>
    <w:rsid w:val="000448A8"/>
    <w:rsid w:val="000454AD"/>
    <w:rsid w:val="00045D5B"/>
    <w:rsid w:val="00046518"/>
    <w:rsid w:val="00046718"/>
    <w:rsid w:val="0004696D"/>
    <w:rsid w:val="000474FF"/>
    <w:rsid w:val="00050618"/>
    <w:rsid w:val="0005083D"/>
    <w:rsid w:val="00051541"/>
    <w:rsid w:val="000522F7"/>
    <w:rsid w:val="00052E38"/>
    <w:rsid w:val="0005489F"/>
    <w:rsid w:val="00054F6E"/>
    <w:rsid w:val="00055714"/>
    <w:rsid w:val="00055EEC"/>
    <w:rsid w:val="000574C0"/>
    <w:rsid w:val="0005799F"/>
    <w:rsid w:val="00057A19"/>
    <w:rsid w:val="00057C12"/>
    <w:rsid w:val="00057F40"/>
    <w:rsid w:val="00060250"/>
    <w:rsid w:val="000605C7"/>
    <w:rsid w:val="0006083D"/>
    <w:rsid w:val="0006099B"/>
    <w:rsid w:val="00060B0C"/>
    <w:rsid w:val="000624B5"/>
    <w:rsid w:val="000625EB"/>
    <w:rsid w:val="00062B23"/>
    <w:rsid w:val="000631BA"/>
    <w:rsid w:val="00063FED"/>
    <w:rsid w:val="000642FC"/>
    <w:rsid w:val="00064545"/>
    <w:rsid w:val="00064742"/>
    <w:rsid w:val="00064DF7"/>
    <w:rsid w:val="00065110"/>
    <w:rsid w:val="00065565"/>
    <w:rsid w:val="0006574A"/>
    <w:rsid w:val="00065D38"/>
    <w:rsid w:val="000668D2"/>
    <w:rsid w:val="00066DAF"/>
    <w:rsid w:val="00066F6E"/>
    <w:rsid w:val="000670C6"/>
    <w:rsid w:val="00067FEB"/>
    <w:rsid w:val="00071067"/>
    <w:rsid w:val="00071830"/>
    <w:rsid w:val="000718F3"/>
    <w:rsid w:val="0007278A"/>
    <w:rsid w:val="00073267"/>
    <w:rsid w:val="00073AD0"/>
    <w:rsid w:val="000743D7"/>
    <w:rsid w:val="00074B8E"/>
    <w:rsid w:val="00074F6A"/>
    <w:rsid w:val="000750B4"/>
    <w:rsid w:val="00075376"/>
    <w:rsid w:val="00076BEF"/>
    <w:rsid w:val="0007755E"/>
    <w:rsid w:val="00077EC0"/>
    <w:rsid w:val="00080830"/>
    <w:rsid w:val="00080AB4"/>
    <w:rsid w:val="00080F9E"/>
    <w:rsid w:val="00081220"/>
    <w:rsid w:val="00081F33"/>
    <w:rsid w:val="000825AE"/>
    <w:rsid w:val="000826D8"/>
    <w:rsid w:val="00083963"/>
    <w:rsid w:val="000841A0"/>
    <w:rsid w:val="000841B6"/>
    <w:rsid w:val="000843CF"/>
    <w:rsid w:val="0008481E"/>
    <w:rsid w:val="0008496B"/>
    <w:rsid w:val="00084987"/>
    <w:rsid w:val="00084AD0"/>
    <w:rsid w:val="00085D93"/>
    <w:rsid w:val="00085DB5"/>
    <w:rsid w:val="000867CE"/>
    <w:rsid w:val="00086B37"/>
    <w:rsid w:val="00086B9E"/>
    <w:rsid w:val="00087064"/>
    <w:rsid w:val="0009038C"/>
    <w:rsid w:val="0009068A"/>
    <w:rsid w:val="00090A2A"/>
    <w:rsid w:val="000910A1"/>
    <w:rsid w:val="000912DE"/>
    <w:rsid w:val="00091417"/>
    <w:rsid w:val="00091945"/>
    <w:rsid w:val="00091A19"/>
    <w:rsid w:val="00091CE5"/>
    <w:rsid w:val="00091DEC"/>
    <w:rsid w:val="00092DE2"/>
    <w:rsid w:val="00093508"/>
    <w:rsid w:val="00093977"/>
    <w:rsid w:val="00093E25"/>
    <w:rsid w:val="00094EF6"/>
    <w:rsid w:val="00095B98"/>
    <w:rsid w:val="00096B0F"/>
    <w:rsid w:val="00097396"/>
    <w:rsid w:val="000977E5"/>
    <w:rsid w:val="00097B83"/>
    <w:rsid w:val="00097C47"/>
    <w:rsid w:val="000A062E"/>
    <w:rsid w:val="000A0888"/>
    <w:rsid w:val="000A0DD2"/>
    <w:rsid w:val="000A0E93"/>
    <w:rsid w:val="000A1CFD"/>
    <w:rsid w:val="000A1D1E"/>
    <w:rsid w:val="000A2A33"/>
    <w:rsid w:val="000A303E"/>
    <w:rsid w:val="000A34F2"/>
    <w:rsid w:val="000A356F"/>
    <w:rsid w:val="000A3B30"/>
    <w:rsid w:val="000A4006"/>
    <w:rsid w:val="000A43E6"/>
    <w:rsid w:val="000A4C9E"/>
    <w:rsid w:val="000A4E5C"/>
    <w:rsid w:val="000A4F13"/>
    <w:rsid w:val="000A4F59"/>
    <w:rsid w:val="000A617D"/>
    <w:rsid w:val="000A63C1"/>
    <w:rsid w:val="000A6ED9"/>
    <w:rsid w:val="000A7C26"/>
    <w:rsid w:val="000A7C98"/>
    <w:rsid w:val="000B0662"/>
    <w:rsid w:val="000B0E3B"/>
    <w:rsid w:val="000B1C26"/>
    <w:rsid w:val="000B1D5B"/>
    <w:rsid w:val="000B1EAB"/>
    <w:rsid w:val="000B2689"/>
    <w:rsid w:val="000B2AE1"/>
    <w:rsid w:val="000B3764"/>
    <w:rsid w:val="000B3909"/>
    <w:rsid w:val="000B4808"/>
    <w:rsid w:val="000B4D7A"/>
    <w:rsid w:val="000B5279"/>
    <w:rsid w:val="000B5592"/>
    <w:rsid w:val="000B5924"/>
    <w:rsid w:val="000B5EB7"/>
    <w:rsid w:val="000B6CCA"/>
    <w:rsid w:val="000B7796"/>
    <w:rsid w:val="000B7A35"/>
    <w:rsid w:val="000B7A3F"/>
    <w:rsid w:val="000B7E92"/>
    <w:rsid w:val="000C0246"/>
    <w:rsid w:val="000C04EB"/>
    <w:rsid w:val="000C0907"/>
    <w:rsid w:val="000C0FE3"/>
    <w:rsid w:val="000C100B"/>
    <w:rsid w:val="000C1489"/>
    <w:rsid w:val="000C14A3"/>
    <w:rsid w:val="000C1EA4"/>
    <w:rsid w:val="000C25E2"/>
    <w:rsid w:val="000C2DF7"/>
    <w:rsid w:val="000C3187"/>
    <w:rsid w:val="000C4223"/>
    <w:rsid w:val="000C49C0"/>
    <w:rsid w:val="000C4A56"/>
    <w:rsid w:val="000C4B2B"/>
    <w:rsid w:val="000C548D"/>
    <w:rsid w:val="000C5667"/>
    <w:rsid w:val="000C723A"/>
    <w:rsid w:val="000C77D9"/>
    <w:rsid w:val="000C7ED5"/>
    <w:rsid w:val="000D00AA"/>
    <w:rsid w:val="000D111C"/>
    <w:rsid w:val="000D144F"/>
    <w:rsid w:val="000D153B"/>
    <w:rsid w:val="000D1866"/>
    <w:rsid w:val="000D1D67"/>
    <w:rsid w:val="000D254F"/>
    <w:rsid w:val="000D2AD7"/>
    <w:rsid w:val="000D2BA7"/>
    <w:rsid w:val="000D3223"/>
    <w:rsid w:val="000D3927"/>
    <w:rsid w:val="000D41C4"/>
    <w:rsid w:val="000D43C0"/>
    <w:rsid w:val="000D4441"/>
    <w:rsid w:val="000D493E"/>
    <w:rsid w:val="000D5A39"/>
    <w:rsid w:val="000D600A"/>
    <w:rsid w:val="000D6E23"/>
    <w:rsid w:val="000D7BDE"/>
    <w:rsid w:val="000D7DAA"/>
    <w:rsid w:val="000E0B5F"/>
    <w:rsid w:val="000E1508"/>
    <w:rsid w:val="000E162B"/>
    <w:rsid w:val="000E1C16"/>
    <w:rsid w:val="000E21DA"/>
    <w:rsid w:val="000E2305"/>
    <w:rsid w:val="000E2F55"/>
    <w:rsid w:val="000E4CF7"/>
    <w:rsid w:val="000E4D0C"/>
    <w:rsid w:val="000E4F53"/>
    <w:rsid w:val="000E58A3"/>
    <w:rsid w:val="000E5960"/>
    <w:rsid w:val="000E5C08"/>
    <w:rsid w:val="000E5D12"/>
    <w:rsid w:val="000E69B0"/>
    <w:rsid w:val="000E6EE3"/>
    <w:rsid w:val="000E6F98"/>
    <w:rsid w:val="000E70BE"/>
    <w:rsid w:val="000E72AB"/>
    <w:rsid w:val="000E72BC"/>
    <w:rsid w:val="000E7372"/>
    <w:rsid w:val="000F04CE"/>
    <w:rsid w:val="000F09D6"/>
    <w:rsid w:val="000F0CDC"/>
    <w:rsid w:val="000F170E"/>
    <w:rsid w:val="000F1EC1"/>
    <w:rsid w:val="000F1F43"/>
    <w:rsid w:val="000F1FF9"/>
    <w:rsid w:val="000F2274"/>
    <w:rsid w:val="000F2B7F"/>
    <w:rsid w:val="000F2F31"/>
    <w:rsid w:val="000F45B9"/>
    <w:rsid w:val="000F4727"/>
    <w:rsid w:val="000F552C"/>
    <w:rsid w:val="000F6F7B"/>
    <w:rsid w:val="000F7584"/>
    <w:rsid w:val="0010016F"/>
    <w:rsid w:val="00100606"/>
    <w:rsid w:val="00101054"/>
    <w:rsid w:val="00102120"/>
    <w:rsid w:val="00102FB6"/>
    <w:rsid w:val="0010347C"/>
    <w:rsid w:val="00103732"/>
    <w:rsid w:val="0010435B"/>
    <w:rsid w:val="00104C6B"/>
    <w:rsid w:val="00104DF1"/>
    <w:rsid w:val="0010556A"/>
    <w:rsid w:val="00105F84"/>
    <w:rsid w:val="00106338"/>
    <w:rsid w:val="00107344"/>
    <w:rsid w:val="00107599"/>
    <w:rsid w:val="0011050D"/>
    <w:rsid w:val="00110613"/>
    <w:rsid w:val="00110C4C"/>
    <w:rsid w:val="00110F19"/>
    <w:rsid w:val="00111AE1"/>
    <w:rsid w:val="00111F5C"/>
    <w:rsid w:val="00111FF8"/>
    <w:rsid w:val="0011227D"/>
    <w:rsid w:val="001126DA"/>
    <w:rsid w:val="0011282A"/>
    <w:rsid w:val="00112B09"/>
    <w:rsid w:val="00112B1B"/>
    <w:rsid w:val="00112F79"/>
    <w:rsid w:val="0011321A"/>
    <w:rsid w:val="001144C4"/>
    <w:rsid w:val="00114C50"/>
    <w:rsid w:val="001150A4"/>
    <w:rsid w:val="00115B56"/>
    <w:rsid w:val="00116492"/>
    <w:rsid w:val="00116A04"/>
    <w:rsid w:val="00116D84"/>
    <w:rsid w:val="0011725A"/>
    <w:rsid w:val="00117668"/>
    <w:rsid w:val="0011783F"/>
    <w:rsid w:val="00117AE0"/>
    <w:rsid w:val="00117E66"/>
    <w:rsid w:val="00117F17"/>
    <w:rsid w:val="00120AE4"/>
    <w:rsid w:val="0012205F"/>
    <w:rsid w:val="0012214E"/>
    <w:rsid w:val="0012225C"/>
    <w:rsid w:val="00122D8F"/>
    <w:rsid w:val="00123177"/>
    <w:rsid w:val="00123716"/>
    <w:rsid w:val="00123FF0"/>
    <w:rsid w:val="001241D5"/>
    <w:rsid w:val="001249D8"/>
    <w:rsid w:val="00124E07"/>
    <w:rsid w:val="0012504C"/>
    <w:rsid w:val="00125344"/>
    <w:rsid w:val="001253E5"/>
    <w:rsid w:val="001272A4"/>
    <w:rsid w:val="00127A69"/>
    <w:rsid w:val="00127ADB"/>
    <w:rsid w:val="001303AB"/>
    <w:rsid w:val="00130C8F"/>
    <w:rsid w:val="00130DA8"/>
    <w:rsid w:val="00131EF1"/>
    <w:rsid w:val="00132632"/>
    <w:rsid w:val="001329F7"/>
    <w:rsid w:val="001334EC"/>
    <w:rsid w:val="0013363B"/>
    <w:rsid w:val="001342C9"/>
    <w:rsid w:val="0013476D"/>
    <w:rsid w:val="001355F9"/>
    <w:rsid w:val="00135C4E"/>
    <w:rsid w:val="00135CC0"/>
    <w:rsid w:val="00136DAC"/>
    <w:rsid w:val="0013709B"/>
    <w:rsid w:val="001370AE"/>
    <w:rsid w:val="0013718D"/>
    <w:rsid w:val="001371E1"/>
    <w:rsid w:val="001372C4"/>
    <w:rsid w:val="00137351"/>
    <w:rsid w:val="0013739F"/>
    <w:rsid w:val="001378AB"/>
    <w:rsid w:val="00137D7E"/>
    <w:rsid w:val="00140799"/>
    <w:rsid w:val="00141198"/>
    <w:rsid w:val="001412CB"/>
    <w:rsid w:val="00141E55"/>
    <w:rsid w:val="00141F54"/>
    <w:rsid w:val="00142132"/>
    <w:rsid w:val="00143214"/>
    <w:rsid w:val="00143541"/>
    <w:rsid w:val="001440DA"/>
    <w:rsid w:val="00144A1B"/>
    <w:rsid w:val="001450D4"/>
    <w:rsid w:val="00145132"/>
    <w:rsid w:val="00145292"/>
    <w:rsid w:val="00145EE3"/>
    <w:rsid w:val="001461F7"/>
    <w:rsid w:val="00146534"/>
    <w:rsid w:val="001467AF"/>
    <w:rsid w:val="00147120"/>
    <w:rsid w:val="00147F4A"/>
    <w:rsid w:val="00147FB2"/>
    <w:rsid w:val="001506D9"/>
    <w:rsid w:val="00150792"/>
    <w:rsid w:val="001509CC"/>
    <w:rsid w:val="00150A29"/>
    <w:rsid w:val="00150F35"/>
    <w:rsid w:val="00151289"/>
    <w:rsid w:val="00151308"/>
    <w:rsid w:val="00151A99"/>
    <w:rsid w:val="00152DA0"/>
    <w:rsid w:val="00153BCD"/>
    <w:rsid w:val="0015472B"/>
    <w:rsid w:val="0015491F"/>
    <w:rsid w:val="00154D8F"/>
    <w:rsid w:val="00154DFC"/>
    <w:rsid w:val="00155249"/>
    <w:rsid w:val="0015541E"/>
    <w:rsid w:val="001556BC"/>
    <w:rsid w:val="00155792"/>
    <w:rsid w:val="00155BDE"/>
    <w:rsid w:val="00155DE1"/>
    <w:rsid w:val="00160629"/>
    <w:rsid w:val="00161B41"/>
    <w:rsid w:val="00161BE5"/>
    <w:rsid w:val="00162114"/>
    <w:rsid w:val="001623EC"/>
    <w:rsid w:val="00162543"/>
    <w:rsid w:val="00162AD6"/>
    <w:rsid w:val="00162E87"/>
    <w:rsid w:val="001631A2"/>
    <w:rsid w:val="0016334A"/>
    <w:rsid w:val="001636ED"/>
    <w:rsid w:val="00163766"/>
    <w:rsid w:val="001638F7"/>
    <w:rsid w:val="00163FCA"/>
    <w:rsid w:val="0016425C"/>
    <w:rsid w:val="00164E14"/>
    <w:rsid w:val="00164FCB"/>
    <w:rsid w:val="00165128"/>
    <w:rsid w:val="0016520C"/>
    <w:rsid w:val="0016543A"/>
    <w:rsid w:val="00165AAF"/>
    <w:rsid w:val="00165AD1"/>
    <w:rsid w:val="001667F6"/>
    <w:rsid w:val="00167BB4"/>
    <w:rsid w:val="00170944"/>
    <w:rsid w:val="00170F10"/>
    <w:rsid w:val="00171135"/>
    <w:rsid w:val="00171B8E"/>
    <w:rsid w:val="00171BE6"/>
    <w:rsid w:val="00172F60"/>
    <w:rsid w:val="00173648"/>
    <w:rsid w:val="001738C9"/>
    <w:rsid w:val="00173A60"/>
    <w:rsid w:val="00174DF3"/>
    <w:rsid w:val="0017534C"/>
    <w:rsid w:val="001760A9"/>
    <w:rsid w:val="0017626C"/>
    <w:rsid w:val="00180533"/>
    <w:rsid w:val="00180641"/>
    <w:rsid w:val="001810CF"/>
    <w:rsid w:val="001812F3"/>
    <w:rsid w:val="0018197B"/>
    <w:rsid w:val="0018208B"/>
    <w:rsid w:val="00182959"/>
    <w:rsid w:val="00183B33"/>
    <w:rsid w:val="00183B94"/>
    <w:rsid w:val="00184242"/>
    <w:rsid w:val="00184489"/>
    <w:rsid w:val="00184E58"/>
    <w:rsid w:val="00185602"/>
    <w:rsid w:val="00185678"/>
    <w:rsid w:val="001859BD"/>
    <w:rsid w:val="00186183"/>
    <w:rsid w:val="00186BBF"/>
    <w:rsid w:val="00186BE2"/>
    <w:rsid w:val="00186CFA"/>
    <w:rsid w:val="00190313"/>
    <w:rsid w:val="00190893"/>
    <w:rsid w:val="00190AEE"/>
    <w:rsid w:val="001914D7"/>
    <w:rsid w:val="00191736"/>
    <w:rsid w:val="00191E62"/>
    <w:rsid w:val="00192844"/>
    <w:rsid w:val="00192E50"/>
    <w:rsid w:val="001930DF"/>
    <w:rsid w:val="001934CB"/>
    <w:rsid w:val="00193813"/>
    <w:rsid w:val="001942A9"/>
    <w:rsid w:val="0019439A"/>
    <w:rsid w:val="00194749"/>
    <w:rsid w:val="001949D5"/>
    <w:rsid w:val="00194AB1"/>
    <w:rsid w:val="00195176"/>
    <w:rsid w:val="00197795"/>
    <w:rsid w:val="001A049B"/>
    <w:rsid w:val="001A05A6"/>
    <w:rsid w:val="001A05FF"/>
    <w:rsid w:val="001A0D60"/>
    <w:rsid w:val="001A10C8"/>
    <w:rsid w:val="001A19BE"/>
    <w:rsid w:val="001A1E66"/>
    <w:rsid w:val="001A3FFC"/>
    <w:rsid w:val="001A48F6"/>
    <w:rsid w:val="001A4B84"/>
    <w:rsid w:val="001A4FA8"/>
    <w:rsid w:val="001A54B7"/>
    <w:rsid w:val="001A5621"/>
    <w:rsid w:val="001A5B12"/>
    <w:rsid w:val="001A626C"/>
    <w:rsid w:val="001A6C96"/>
    <w:rsid w:val="001A7095"/>
    <w:rsid w:val="001A72ED"/>
    <w:rsid w:val="001A7748"/>
    <w:rsid w:val="001A78DB"/>
    <w:rsid w:val="001B156B"/>
    <w:rsid w:val="001B1ACB"/>
    <w:rsid w:val="001B1DC0"/>
    <w:rsid w:val="001B1FBE"/>
    <w:rsid w:val="001B2AF7"/>
    <w:rsid w:val="001B369C"/>
    <w:rsid w:val="001B484A"/>
    <w:rsid w:val="001B4A54"/>
    <w:rsid w:val="001B563C"/>
    <w:rsid w:val="001B5811"/>
    <w:rsid w:val="001B5D0E"/>
    <w:rsid w:val="001B61D0"/>
    <w:rsid w:val="001B6B01"/>
    <w:rsid w:val="001B74EE"/>
    <w:rsid w:val="001B7541"/>
    <w:rsid w:val="001B7A30"/>
    <w:rsid w:val="001B7B8B"/>
    <w:rsid w:val="001B7FFD"/>
    <w:rsid w:val="001C02C1"/>
    <w:rsid w:val="001C0F1A"/>
    <w:rsid w:val="001C157F"/>
    <w:rsid w:val="001C1621"/>
    <w:rsid w:val="001C1A45"/>
    <w:rsid w:val="001C29B3"/>
    <w:rsid w:val="001C2DEC"/>
    <w:rsid w:val="001C2E8E"/>
    <w:rsid w:val="001C35E4"/>
    <w:rsid w:val="001C36A3"/>
    <w:rsid w:val="001C382B"/>
    <w:rsid w:val="001C3B7D"/>
    <w:rsid w:val="001C3C6E"/>
    <w:rsid w:val="001C40D2"/>
    <w:rsid w:val="001C4C9C"/>
    <w:rsid w:val="001C4FD8"/>
    <w:rsid w:val="001C54AA"/>
    <w:rsid w:val="001C6264"/>
    <w:rsid w:val="001C6C17"/>
    <w:rsid w:val="001C733A"/>
    <w:rsid w:val="001C7CE2"/>
    <w:rsid w:val="001D09A3"/>
    <w:rsid w:val="001D12BC"/>
    <w:rsid w:val="001D133A"/>
    <w:rsid w:val="001D1D80"/>
    <w:rsid w:val="001D2C51"/>
    <w:rsid w:val="001D3765"/>
    <w:rsid w:val="001D3D28"/>
    <w:rsid w:val="001D428E"/>
    <w:rsid w:val="001D42CF"/>
    <w:rsid w:val="001D47A7"/>
    <w:rsid w:val="001D512D"/>
    <w:rsid w:val="001D58B3"/>
    <w:rsid w:val="001D5EAA"/>
    <w:rsid w:val="001D6074"/>
    <w:rsid w:val="001D6ABC"/>
    <w:rsid w:val="001D756F"/>
    <w:rsid w:val="001D7BDA"/>
    <w:rsid w:val="001D7DD2"/>
    <w:rsid w:val="001E085A"/>
    <w:rsid w:val="001E0BA1"/>
    <w:rsid w:val="001E14F9"/>
    <w:rsid w:val="001E2E1F"/>
    <w:rsid w:val="001E2E48"/>
    <w:rsid w:val="001E2FB1"/>
    <w:rsid w:val="001E35CA"/>
    <w:rsid w:val="001E3790"/>
    <w:rsid w:val="001E3AEC"/>
    <w:rsid w:val="001E3C99"/>
    <w:rsid w:val="001E42EE"/>
    <w:rsid w:val="001E4691"/>
    <w:rsid w:val="001E4D79"/>
    <w:rsid w:val="001E5247"/>
    <w:rsid w:val="001E5581"/>
    <w:rsid w:val="001E5B06"/>
    <w:rsid w:val="001E6097"/>
    <w:rsid w:val="001E626D"/>
    <w:rsid w:val="001E662B"/>
    <w:rsid w:val="001E6E8C"/>
    <w:rsid w:val="001E6F41"/>
    <w:rsid w:val="001E7072"/>
    <w:rsid w:val="001E79E2"/>
    <w:rsid w:val="001E7A99"/>
    <w:rsid w:val="001E7BB8"/>
    <w:rsid w:val="001E7CAF"/>
    <w:rsid w:val="001E7FCE"/>
    <w:rsid w:val="001F006F"/>
    <w:rsid w:val="001F0431"/>
    <w:rsid w:val="001F0B4C"/>
    <w:rsid w:val="001F1C84"/>
    <w:rsid w:val="001F37E2"/>
    <w:rsid w:val="001F3FE1"/>
    <w:rsid w:val="001F42AF"/>
    <w:rsid w:val="001F4346"/>
    <w:rsid w:val="001F464B"/>
    <w:rsid w:val="001F4A5E"/>
    <w:rsid w:val="001F4F28"/>
    <w:rsid w:val="001F5BDB"/>
    <w:rsid w:val="001F6FBF"/>
    <w:rsid w:val="001F7493"/>
    <w:rsid w:val="001F7DC3"/>
    <w:rsid w:val="0020035B"/>
    <w:rsid w:val="002004D6"/>
    <w:rsid w:val="002007FF"/>
    <w:rsid w:val="00200CE7"/>
    <w:rsid w:val="00201275"/>
    <w:rsid w:val="002021F7"/>
    <w:rsid w:val="00202BD5"/>
    <w:rsid w:val="00202FBF"/>
    <w:rsid w:val="002032F7"/>
    <w:rsid w:val="002033CA"/>
    <w:rsid w:val="002035E1"/>
    <w:rsid w:val="00203789"/>
    <w:rsid w:val="00203899"/>
    <w:rsid w:val="00203A39"/>
    <w:rsid w:val="0020486E"/>
    <w:rsid w:val="002050E4"/>
    <w:rsid w:val="00205169"/>
    <w:rsid w:val="00205644"/>
    <w:rsid w:val="002058C7"/>
    <w:rsid w:val="002059F1"/>
    <w:rsid w:val="00205A84"/>
    <w:rsid w:val="002060BD"/>
    <w:rsid w:val="0020640F"/>
    <w:rsid w:val="00207112"/>
    <w:rsid w:val="00207D84"/>
    <w:rsid w:val="00207F14"/>
    <w:rsid w:val="00207F6E"/>
    <w:rsid w:val="00210159"/>
    <w:rsid w:val="0021056C"/>
    <w:rsid w:val="00210A63"/>
    <w:rsid w:val="002111F6"/>
    <w:rsid w:val="002116AF"/>
    <w:rsid w:val="00211A7B"/>
    <w:rsid w:val="002129EE"/>
    <w:rsid w:val="00212F8A"/>
    <w:rsid w:val="0021355B"/>
    <w:rsid w:val="0021359C"/>
    <w:rsid w:val="002137F7"/>
    <w:rsid w:val="00213A9E"/>
    <w:rsid w:val="00214195"/>
    <w:rsid w:val="002147CE"/>
    <w:rsid w:val="002168B7"/>
    <w:rsid w:val="00216B94"/>
    <w:rsid w:val="0021709F"/>
    <w:rsid w:val="0021723E"/>
    <w:rsid w:val="002177C9"/>
    <w:rsid w:val="00217F47"/>
    <w:rsid w:val="0022005A"/>
    <w:rsid w:val="00220703"/>
    <w:rsid w:val="0022088D"/>
    <w:rsid w:val="00220940"/>
    <w:rsid w:val="002210AB"/>
    <w:rsid w:val="0022113F"/>
    <w:rsid w:val="002212B3"/>
    <w:rsid w:val="0022163F"/>
    <w:rsid w:val="002217DC"/>
    <w:rsid w:val="0022180E"/>
    <w:rsid w:val="00221BE4"/>
    <w:rsid w:val="002220EF"/>
    <w:rsid w:val="00223BA4"/>
    <w:rsid w:val="002240A5"/>
    <w:rsid w:val="002245EC"/>
    <w:rsid w:val="00224FC0"/>
    <w:rsid w:val="00225614"/>
    <w:rsid w:val="00226046"/>
    <w:rsid w:val="002278BB"/>
    <w:rsid w:val="00227A31"/>
    <w:rsid w:val="00227C87"/>
    <w:rsid w:val="00230097"/>
    <w:rsid w:val="002300BE"/>
    <w:rsid w:val="00230910"/>
    <w:rsid w:val="0023192E"/>
    <w:rsid w:val="00231A48"/>
    <w:rsid w:val="00232586"/>
    <w:rsid w:val="00232D24"/>
    <w:rsid w:val="0023364A"/>
    <w:rsid w:val="00233B2E"/>
    <w:rsid w:val="00233FA4"/>
    <w:rsid w:val="00233FF6"/>
    <w:rsid w:val="00234650"/>
    <w:rsid w:val="00234B28"/>
    <w:rsid w:val="0023502E"/>
    <w:rsid w:val="00235113"/>
    <w:rsid w:val="00235585"/>
    <w:rsid w:val="002358A4"/>
    <w:rsid w:val="00235EB5"/>
    <w:rsid w:val="00235EEF"/>
    <w:rsid w:val="00235F82"/>
    <w:rsid w:val="00236192"/>
    <w:rsid w:val="0023630A"/>
    <w:rsid w:val="00236FB7"/>
    <w:rsid w:val="002400EE"/>
    <w:rsid w:val="00240328"/>
    <w:rsid w:val="00240696"/>
    <w:rsid w:val="00240A1E"/>
    <w:rsid w:val="00240AC0"/>
    <w:rsid w:val="00240F8B"/>
    <w:rsid w:val="002412A3"/>
    <w:rsid w:val="00241A2E"/>
    <w:rsid w:val="00241B2C"/>
    <w:rsid w:val="002424FA"/>
    <w:rsid w:val="00242C12"/>
    <w:rsid w:val="00242FEC"/>
    <w:rsid w:val="002439C4"/>
    <w:rsid w:val="00243D21"/>
    <w:rsid w:val="00243E82"/>
    <w:rsid w:val="002440E3"/>
    <w:rsid w:val="0024426F"/>
    <w:rsid w:val="002445E2"/>
    <w:rsid w:val="0024460E"/>
    <w:rsid w:val="00244690"/>
    <w:rsid w:val="00244BF3"/>
    <w:rsid w:val="002455E6"/>
    <w:rsid w:val="0024573D"/>
    <w:rsid w:val="00246040"/>
    <w:rsid w:val="002466F7"/>
    <w:rsid w:val="00246B21"/>
    <w:rsid w:val="002474C1"/>
    <w:rsid w:val="0025062A"/>
    <w:rsid w:val="002508A4"/>
    <w:rsid w:val="00250B48"/>
    <w:rsid w:val="00250E29"/>
    <w:rsid w:val="0025134A"/>
    <w:rsid w:val="00251536"/>
    <w:rsid w:val="00251C5F"/>
    <w:rsid w:val="00251FF4"/>
    <w:rsid w:val="0025232B"/>
    <w:rsid w:val="0025262F"/>
    <w:rsid w:val="002532DD"/>
    <w:rsid w:val="002533F5"/>
    <w:rsid w:val="002537A9"/>
    <w:rsid w:val="00253CFA"/>
    <w:rsid w:val="002541C1"/>
    <w:rsid w:val="00254392"/>
    <w:rsid w:val="0025473B"/>
    <w:rsid w:val="002547E7"/>
    <w:rsid w:val="002561A3"/>
    <w:rsid w:val="00256271"/>
    <w:rsid w:val="0025649D"/>
    <w:rsid w:val="00256D0F"/>
    <w:rsid w:val="002571F0"/>
    <w:rsid w:val="00257414"/>
    <w:rsid w:val="00257473"/>
    <w:rsid w:val="00257A29"/>
    <w:rsid w:val="0026018D"/>
    <w:rsid w:val="00260D08"/>
    <w:rsid w:val="00261A08"/>
    <w:rsid w:val="00261C5E"/>
    <w:rsid w:val="00261DBA"/>
    <w:rsid w:val="00262E3C"/>
    <w:rsid w:val="0026314D"/>
    <w:rsid w:val="00263F18"/>
    <w:rsid w:val="002645B6"/>
    <w:rsid w:val="00264B91"/>
    <w:rsid w:val="002652E0"/>
    <w:rsid w:val="00265635"/>
    <w:rsid w:val="0026577B"/>
    <w:rsid w:val="00265791"/>
    <w:rsid w:val="00265803"/>
    <w:rsid w:val="00265FD9"/>
    <w:rsid w:val="002662C9"/>
    <w:rsid w:val="0026630D"/>
    <w:rsid w:val="00266325"/>
    <w:rsid w:val="00266DB5"/>
    <w:rsid w:val="00267BF5"/>
    <w:rsid w:val="00270733"/>
    <w:rsid w:val="0027115D"/>
    <w:rsid w:val="002711BD"/>
    <w:rsid w:val="00271461"/>
    <w:rsid w:val="00271B98"/>
    <w:rsid w:val="00272CE8"/>
    <w:rsid w:val="00273393"/>
    <w:rsid w:val="00273761"/>
    <w:rsid w:val="0027376D"/>
    <w:rsid w:val="00273A10"/>
    <w:rsid w:val="00273D55"/>
    <w:rsid w:val="00274AB6"/>
    <w:rsid w:val="002761AE"/>
    <w:rsid w:val="002764F3"/>
    <w:rsid w:val="00277808"/>
    <w:rsid w:val="00277A7B"/>
    <w:rsid w:val="00277D9D"/>
    <w:rsid w:val="00277FE9"/>
    <w:rsid w:val="00280474"/>
    <w:rsid w:val="00280638"/>
    <w:rsid w:val="00280C86"/>
    <w:rsid w:val="00282259"/>
    <w:rsid w:val="00282371"/>
    <w:rsid w:val="00282628"/>
    <w:rsid w:val="0028283F"/>
    <w:rsid w:val="00282C2B"/>
    <w:rsid w:val="00282C6A"/>
    <w:rsid w:val="002832CA"/>
    <w:rsid w:val="002834E1"/>
    <w:rsid w:val="00283814"/>
    <w:rsid w:val="00283D33"/>
    <w:rsid w:val="00283FA3"/>
    <w:rsid w:val="00284249"/>
    <w:rsid w:val="00284D23"/>
    <w:rsid w:val="002851CB"/>
    <w:rsid w:val="002857B5"/>
    <w:rsid w:val="00285A8B"/>
    <w:rsid w:val="00286DDC"/>
    <w:rsid w:val="00290626"/>
    <w:rsid w:val="00290948"/>
    <w:rsid w:val="00290CDC"/>
    <w:rsid w:val="00290F83"/>
    <w:rsid w:val="002911EF"/>
    <w:rsid w:val="00291D32"/>
    <w:rsid w:val="002927D3"/>
    <w:rsid w:val="00292BD2"/>
    <w:rsid w:val="00293AE8"/>
    <w:rsid w:val="00293D7F"/>
    <w:rsid w:val="002956C0"/>
    <w:rsid w:val="00295A27"/>
    <w:rsid w:val="00296556"/>
    <w:rsid w:val="00296C4E"/>
    <w:rsid w:val="00296E03"/>
    <w:rsid w:val="00297BD5"/>
    <w:rsid w:val="00297BD7"/>
    <w:rsid w:val="00297E2F"/>
    <w:rsid w:val="002A024E"/>
    <w:rsid w:val="002A0E9B"/>
    <w:rsid w:val="002A12A4"/>
    <w:rsid w:val="002A1538"/>
    <w:rsid w:val="002A16B8"/>
    <w:rsid w:val="002A293B"/>
    <w:rsid w:val="002A2BA8"/>
    <w:rsid w:val="002A2BEA"/>
    <w:rsid w:val="002A2C57"/>
    <w:rsid w:val="002A2D41"/>
    <w:rsid w:val="002A30B2"/>
    <w:rsid w:val="002A39CA"/>
    <w:rsid w:val="002A3F7D"/>
    <w:rsid w:val="002A4359"/>
    <w:rsid w:val="002A4689"/>
    <w:rsid w:val="002A4949"/>
    <w:rsid w:val="002A537F"/>
    <w:rsid w:val="002A541F"/>
    <w:rsid w:val="002A5B1D"/>
    <w:rsid w:val="002A5F6F"/>
    <w:rsid w:val="002A6064"/>
    <w:rsid w:val="002A6BB3"/>
    <w:rsid w:val="002A6C9E"/>
    <w:rsid w:val="002A6E65"/>
    <w:rsid w:val="002A76D6"/>
    <w:rsid w:val="002A7A69"/>
    <w:rsid w:val="002A7CDC"/>
    <w:rsid w:val="002A7CE5"/>
    <w:rsid w:val="002B0576"/>
    <w:rsid w:val="002B0ACE"/>
    <w:rsid w:val="002B0CB5"/>
    <w:rsid w:val="002B142F"/>
    <w:rsid w:val="002B15F7"/>
    <w:rsid w:val="002B1B54"/>
    <w:rsid w:val="002B2128"/>
    <w:rsid w:val="002B2675"/>
    <w:rsid w:val="002B2C03"/>
    <w:rsid w:val="002B2E94"/>
    <w:rsid w:val="002B31D5"/>
    <w:rsid w:val="002B3279"/>
    <w:rsid w:val="002B36B5"/>
    <w:rsid w:val="002B36F7"/>
    <w:rsid w:val="002B371A"/>
    <w:rsid w:val="002B47E6"/>
    <w:rsid w:val="002B4A73"/>
    <w:rsid w:val="002B5242"/>
    <w:rsid w:val="002B5BA9"/>
    <w:rsid w:val="002B647A"/>
    <w:rsid w:val="002B64BC"/>
    <w:rsid w:val="002B6507"/>
    <w:rsid w:val="002B6757"/>
    <w:rsid w:val="002B682B"/>
    <w:rsid w:val="002B6CE4"/>
    <w:rsid w:val="002B6D1C"/>
    <w:rsid w:val="002B6F79"/>
    <w:rsid w:val="002B7885"/>
    <w:rsid w:val="002C01FE"/>
    <w:rsid w:val="002C0FC6"/>
    <w:rsid w:val="002C18AF"/>
    <w:rsid w:val="002C1B3A"/>
    <w:rsid w:val="002C1E12"/>
    <w:rsid w:val="002C2998"/>
    <w:rsid w:val="002C2DE9"/>
    <w:rsid w:val="002C4467"/>
    <w:rsid w:val="002C53D3"/>
    <w:rsid w:val="002C54BC"/>
    <w:rsid w:val="002C5E3E"/>
    <w:rsid w:val="002C64E7"/>
    <w:rsid w:val="002C72BE"/>
    <w:rsid w:val="002C7CD7"/>
    <w:rsid w:val="002D02BF"/>
    <w:rsid w:val="002D0367"/>
    <w:rsid w:val="002D0B41"/>
    <w:rsid w:val="002D185B"/>
    <w:rsid w:val="002D1AF5"/>
    <w:rsid w:val="002D22FC"/>
    <w:rsid w:val="002D298E"/>
    <w:rsid w:val="002D3C31"/>
    <w:rsid w:val="002D3FB1"/>
    <w:rsid w:val="002D414F"/>
    <w:rsid w:val="002D54B1"/>
    <w:rsid w:val="002D5547"/>
    <w:rsid w:val="002D570B"/>
    <w:rsid w:val="002D62EB"/>
    <w:rsid w:val="002D69F4"/>
    <w:rsid w:val="002D701D"/>
    <w:rsid w:val="002D70FC"/>
    <w:rsid w:val="002D747B"/>
    <w:rsid w:val="002D74C9"/>
    <w:rsid w:val="002D7A26"/>
    <w:rsid w:val="002D7A93"/>
    <w:rsid w:val="002D7B73"/>
    <w:rsid w:val="002D7D00"/>
    <w:rsid w:val="002E0142"/>
    <w:rsid w:val="002E04CB"/>
    <w:rsid w:val="002E06E1"/>
    <w:rsid w:val="002E0A01"/>
    <w:rsid w:val="002E0A50"/>
    <w:rsid w:val="002E15E8"/>
    <w:rsid w:val="002E1A67"/>
    <w:rsid w:val="002E1D97"/>
    <w:rsid w:val="002E251D"/>
    <w:rsid w:val="002E262A"/>
    <w:rsid w:val="002E3029"/>
    <w:rsid w:val="002E3CC4"/>
    <w:rsid w:val="002E401F"/>
    <w:rsid w:val="002E4E0C"/>
    <w:rsid w:val="002E55FF"/>
    <w:rsid w:val="002E602B"/>
    <w:rsid w:val="002E6340"/>
    <w:rsid w:val="002E69D3"/>
    <w:rsid w:val="002E6EC3"/>
    <w:rsid w:val="002E7C7A"/>
    <w:rsid w:val="002F04C6"/>
    <w:rsid w:val="002F09E7"/>
    <w:rsid w:val="002F11F0"/>
    <w:rsid w:val="002F131B"/>
    <w:rsid w:val="002F2620"/>
    <w:rsid w:val="002F2A5F"/>
    <w:rsid w:val="002F2BFD"/>
    <w:rsid w:val="002F2C53"/>
    <w:rsid w:val="002F2F51"/>
    <w:rsid w:val="002F318D"/>
    <w:rsid w:val="002F328C"/>
    <w:rsid w:val="002F42C2"/>
    <w:rsid w:val="002F4B25"/>
    <w:rsid w:val="002F4C4E"/>
    <w:rsid w:val="002F5A99"/>
    <w:rsid w:val="002F5C53"/>
    <w:rsid w:val="002F6378"/>
    <w:rsid w:val="002F6A87"/>
    <w:rsid w:val="002F6BAD"/>
    <w:rsid w:val="002F6C93"/>
    <w:rsid w:val="002F7685"/>
    <w:rsid w:val="002F7E37"/>
    <w:rsid w:val="0030000E"/>
    <w:rsid w:val="003000B8"/>
    <w:rsid w:val="00300DB2"/>
    <w:rsid w:val="00301A91"/>
    <w:rsid w:val="00302027"/>
    <w:rsid w:val="00302368"/>
    <w:rsid w:val="003023C5"/>
    <w:rsid w:val="003029EB"/>
    <w:rsid w:val="00302D23"/>
    <w:rsid w:val="00303863"/>
    <w:rsid w:val="003039B6"/>
    <w:rsid w:val="00303BC6"/>
    <w:rsid w:val="00303CDE"/>
    <w:rsid w:val="003044EC"/>
    <w:rsid w:val="00304D6C"/>
    <w:rsid w:val="0030508F"/>
    <w:rsid w:val="003058EE"/>
    <w:rsid w:val="00306706"/>
    <w:rsid w:val="003072D6"/>
    <w:rsid w:val="00307459"/>
    <w:rsid w:val="00310187"/>
    <w:rsid w:val="0031032C"/>
    <w:rsid w:val="003107E7"/>
    <w:rsid w:val="00310882"/>
    <w:rsid w:val="00310AA7"/>
    <w:rsid w:val="00310BAC"/>
    <w:rsid w:val="003136DA"/>
    <w:rsid w:val="003138A2"/>
    <w:rsid w:val="00314C18"/>
    <w:rsid w:val="00314E36"/>
    <w:rsid w:val="00316B1B"/>
    <w:rsid w:val="00316F1B"/>
    <w:rsid w:val="003179AA"/>
    <w:rsid w:val="0032012F"/>
    <w:rsid w:val="00320705"/>
    <w:rsid w:val="00320CB9"/>
    <w:rsid w:val="00320DA8"/>
    <w:rsid w:val="00320DC3"/>
    <w:rsid w:val="00321597"/>
    <w:rsid w:val="00322153"/>
    <w:rsid w:val="00322299"/>
    <w:rsid w:val="00322A3A"/>
    <w:rsid w:val="00322B86"/>
    <w:rsid w:val="00322BD0"/>
    <w:rsid w:val="00322DA8"/>
    <w:rsid w:val="00323AFB"/>
    <w:rsid w:val="00323B64"/>
    <w:rsid w:val="003240FE"/>
    <w:rsid w:val="0032440A"/>
    <w:rsid w:val="00325125"/>
    <w:rsid w:val="00325858"/>
    <w:rsid w:val="00325B42"/>
    <w:rsid w:val="00326394"/>
    <w:rsid w:val="00326697"/>
    <w:rsid w:val="00326CAF"/>
    <w:rsid w:val="00326F88"/>
    <w:rsid w:val="00327522"/>
    <w:rsid w:val="003276EA"/>
    <w:rsid w:val="003279A3"/>
    <w:rsid w:val="00327DB0"/>
    <w:rsid w:val="00330215"/>
    <w:rsid w:val="00330F6A"/>
    <w:rsid w:val="00331379"/>
    <w:rsid w:val="003313E3"/>
    <w:rsid w:val="00331816"/>
    <w:rsid w:val="0033198C"/>
    <w:rsid w:val="00331E56"/>
    <w:rsid w:val="00331FC5"/>
    <w:rsid w:val="003324D4"/>
    <w:rsid w:val="00332ACE"/>
    <w:rsid w:val="00333424"/>
    <w:rsid w:val="00333CB7"/>
    <w:rsid w:val="00333CF4"/>
    <w:rsid w:val="00333DE4"/>
    <w:rsid w:val="00334180"/>
    <w:rsid w:val="00334D46"/>
    <w:rsid w:val="00336644"/>
    <w:rsid w:val="00336A1B"/>
    <w:rsid w:val="00336A4F"/>
    <w:rsid w:val="00337245"/>
    <w:rsid w:val="00337875"/>
    <w:rsid w:val="00337BEB"/>
    <w:rsid w:val="0034038E"/>
    <w:rsid w:val="003403D5"/>
    <w:rsid w:val="0034056E"/>
    <w:rsid w:val="00341C5A"/>
    <w:rsid w:val="00341C73"/>
    <w:rsid w:val="00341EED"/>
    <w:rsid w:val="00341FAC"/>
    <w:rsid w:val="0034324A"/>
    <w:rsid w:val="003438EB"/>
    <w:rsid w:val="00343CB7"/>
    <w:rsid w:val="003442CF"/>
    <w:rsid w:val="00344448"/>
    <w:rsid w:val="0034445D"/>
    <w:rsid w:val="00344F29"/>
    <w:rsid w:val="00345015"/>
    <w:rsid w:val="0034541B"/>
    <w:rsid w:val="00345503"/>
    <w:rsid w:val="003457D2"/>
    <w:rsid w:val="00345AB6"/>
    <w:rsid w:val="00345C72"/>
    <w:rsid w:val="00346D9E"/>
    <w:rsid w:val="00347288"/>
    <w:rsid w:val="003473E2"/>
    <w:rsid w:val="00347527"/>
    <w:rsid w:val="0034793E"/>
    <w:rsid w:val="00350309"/>
    <w:rsid w:val="00350BF1"/>
    <w:rsid w:val="00350DFD"/>
    <w:rsid w:val="00350E0B"/>
    <w:rsid w:val="00351953"/>
    <w:rsid w:val="00351D4D"/>
    <w:rsid w:val="00351EAF"/>
    <w:rsid w:val="0035221F"/>
    <w:rsid w:val="003526AB"/>
    <w:rsid w:val="0035294A"/>
    <w:rsid w:val="00352F21"/>
    <w:rsid w:val="00353850"/>
    <w:rsid w:val="00353868"/>
    <w:rsid w:val="00353C44"/>
    <w:rsid w:val="003541E1"/>
    <w:rsid w:val="00354E4E"/>
    <w:rsid w:val="00355844"/>
    <w:rsid w:val="00355AD1"/>
    <w:rsid w:val="00355B3E"/>
    <w:rsid w:val="00355E29"/>
    <w:rsid w:val="00355F40"/>
    <w:rsid w:val="003560B1"/>
    <w:rsid w:val="003562B4"/>
    <w:rsid w:val="0035654C"/>
    <w:rsid w:val="00356B28"/>
    <w:rsid w:val="00356F20"/>
    <w:rsid w:val="00357314"/>
    <w:rsid w:val="00357C13"/>
    <w:rsid w:val="00360211"/>
    <w:rsid w:val="003609D9"/>
    <w:rsid w:val="00360BAB"/>
    <w:rsid w:val="00361F93"/>
    <w:rsid w:val="00362279"/>
    <w:rsid w:val="00362503"/>
    <w:rsid w:val="00362720"/>
    <w:rsid w:val="003635E4"/>
    <w:rsid w:val="0036397F"/>
    <w:rsid w:val="00364369"/>
    <w:rsid w:val="00364884"/>
    <w:rsid w:val="00364995"/>
    <w:rsid w:val="00364A40"/>
    <w:rsid w:val="0036532D"/>
    <w:rsid w:val="00365381"/>
    <w:rsid w:val="003658CB"/>
    <w:rsid w:val="003659BB"/>
    <w:rsid w:val="00365A9A"/>
    <w:rsid w:val="003660C3"/>
    <w:rsid w:val="003662BE"/>
    <w:rsid w:val="00366A0D"/>
    <w:rsid w:val="00367256"/>
    <w:rsid w:val="0037000E"/>
    <w:rsid w:val="003704B8"/>
    <w:rsid w:val="00370567"/>
    <w:rsid w:val="00370814"/>
    <w:rsid w:val="00371663"/>
    <w:rsid w:val="00371A71"/>
    <w:rsid w:val="00373392"/>
    <w:rsid w:val="00373A84"/>
    <w:rsid w:val="00374600"/>
    <w:rsid w:val="00374EBF"/>
    <w:rsid w:val="003756A6"/>
    <w:rsid w:val="0037654B"/>
    <w:rsid w:val="00377039"/>
    <w:rsid w:val="00377973"/>
    <w:rsid w:val="00377FF8"/>
    <w:rsid w:val="003809C4"/>
    <w:rsid w:val="00381429"/>
    <w:rsid w:val="00381A94"/>
    <w:rsid w:val="003826F0"/>
    <w:rsid w:val="00382707"/>
    <w:rsid w:val="0038371E"/>
    <w:rsid w:val="0038396B"/>
    <w:rsid w:val="00383A32"/>
    <w:rsid w:val="00383E9E"/>
    <w:rsid w:val="003841EC"/>
    <w:rsid w:val="0038458E"/>
    <w:rsid w:val="003846F4"/>
    <w:rsid w:val="003854DE"/>
    <w:rsid w:val="003858F3"/>
    <w:rsid w:val="00385E6B"/>
    <w:rsid w:val="00385EFD"/>
    <w:rsid w:val="0038607D"/>
    <w:rsid w:val="00386303"/>
    <w:rsid w:val="00386759"/>
    <w:rsid w:val="00386C39"/>
    <w:rsid w:val="00387157"/>
    <w:rsid w:val="00387411"/>
    <w:rsid w:val="00387D43"/>
    <w:rsid w:val="00390052"/>
    <w:rsid w:val="00390634"/>
    <w:rsid w:val="00390E65"/>
    <w:rsid w:val="003912F1"/>
    <w:rsid w:val="003914F2"/>
    <w:rsid w:val="0039195A"/>
    <w:rsid w:val="00391A53"/>
    <w:rsid w:val="00391D3E"/>
    <w:rsid w:val="00391EAB"/>
    <w:rsid w:val="0039315B"/>
    <w:rsid w:val="0039377F"/>
    <w:rsid w:val="00393C30"/>
    <w:rsid w:val="003945E4"/>
    <w:rsid w:val="00394B10"/>
    <w:rsid w:val="00394E7C"/>
    <w:rsid w:val="00394FD9"/>
    <w:rsid w:val="00395298"/>
    <w:rsid w:val="00395896"/>
    <w:rsid w:val="003958CA"/>
    <w:rsid w:val="00395FE2"/>
    <w:rsid w:val="003960E3"/>
    <w:rsid w:val="0039692B"/>
    <w:rsid w:val="003A0090"/>
    <w:rsid w:val="003A149E"/>
    <w:rsid w:val="003A1BEA"/>
    <w:rsid w:val="003A2462"/>
    <w:rsid w:val="003A2975"/>
    <w:rsid w:val="003A29B6"/>
    <w:rsid w:val="003A3139"/>
    <w:rsid w:val="003A336E"/>
    <w:rsid w:val="003A364F"/>
    <w:rsid w:val="003A411B"/>
    <w:rsid w:val="003A4563"/>
    <w:rsid w:val="003A45C7"/>
    <w:rsid w:val="003A4832"/>
    <w:rsid w:val="003A4C1E"/>
    <w:rsid w:val="003A4F4E"/>
    <w:rsid w:val="003A52B9"/>
    <w:rsid w:val="003A53A7"/>
    <w:rsid w:val="003A561B"/>
    <w:rsid w:val="003A5C67"/>
    <w:rsid w:val="003A6080"/>
    <w:rsid w:val="003A6531"/>
    <w:rsid w:val="003A65EA"/>
    <w:rsid w:val="003A78E9"/>
    <w:rsid w:val="003A7CCD"/>
    <w:rsid w:val="003B0348"/>
    <w:rsid w:val="003B082A"/>
    <w:rsid w:val="003B0D04"/>
    <w:rsid w:val="003B1349"/>
    <w:rsid w:val="003B1C97"/>
    <w:rsid w:val="003B1CEF"/>
    <w:rsid w:val="003B1E24"/>
    <w:rsid w:val="003B2E90"/>
    <w:rsid w:val="003B3587"/>
    <w:rsid w:val="003B3CE2"/>
    <w:rsid w:val="003B3F48"/>
    <w:rsid w:val="003B4E98"/>
    <w:rsid w:val="003B53DA"/>
    <w:rsid w:val="003B567D"/>
    <w:rsid w:val="003B6012"/>
    <w:rsid w:val="003B65D7"/>
    <w:rsid w:val="003B6611"/>
    <w:rsid w:val="003B67CC"/>
    <w:rsid w:val="003B776B"/>
    <w:rsid w:val="003B77D0"/>
    <w:rsid w:val="003B789A"/>
    <w:rsid w:val="003B7D2E"/>
    <w:rsid w:val="003C0C29"/>
    <w:rsid w:val="003C0DE3"/>
    <w:rsid w:val="003C11A8"/>
    <w:rsid w:val="003C1535"/>
    <w:rsid w:val="003C15FB"/>
    <w:rsid w:val="003C1761"/>
    <w:rsid w:val="003C197F"/>
    <w:rsid w:val="003C1A96"/>
    <w:rsid w:val="003C1E14"/>
    <w:rsid w:val="003C20C2"/>
    <w:rsid w:val="003C20D8"/>
    <w:rsid w:val="003C20EA"/>
    <w:rsid w:val="003C2AD0"/>
    <w:rsid w:val="003C2EFE"/>
    <w:rsid w:val="003C3E44"/>
    <w:rsid w:val="003C3F1A"/>
    <w:rsid w:val="003C4286"/>
    <w:rsid w:val="003C4861"/>
    <w:rsid w:val="003C5272"/>
    <w:rsid w:val="003C5DE6"/>
    <w:rsid w:val="003C5DED"/>
    <w:rsid w:val="003C6391"/>
    <w:rsid w:val="003C76D5"/>
    <w:rsid w:val="003C7B0D"/>
    <w:rsid w:val="003C7F69"/>
    <w:rsid w:val="003D0349"/>
    <w:rsid w:val="003D036F"/>
    <w:rsid w:val="003D138D"/>
    <w:rsid w:val="003D2398"/>
    <w:rsid w:val="003D26D3"/>
    <w:rsid w:val="003D2EE8"/>
    <w:rsid w:val="003D3130"/>
    <w:rsid w:val="003D3A4D"/>
    <w:rsid w:val="003D3D6E"/>
    <w:rsid w:val="003D3E51"/>
    <w:rsid w:val="003D43B1"/>
    <w:rsid w:val="003D44BC"/>
    <w:rsid w:val="003D4A48"/>
    <w:rsid w:val="003D4AE2"/>
    <w:rsid w:val="003D4CBD"/>
    <w:rsid w:val="003D515E"/>
    <w:rsid w:val="003D5BE5"/>
    <w:rsid w:val="003D5DE8"/>
    <w:rsid w:val="003D60A9"/>
    <w:rsid w:val="003D6459"/>
    <w:rsid w:val="003D6B8C"/>
    <w:rsid w:val="003D6BC3"/>
    <w:rsid w:val="003D6FEB"/>
    <w:rsid w:val="003D700A"/>
    <w:rsid w:val="003D7172"/>
    <w:rsid w:val="003D743C"/>
    <w:rsid w:val="003D76CA"/>
    <w:rsid w:val="003D7D08"/>
    <w:rsid w:val="003E0A02"/>
    <w:rsid w:val="003E0D74"/>
    <w:rsid w:val="003E1C3D"/>
    <w:rsid w:val="003E21C2"/>
    <w:rsid w:val="003E22B2"/>
    <w:rsid w:val="003E239B"/>
    <w:rsid w:val="003E2528"/>
    <w:rsid w:val="003E253F"/>
    <w:rsid w:val="003E3312"/>
    <w:rsid w:val="003E34C4"/>
    <w:rsid w:val="003E3B06"/>
    <w:rsid w:val="003E4143"/>
    <w:rsid w:val="003E437B"/>
    <w:rsid w:val="003E4531"/>
    <w:rsid w:val="003E465F"/>
    <w:rsid w:val="003E4984"/>
    <w:rsid w:val="003E4E61"/>
    <w:rsid w:val="003E4E8E"/>
    <w:rsid w:val="003E5C31"/>
    <w:rsid w:val="003E643D"/>
    <w:rsid w:val="003E7345"/>
    <w:rsid w:val="003E739D"/>
    <w:rsid w:val="003E748F"/>
    <w:rsid w:val="003F02D8"/>
    <w:rsid w:val="003F0B5E"/>
    <w:rsid w:val="003F11F8"/>
    <w:rsid w:val="003F14AC"/>
    <w:rsid w:val="003F1B15"/>
    <w:rsid w:val="003F20FB"/>
    <w:rsid w:val="003F37D1"/>
    <w:rsid w:val="003F3B51"/>
    <w:rsid w:val="003F3C74"/>
    <w:rsid w:val="003F3D6D"/>
    <w:rsid w:val="003F4A50"/>
    <w:rsid w:val="003F618A"/>
    <w:rsid w:val="003F6CF1"/>
    <w:rsid w:val="004003A8"/>
    <w:rsid w:val="00400D58"/>
    <w:rsid w:val="004010E0"/>
    <w:rsid w:val="0040144C"/>
    <w:rsid w:val="00401717"/>
    <w:rsid w:val="00401C0B"/>
    <w:rsid w:val="00402646"/>
    <w:rsid w:val="00403314"/>
    <w:rsid w:val="0040342D"/>
    <w:rsid w:val="00403AE9"/>
    <w:rsid w:val="00403F0A"/>
    <w:rsid w:val="00404BF7"/>
    <w:rsid w:val="004052EE"/>
    <w:rsid w:val="0040603E"/>
    <w:rsid w:val="004065D7"/>
    <w:rsid w:val="00406629"/>
    <w:rsid w:val="004072C1"/>
    <w:rsid w:val="00407339"/>
    <w:rsid w:val="004075C1"/>
    <w:rsid w:val="00410526"/>
    <w:rsid w:val="004111E0"/>
    <w:rsid w:val="00411564"/>
    <w:rsid w:val="00411811"/>
    <w:rsid w:val="00412898"/>
    <w:rsid w:val="00412C72"/>
    <w:rsid w:val="00412D90"/>
    <w:rsid w:val="00413516"/>
    <w:rsid w:val="00413CF0"/>
    <w:rsid w:val="00414155"/>
    <w:rsid w:val="00414763"/>
    <w:rsid w:val="00414839"/>
    <w:rsid w:val="00415073"/>
    <w:rsid w:val="004159B3"/>
    <w:rsid w:val="00415F41"/>
    <w:rsid w:val="00415F48"/>
    <w:rsid w:val="004160CE"/>
    <w:rsid w:val="004164F5"/>
    <w:rsid w:val="00416ABC"/>
    <w:rsid w:val="00416F0B"/>
    <w:rsid w:val="00417118"/>
    <w:rsid w:val="004172F1"/>
    <w:rsid w:val="004178D4"/>
    <w:rsid w:val="00417B9B"/>
    <w:rsid w:val="004203F2"/>
    <w:rsid w:val="004204C4"/>
    <w:rsid w:val="00421AB4"/>
    <w:rsid w:val="00421B57"/>
    <w:rsid w:val="00422507"/>
    <w:rsid w:val="00422D95"/>
    <w:rsid w:val="0042394E"/>
    <w:rsid w:val="00425116"/>
    <w:rsid w:val="00425806"/>
    <w:rsid w:val="004260CA"/>
    <w:rsid w:val="0042612B"/>
    <w:rsid w:val="004264C9"/>
    <w:rsid w:val="00426B04"/>
    <w:rsid w:val="00426BEE"/>
    <w:rsid w:val="0042765F"/>
    <w:rsid w:val="004276EE"/>
    <w:rsid w:val="00427A08"/>
    <w:rsid w:val="00427D4F"/>
    <w:rsid w:val="004301D9"/>
    <w:rsid w:val="004302E1"/>
    <w:rsid w:val="004312B9"/>
    <w:rsid w:val="004312C6"/>
    <w:rsid w:val="00431602"/>
    <w:rsid w:val="00431A43"/>
    <w:rsid w:val="00431D5F"/>
    <w:rsid w:val="00431D7A"/>
    <w:rsid w:val="00432177"/>
    <w:rsid w:val="00432402"/>
    <w:rsid w:val="004332F1"/>
    <w:rsid w:val="00433B43"/>
    <w:rsid w:val="00434292"/>
    <w:rsid w:val="004344A1"/>
    <w:rsid w:val="004345AA"/>
    <w:rsid w:val="004349EC"/>
    <w:rsid w:val="004351B6"/>
    <w:rsid w:val="00435511"/>
    <w:rsid w:val="004360F9"/>
    <w:rsid w:val="00436765"/>
    <w:rsid w:val="00436D59"/>
    <w:rsid w:val="004372E7"/>
    <w:rsid w:val="00437447"/>
    <w:rsid w:val="00437BCD"/>
    <w:rsid w:val="00440A2C"/>
    <w:rsid w:val="00441BC7"/>
    <w:rsid w:val="004422C5"/>
    <w:rsid w:val="00442AA8"/>
    <w:rsid w:val="00442AF9"/>
    <w:rsid w:val="00442D79"/>
    <w:rsid w:val="004433B5"/>
    <w:rsid w:val="00443C84"/>
    <w:rsid w:val="00444A52"/>
    <w:rsid w:val="00444C6B"/>
    <w:rsid w:val="004465A8"/>
    <w:rsid w:val="00447A09"/>
    <w:rsid w:val="00447BF4"/>
    <w:rsid w:val="00450260"/>
    <w:rsid w:val="004515E4"/>
    <w:rsid w:val="00451893"/>
    <w:rsid w:val="00451B1C"/>
    <w:rsid w:val="0045253B"/>
    <w:rsid w:val="004531CB"/>
    <w:rsid w:val="00453273"/>
    <w:rsid w:val="004536D0"/>
    <w:rsid w:val="004541F4"/>
    <w:rsid w:val="00454D5A"/>
    <w:rsid w:val="004555BE"/>
    <w:rsid w:val="00455644"/>
    <w:rsid w:val="00456146"/>
    <w:rsid w:val="0045699E"/>
    <w:rsid w:val="00456AAE"/>
    <w:rsid w:val="00456C42"/>
    <w:rsid w:val="0045765D"/>
    <w:rsid w:val="004576CB"/>
    <w:rsid w:val="00457A12"/>
    <w:rsid w:val="00457F71"/>
    <w:rsid w:val="00460D97"/>
    <w:rsid w:val="00460FE1"/>
    <w:rsid w:val="004616B9"/>
    <w:rsid w:val="00461C4E"/>
    <w:rsid w:val="00462295"/>
    <w:rsid w:val="004626C2"/>
    <w:rsid w:val="00462808"/>
    <w:rsid w:val="004633A3"/>
    <w:rsid w:val="0046362C"/>
    <w:rsid w:val="00463BE2"/>
    <w:rsid w:val="00463D28"/>
    <w:rsid w:val="0046450F"/>
    <w:rsid w:val="00464F0E"/>
    <w:rsid w:val="00465509"/>
    <w:rsid w:val="00465A0C"/>
    <w:rsid w:val="00466B27"/>
    <w:rsid w:val="004703CD"/>
    <w:rsid w:val="0047088E"/>
    <w:rsid w:val="0047180A"/>
    <w:rsid w:val="0047290F"/>
    <w:rsid w:val="00472FFD"/>
    <w:rsid w:val="00473102"/>
    <w:rsid w:val="0047358E"/>
    <w:rsid w:val="00473636"/>
    <w:rsid w:val="0047452E"/>
    <w:rsid w:val="00474732"/>
    <w:rsid w:val="00474E13"/>
    <w:rsid w:val="00475285"/>
    <w:rsid w:val="00475843"/>
    <w:rsid w:val="00475904"/>
    <w:rsid w:val="00475A5E"/>
    <w:rsid w:val="0047616A"/>
    <w:rsid w:val="00476354"/>
    <w:rsid w:val="004763A3"/>
    <w:rsid w:val="0047642E"/>
    <w:rsid w:val="00477636"/>
    <w:rsid w:val="004779DF"/>
    <w:rsid w:val="004805B0"/>
    <w:rsid w:val="004809AF"/>
    <w:rsid w:val="00481E97"/>
    <w:rsid w:val="00481FBA"/>
    <w:rsid w:val="0048229E"/>
    <w:rsid w:val="00482479"/>
    <w:rsid w:val="0048282B"/>
    <w:rsid w:val="00482BAD"/>
    <w:rsid w:val="00482DE3"/>
    <w:rsid w:val="0048301D"/>
    <w:rsid w:val="0048394A"/>
    <w:rsid w:val="0048460D"/>
    <w:rsid w:val="004846DF"/>
    <w:rsid w:val="004846EA"/>
    <w:rsid w:val="00484DB4"/>
    <w:rsid w:val="00484EFC"/>
    <w:rsid w:val="00485160"/>
    <w:rsid w:val="00485359"/>
    <w:rsid w:val="0048541C"/>
    <w:rsid w:val="004856C8"/>
    <w:rsid w:val="00485BFC"/>
    <w:rsid w:val="00485C14"/>
    <w:rsid w:val="00485D97"/>
    <w:rsid w:val="0048692A"/>
    <w:rsid w:val="0048719A"/>
    <w:rsid w:val="0049025B"/>
    <w:rsid w:val="004904FD"/>
    <w:rsid w:val="00490D19"/>
    <w:rsid w:val="00490E3C"/>
    <w:rsid w:val="004915B2"/>
    <w:rsid w:val="0049219A"/>
    <w:rsid w:val="0049239C"/>
    <w:rsid w:val="00492660"/>
    <w:rsid w:val="00492818"/>
    <w:rsid w:val="00492897"/>
    <w:rsid w:val="004928BA"/>
    <w:rsid w:val="0049316D"/>
    <w:rsid w:val="00493C08"/>
    <w:rsid w:val="00493D6E"/>
    <w:rsid w:val="004940C2"/>
    <w:rsid w:val="0049410E"/>
    <w:rsid w:val="004945B8"/>
    <w:rsid w:val="004946EC"/>
    <w:rsid w:val="00494A3C"/>
    <w:rsid w:val="00494BB9"/>
    <w:rsid w:val="00495DDA"/>
    <w:rsid w:val="00496755"/>
    <w:rsid w:val="00496D54"/>
    <w:rsid w:val="0049700E"/>
    <w:rsid w:val="004977E9"/>
    <w:rsid w:val="004A05DC"/>
    <w:rsid w:val="004A099C"/>
    <w:rsid w:val="004A11C8"/>
    <w:rsid w:val="004A18D4"/>
    <w:rsid w:val="004A200B"/>
    <w:rsid w:val="004A2F8F"/>
    <w:rsid w:val="004A303A"/>
    <w:rsid w:val="004A335C"/>
    <w:rsid w:val="004A3512"/>
    <w:rsid w:val="004A3B28"/>
    <w:rsid w:val="004A3EF5"/>
    <w:rsid w:val="004A42B9"/>
    <w:rsid w:val="004A4369"/>
    <w:rsid w:val="004A4A30"/>
    <w:rsid w:val="004A5140"/>
    <w:rsid w:val="004A5662"/>
    <w:rsid w:val="004A5B75"/>
    <w:rsid w:val="004A66DD"/>
    <w:rsid w:val="004A6736"/>
    <w:rsid w:val="004A7029"/>
    <w:rsid w:val="004A7B84"/>
    <w:rsid w:val="004B0D80"/>
    <w:rsid w:val="004B1864"/>
    <w:rsid w:val="004B1E23"/>
    <w:rsid w:val="004B2221"/>
    <w:rsid w:val="004B2A79"/>
    <w:rsid w:val="004B3058"/>
    <w:rsid w:val="004B31AC"/>
    <w:rsid w:val="004B371F"/>
    <w:rsid w:val="004B378B"/>
    <w:rsid w:val="004B3B86"/>
    <w:rsid w:val="004B46F2"/>
    <w:rsid w:val="004B4DDF"/>
    <w:rsid w:val="004B50DB"/>
    <w:rsid w:val="004B50E5"/>
    <w:rsid w:val="004B5275"/>
    <w:rsid w:val="004B5989"/>
    <w:rsid w:val="004B5B7F"/>
    <w:rsid w:val="004B5C87"/>
    <w:rsid w:val="004B5DA6"/>
    <w:rsid w:val="004B66FA"/>
    <w:rsid w:val="004B7048"/>
    <w:rsid w:val="004B7D99"/>
    <w:rsid w:val="004B7FC3"/>
    <w:rsid w:val="004C0C3D"/>
    <w:rsid w:val="004C0CB6"/>
    <w:rsid w:val="004C1752"/>
    <w:rsid w:val="004C1CA8"/>
    <w:rsid w:val="004C203D"/>
    <w:rsid w:val="004C2493"/>
    <w:rsid w:val="004C31A2"/>
    <w:rsid w:val="004C3509"/>
    <w:rsid w:val="004C3EC5"/>
    <w:rsid w:val="004C437B"/>
    <w:rsid w:val="004C5180"/>
    <w:rsid w:val="004C5536"/>
    <w:rsid w:val="004C57DF"/>
    <w:rsid w:val="004C5A91"/>
    <w:rsid w:val="004C5C0B"/>
    <w:rsid w:val="004C5CD2"/>
    <w:rsid w:val="004C60B4"/>
    <w:rsid w:val="004C6256"/>
    <w:rsid w:val="004C7D94"/>
    <w:rsid w:val="004C7F69"/>
    <w:rsid w:val="004D0CB8"/>
    <w:rsid w:val="004D0DBB"/>
    <w:rsid w:val="004D1986"/>
    <w:rsid w:val="004D1CF6"/>
    <w:rsid w:val="004D239E"/>
    <w:rsid w:val="004D254A"/>
    <w:rsid w:val="004D273D"/>
    <w:rsid w:val="004D3BED"/>
    <w:rsid w:val="004D3C07"/>
    <w:rsid w:val="004D3E98"/>
    <w:rsid w:val="004D4005"/>
    <w:rsid w:val="004D4253"/>
    <w:rsid w:val="004D498C"/>
    <w:rsid w:val="004D65F7"/>
    <w:rsid w:val="004E0269"/>
    <w:rsid w:val="004E0352"/>
    <w:rsid w:val="004E1135"/>
    <w:rsid w:val="004E1842"/>
    <w:rsid w:val="004E1881"/>
    <w:rsid w:val="004E270B"/>
    <w:rsid w:val="004E28D9"/>
    <w:rsid w:val="004E29CC"/>
    <w:rsid w:val="004E2B0C"/>
    <w:rsid w:val="004E2C9E"/>
    <w:rsid w:val="004E2F76"/>
    <w:rsid w:val="004E2F87"/>
    <w:rsid w:val="004E3510"/>
    <w:rsid w:val="004E3D30"/>
    <w:rsid w:val="004E4CB5"/>
    <w:rsid w:val="004E51A2"/>
    <w:rsid w:val="004E5AF7"/>
    <w:rsid w:val="004E71E8"/>
    <w:rsid w:val="004E77FC"/>
    <w:rsid w:val="004E7AB5"/>
    <w:rsid w:val="004F050D"/>
    <w:rsid w:val="004F0A56"/>
    <w:rsid w:val="004F1268"/>
    <w:rsid w:val="004F1799"/>
    <w:rsid w:val="004F1D93"/>
    <w:rsid w:val="004F1F68"/>
    <w:rsid w:val="004F274C"/>
    <w:rsid w:val="004F2D94"/>
    <w:rsid w:val="004F364A"/>
    <w:rsid w:val="004F390A"/>
    <w:rsid w:val="004F3E14"/>
    <w:rsid w:val="004F4735"/>
    <w:rsid w:val="004F4B61"/>
    <w:rsid w:val="004F5D75"/>
    <w:rsid w:val="004F601C"/>
    <w:rsid w:val="004F64C6"/>
    <w:rsid w:val="004F734F"/>
    <w:rsid w:val="004F73B6"/>
    <w:rsid w:val="004F7407"/>
    <w:rsid w:val="004F7BA5"/>
    <w:rsid w:val="004F7D66"/>
    <w:rsid w:val="005002F2"/>
    <w:rsid w:val="0050067D"/>
    <w:rsid w:val="005008BE"/>
    <w:rsid w:val="00500E09"/>
    <w:rsid w:val="00501419"/>
    <w:rsid w:val="0050179B"/>
    <w:rsid w:val="00501B19"/>
    <w:rsid w:val="0050247E"/>
    <w:rsid w:val="0050252A"/>
    <w:rsid w:val="00502589"/>
    <w:rsid w:val="00502601"/>
    <w:rsid w:val="00502C05"/>
    <w:rsid w:val="00502EEF"/>
    <w:rsid w:val="00503E1A"/>
    <w:rsid w:val="00504D97"/>
    <w:rsid w:val="00504E22"/>
    <w:rsid w:val="005050C9"/>
    <w:rsid w:val="0050514C"/>
    <w:rsid w:val="00505780"/>
    <w:rsid w:val="005057EF"/>
    <w:rsid w:val="005058EE"/>
    <w:rsid w:val="00507423"/>
    <w:rsid w:val="00507C15"/>
    <w:rsid w:val="00507E03"/>
    <w:rsid w:val="0051030F"/>
    <w:rsid w:val="00510390"/>
    <w:rsid w:val="00510B38"/>
    <w:rsid w:val="00510BB6"/>
    <w:rsid w:val="00511379"/>
    <w:rsid w:val="0051138A"/>
    <w:rsid w:val="0051181B"/>
    <w:rsid w:val="00512059"/>
    <w:rsid w:val="00512236"/>
    <w:rsid w:val="00512CEC"/>
    <w:rsid w:val="00512F91"/>
    <w:rsid w:val="00512FF8"/>
    <w:rsid w:val="00513E16"/>
    <w:rsid w:val="00513E70"/>
    <w:rsid w:val="00514E17"/>
    <w:rsid w:val="005156F0"/>
    <w:rsid w:val="0051591F"/>
    <w:rsid w:val="00515993"/>
    <w:rsid w:val="00515CDA"/>
    <w:rsid w:val="0051678D"/>
    <w:rsid w:val="00516BBD"/>
    <w:rsid w:val="0051707F"/>
    <w:rsid w:val="005178C5"/>
    <w:rsid w:val="00520104"/>
    <w:rsid w:val="00520C8D"/>
    <w:rsid w:val="00521586"/>
    <w:rsid w:val="00521814"/>
    <w:rsid w:val="00521D52"/>
    <w:rsid w:val="0052277D"/>
    <w:rsid w:val="00522DA3"/>
    <w:rsid w:val="00522EC7"/>
    <w:rsid w:val="00522FF9"/>
    <w:rsid w:val="005232F9"/>
    <w:rsid w:val="005237DF"/>
    <w:rsid w:val="00523872"/>
    <w:rsid w:val="00523C34"/>
    <w:rsid w:val="00523D3C"/>
    <w:rsid w:val="00523D64"/>
    <w:rsid w:val="00524171"/>
    <w:rsid w:val="005243DB"/>
    <w:rsid w:val="005244FD"/>
    <w:rsid w:val="00524818"/>
    <w:rsid w:val="005249D6"/>
    <w:rsid w:val="00524CAF"/>
    <w:rsid w:val="00525085"/>
    <w:rsid w:val="0052563F"/>
    <w:rsid w:val="005264F2"/>
    <w:rsid w:val="0052679D"/>
    <w:rsid w:val="00527201"/>
    <w:rsid w:val="0053013D"/>
    <w:rsid w:val="0053069D"/>
    <w:rsid w:val="00530860"/>
    <w:rsid w:val="00530B66"/>
    <w:rsid w:val="00530D1F"/>
    <w:rsid w:val="005338CF"/>
    <w:rsid w:val="00533B2E"/>
    <w:rsid w:val="00533CC9"/>
    <w:rsid w:val="00534019"/>
    <w:rsid w:val="005343CA"/>
    <w:rsid w:val="005346A8"/>
    <w:rsid w:val="00534782"/>
    <w:rsid w:val="00534FC3"/>
    <w:rsid w:val="005354CF"/>
    <w:rsid w:val="00535850"/>
    <w:rsid w:val="00536D19"/>
    <w:rsid w:val="00536D58"/>
    <w:rsid w:val="00537382"/>
    <w:rsid w:val="005400F6"/>
    <w:rsid w:val="0054023F"/>
    <w:rsid w:val="00541119"/>
    <w:rsid w:val="00541502"/>
    <w:rsid w:val="00541AFC"/>
    <w:rsid w:val="0054203F"/>
    <w:rsid w:val="00542383"/>
    <w:rsid w:val="00542A9F"/>
    <w:rsid w:val="00543161"/>
    <w:rsid w:val="0054351B"/>
    <w:rsid w:val="00543BC8"/>
    <w:rsid w:val="0054414E"/>
    <w:rsid w:val="005444EC"/>
    <w:rsid w:val="00544B7F"/>
    <w:rsid w:val="00544BA1"/>
    <w:rsid w:val="005453C6"/>
    <w:rsid w:val="00545B1A"/>
    <w:rsid w:val="00545E36"/>
    <w:rsid w:val="00546169"/>
    <w:rsid w:val="00546ADA"/>
    <w:rsid w:val="00546E52"/>
    <w:rsid w:val="0054741F"/>
    <w:rsid w:val="00547783"/>
    <w:rsid w:val="00547BF2"/>
    <w:rsid w:val="00550263"/>
    <w:rsid w:val="005509F1"/>
    <w:rsid w:val="0055186A"/>
    <w:rsid w:val="005520E0"/>
    <w:rsid w:val="0055220C"/>
    <w:rsid w:val="00552EDC"/>
    <w:rsid w:val="0055330E"/>
    <w:rsid w:val="005544F6"/>
    <w:rsid w:val="00555815"/>
    <w:rsid w:val="005558E1"/>
    <w:rsid w:val="00555F9A"/>
    <w:rsid w:val="00556649"/>
    <w:rsid w:val="005570F3"/>
    <w:rsid w:val="00557673"/>
    <w:rsid w:val="00557F94"/>
    <w:rsid w:val="005609DF"/>
    <w:rsid w:val="005618C6"/>
    <w:rsid w:val="00561F4E"/>
    <w:rsid w:val="00562044"/>
    <w:rsid w:val="005620F3"/>
    <w:rsid w:val="005621FF"/>
    <w:rsid w:val="00562207"/>
    <w:rsid w:val="0056227F"/>
    <w:rsid w:val="005629C8"/>
    <w:rsid w:val="00562F82"/>
    <w:rsid w:val="00563036"/>
    <w:rsid w:val="005634D6"/>
    <w:rsid w:val="0056380D"/>
    <w:rsid w:val="00564059"/>
    <w:rsid w:val="005647BA"/>
    <w:rsid w:val="00565149"/>
    <w:rsid w:val="00565B05"/>
    <w:rsid w:val="00565E17"/>
    <w:rsid w:val="005662C0"/>
    <w:rsid w:val="00566975"/>
    <w:rsid w:val="00566B57"/>
    <w:rsid w:val="00567141"/>
    <w:rsid w:val="00567443"/>
    <w:rsid w:val="00567801"/>
    <w:rsid w:val="00567928"/>
    <w:rsid w:val="005705BA"/>
    <w:rsid w:val="00571103"/>
    <w:rsid w:val="005712A0"/>
    <w:rsid w:val="0057154A"/>
    <w:rsid w:val="0057165A"/>
    <w:rsid w:val="0057195B"/>
    <w:rsid w:val="00573352"/>
    <w:rsid w:val="00573703"/>
    <w:rsid w:val="00573956"/>
    <w:rsid w:val="005742A5"/>
    <w:rsid w:val="00574C0B"/>
    <w:rsid w:val="0057519C"/>
    <w:rsid w:val="00575281"/>
    <w:rsid w:val="005753D0"/>
    <w:rsid w:val="00575535"/>
    <w:rsid w:val="005756BC"/>
    <w:rsid w:val="00575C6B"/>
    <w:rsid w:val="00575C6F"/>
    <w:rsid w:val="00575E40"/>
    <w:rsid w:val="00576482"/>
    <w:rsid w:val="00576D5F"/>
    <w:rsid w:val="00577139"/>
    <w:rsid w:val="00577391"/>
    <w:rsid w:val="00577580"/>
    <w:rsid w:val="0057779B"/>
    <w:rsid w:val="005778FB"/>
    <w:rsid w:val="00577AAD"/>
    <w:rsid w:val="005800CD"/>
    <w:rsid w:val="0058034D"/>
    <w:rsid w:val="005805C0"/>
    <w:rsid w:val="00580831"/>
    <w:rsid w:val="00580CAC"/>
    <w:rsid w:val="00580CB7"/>
    <w:rsid w:val="00580E07"/>
    <w:rsid w:val="00581569"/>
    <w:rsid w:val="005816F9"/>
    <w:rsid w:val="00581ADA"/>
    <w:rsid w:val="005821DF"/>
    <w:rsid w:val="00582475"/>
    <w:rsid w:val="005828CF"/>
    <w:rsid w:val="00582B52"/>
    <w:rsid w:val="005839D2"/>
    <w:rsid w:val="00584504"/>
    <w:rsid w:val="0058483A"/>
    <w:rsid w:val="00584E2D"/>
    <w:rsid w:val="0058544C"/>
    <w:rsid w:val="0058545D"/>
    <w:rsid w:val="005859B2"/>
    <w:rsid w:val="00586678"/>
    <w:rsid w:val="00586903"/>
    <w:rsid w:val="00586AC0"/>
    <w:rsid w:val="00586BE3"/>
    <w:rsid w:val="00587047"/>
    <w:rsid w:val="0058704A"/>
    <w:rsid w:val="005871DB"/>
    <w:rsid w:val="0058764F"/>
    <w:rsid w:val="0058774B"/>
    <w:rsid w:val="00587872"/>
    <w:rsid w:val="00587B14"/>
    <w:rsid w:val="005901ED"/>
    <w:rsid w:val="005908E1"/>
    <w:rsid w:val="00590B38"/>
    <w:rsid w:val="00590E18"/>
    <w:rsid w:val="00590EF7"/>
    <w:rsid w:val="005911E1"/>
    <w:rsid w:val="00591418"/>
    <w:rsid w:val="00591433"/>
    <w:rsid w:val="00591A4B"/>
    <w:rsid w:val="005924A7"/>
    <w:rsid w:val="0059293A"/>
    <w:rsid w:val="005932D6"/>
    <w:rsid w:val="00593A6D"/>
    <w:rsid w:val="0059422A"/>
    <w:rsid w:val="00594279"/>
    <w:rsid w:val="0059476F"/>
    <w:rsid w:val="00594C6B"/>
    <w:rsid w:val="00594D5B"/>
    <w:rsid w:val="00595131"/>
    <w:rsid w:val="00595414"/>
    <w:rsid w:val="0059592E"/>
    <w:rsid w:val="00595D56"/>
    <w:rsid w:val="00595EE3"/>
    <w:rsid w:val="00596A14"/>
    <w:rsid w:val="00596C86"/>
    <w:rsid w:val="00597012"/>
    <w:rsid w:val="0059704D"/>
    <w:rsid w:val="005A040F"/>
    <w:rsid w:val="005A0803"/>
    <w:rsid w:val="005A0E4D"/>
    <w:rsid w:val="005A10BB"/>
    <w:rsid w:val="005A168B"/>
    <w:rsid w:val="005A18CC"/>
    <w:rsid w:val="005A1958"/>
    <w:rsid w:val="005A1AB1"/>
    <w:rsid w:val="005A1DC0"/>
    <w:rsid w:val="005A1FE8"/>
    <w:rsid w:val="005A22FC"/>
    <w:rsid w:val="005A3059"/>
    <w:rsid w:val="005A3169"/>
    <w:rsid w:val="005A323A"/>
    <w:rsid w:val="005A33E7"/>
    <w:rsid w:val="005A37F6"/>
    <w:rsid w:val="005A3DAA"/>
    <w:rsid w:val="005A3E26"/>
    <w:rsid w:val="005A42EA"/>
    <w:rsid w:val="005A46E1"/>
    <w:rsid w:val="005A48CE"/>
    <w:rsid w:val="005A50DB"/>
    <w:rsid w:val="005A5398"/>
    <w:rsid w:val="005A53A1"/>
    <w:rsid w:val="005A56EF"/>
    <w:rsid w:val="005A686B"/>
    <w:rsid w:val="005A69EA"/>
    <w:rsid w:val="005A6A5A"/>
    <w:rsid w:val="005A6EE1"/>
    <w:rsid w:val="005A7325"/>
    <w:rsid w:val="005B0521"/>
    <w:rsid w:val="005B0651"/>
    <w:rsid w:val="005B0687"/>
    <w:rsid w:val="005B0E0F"/>
    <w:rsid w:val="005B158B"/>
    <w:rsid w:val="005B164B"/>
    <w:rsid w:val="005B17FA"/>
    <w:rsid w:val="005B20A3"/>
    <w:rsid w:val="005B25F6"/>
    <w:rsid w:val="005B2F2E"/>
    <w:rsid w:val="005B3764"/>
    <w:rsid w:val="005B3886"/>
    <w:rsid w:val="005B4090"/>
    <w:rsid w:val="005B410F"/>
    <w:rsid w:val="005B493A"/>
    <w:rsid w:val="005B50BD"/>
    <w:rsid w:val="005B6042"/>
    <w:rsid w:val="005B6BF8"/>
    <w:rsid w:val="005B6CE1"/>
    <w:rsid w:val="005B7353"/>
    <w:rsid w:val="005B759E"/>
    <w:rsid w:val="005B7D2A"/>
    <w:rsid w:val="005B7D5C"/>
    <w:rsid w:val="005C01F2"/>
    <w:rsid w:val="005C0E50"/>
    <w:rsid w:val="005C2033"/>
    <w:rsid w:val="005C261A"/>
    <w:rsid w:val="005C283B"/>
    <w:rsid w:val="005C3068"/>
    <w:rsid w:val="005C44F8"/>
    <w:rsid w:val="005C47FD"/>
    <w:rsid w:val="005C4A49"/>
    <w:rsid w:val="005C4BA9"/>
    <w:rsid w:val="005C4E69"/>
    <w:rsid w:val="005C5341"/>
    <w:rsid w:val="005C5BD2"/>
    <w:rsid w:val="005C602E"/>
    <w:rsid w:val="005C625A"/>
    <w:rsid w:val="005C65BB"/>
    <w:rsid w:val="005C6E65"/>
    <w:rsid w:val="005C6F92"/>
    <w:rsid w:val="005C70D2"/>
    <w:rsid w:val="005C7B49"/>
    <w:rsid w:val="005C7DB0"/>
    <w:rsid w:val="005D1125"/>
    <w:rsid w:val="005D17C9"/>
    <w:rsid w:val="005D194D"/>
    <w:rsid w:val="005D199C"/>
    <w:rsid w:val="005D1A4A"/>
    <w:rsid w:val="005D28D4"/>
    <w:rsid w:val="005D2A7B"/>
    <w:rsid w:val="005D2D8C"/>
    <w:rsid w:val="005D3806"/>
    <w:rsid w:val="005D3D59"/>
    <w:rsid w:val="005D3FB5"/>
    <w:rsid w:val="005D4580"/>
    <w:rsid w:val="005D4FC6"/>
    <w:rsid w:val="005D5203"/>
    <w:rsid w:val="005D538B"/>
    <w:rsid w:val="005D643D"/>
    <w:rsid w:val="005D6D29"/>
    <w:rsid w:val="005D7430"/>
    <w:rsid w:val="005D7611"/>
    <w:rsid w:val="005D7998"/>
    <w:rsid w:val="005E1595"/>
    <w:rsid w:val="005E1735"/>
    <w:rsid w:val="005E202D"/>
    <w:rsid w:val="005E2316"/>
    <w:rsid w:val="005E2431"/>
    <w:rsid w:val="005E243E"/>
    <w:rsid w:val="005E2536"/>
    <w:rsid w:val="005E2D1A"/>
    <w:rsid w:val="005E3BD2"/>
    <w:rsid w:val="005E3ECF"/>
    <w:rsid w:val="005E5C25"/>
    <w:rsid w:val="005E5EBA"/>
    <w:rsid w:val="005E5F9F"/>
    <w:rsid w:val="005E72F3"/>
    <w:rsid w:val="005E7385"/>
    <w:rsid w:val="005F0EC8"/>
    <w:rsid w:val="005F0F2E"/>
    <w:rsid w:val="005F1271"/>
    <w:rsid w:val="005F19E0"/>
    <w:rsid w:val="005F1F3B"/>
    <w:rsid w:val="005F2422"/>
    <w:rsid w:val="005F308E"/>
    <w:rsid w:val="005F36EF"/>
    <w:rsid w:val="005F3FB5"/>
    <w:rsid w:val="005F4A1A"/>
    <w:rsid w:val="005F4EDD"/>
    <w:rsid w:val="005F536A"/>
    <w:rsid w:val="005F55BA"/>
    <w:rsid w:val="005F598B"/>
    <w:rsid w:val="005F5E9B"/>
    <w:rsid w:val="005F62AA"/>
    <w:rsid w:val="005F6E64"/>
    <w:rsid w:val="005F72B0"/>
    <w:rsid w:val="005F733D"/>
    <w:rsid w:val="00600D5E"/>
    <w:rsid w:val="00601ACD"/>
    <w:rsid w:val="0060224C"/>
    <w:rsid w:val="00602368"/>
    <w:rsid w:val="006027D0"/>
    <w:rsid w:val="00602A66"/>
    <w:rsid w:val="00602A74"/>
    <w:rsid w:val="00602C52"/>
    <w:rsid w:val="00602EBD"/>
    <w:rsid w:val="0060320D"/>
    <w:rsid w:val="00603CB7"/>
    <w:rsid w:val="006049EB"/>
    <w:rsid w:val="00604AD6"/>
    <w:rsid w:val="00604C36"/>
    <w:rsid w:val="00605375"/>
    <w:rsid w:val="006053CA"/>
    <w:rsid w:val="00605991"/>
    <w:rsid w:val="00605B1F"/>
    <w:rsid w:val="00605F58"/>
    <w:rsid w:val="00606253"/>
    <w:rsid w:val="006062F2"/>
    <w:rsid w:val="006065F8"/>
    <w:rsid w:val="00606902"/>
    <w:rsid w:val="00606C02"/>
    <w:rsid w:val="00606EBF"/>
    <w:rsid w:val="00607029"/>
    <w:rsid w:val="006071A3"/>
    <w:rsid w:val="0060760B"/>
    <w:rsid w:val="00607913"/>
    <w:rsid w:val="00610053"/>
    <w:rsid w:val="00610151"/>
    <w:rsid w:val="00610332"/>
    <w:rsid w:val="00610380"/>
    <w:rsid w:val="00611193"/>
    <w:rsid w:val="00611572"/>
    <w:rsid w:val="00612AF1"/>
    <w:rsid w:val="00612D95"/>
    <w:rsid w:val="0061300E"/>
    <w:rsid w:val="006142D5"/>
    <w:rsid w:val="00616126"/>
    <w:rsid w:val="006164CD"/>
    <w:rsid w:val="00616518"/>
    <w:rsid w:val="0061652E"/>
    <w:rsid w:val="00616A01"/>
    <w:rsid w:val="00616FCC"/>
    <w:rsid w:val="00617B38"/>
    <w:rsid w:val="006205A7"/>
    <w:rsid w:val="0062074E"/>
    <w:rsid w:val="00620C14"/>
    <w:rsid w:val="00620E4F"/>
    <w:rsid w:val="006213C7"/>
    <w:rsid w:val="00621670"/>
    <w:rsid w:val="006216D8"/>
    <w:rsid w:val="0062192B"/>
    <w:rsid w:val="00623163"/>
    <w:rsid w:val="00623E53"/>
    <w:rsid w:val="00623FC9"/>
    <w:rsid w:val="00624176"/>
    <w:rsid w:val="00624459"/>
    <w:rsid w:val="006247A9"/>
    <w:rsid w:val="00624CDA"/>
    <w:rsid w:val="00625340"/>
    <w:rsid w:val="006254D6"/>
    <w:rsid w:val="00625E0F"/>
    <w:rsid w:val="006262A2"/>
    <w:rsid w:val="00626384"/>
    <w:rsid w:val="0062696B"/>
    <w:rsid w:val="006269FA"/>
    <w:rsid w:val="00627372"/>
    <w:rsid w:val="0062796D"/>
    <w:rsid w:val="0062799A"/>
    <w:rsid w:val="006307B5"/>
    <w:rsid w:val="006314E5"/>
    <w:rsid w:val="006324DD"/>
    <w:rsid w:val="00632BFC"/>
    <w:rsid w:val="00632FF1"/>
    <w:rsid w:val="0063376E"/>
    <w:rsid w:val="00633846"/>
    <w:rsid w:val="00634112"/>
    <w:rsid w:val="00635B24"/>
    <w:rsid w:val="00635BED"/>
    <w:rsid w:val="006360A9"/>
    <w:rsid w:val="00636C3D"/>
    <w:rsid w:val="00637162"/>
    <w:rsid w:val="0063737A"/>
    <w:rsid w:val="00637837"/>
    <w:rsid w:val="00637D48"/>
    <w:rsid w:val="00640B75"/>
    <w:rsid w:val="00641094"/>
    <w:rsid w:val="00641426"/>
    <w:rsid w:val="0064145E"/>
    <w:rsid w:val="0064200B"/>
    <w:rsid w:val="0064200F"/>
    <w:rsid w:val="006427B9"/>
    <w:rsid w:val="00642CBC"/>
    <w:rsid w:val="00642F9A"/>
    <w:rsid w:val="006431F3"/>
    <w:rsid w:val="00643655"/>
    <w:rsid w:val="00643F2A"/>
    <w:rsid w:val="00644754"/>
    <w:rsid w:val="0064493C"/>
    <w:rsid w:val="00644E8A"/>
    <w:rsid w:val="00645113"/>
    <w:rsid w:val="006453FA"/>
    <w:rsid w:val="006457AC"/>
    <w:rsid w:val="006469AB"/>
    <w:rsid w:val="00646AB5"/>
    <w:rsid w:val="0064781C"/>
    <w:rsid w:val="00647CBF"/>
    <w:rsid w:val="006500EA"/>
    <w:rsid w:val="006502F4"/>
    <w:rsid w:val="0065031C"/>
    <w:rsid w:val="006512B3"/>
    <w:rsid w:val="00651302"/>
    <w:rsid w:val="006513AB"/>
    <w:rsid w:val="00651ED8"/>
    <w:rsid w:val="006524C7"/>
    <w:rsid w:val="00652EDB"/>
    <w:rsid w:val="00652F6D"/>
    <w:rsid w:val="00653619"/>
    <w:rsid w:val="00653C4C"/>
    <w:rsid w:val="00653E69"/>
    <w:rsid w:val="00654F32"/>
    <w:rsid w:val="00655C8A"/>
    <w:rsid w:val="0065614B"/>
    <w:rsid w:val="006562EC"/>
    <w:rsid w:val="0065640F"/>
    <w:rsid w:val="00656E25"/>
    <w:rsid w:val="006570D8"/>
    <w:rsid w:val="006577B4"/>
    <w:rsid w:val="006577C7"/>
    <w:rsid w:val="00657AE7"/>
    <w:rsid w:val="00657C1C"/>
    <w:rsid w:val="00657F55"/>
    <w:rsid w:val="006604AB"/>
    <w:rsid w:val="0066068C"/>
    <w:rsid w:val="00660CAD"/>
    <w:rsid w:val="0066127A"/>
    <w:rsid w:val="00661658"/>
    <w:rsid w:val="00661E10"/>
    <w:rsid w:val="00661ED6"/>
    <w:rsid w:val="00662C2E"/>
    <w:rsid w:val="0066347D"/>
    <w:rsid w:val="006638FF"/>
    <w:rsid w:val="00663D16"/>
    <w:rsid w:val="00663DE9"/>
    <w:rsid w:val="00664544"/>
    <w:rsid w:val="00664724"/>
    <w:rsid w:val="00664B76"/>
    <w:rsid w:val="006652CF"/>
    <w:rsid w:val="00665648"/>
    <w:rsid w:val="00665CF5"/>
    <w:rsid w:val="00665DA3"/>
    <w:rsid w:val="00666113"/>
    <w:rsid w:val="00666C54"/>
    <w:rsid w:val="00667501"/>
    <w:rsid w:val="00667709"/>
    <w:rsid w:val="00667A44"/>
    <w:rsid w:val="00670AF4"/>
    <w:rsid w:val="006710FF"/>
    <w:rsid w:val="00671A9F"/>
    <w:rsid w:val="00671D99"/>
    <w:rsid w:val="006720AD"/>
    <w:rsid w:val="0067220D"/>
    <w:rsid w:val="00672B20"/>
    <w:rsid w:val="00672D73"/>
    <w:rsid w:val="006731E7"/>
    <w:rsid w:val="006735DC"/>
    <w:rsid w:val="006737F0"/>
    <w:rsid w:val="00673C13"/>
    <w:rsid w:val="00673C1E"/>
    <w:rsid w:val="00673CF7"/>
    <w:rsid w:val="006740A3"/>
    <w:rsid w:val="00674AEA"/>
    <w:rsid w:val="006752DF"/>
    <w:rsid w:val="00675B9B"/>
    <w:rsid w:val="006763FC"/>
    <w:rsid w:val="006767D1"/>
    <w:rsid w:val="006772BD"/>
    <w:rsid w:val="006773D0"/>
    <w:rsid w:val="00677D93"/>
    <w:rsid w:val="00680790"/>
    <w:rsid w:val="0068096A"/>
    <w:rsid w:val="006809AE"/>
    <w:rsid w:val="006812F9"/>
    <w:rsid w:val="00681C3B"/>
    <w:rsid w:val="0068347D"/>
    <w:rsid w:val="0068375F"/>
    <w:rsid w:val="00683C2B"/>
    <w:rsid w:val="0068420F"/>
    <w:rsid w:val="0068560E"/>
    <w:rsid w:val="00685DE6"/>
    <w:rsid w:val="006860BC"/>
    <w:rsid w:val="0068651A"/>
    <w:rsid w:val="00687491"/>
    <w:rsid w:val="006877A1"/>
    <w:rsid w:val="00690380"/>
    <w:rsid w:val="006911F5"/>
    <w:rsid w:val="006918AD"/>
    <w:rsid w:val="00691E64"/>
    <w:rsid w:val="00692077"/>
    <w:rsid w:val="006920F8"/>
    <w:rsid w:val="00692992"/>
    <w:rsid w:val="00693689"/>
    <w:rsid w:val="00693BD5"/>
    <w:rsid w:val="00693E42"/>
    <w:rsid w:val="006944F2"/>
    <w:rsid w:val="006948C6"/>
    <w:rsid w:val="00694CA0"/>
    <w:rsid w:val="006950D9"/>
    <w:rsid w:val="00695FA1"/>
    <w:rsid w:val="0069601C"/>
    <w:rsid w:val="00696255"/>
    <w:rsid w:val="00696BDE"/>
    <w:rsid w:val="006978EC"/>
    <w:rsid w:val="00697FDC"/>
    <w:rsid w:val="006A037B"/>
    <w:rsid w:val="006A06FA"/>
    <w:rsid w:val="006A0C26"/>
    <w:rsid w:val="006A0EFE"/>
    <w:rsid w:val="006A0FA5"/>
    <w:rsid w:val="006A140B"/>
    <w:rsid w:val="006A145F"/>
    <w:rsid w:val="006A1557"/>
    <w:rsid w:val="006A1801"/>
    <w:rsid w:val="006A1F04"/>
    <w:rsid w:val="006A2405"/>
    <w:rsid w:val="006A28F0"/>
    <w:rsid w:val="006A2E90"/>
    <w:rsid w:val="006A3D9F"/>
    <w:rsid w:val="006A432E"/>
    <w:rsid w:val="006A48B8"/>
    <w:rsid w:val="006A4A88"/>
    <w:rsid w:val="006A4F29"/>
    <w:rsid w:val="006A4FC4"/>
    <w:rsid w:val="006A50D5"/>
    <w:rsid w:val="006A56C0"/>
    <w:rsid w:val="006A5DD9"/>
    <w:rsid w:val="006A6D76"/>
    <w:rsid w:val="006A6EBA"/>
    <w:rsid w:val="006A70D1"/>
    <w:rsid w:val="006A73CB"/>
    <w:rsid w:val="006B0A24"/>
    <w:rsid w:val="006B3802"/>
    <w:rsid w:val="006B38A2"/>
    <w:rsid w:val="006B4235"/>
    <w:rsid w:val="006B5101"/>
    <w:rsid w:val="006B533A"/>
    <w:rsid w:val="006B549C"/>
    <w:rsid w:val="006B62EE"/>
    <w:rsid w:val="006B70F0"/>
    <w:rsid w:val="006C0299"/>
    <w:rsid w:val="006C02A5"/>
    <w:rsid w:val="006C0421"/>
    <w:rsid w:val="006C1275"/>
    <w:rsid w:val="006C1471"/>
    <w:rsid w:val="006C2B41"/>
    <w:rsid w:val="006C2D05"/>
    <w:rsid w:val="006C3921"/>
    <w:rsid w:val="006C3A54"/>
    <w:rsid w:val="006C3B5A"/>
    <w:rsid w:val="006C42B6"/>
    <w:rsid w:val="006C47EB"/>
    <w:rsid w:val="006C4A5D"/>
    <w:rsid w:val="006C4EE2"/>
    <w:rsid w:val="006C5477"/>
    <w:rsid w:val="006C5D04"/>
    <w:rsid w:val="006C6745"/>
    <w:rsid w:val="006C6DF6"/>
    <w:rsid w:val="006C73CD"/>
    <w:rsid w:val="006D00B2"/>
    <w:rsid w:val="006D0A32"/>
    <w:rsid w:val="006D0B58"/>
    <w:rsid w:val="006D0CBE"/>
    <w:rsid w:val="006D0D28"/>
    <w:rsid w:val="006D0FD0"/>
    <w:rsid w:val="006D156C"/>
    <w:rsid w:val="006D1641"/>
    <w:rsid w:val="006D164C"/>
    <w:rsid w:val="006D1703"/>
    <w:rsid w:val="006D1FA0"/>
    <w:rsid w:val="006D239F"/>
    <w:rsid w:val="006D27A7"/>
    <w:rsid w:val="006D2ABE"/>
    <w:rsid w:val="006D30E1"/>
    <w:rsid w:val="006D336C"/>
    <w:rsid w:val="006D4289"/>
    <w:rsid w:val="006D49D5"/>
    <w:rsid w:val="006D4BDC"/>
    <w:rsid w:val="006D4DB0"/>
    <w:rsid w:val="006D56DD"/>
    <w:rsid w:val="006D5B60"/>
    <w:rsid w:val="006D632D"/>
    <w:rsid w:val="006D6536"/>
    <w:rsid w:val="006D6ACB"/>
    <w:rsid w:val="006D6E6B"/>
    <w:rsid w:val="006D7859"/>
    <w:rsid w:val="006D7A02"/>
    <w:rsid w:val="006D7B72"/>
    <w:rsid w:val="006E0368"/>
    <w:rsid w:val="006E0D8C"/>
    <w:rsid w:val="006E1DF8"/>
    <w:rsid w:val="006E1E9F"/>
    <w:rsid w:val="006E21A1"/>
    <w:rsid w:val="006E2210"/>
    <w:rsid w:val="006E2669"/>
    <w:rsid w:val="006E3E14"/>
    <w:rsid w:val="006E416E"/>
    <w:rsid w:val="006E4378"/>
    <w:rsid w:val="006E44D3"/>
    <w:rsid w:val="006E4552"/>
    <w:rsid w:val="006E466C"/>
    <w:rsid w:val="006E4C40"/>
    <w:rsid w:val="006E53E4"/>
    <w:rsid w:val="006E5688"/>
    <w:rsid w:val="006E5C4D"/>
    <w:rsid w:val="006E5FBF"/>
    <w:rsid w:val="006E6208"/>
    <w:rsid w:val="006E7382"/>
    <w:rsid w:val="006E7651"/>
    <w:rsid w:val="006F0078"/>
    <w:rsid w:val="006F057A"/>
    <w:rsid w:val="006F09B5"/>
    <w:rsid w:val="006F0D0E"/>
    <w:rsid w:val="006F0D12"/>
    <w:rsid w:val="006F0E34"/>
    <w:rsid w:val="006F0E9F"/>
    <w:rsid w:val="006F1078"/>
    <w:rsid w:val="006F1D32"/>
    <w:rsid w:val="006F1F96"/>
    <w:rsid w:val="006F2B00"/>
    <w:rsid w:val="006F2E75"/>
    <w:rsid w:val="006F3062"/>
    <w:rsid w:val="006F3318"/>
    <w:rsid w:val="006F4305"/>
    <w:rsid w:val="006F43A8"/>
    <w:rsid w:val="006F45CE"/>
    <w:rsid w:val="006F4F43"/>
    <w:rsid w:val="006F554D"/>
    <w:rsid w:val="006F56F0"/>
    <w:rsid w:val="006F5834"/>
    <w:rsid w:val="006F5890"/>
    <w:rsid w:val="006F6E11"/>
    <w:rsid w:val="006F7AC3"/>
    <w:rsid w:val="006F7B8B"/>
    <w:rsid w:val="00700666"/>
    <w:rsid w:val="00700939"/>
    <w:rsid w:val="00701210"/>
    <w:rsid w:val="007012BE"/>
    <w:rsid w:val="007012E8"/>
    <w:rsid w:val="007014EC"/>
    <w:rsid w:val="0070165E"/>
    <w:rsid w:val="007016C7"/>
    <w:rsid w:val="00701A5D"/>
    <w:rsid w:val="00701B4A"/>
    <w:rsid w:val="00701BE2"/>
    <w:rsid w:val="00702149"/>
    <w:rsid w:val="00702520"/>
    <w:rsid w:val="00702785"/>
    <w:rsid w:val="007037D3"/>
    <w:rsid w:val="00704173"/>
    <w:rsid w:val="007044FB"/>
    <w:rsid w:val="00704976"/>
    <w:rsid w:val="007051A6"/>
    <w:rsid w:val="00705238"/>
    <w:rsid w:val="00705F98"/>
    <w:rsid w:val="00706CD8"/>
    <w:rsid w:val="00707045"/>
    <w:rsid w:val="007070E3"/>
    <w:rsid w:val="0070721F"/>
    <w:rsid w:val="0070780A"/>
    <w:rsid w:val="00710C1E"/>
    <w:rsid w:val="007112F8"/>
    <w:rsid w:val="00711C45"/>
    <w:rsid w:val="00711F74"/>
    <w:rsid w:val="0071278A"/>
    <w:rsid w:val="00712B12"/>
    <w:rsid w:val="00712E57"/>
    <w:rsid w:val="00712FA9"/>
    <w:rsid w:val="007136E5"/>
    <w:rsid w:val="00713D73"/>
    <w:rsid w:val="007142D8"/>
    <w:rsid w:val="00714DFF"/>
    <w:rsid w:val="007150D9"/>
    <w:rsid w:val="00715B8A"/>
    <w:rsid w:val="00715D6D"/>
    <w:rsid w:val="00716213"/>
    <w:rsid w:val="0071696E"/>
    <w:rsid w:val="00716B3E"/>
    <w:rsid w:val="00716F74"/>
    <w:rsid w:val="00717D16"/>
    <w:rsid w:val="00717D8F"/>
    <w:rsid w:val="007201C3"/>
    <w:rsid w:val="0072059F"/>
    <w:rsid w:val="00720D78"/>
    <w:rsid w:val="00720E39"/>
    <w:rsid w:val="007216EE"/>
    <w:rsid w:val="00721766"/>
    <w:rsid w:val="00721B37"/>
    <w:rsid w:val="007222C1"/>
    <w:rsid w:val="00722309"/>
    <w:rsid w:val="007223F3"/>
    <w:rsid w:val="00722787"/>
    <w:rsid w:val="00722E18"/>
    <w:rsid w:val="00723063"/>
    <w:rsid w:val="00723998"/>
    <w:rsid w:val="00724261"/>
    <w:rsid w:val="007247C7"/>
    <w:rsid w:val="00724DEF"/>
    <w:rsid w:val="00725A2B"/>
    <w:rsid w:val="0072797C"/>
    <w:rsid w:val="00731454"/>
    <w:rsid w:val="007314A9"/>
    <w:rsid w:val="00731E70"/>
    <w:rsid w:val="00732193"/>
    <w:rsid w:val="007325A6"/>
    <w:rsid w:val="00733788"/>
    <w:rsid w:val="00733DCF"/>
    <w:rsid w:val="00735332"/>
    <w:rsid w:val="007355F3"/>
    <w:rsid w:val="00735642"/>
    <w:rsid w:val="00735C33"/>
    <w:rsid w:val="00735DD3"/>
    <w:rsid w:val="0073681D"/>
    <w:rsid w:val="00736CD2"/>
    <w:rsid w:val="00736EE9"/>
    <w:rsid w:val="00737C48"/>
    <w:rsid w:val="007402B3"/>
    <w:rsid w:val="00740467"/>
    <w:rsid w:val="00740687"/>
    <w:rsid w:val="00740872"/>
    <w:rsid w:val="0074171D"/>
    <w:rsid w:val="00741B96"/>
    <w:rsid w:val="00741C2D"/>
    <w:rsid w:val="00741F51"/>
    <w:rsid w:val="0074210F"/>
    <w:rsid w:val="00742371"/>
    <w:rsid w:val="00742BC2"/>
    <w:rsid w:val="007435E9"/>
    <w:rsid w:val="007441A6"/>
    <w:rsid w:val="00744D75"/>
    <w:rsid w:val="00744F32"/>
    <w:rsid w:val="00744FA4"/>
    <w:rsid w:val="007452F6"/>
    <w:rsid w:val="00745A09"/>
    <w:rsid w:val="00745C5B"/>
    <w:rsid w:val="00745E94"/>
    <w:rsid w:val="00745F69"/>
    <w:rsid w:val="00746201"/>
    <w:rsid w:val="00746483"/>
    <w:rsid w:val="007468EB"/>
    <w:rsid w:val="00746958"/>
    <w:rsid w:val="00746F22"/>
    <w:rsid w:val="00747034"/>
    <w:rsid w:val="0074735A"/>
    <w:rsid w:val="00750229"/>
    <w:rsid w:val="0075055B"/>
    <w:rsid w:val="00750788"/>
    <w:rsid w:val="0075176B"/>
    <w:rsid w:val="00751B83"/>
    <w:rsid w:val="00751B91"/>
    <w:rsid w:val="00752084"/>
    <w:rsid w:val="007527E5"/>
    <w:rsid w:val="00752B06"/>
    <w:rsid w:val="007530AE"/>
    <w:rsid w:val="007550F0"/>
    <w:rsid w:val="00756158"/>
    <w:rsid w:val="0075664E"/>
    <w:rsid w:val="00757090"/>
    <w:rsid w:val="00757563"/>
    <w:rsid w:val="00757902"/>
    <w:rsid w:val="00757A79"/>
    <w:rsid w:val="00757C31"/>
    <w:rsid w:val="00757DFB"/>
    <w:rsid w:val="007608D3"/>
    <w:rsid w:val="00760906"/>
    <w:rsid w:val="00760D08"/>
    <w:rsid w:val="0076148D"/>
    <w:rsid w:val="00761A8F"/>
    <w:rsid w:val="00761C6F"/>
    <w:rsid w:val="00761D75"/>
    <w:rsid w:val="00761E21"/>
    <w:rsid w:val="00761FA2"/>
    <w:rsid w:val="00762248"/>
    <w:rsid w:val="00762453"/>
    <w:rsid w:val="0076273A"/>
    <w:rsid w:val="00762D1D"/>
    <w:rsid w:val="00763692"/>
    <w:rsid w:val="007637AB"/>
    <w:rsid w:val="00763B45"/>
    <w:rsid w:val="00764AE6"/>
    <w:rsid w:val="00765879"/>
    <w:rsid w:val="00765CCA"/>
    <w:rsid w:val="00765E7D"/>
    <w:rsid w:val="00766453"/>
    <w:rsid w:val="007665F4"/>
    <w:rsid w:val="00767111"/>
    <w:rsid w:val="0077074A"/>
    <w:rsid w:val="0077078B"/>
    <w:rsid w:val="00770793"/>
    <w:rsid w:val="00770858"/>
    <w:rsid w:val="00771439"/>
    <w:rsid w:val="007716C9"/>
    <w:rsid w:val="007718A8"/>
    <w:rsid w:val="00771DD4"/>
    <w:rsid w:val="00772044"/>
    <w:rsid w:val="00772364"/>
    <w:rsid w:val="00772EC5"/>
    <w:rsid w:val="00773420"/>
    <w:rsid w:val="00773823"/>
    <w:rsid w:val="007742C6"/>
    <w:rsid w:val="00774467"/>
    <w:rsid w:val="00774946"/>
    <w:rsid w:val="007751AE"/>
    <w:rsid w:val="00775519"/>
    <w:rsid w:val="007759B8"/>
    <w:rsid w:val="00775A2F"/>
    <w:rsid w:val="00775FFD"/>
    <w:rsid w:val="00776B23"/>
    <w:rsid w:val="00776DC6"/>
    <w:rsid w:val="00776E90"/>
    <w:rsid w:val="007771A9"/>
    <w:rsid w:val="007773D0"/>
    <w:rsid w:val="00777A52"/>
    <w:rsid w:val="007803D4"/>
    <w:rsid w:val="0078056E"/>
    <w:rsid w:val="00780833"/>
    <w:rsid w:val="00780F3D"/>
    <w:rsid w:val="0078112F"/>
    <w:rsid w:val="0078153E"/>
    <w:rsid w:val="00783560"/>
    <w:rsid w:val="007836C8"/>
    <w:rsid w:val="00783801"/>
    <w:rsid w:val="007841B8"/>
    <w:rsid w:val="0078478F"/>
    <w:rsid w:val="00784F3F"/>
    <w:rsid w:val="00785A0F"/>
    <w:rsid w:val="0078651F"/>
    <w:rsid w:val="00786BA7"/>
    <w:rsid w:val="00786C8F"/>
    <w:rsid w:val="007872A3"/>
    <w:rsid w:val="007877A8"/>
    <w:rsid w:val="0079020C"/>
    <w:rsid w:val="00790410"/>
    <w:rsid w:val="00790DD2"/>
    <w:rsid w:val="00790F06"/>
    <w:rsid w:val="007912D8"/>
    <w:rsid w:val="007913E6"/>
    <w:rsid w:val="00791514"/>
    <w:rsid w:val="00791FFC"/>
    <w:rsid w:val="00792152"/>
    <w:rsid w:val="007923B7"/>
    <w:rsid w:val="00792B26"/>
    <w:rsid w:val="007934FB"/>
    <w:rsid w:val="00793576"/>
    <w:rsid w:val="00793ADF"/>
    <w:rsid w:val="00794789"/>
    <w:rsid w:val="00794ABF"/>
    <w:rsid w:val="00795322"/>
    <w:rsid w:val="00795B32"/>
    <w:rsid w:val="00795E7F"/>
    <w:rsid w:val="00796A2B"/>
    <w:rsid w:val="007970B7"/>
    <w:rsid w:val="007A0613"/>
    <w:rsid w:val="007A0641"/>
    <w:rsid w:val="007A1F39"/>
    <w:rsid w:val="007A311B"/>
    <w:rsid w:val="007A3464"/>
    <w:rsid w:val="007A364C"/>
    <w:rsid w:val="007A37E2"/>
    <w:rsid w:val="007A3954"/>
    <w:rsid w:val="007A436E"/>
    <w:rsid w:val="007A4FEB"/>
    <w:rsid w:val="007A529C"/>
    <w:rsid w:val="007A613E"/>
    <w:rsid w:val="007A64C9"/>
    <w:rsid w:val="007A777C"/>
    <w:rsid w:val="007A7899"/>
    <w:rsid w:val="007A7F4F"/>
    <w:rsid w:val="007B0B34"/>
    <w:rsid w:val="007B17B8"/>
    <w:rsid w:val="007B1882"/>
    <w:rsid w:val="007B232E"/>
    <w:rsid w:val="007B2A01"/>
    <w:rsid w:val="007B2F9A"/>
    <w:rsid w:val="007B3264"/>
    <w:rsid w:val="007B3A60"/>
    <w:rsid w:val="007B4636"/>
    <w:rsid w:val="007B4C81"/>
    <w:rsid w:val="007B517B"/>
    <w:rsid w:val="007B5607"/>
    <w:rsid w:val="007B57F1"/>
    <w:rsid w:val="007B6334"/>
    <w:rsid w:val="007B6464"/>
    <w:rsid w:val="007B6831"/>
    <w:rsid w:val="007B691E"/>
    <w:rsid w:val="007B70B5"/>
    <w:rsid w:val="007B7182"/>
    <w:rsid w:val="007B7860"/>
    <w:rsid w:val="007B7A39"/>
    <w:rsid w:val="007C0121"/>
    <w:rsid w:val="007C035C"/>
    <w:rsid w:val="007C05F5"/>
    <w:rsid w:val="007C0D22"/>
    <w:rsid w:val="007C1579"/>
    <w:rsid w:val="007C1A2B"/>
    <w:rsid w:val="007C1B31"/>
    <w:rsid w:val="007C2B57"/>
    <w:rsid w:val="007C30FA"/>
    <w:rsid w:val="007C353C"/>
    <w:rsid w:val="007C4441"/>
    <w:rsid w:val="007C47A5"/>
    <w:rsid w:val="007C4A1B"/>
    <w:rsid w:val="007C5077"/>
    <w:rsid w:val="007C597D"/>
    <w:rsid w:val="007C5A9A"/>
    <w:rsid w:val="007C5E0C"/>
    <w:rsid w:val="007C6B96"/>
    <w:rsid w:val="007C6D24"/>
    <w:rsid w:val="007C6F09"/>
    <w:rsid w:val="007C73F3"/>
    <w:rsid w:val="007C7B8A"/>
    <w:rsid w:val="007C7F32"/>
    <w:rsid w:val="007D1867"/>
    <w:rsid w:val="007D1BDA"/>
    <w:rsid w:val="007D1C2C"/>
    <w:rsid w:val="007D2766"/>
    <w:rsid w:val="007D31BD"/>
    <w:rsid w:val="007D35BE"/>
    <w:rsid w:val="007D3AAB"/>
    <w:rsid w:val="007D4B29"/>
    <w:rsid w:val="007D6347"/>
    <w:rsid w:val="007D651A"/>
    <w:rsid w:val="007E15D0"/>
    <w:rsid w:val="007E19A8"/>
    <w:rsid w:val="007E19E1"/>
    <w:rsid w:val="007E1E36"/>
    <w:rsid w:val="007E1FF9"/>
    <w:rsid w:val="007E218C"/>
    <w:rsid w:val="007E274E"/>
    <w:rsid w:val="007E2B7A"/>
    <w:rsid w:val="007E3C10"/>
    <w:rsid w:val="007E50C2"/>
    <w:rsid w:val="007E57A9"/>
    <w:rsid w:val="007E668F"/>
    <w:rsid w:val="007E7E1E"/>
    <w:rsid w:val="007F0446"/>
    <w:rsid w:val="007F08A7"/>
    <w:rsid w:val="007F09C7"/>
    <w:rsid w:val="007F0AA2"/>
    <w:rsid w:val="007F0CE0"/>
    <w:rsid w:val="007F103D"/>
    <w:rsid w:val="007F10A5"/>
    <w:rsid w:val="007F136B"/>
    <w:rsid w:val="007F1599"/>
    <w:rsid w:val="007F2AD9"/>
    <w:rsid w:val="007F3058"/>
    <w:rsid w:val="007F367C"/>
    <w:rsid w:val="007F3915"/>
    <w:rsid w:val="007F394C"/>
    <w:rsid w:val="007F3B05"/>
    <w:rsid w:val="007F3BFA"/>
    <w:rsid w:val="007F528B"/>
    <w:rsid w:val="007F547F"/>
    <w:rsid w:val="007F65F7"/>
    <w:rsid w:val="007F6AF1"/>
    <w:rsid w:val="007F6B91"/>
    <w:rsid w:val="007F6BEC"/>
    <w:rsid w:val="007F7053"/>
    <w:rsid w:val="007F7467"/>
    <w:rsid w:val="007F76A5"/>
    <w:rsid w:val="00800D06"/>
    <w:rsid w:val="00801482"/>
    <w:rsid w:val="008016A9"/>
    <w:rsid w:val="00801AAB"/>
    <w:rsid w:val="00802371"/>
    <w:rsid w:val="008024D6"/>
    <w:rsid w:val="0080252A"/>
    <w:rsid w:val="0080345A"/>
    <w:rsid w:val="00803557"/>
    <w:rsid w:val="00803750"/>
    <w:rsid w:val="008041C2"/>
    <w:rsid w:val="008059EC"/>
    <w:rsid w:val="00805B36"/>
    <w:rsid w:val="008065BD"/>
    <w:rsid w:val="008102CB"/>
    <w:rsid w:val="0081075E"/>
    <w:rsid w:val="008108B3"/>
    <w:rsid w:val="00810CDF"/>
    <w:rsid w:val="00812AB7"/>
    <w:rsid w:val="008135E7"/>
    <w:rsid w:val="00813E03"/>
    <w:rsid w:val="00813ED6"/>
    <w:rsid w:val="00813EFF"/>
    <w:rsid w:val="008140FD"/>
    <w:rsid w:val="0081462A"/>
    <w:rsid w:val="00814D85"/>
    <w:rsid w:val="00814ECD"/>
    <w:rsid w:val="00815270"/>
    <w:rsid w:val="00815A33"/>
    <w:rsid w:val="00815EFB"/>
    <w:rsid w:val="0081607C"/>
    <w:rsid w:val="00816CB5"/>
    <w:rsid w:val="00816E0D"/>
    <w:rsid w:val="008200EB"/>
    <w:rsid w:val="008206EA"/>
    <w:rsid w:val="00820B7A"/>
    <w:rsid w:val="00820DFD"/>
    <w:rsid w:val="00821084"/>
    <w:rsid w:val="0082159B"/>
    <w:rsid w:val="00821F8D"/>
    <w:rsid w:val="00822A84"/>
    <w:rsid w:val="00822CE5"/>
    <w:rsid w:val="0082372F"/>
    <w:rsid w:val="00824472"/>
    <w:rsid w:val="0082482D"/>
    <w:rsid w:val="00824ED5"/>
    <w:rsid w:val="0082500C"/>
    <w:rsid w:val="008251DB"/>
    <w:rsid w:val="008256BB"/>
    <w:rsid w:val="0082584B"/>
    <w:rsid w:val="00825B7C"/>
    <w:rsid w:val="00825B9A"/>
    <w:rsid w:val="00825DFD"/>
    <w:rsid w:val="00826056"/>
    <w:rsid w:val="008266B3"/>
    <w:rsid w:val="008268B2"/>
    <w:rsid w:val="00826C5B"/>
    <w:rsid w:val="00826CDB"/>
    <w:rsid w:val="0082709E"/>
    <w:rsid w:val="008270DB"/>
    <w:rsid w:val="00827D89"/>
    <w:rsid w:val="00830005"/>
    <w:rsid w:val="00830576"/>
    <w:rsid w:val="008309E9"/>
    <w:rsid w:val="00830D40"/>
    <w:rsid w:val="00831B70"/>
    <w:rsid w:val="00831D73"/>
    <w:rsid w:val="0083275B"/>
    <w:rsid w:val="008334F8"/>
    <w:rsid w:val="00834151"/>
    <w:rsid w:val="0083499C"/>
    <w:rsid w:val="0083591A"/>
    <w:rsid w:val="008359D9"/>
    <w:rsid w:val="00836065"/>
    <w:rsid w:val="00836814"/>
    <w:rsid w:val="008376C8"/>
    <w:rsid w:val="00837E18"/>
    <w:rsid w:val="0084024D"/>
    <w:rsid w:val="00840261"/>
    <w:rsid w:val="008403AA"/>
    <w:rsid w:val="0084134E"/>
    <w:rsid w:val="00841C5A"/>
    <w:rsid w:val="00841C89"/>
    <w:rsid w:val="00842000"/>
    <w:rsid w:val="00842187"/>
    <w:rsid w:val="00842200"/>
    <w:rsid w:val="00842343"/>
    <w:rsid w:val="008428E9"/>
    <w:rsid w:val="0084290E"/>
    <w:rsid w:val="00844E6F"/>
    <w:rsid w:val="00844F9D"/>
    <w:rsid w:val="00845012"/>
    <w:rsid w:val="00845177"/>
    <w:rsid w:val="0084557B"/>
    <w:rsid w:val="00846751"/>
    <w:rsid w:val="008473D6"/>
    <w:rsid w:val="008476C6"/>
    <w:rsid w:val="00847AC6"/>
    <w:rsid w:val="00847DA7"/>
    <w:rsid w:val="00847E5B"/>
    <w:rsid w:val="00847ED2"/>
    <w:rsid w:val="00847F97"/>
    <w:rsid w:val="00850449"/>
    <w:rsid w:val="00850ABC"/>
    <w:rsid w:val="0085191D"/>
    <w:rsid w:val="00851949"/>
    <w:rsid w:val="00851CE7"/>
    <w:rsid w:val="00851E23"/>
    <w:rsid w:val="00852231"/>
    <w:rsid w:val="0085237F"/>
    <w:rsid w:val="0085290A"/>
    <w:rsid w:val="00852FC3"/>
    <w:rsid w:val="00853906"/>
    <w:rsid w:val="0085393F"/>
    <w:rsid w:val="00853DB0"/>
    <w:rsid w:val="008541A5"/>
    <w:rsid w:val="00854D84"/>
    <w:rsid w:val="008557F7"/>
    <w:rsid w:val="00855F41"/>
    <w:rsid w:val="00856222"/>
    <w:rsid w:val="008562E1"/>
    <w:rsid w:val="0085665B"/>
    <w:rsid w:val="00856725"/>
    <w:rsid w:val="00856795"/>
    <w:rsid w:val="00856943"/>
    <w:rsid w:val="00856B45"/>
    <w:rsid w:val="0085766A"/>
    <w:rsid w:val="008578A1"/>
    <w:rsid w:val="00860152"/>
    <w:rsid w:val="00860B17"/>
    <w:rsid w:val="00860BA4"/>
    <w:rsid w:val="00860F3E"/>
    <w:rsid w:val="0086111C"/>
    <w:rsid w:val="008614A4"/>
    <w:rsid w:val="00861CD6"/>
    <w:rsid w:val="00862578"/>
    <w:rsid w:val="00862ABD"/>
    <w:rsid w:val="008632B2"/>
    <w:rsid w:val="008654DF"/>
    <w:rsid w:val="00865840"/>
    <w:rsid w:val="008662CE"/>
    <w:rsid w:val="0086662C"/>
    <w:rsid w:val="00871565"/>
    <w:rsid w:val="00871BBD"/>
    <w:rsid w:val="00871C1A"/>
    <w:rsid w:val="00871F21"/>
    <w:rsid w:val="0087261F"/>
    <w:rsid w:val="00872A35"/>
    <w:rsid w:val="008731B1"/>
    <w:rsid w:val="0087460A"/>
    <w:rsid w:val="008746E7"/>
    <w:rsid w:val="00875AB4"/>
    <w:rsid w:val="00875D06"/>
    <w:rsid w:val="008769F3"/>
    <w:rsid w:val="00877A6E"/>
    <w:rsid w:val="0088044F"/>
    <w:rsid w:val="00880AB4"/>
    <w:rsid w:val="00880C9F"/>
    <w:rsid w:val="00881392"/>
    <w:rsid w:val="0088163C"/>
    <w:rsid w:val="00882008"/>
    <w:rsid w:val="00882602"/>
    <w:rsid w:val="00882C88"/>
    <w:rsid w:val="00883396"/>
    <w:rsid w:val="00883533"/>
    <w:rsid w:val="00883B71"/>
    <w:rsid w:val="00883BB3"/>
    <w:rsid w:val="00883BF3"/>
    <w:rsid w:val="00884E57"/>
    <w:rsid w:val="00885257"/>
    <w:rsid w:val="00885BA6"/>
    <w:rsid w:val="00886332"/>
    <w:rsid w:val="00886420"/>
    <w:rsid w:val="00886448"/>
    <w:rsid w:val="008865BC"/>
    <w:rsid w:val="00886932"/>
    <w:rsid w:val="00886DB4"/>
    <w:rsid w:val="0088739F"/>
    <w:rsid w:val="008876EA"/>
    <w:rsid w:val="0088771B"/>
    <w:rsid w:val="008877A5"/>
    <w:rsid w:val="00887DD5"/>
    <w:rsid w:val="00887FEF"/>
    <w:rsid w:val="008904C9"/>
    <w:rsid w:val="00890A70"/>
    <w:rsid w:val="00890B74"/>
    <w:rsid w:val="008911D2"/>
    <w:rsid w:val="00891785"/>
    <w:rsid w:val="00891A07"/>
    <w:rsid w:val="008924D1"/>
    <w:rsid w:val="008927FD"/>
    <w:rsid w:val="00892AE5"/>
    <w:rsid w:val="00892EAF"/>
    <w:rsid w:val="008932B9"/>
    <w:rsid w:val="008934A8"/>
    <w:rsid w:val="00893630"/>
    <w:rsid w:val="0089370C"/>
    <w:rsid w:val="00893A20"/>
    <w:rsid w:val="00893A22"/>
    <w:rsid w:val="00893F97"/>
    <w:rsid w:val="00894059"/>
    <w:rsid w:val="00894548"/>
    <w:rsid w:val="008949C1"/>
    <w:rsid w:val="00894F82"/>
    <w:rsid w:val="008950A1"/>
    <w:rsid w:val="008954BB"/>
    <w:rsid w:val="008956B1"/>
    <w:rsid w:val="00895C6D"/>
    <w:rsid w:val="008961A8"/>
    <w:rsid w:val="008961EA"/>
    <w:rsid w:val="00897473"/>
    <w:rsid w:val="00897E86"/>
    <w:rsid w:val="008A0DE7"/>
    <w:rsid w:val="008A0EE4"/>
    <w:rsid w:val="008A1251"/>
    <w:rsid w:val="008A210D"/>
    <w:rsid w:val="008A2D43"/>
    <w:rsid w:val="008A3448"/>
    <w:rsid w:val="008A3D0A"/>
    <w:rsid w:val="008A431D"/>
    <w:rsid w:val="008A4D62"/>
    <w:rsid w:val="008A4F46"/>
    <w:rsid w:val="008A55C1"/>
    <w:rsid w:val="008A5F91"/>
    <w:rsid w:val="008A65F0"/>
    <w:rsid w:val="008A667C"/>
    <w:rsid w:val="008A6B46"/>
    <w:rsid w:val="008A709B"/>
    <w:rsid w:val="008A744B"/>
    <w:rsid w:val="008B0171"/>
    <w:rsid w:val="008B10EA"/>
    <w:rsid w:val="008B12A4"/>
    <w:rsid w:val="008B1455"/>
    <w:rsid w:val="008B15D6"/>
    <w:rsid w:val="008B1D40"/>
    <w:rsid w:val="008B281A"/>
    <w:rsid w:val="008B2D05"/>
    <w:rsid w:val="008B3029"/>
    <w:rsid w:val="008B31AE"/>
    <w:rsid w:val="008B3304"/>
    <w:rsid w:val="008B3A50"/>
    <w:rsid w:val="008B46D4"/>
    <w:rsid w:val="008B510B"/>
    <w:rsid w:val="008B518B"/>
    <w:rsid w:val="008B534B"/>
    <w:rsid w:val="008B555A"/>
    <w:rsid w:val="008B5C5D"/>
    <w:rsid w:val="008B5E28"/>
    <w:rsid w:val="008B5F1A"/>
    <w:rsid w:val="008B64EE"/>
    <w:rsid w:val="008B67BA"/>
    <w:rsid w:val="008B69FE"/>
    <w:rsid w:val="008B70EC"/>
    <w:rsid w:val="008C0425"/>
    <w:rsid w:val="008C0C42"/>
    <w:rsid w:val="008C10E8"/>
    <w:rsid w:val="008C1100"/>
    <w:rsid w:val="008C20E9"/>
    <w:rsid w:val="008C2704"/>
    <w:rsid w:val="008C31AA"/>
    <w:rsid w:val="008C3401"/>
    <w:rsid w:val="008C349F"/>
    <w:rsid w:val="008C34C5"/>
    <w:rsid w:val="008C424C"/>
    <w:rsid w:val="008C470F"/>
    <w:rsid w:val="008C5097"/>
    <w:rsid w:val="008C5CA5"/>
    <w:rsid w:val="008C60F8"/>
    <w:rsid w:val="008C6FF7"/>
    <w:rsid w:val="008C7024"/>
    <w:rsid w:val="008C711F"/>
    <w:rsid w:val="008C72E6"/>
    <w:rsid w:val="008C774F"/>
    <w:rsid w:val="008C79C4"/>
    <w:rsid w:val="008D1EBD"/>
    <w:rsid w:val="008D331E"/>
    <w:rsid w:val="008D3581"/>
    <w:rsid w:val="008D3D06"/>
    <w:rsid w:val="008D4786"/>
    <w:rsid w:val="008D5214"/>
    <w:rsid w:val="008D52D3"/>
    <w:rsid w:val="008D5872"/>
    <w:rsid w:val="008D5BFE"/>
    <w:rsid w:val="008D605D"/>
    <w:rsid w:val="008D64AA"/>
    <w:rsid w:val="008D65E5"/>
    <w:rsid w:val="008D6B2E"/>
    <w:rsid w:val="008D6C17"/>
    <w:rsid w:val="008D74A8"/>
    <w:rsid w:val="008D75F4"/>
    <w:rsid w:val="008D7A67"/>
    <w:rsid w:val="008D7C8A"/>
    <w:rsid w:val="008E0EC7"/>
    <w:rsid w:val="008E1C6F"/>
    <w:rsid w:val="008E20C1"/>
    <w:rsid w:val="008E268C"/>
    <w:rsid w:val="008E2968"/>
    <w:rsid w:val="008E29BD"/>
    <w:rsid w:val="008E2D0E"/>
    <w:rsid w:val="008E370E"/>
    <w:rsid w:val="008E518E"/>
    <w:rsid w:val="008E55DA"/>
    <w:rsid w:val="008E561D"/>
    <w:rsid w:val="008E5733"/>
    <w:rsid w:val="008E5A2D"/>
    <w:rsid w:val="008E5AEE"/>
    <w:rsid w:val="008E69A2"/>
    <w:rsid w:val="008E6B04"/>
    <w:rsid w:val="008E6D14"/>
    <w:rsid w:val="008E7555"/>
    <w:rsid w:val="008E7790"/>
    <w:rsid w:val="008E7E68"/>
    <w:rsid w:val="008F0B1A"/>
    <w:rsid w:val="008F140C"/>
    <w:rsid w:val="008F167F"/>
    <w:rsid w:val="008F16FE"/>
    <w:rsid w:val="008F17BA"/>
    <w:rsid w:val="008F1B0E"/>
    <w:rsid w:val="008F2015"/>
    <w:rsid w:val="008F2580"/>
    <w:rsid w:val="008F2B6E"/>
    <w:rsid w:val="008F333A"/>
    <w:rsid w:val="008F3BAF"/>
    <w:rsid w:val="008F3C35"/>
    <w:rsid w:val="008F3E66"/>
    <w:rsid w:val="008F44BA"/>
    <w:rsid w:val="008F4BBD"/>
    <w:rsid w:val="008F4BED"/>
    <w:rsid w:val="008F56D3"/>
    <w:rsid w:val="008F577C"/>
    <w:rsid w:val="008F5886"/>
    <w:rsid w:val="008F5A1B"/>
    <w:rsid w:val="008F642E"/>
    <w:rsid w:val="008F7658"/>
    <w:rsid w:val="0090036D"/>
    <w:rsid w:val="00900DFF"/>
    <w:rsid w:val="00900F7E"/>
    <w:rsid w:val="009015E0"/>
    <w:rsid w:val="009015ED"/>
    <w:rsid w:val="00901FE4"/>
    <w:rsid w:val="0090254C"/>
    <w:rsid w:val="0090268A"/>
    <w:rsid w:val="00902E9B"/>
    <w:rsid w:val="0090343E"/>
    <w:rsid w:val="00903528"/>
    <w:rsid w:val="00903844"/>
    <w:rsid w:val="009039CB"/>
    <w:rsid w:val="00903C27"/>
    <w:rsid w:val="00903E80"/>
    <w:rsid w:val="009041B4"/>
    <w:rsid w:val="009041E5"/>
    <w:rsid w:val="0090497D"/>
    <w:rsid w:val="00904BEE"/>
    <w:rsid w:val="00904FE2"/>
    <w:rsid w:val="0090537A"/>
    <w:rsid w:val="00905AD3"/>
    <w:rsid w:val="00905B84"/>
    <w:rsid w:val="00906625"/>
    <w:rsid w:val="00906986"/>
    <w:rsid w:val="009074AE"/>
    <w:rsid w:val="009074D9"/>
    <w:rsid w:val="00907D08"/>
    <w:rsid w:val="009105FD"/>
    <w:rsid w:val="00910DD3"/>
    <w:rsid w:val="009110CB"/>
    <w:rsid w:val="00911718"/>
    <w:rsid w:val="009118D2"/>
    <w:rsid w:val="00911A97"/>
    <w:rsid w:val="00911BA6"/>
    <w:rsid w:val="00911CED"/>
    <w:rsid w:val="00912BF8"/>
    <w:rsid w:val="009130B1"/>
    <w:rsid w:val="0091316E"/>
    <w:rsid w:val="00913DE5"/>
    <w:rsid w:val="00914446"/>
    <w:rsid w:val="0091497D"/>
    <w:rsid w:val="009155C1"/>
    <w:rsid w:val="009157AA"/>
    <w:rsid w:val="00915BBC"/>
    <w:rsid w:val="00915CFA"/>
    <w:rsid w:val="0091603A"/>
    <w:rsid w:val="009162D9"/>
    <w:rsid w:val="00916A0C"/>
    <w:rsid w:val="00916C56"/>
    <w:rsid w:val="00917A80"/>
    <w:rsid w:val="00920263"/>
    <w:rsid w:val="00920E56"/>
    <w:rsid w:val="00922F55"/>
    <w:rsid w:val="00922F61"/>
    <w:rsid w:val="00923029"/>
    <w:rsid w:val="00923B23"/>
    <w:rsid w:val="00923EAE"/>
    <w:rsid w:val="0092407E"/>
    <w:rsid w:val="00925068"/>
    <w:rsid w:val="0092528E"/>
    <w:rsid w:val="009256C8"/>
    <w:rsid w:val="009264B4"/>
    <w:rsid w:val="00926623"/>
    <w:rsid w:val="009266DA"/>
    <w:rsid w:val="009267E2"/>
    <w:rsid w:val="00926CBA"/>
    <w:rsid w:val="00927456"/>
    <w:rsid w:val="00927BFE"/>
    <w:rsid w:val="00930A3D"/>
    <w:rsid w:val="00931B28"/>
    <w:rsid w:val="00931C62"/>
    <w:rsid w:val="009324D1"/>
    <w:rsid w:val="00932AEA"/>
    <w:rsid w:val="00932F61"/>
    <w:rsid w:val="009331F4"/>
    <w:rsid w:val="00933771"/>
    <w:rsid w:val="00933DFC"/>
    <w:rsid w:val="00933F3A"/>
    <w:rsid w:val="0093462E"/>
    <w:rsid w:val="00935A11"/>
    <w:rsid w:val="00935A88"/>
    <w:rsid w:val="00935B59"/>
    <w:rsid w:val="00935BC8"/>
    <w:rsid w:val="00936EAF"/>
    <w:rsid w:val="00937036"/>
    <w:rsid w:val="00937230"/>
    <w:rsid w:val="00937A42"/>
    <w:rsid w:val="0094010C"/>
    <w:rsid w:val="0094025C"/>
    <w:rsid w:val="00940EF4"/>
    <w:rsid w:val="00941409"/>
    <w:rsid w:val="009415BC"/>
    <w:rsid w:val="0094180A"/>
    <w:rsid w:val="0094184F"/>
    <w:rsid w:val="00941FF2"/>
    <w:rsid w:val="009422F0"/>
    <w:rsid w:val="009428BB"/>
    <w:rsid w:val="009428DC"/>
    <w:rsid w:val="00942D79"/>
    <w:rsid w:val="0094362E"/>
    <w:rsid w:val="00943DE0"/>
    <w:rsid w:val="009448AB"/>
    <w:rsid w:val="00944BF6"/>
    <w:rsid w:val="00944D8F"/>
    <w:rsid w:val="009450A5"/>
    <w:rsid w:val="00945289"/>
    <w:rsid w:val="009455BB"/>
    <w:rsid w:val="00945676"/>
    <w:rsid w:val="00945B1E"/>
    <w:rsid w:val="00945C85"/>
    <w:rsid w:val="00945C90"/>
    <w:rsid w:val="00945F24"/>
    <w:rsid w:val="009467B3"/>
    <w:rsid w:val="009468C5"/>
    <w:rsid w:val="009503B1"/>
    <w:rsid w:val="0095095D"/>
    <w:rsid w:val="00950F77"/>
    <w:rsid w:val="009511D1"/>
    <w:rsid w:val="00951B03"/>
    <w:rsid w:val="0095264D"/>
    <w:rsid w:val="00952C86"/>
    <w:rsid w:val="0095303A"/>
    <w:rsid w:val="0095308A"/>
    <w:rsid w:val="009531F1"/>
    <w:rsid w:val="00953243"/>
    <w:rsid w:val="00953404"/>
    <w:rsid w:val="00953BA6"/>
    <w:rsid w:val="0095466C"/>
    <w:rsid w:val="00954C2C"/>
    <w:rsid w:val="009553FE"/>
    <w:rsid w:val="00955594"/>
    <w:rsid w:val="0095560F"/>
    <w:rsid w:val="00956552"/>
    <w:rsid w:val="00956C6B"/>
    <w:rsid w:val="00956E17"/>
    <w:rsid w:val="009579DC"/>
    <w:rsid w:val="00957BBD"/>
    <w:rsid w:val="00960619"/>
    <w:rsid w:val="00960D3C"/>
    <w:rsid w:val="00960E89"/>
    <w:rsid w:val="009613B4"/>
    <w:rsid w:val="00961F69"/>
    <w:rsid w:val="009632C2"/>
    <w:rsid w:val="0096399B"/>
    <w:rsid w:val="00963AAF"/>
    <w:rsid w:val="009641E3"/>
    <w:rsid w:val="00964698"/>
    <w:rsid w:val="00964AD3"/>
    <w:rsid w:val="009650AF"/>
    <w:rsid w:val="00965EA2"/>
    <w:rsid w:val="00965FB2"/>
    <w:rsid w:val="0096649E"/>
    <w:rsid w:val="00966553"/>
    <w:rsid w:val="00966B1F"/>
    <w:rsid w:val="00967308"/>
    <w:rsid w:val="009674B1"/>
    <w:rsid w:val="009702A8"/>
    <w:rsid w:val="00970329"/>
    <w:rsid w:val="0097051E"/>
    <w:rsid w:val="00970628"/>
    <w:rsid w:val="00970994"/>
    <w:rsid w:val="00970D20"/>
    <w:rsid w:val="0097179B"/>
    <w:rsid w:val="009721EF"/>
    <w:rsid w:val="009724AF"/>
    <w:rsid w:val="0097281C"/>
    <w:rsid w:val="00972828"/>
    <w:rsid w:val="00972CEB"/>
    <w:rsid w:val="00972E7E"/>
    <w:rsid w:val="0097344D"/>
    <w:rsid w:val="009736D7"/>
    <w:rsid w:val="009739CD"/>
    <w:rsid w:val="00973A65"/>
    <w:rsid w:val="00973B23"/>
    <w:rsid w:val="00973FCD"/>
    <w:rsid w:val="009743CA"/>
    <w:rsid w:val="009743EF"/>
    <w:rsid w:val="00974456"/>
    <w:rsid w:val="00974F57"/>
    <w:rsid w:val="009754E8"/>
    <w:rsid w:val="009757B3"/>
    <w:rsid w:val="00975DA9"/>
    <w:rsid w:val="009763F2"/>
    <w:rsid w:val="009775C1"/>
    <w:rsid w:val="00977B7E"/>
    <w:rsid w:val="00980424"/>
    <w:rsid w:val="009807FB"/>
    <w:rsid w:val="009809ED"/>
    <w:rsid w:val="00980EE1"/>
    <w:rsid w:val="00981112"/>
    <w:rsid w:val="00981BDF"/>
    <w:rsid w:val="00982636"/>
    <w:rsid w:val="0098289E"/>
    <w:rsid w:val="00982D26"/>
    <w:rsid w:val="00982EE3"/>
    <w:rsid w:val="00983089"/>
    <w:rsid w:val="009838F6"/>
    <w:rsid w:val="00983B59"/>
    <w:rsid w:val="00983E92"/>
    <w:rsid w:val="0098450D"/>
    <w:rsid w:val="0098463B"/>
    <w:rsid w:val="00984BC4"/>
    <w:rsid w:val="0098533D"/>
    <w:rsid w:val="0098627E"/>
    <w:rsid w:val="009862F7"/>
    <w:rsid w:val="0098672B"/>
    <w:rsid w:val="0098754C"/>
    <w:rsid w:val="00987595"/>
    <w:rsid w:val="00987978"/>
    <w:rsid w:val="00987A04"/>
    <w:rsid w:val="00987D01"/>
    <w:rsid w:val="00990685"/>
    <w:rsid w:val="00990EE0"/>
    <w:rsid w:val="00991378"/>
    <w:rsid w:val="009916D3"/>
    <w:rsid w:val="009919AB"/>
    <w:rsid w:val="009923C4"/>
    <w:rsid w:val="00992A34"/>
    <w:rsid w:val="00992AE2"/>
    <w:rsid w:val="00992BE1"/>
    <w:rsid w:val="009932E8"/>
    <w:rsid w:val="00994062"/>
    <w:rsid w:val="00994086"/>
    <w:rsid w:val="009940FB"/>
    <w:rsid w:val="00994574"/>
    <w:rsid w:val="00994816"/>
    <w:rsid w:val="00994829"/>
    <w:rsid w:val="00994BB1"/>
    <w:rsid w:val="00995080"/>
    <w:rsid w:val="009950C9"/>
    <w:rsid w:val="00995656"/>
    <w:rsid w:val="00995C57"/>
    <w:rsid w:val="00995CE6"/>
    <w:rsid w:val="00995F38"/>
    <w:rsid w:val="00996718"/>
    <w:rsid w:val="00996AE2"/>
    <w:rsid w:val="00996EB2"/>
    <w:rsid w:val="00996F54"/>
    <w:rsid w:val="009970C5"/>
    <w:rsid w:val="0099724B"/>
    <w:rsid w:val="009975BA"/>
    <w:rsid w:val="00997AB9"/>
    <w:rsid w:val="00997CDE"/>
    <w:rsid w:val="00997D81"/>
    <w:rsid w:val="009A1D53"/>
    <w:rsid w:val="009A1F3C"/>
    <w:rsid w:val="009A20C6"/>
    <w:rsid w:val="009A241E"/>
    <w:rsid w:val="009A26C5"/>
    <w:rsid w:val="009A285B"/>
    <w:rsid w:val="009A3541"/>
    <w:rsid w:val="009A3EA3"/>
    <w:rsid w:val="009A40DC"/>
    <w:rsid w:val="009A425C"/>
    <w:rsid w:val="009A430C"/>
    <w:rsid w:val="009A44B6"/>
    <w:rsid w:val="009A4731"/>
    <w:rsid w:val="009A4857"/>
    <w:rsid w:val="009A5346"/>
    <w:rsid w:val="009A58DB"/>
    <w:rsid w:val="009A5B81"/>
    <w:rsid w:val="009A5C46"/>
    <w:rsid w:val="009A5E81"/>
    <w:rsid w:val="009A6C26"/>
    <w:rsid w:val="009A6FFA"/>
    <w:rsid w:val="009A7170"/>
    <w:rsid w:val="009A750D"/>
    <w:rsid w:val="009A7D6C"/>
    <w:rsid w:val="009B05F8"/>
    <w:rsid w:val="009B0A07"/>
    <w:rsid w:val="009B0A90"/>
    <w:rsid w:val="009B0F37"/>
    <w:rsid w:val="009B2572"/>
    <w:rsid w:val="009B257E"/>
    <w:rsid w:val="009B272B"/>
    <w:rsid w:val="009B2D51"/>
    <w:rsid w:val="009B30BC"/>
    <w:rsid w:val="009B382F"/>
    <w:rsid w:val="009B44D5"/>
    <w:rsid w:val="009B5615"/>
    <w:rsid w:val="009B5897"/>
    <w:rsid w:val="009B78FA"/>
    <w:rsid w:val="009B7DC9"/>
    <w:rsid w:val="009B7E88"/>
    <w:rsid w:val="009C01AA"/>
    <w:rsid w:val="009C04C7"/>
    <w:rsid w:val="009C0646"/>
    <w:rsid w:val="009C1337"/>
    <w:rsid w:val="009C1C6F"/>
    <w:rsid w:val="009C1F2B"/>
    <w:rsid w:val="009C20FA"/>
    <w:rsid w:val="009C28A3"/>
    <w:rsid w:val="009C33E2"/>
    <w:rsid w:val="009C3B4F"/>
    <w:rsid w:val="009C3C07"/>
    <w:rsid w:val="009C4860"/>
    <w:rsid w:val="009C4865"/>
    <w:rsid w:val="009C4866"/>
    <w:rsid w:val="009C4E28"/>
    <w:rsid w:val="009C5739"/>
    <w:rsid w:val="009C5D0F"/>
    <w:rsid w:val="009C623E"/>
    <w:rsid w:val="009C64B7"/>
    <w:rsid w:val="009C65A1"/>
    <w:rsid w:val="009C6602"/>
    <w:rsid w:val="009C6941"/>
    <w:rsid w:val="009C6BC2"/>
    <w:rsid w:val="009C6F5B"/>
    <w:rsid w:val="009C71DB"/>
    <w:rsid w:val="009C7D87"/>
    <w:rsid w:val="009C7DBC"/>
    <w:rsid w:val="009C7E62"/>
    <w:rsid w:val="009D040F"/>
    <w:rsid w:val="009D0DC6"/>
    <w:rsid w:val="009D1A2D"/>
    <w:rsid w:val="009D21B5"/>
    <w:rsid w:val="009D25F2"/>
    <w:rsid w:val="009D282F"/>
    <w:rsid w:val="009D2E0F"/>
    <w:rsid w:val="009D2ECA"/>
    <w:rsid w:val="009D4619"/>
    <w:rsid w:val="009D4643"/>
    <w:rsid w:val="009D4B68"/>
    <w:rsid w:val="009D51B5"/>
    <w:rsid w:val="009D5DE6"/>
    <w:rsid w:val="009D645E"/>
    <w:rsid w:val="009D6480"/>
    <w:rsid w:val="009D6CC3"/>
    <w:rsid w:val="009D6FB8"/>
    <w:rsid w:val="009D7018"/>
    <w:rsid w:val="009D71EC"/>
    <w:rsid w:val="009D75F8"/>
    <w:rsid w:val="009D7A78"/>
    <w:rsid w:val="009E011B"/>
    <w:rsid w:val="009E2A11"/>
    <w:rsid w:val="009E2CD1"/>
    <w:rsid w:val="009E30FC"/>
    <w:rsid w:val="009E4611"/>
    <w:rsid w:val="009E4869"/>
    <w:rsid w:val="009E49E1"/>
    <w:rsid w:val="009E50F3"/>
    <w:rsid w:val="009E5938"/>
    <w:rsid w:val="009E66E4"/>
    <w:rsid w:val="009E688D"/>
    <w:rsid w:val="009E6958"/>
    <w:rsid w:val="009E6A14"/>
    <w:rsid w:val="009E70C7"/>
    <w:rsid w:val="009E72A0"/>
    <w:rsid w:val="009E7C37"/>
    <w:rsid w:val="009E7CDA"/>
    <w:rsid w:val="009E7D35"/>
    <w:rsid w:val="009F0125"/>
    <w:rsid w:val="009F09FF"/>
    <w:rsid w:val="009F0AEF"/>
    <w:rsid w:val="009F1104"/>
    <w:rsid w:val="009F14A1"/>
    <w:rsid w:val="009F15D3"/>
    <w:rsid w:val="009F22E6"/>
    <w:rsid w:val="009F24BB"/>
    <w:rsid w:val="009F2764"/>
    <w:rsid w:val="009F2901"/>
    <w:rsid w:val="009F2C78"/>
    <w:rsid w:val="009F2C86"/>
    <w:rsid w:val="009F31E9"/>
    <w:rsid w:val="009F3D91"/>
    <w:rsid w:val="009F4205"/>
    <w:rsid w:val="009F457F"/>
    <w:rsid w:val="009F4668"/>
    <w:rsid w:val="009F477E"/>
    <w:rsid w:val="009F4AFD"/>
    <w:rsid w:val="009F5639"/>
    <w:rsid w:val="009F56E1"/>
    <w:rsid w:val="009F6178"/>
    <w:rsid w:val="009F6A29"/>
    <w:rsid w:val="009F6B40"/>
    <w:rsid w:val="009F7437"/>
    <w:rsid w:val="009F7783"/>
    <w:rsid w:val="009F7C00"/>
    <w:rsid w:val="00A0022B"/>
    <w:rsid w:val="00A00658"/>
    <w:rsid w:val="00A01891"/>
    <w:rsid w:val="00A01AB3"/>
    <w:rsid w:val="00A01C1D"/>
    <w:rsid w:val="00A024A9"/>
    <w:rsid w:val="00A02577"/>
    <w:rsid w:val="00A03854"/>
    <w:rsid w:val="00A04319"/>
    <w:rsid w:val="00A04359"/>
    <w:rsid w:val="00A05116"/>
    <w:rsid w:val="00A05438"/>
    <w:rsid w:val="00A060F9"/>
    <w:rsid w:val="00A0627B"/>
    <w:rsid w:val="00A06605"/>
    <w:rsid w:val="00A0694C"/>
    <w:rsid w:val="00A06A90"/>
    <w:rsid w:val="00A06F71"/>
    <w:rsid w:val="00A0742B"/>
    <w:rsid w:val="00A1081A"/>
    <w:rsid w:val="00A108FB"/>
    <w:rsid w:val="00A10983"/>
    <w:rsid w:val="00A10B0D"/>
    <w:rsid w:val="00A10DEC"/>
    <w:rsid w:val="00A1146B"/>
    <w:rsid w:val="00A11516"/>
    <w:rsid w:val="00A11586"/>
    <w:rsid w:val="00A115C3"/>
    <w:rsid w:val="00A11D23"/>
    <w:rsid w:val="00A11EEF"/>
    <w:rsid w:val="00A1293D"/>
    <w:rsid w:val="00A12BC9"/>
    <w:rsid w:val="00A13233"/>
    <w:rsid w:val="00A135F4"/>
    <w:rsid w:val="00A14456"/>
    <w:rsid w:val="00A144C6"/>
    <w:rsid w:val="00A15364"/>
    <w:rsid w:val="00A160E3"/>
    <w:rsid w:val="00A16DBC"/>
    <w:rsid w:val="00A170A1"/>
    <w:rsid w:val="00A17240"/>
    <w:rsid w:val="00A174B6"/>
    <w:rsid w:val="00A205BF"/>
    <w:rsid w:val="00A21932"/>
    <w:rsid w:val="00A21EFF"/>
    <w:rsid w:val="00A220CF"/>
    <w:rsid w:val="00A2255B"/>
    <w:rsid w:val="00A22B04"/>
    <w:rsid w:val="00A22ECB"/>
    <w:rsid w:val="00A2316E"/>
    <w:rsid w:val="00A24137"/>
    <w:rsid w:val="00A244C2"/>
    <w:rsid w:val="00A24CAC"/>
    <w:rsid w:val="00A24E0F"/>
    <w:rsid w:val="00A2542A"/>
    <w:rsid w:val="00A257E2"/>
    <w:rsid w:val="00A2584E"/>
    <w:rsid w:val="00A25CFE"/>
    <w:rsid w:val="00A25F7B"/>
    <w:rsid w:val="00A25FBB"/>
    <w:rsid w:val="00A26654"/>
    <w:rsid w:val="00A266D8"/>
    <w:rsid w:val="00A2670E"/>
    <w:rsid w:val="00A26DF1"/>
    <w:rsid w:val="00A26F23"/>
    <w:rsid w:val="00A27BF5"/>
    <w:rsid w:val="00A30042"/>
    <w:rsid w:val="00A30696"/>
    <w:rsid w:val="00A30AC5"/>
    <w:rsid w:val="00A30EFF"/>
    <w:rsid w:val="00A30FB4"/>
    <w:rsid w:val="00A31534"/>
    <w:rsid w:val="00A31AB2"/>
    <w:rsid w:val="00A31F32"/>
    <w:rsid w:val="00A32020"/>
    <w:rsid w:val="00A32908"/>
    <w:rsid w:val="00A32FED"/>
    <w:rsid w:val="00A3337B"/>
    <w:rsid w:val="00A33418"/>
    <w:rsid w:val="00A3366D"/>
    <w:rsid w:val="00A33A54"/>
    <w:rsid w:val="00A34066"/>
    <w:rsid w:val="00A34EB7"/>
    <w:rsid w:val="00A3585B"/>
    <w:rsid w:val="00A35C13"/>
    <w:rsid w:val="00A35C9F"/>
    <w:rsid w:val="00A3611F"/>
    <w:rsid w:val="00A3739E"/>
    <w:rsid w:val="00A37F97"/>
    <w:rsid w:val="00A40145"/>
    <w:rsid w:val="00A4019E"/>
    <w:rsid w:val="00A40918"/>
    <w:rsid w:val="00A40D98"/>
    <w:rsid w:val="00A40FC3"/>
    <w:rsid w:val="00A40FC8"/>
    <w:rsid w:val="00A41102"/>
    <w:rsid w:val="00A413B1"/>
    <w:rsid w:val="00A424F4"/>
    <w:rsid w:val="00A4277D"/>
    <w:rsid w:val="00A427BF"/>
    <w:rsid w:val="00A4296B"/>
    <w:rsid w:val="00A429B8"/>
    <w:rsid w:val="00A42BDC"/>
    <w:rsid w:val="00A4406F"/>
    <w:rsid w:val="00A44901"/>
    <w:rsid w:val="00A449CB"/>
    <w:rsid w:val="00A45066"/>
    <w:rsid w:val="00A45629"/>
    <w:rsid w:val="00A45B79"/>
    <w:rsid w:val="00A460B6"/>
    <w:rsid w:val="00A47345"/>
    <w:rsid w:val="00A47CE8"/>
    <w:rsid w:val="00A47DB5"/>
    <w:rsid w:val="00A50831"/>
    <w:rsid w:val="00A50A48"/>
    <w:rsid w:val="00A51447"/>
    <w:rsid w:val="00A516DC"/>
    <w:rsid w:val="00A51A7F"/>
    <w:rsid w:val="00A5278F"/>
    <w:rsid w:val="00A52D0F"/>
    <w:rsid w:val="00A52FD9"/>
    <w:rsid w:val="00A533AC"/>
    <w:rsid w:val="00A54A49"/>
    <w:rsid w:val="00A54DDE"/>
    <w:rsid w:val="00A54E42"/>
    <w:rsid w:val="00A550D8"/>
    <w:rsid w:val="00A55307"/>
    <w:rsid w:val="00A56005"/>
    <w:rsid w:val="00A563B8"/>
    <w:rsid w:val="00A57515"/>
    <w:rsid w:val="00A5792E"/>
    <w:rsid w:val="00A60441"/>
    <w:rsid w:val="00A607DE"/>
    <w:rsid w:val="00A609B5"/>
    <w:rsid w:val="00A61062"/>
    <w:rsid w:val="00A6141C"/>
    <w:rsid w:val="00A61AA3"/>
    <w:rsid w:val="00A621C2"/>
    <w:rsid w:val="00A62862"/>
    <w:rsid w:val="00A62BA3"/>
    <w:rsid w:val="00A63CDD"/>
    <w:rsid w:val="00A641D7"/>
    <w:rsid w:val="00A647C9"/>
    <w:rsid w:val="00A64E74"/>
    <w:rsid w:val="00A650D5"/>
    <w:rsid w:val="00A6513A"/>
    <w:rsid w:val="00A6598C"/>
    <w:rsid w:val="00A6599C"/>
    <w:rsid w:val="00A6619F"/>
    <w:rsid w:val="00A661DF"/>
    <w:rsid w:val="00A661E6"/>
    <w:rsid w:val="00A6693E"/>
    <w:rsid w:val="00A66AAC"/>
    <w:rsid w:val="00A66F3E"/>
    <w:rsid w:val="00A67D5E"/>
    <w:rsid w:val="00A70680"/>
    <w:rsid w:val="00A706ED"/>
    <w:rsid w:val="00A7095A"/>
    <w:rsid w:val="00A709D8"/>
    <w:rsid w:val="00A70B6D"/>
    <w:rsid w:val="00A70E5A"/>
    <w:rsid w:val="00A71152"/>
    <w:rsid w:val="00A71E3A"/>
    <w:rsid w:val="00A7306B"/>
    <w:rsid w:val="00A733B8"/>
    <w:rsid w:val="00A73B02"/>
    <w:rsid w:val="00A746F9"/>
    <w:rsid w:val="00A74F80"/>
    <w:rsid w:val="00A75429"/>
    <w:rsid w:val="00A7556E"/>
    <w:rsid w:val="00A75891"/>
    <w:rsid w:val="00A75C4B"/>
    <w:rsid w:val="00A765F6"/>
    <w:rsid w:val="00A76BD6"/>
    <w:rsid w:val="00A77BB9"/>
    <w:rsid w:val="00A80689"/>
    <w:rsid w:val="00A80EC3"/>
    <w:rsid w:val="00A81733"/>
    <w:rsid w:val="00A82081"/>
    <w:rsid w:val="00A822BF"/>
    <w:rsid w:val="00A82449"/>
    <w:rsid w:val="00A8269C"/>
    <w:rsid w:val="00A83310"/>
    <w:rsid w:val="00A83CE6"/>
    <w:rsid w:val="00A83CE7"/>
    <w:rsid w:val="00A84061"/>
    <w:rsid w:val="00A84558"/>
    <w:rsid w:val="00A84770"/>
    <w:rsid w:val="00A84ACE"/>
    <w:rsid w:val="00A855DD"/>
    <w:rsid w:val="00A85D67"/>
    <w:rsid w:val="00A8627E"/>
    <w:rsid w:val="00A866FF"/>
    <w:rsid w:val="00A867EF"/>
    <w:rsid w:val="00A86C17"/>
    <w:rsid w:val="00A86E6E"/>
    <w:rsid w:val="00A87685"/>
    <w:rsid w:val="00A87F9F"/>
    <w:rsid w:val="00A9002B"/>
    <w:rsid w:val="00A91077"/>
    <w:rsid w:val="00A912C7"/>
    <w:rsid w:val="00A91404"/>
    <w:rsid w:val="00A91808"/>
    <w:rsid w:val="00A92A2E"/>
    <w:rsid w:val="00A94B55"/>
    <w:rsid w:val="00A94C74"/>
    <w:rsid w:val="00A94D3A"/>
    <w:rsid w:val="00A953A7"/>
    <w:rsid w:val="00A95592"/>
    <w:rsid w:val="00A95680"/>
    <w:rsid w:val="00A95BAD"/>
    <w:rsid w:val="00A95D7C"/>
    <w:rsid w:val="00A95D8B"/>
    <w:rsid w:val="00A9630C"/>
    <w:rsid w:val="00A97289"/>
    <w:rsid w:val="00A972B7"/>
    <w:rsid w:val="00A97651"/>
    <w:rsid w:val="00A97E35"/>
    <w:rsid w:val="00A97F2E"/>
    <w:rsid w:val="00AA011C"/>
    <w:rsid w:val="00AA07E2"/>
    <w:rsid w:val="00AA10F7"/>
    <w:rsid w:val="00AA16C1"/>
    <w:rsid w:val="00AA16FE"/>
    <w:rsid w:val="00AA278F"/>
    <w:rsid w:val="00AA3763"/>
    <w:rsid w:val="00AA4106"/>
    <w:rsid w:val="00AA57E2"/>
    <w:rsid w:val="00AA7A5B"/>
    <w:rsid w:val="00AB0162"/>
    <w:rsid w:val="00AB021A"/>
    <w:rsid w:val="00AB02D5"/>
    <w:rsid w:val="00AB0B07"/>
    <w:rsid w:val="00AB0F6F"/>
    <w:rsid w:val="00AB13BD"/>
    <w:rsid w:val="00AB1544"/>
    <w:rsid w:val="00AB18E3"/>
    <w:rsid w:val="00AB2769"/>
    <w:rsid w:val="00AB2B00"/>
    <w:rsid w:val="00AB2B1E"/>
    <w:rsid w:val="00AB2F2C"/>
    <w:rsid w:val="00AB3976"/>
    <w:rsid w:val="00AB3BE2"/>
    <w:rsid w:val="00AB3D11"/>
    <w:rsid w:val="00AB4695"/>
    <w:rsid w:val="00AB46E4"/>
    <w:rsid w:val="00AB4A30"/>
    <w:rsid w:val="00AB4A36"/>
    <w:rsid w:val="00AB538A"/>
    <w:rsid w:val="00AB5543"/>
    <w:rsid w:val="00AB5786"/>
    <w:rsid w:val="00AB5C04"/>
    <w:rsid w:val="00AB6425"/>
    <w:rsid w:val="00AB69EF"/>
    <w:rsid w:val="00AB6ACA"/>
    <w:rsid w:val="00AB6D03"/>
    <w:rsid w:val="00AB6D9B"/>
    <w:rsid w:val="00AB7305"/>
    <w:rsid w:val="00AB7797"/>
    <w:rsid w:val="00AB7BC6"/>
    <w:rsid w:val="00AB7C0C"/>
    <w:rsid w:val="00AC001C"/>
    <w:rsid w:val="00AC04E6"/>
    <w:rsid w:val="00AC07D3"/>
    <w:rsid w:val="00AC0AF8"/>
    <w:rsid w:val="00AC0C49"/>
    <w:rsid w:val="00AC0F0D"/>
    <w:rsid w:val="00AC300B"/>
    <w:rsid w:val="00AC3B1A"/>
    <w:rsid w:val="00AC3DBB"/>
    <w:rsid w:val="00AC3FFA"/>
    <w:rsid w:val="00AC420B"/>
    <w:rsid w:val="00AC4227"/>
    <w:rsid w:val="00AC4A51"/>
    <w:rsid w:val="00AC4F4C"/>
    <w:rsid w:val="00AC4F6B"/>
    <w:rsid w:val="00AC5679"/>
    <w:rsid w:val="00AC56CC"/>
    <w:rsid w:val="00AC61DD"/>
    <w:rsid w:val="00AC68BF"/>
    <w:rsid w:val="00AC6B1B"/>
    <w:rsid w:val="00AC780A"/>
    <w:rsid w:val="00AC784C"/>
    <w:rsid w:val="00AC79A5"/>
    <w:rsid w:val="00AC7DFE"/>
    <w:rsid w:val="00AC7F1E"/>
    <w:rsid w:val="00AD068D"/>
    <w:rsid w:val="00AD075A"/>
    <w:rsid w:val="00AD0784"/>
    <w:rsid w:val="00AD0874"/>
    <w:rsid w:val="00AD140F"/>
    <w:rsid w:val="00AD19C7"/>
    <w:rsid w:val="00AD2488"/>
    <w:rsid w:val="00AD28CE"/>
    <w:rsid w:val="00AD2A51"/>
    <w:rsid w:val="00AD2FAE"/>
    <w:rsid w:val="00AD3B4E"/>
    <w:rsid w:val="00AD3D52"/>
    <w:rsid w:val="00AD42F5"/>
    <w:rsid w:val="00AD4512"/>
    <w:rsid w:val="00AD48E3"/>
    <w:rsid w:val="00AD4FA5"/>
    <w:rsid w:val="00AD53A7"/>
    <w:rsid w:val="00AD55D4"/>
    <w:rsid w:val="00AD5AA1"/>
    <w:rsid w:val="00AD6492"/>
    <w:rsid w:val="00AD6DDA"/>
    <w:rsid w:val="00AD6FA2"/>
    <w:rsid w:val="00AD76D7"/>
    <w:rsid w:val="00AD7957"/>
    <w:rsid w:val="00AE032C"/>
    <w:rsid w:val="00AE0975"/>
    <w:rsid w:val="00AE14CE"/>
    <w:rsid w:val="00AE2575"/>
    <w:rsid w:val="00AE29F1"/>
    <w:rsid w:val="00AE2E3A"/>
    <w:rsid w:val="00AE46E8"/>
    <w:rsid w:val="00AE4872"/>
    <w:rsid w:val="00AE5106"/>
    <w:rsid w:val="00AE56CB"/>
    <w:rsid w:val="00AE5B77"/>
    <w:rsid w:val="00AE5C23"/>
    <w:rsid w:val="00AE62D4"/>
    <w:rsid w:val="00AE6969"/>
    <w:rsid w:val="00AE6E68"/>
    <w:rsid w:val="00AE6E78"/>
    <w:rsid w:val="00AE6E89"/>
    <w:rsid w:val="00AE7134"/>
    <w:rsid w:val="00AE76A7"/>
    <w:rsid w:val="00AE7EF3"/>
    <w:rsid w:val="00AF00EE"/>
    <w:rsid w:val="00AF0C6A"/>
    <w:rsid w:val="00AF0E89"/>
    <w:rsid w:val="00AF16B6"/>
    <w:rsid w:val="00AF18A4"/>
    <w:rsid w:val="00AF1BD9"/>
    <w:rsid w:val="00AF1D4D"/>
    <w:rsid w:val="00AF3FDA"/>
    <w:rsid w:val="00AF416A"/>
    <w:rsid w:val="00AF432B"/>
    <w:rsid w:val="00AF482E"/>
    <w:rsid w:val="00AF5713"/>
    <w:rsid w:val="00AF5A9D"/>
    <w:rsid w:val="00AF5E87"/>
    <w:rsid w:val="00AF6427"/>
    <w:rsid w:val="00AF67B0"/>
    <w:rsid w:val="00AF6CFC"/>
    <w:rsid w:val="00AF7345"/>
    <w:rsid w:val="00AF7583"/>
    <w:rsid w:val="00AF7EDB"/>
    <w:rsid w:val="00B0084A"/>
    <w:rsid w:val="00B00990"/>
    <w:rsid w:val="00B0174D"/>
    <w:rsid w:val="00B01C23"/>
    <w:rsid w:val="00B020F7"/>
    <w:rsid w:val="00B02281"/>
    <w:rsid w:val="00B023A3"/>
    <w:rsid w:val="00B02BB7"/>
    <w:rsid w:val="00B0417A"/>
    <w:rsid w:val="00B05285"/>
    <w:rsid w:val="00B054EF"/>
    <w:rsid w:val="00B071FE"/>
    <w:rsid w:val="00B077D9"/>
    <w:rsid w:val="00B079B4"/>
    <w:rsid w:val="00B102F1"/>
    <w:rsid w:val="00B10338"/>
    <w:rsid w:val="00B10697"/>
    <w:rsid w:val="00B1096A"/>
    <w:rsid w:val="00B10A1E"/>
    <w:rsid w:val="00B11C55"/>
    <w:rsid w:val="00B12617"/>
    <w:rsid w:val="00B127E7"/>
    <w:rsid w:val="00B1284F"/>
    <w:rsid w:val="00B12AD8"/>
    <w:rsid w:val="00B13C9F"/>
    <w:rsid w:val="00B13D35"/>
    <w:rsid w:val="00B1528E"/>
    <w:rsid w:val="00B159E5"/>
    <w:rsid w:val="00B15CD9"/>
    <w:rsid w:val="00B1630C"/>
    <w:rsid w:val="00B16542"/>
    <w:rsid w:val="00B165CD"/>
    <w:rsid w:val="00B172CA"/>
    <w:rsid w:val="00B17CA2"/>
    <w:rsid w:val="00B17FF4"/>
    <w:rsid w:val="00B202D3"/>
    <w:rsid w:val="00B20351"/>
    <w:rsid w:val="00B2067D"/>
    <w:rsid w:val="00B20A0E"/>
    <w:rsid w:val="00B20BBD"/>
    <w:rsid w:val="00B21BD5"/>
    <w:rsid w:val="00B22194"/>
    <w:rsid w:val="00B22951"/>
    <w:rsid w:val="00B2304B"/>
    <w:rsid w:val="00B24066"/>
    <w:rsid w:val="00B2433B"/>
    <w:rsid w:val="00B24354"/>
    <w:rsid w:val="00B24A78"/>
    <w:rsid w:val="00B24A9C"/>
    <w:rsid w:val="00B25AE5"/>
    <w:rsid w:val="00B26A3C"/>
    <w:rsid w:val="00B26AD2"/>
    <w:rsid w:val="00B27052"/>
    <w:rsid w:val="00B2749F"/>
    <w:rsid w:val="00B27890"/>
    <w:rsid w:val="00B303D9"/>
    <w:rsid w:val="00B30622"/>
    <w:rsid w:val="00B307AE"/>
    <w:rsid w:val="00B307CD"/>
    <w:rsid w:val="00B30B50"/>
    <w:rsid w:val="00B30EE1"/>
    <w:rsid w:val="00B317CB"/>
    <w:rsid w:val="00B31FDA"/>
    <w:rsid w:val="00B32334"/>
    <w:rsid w:val="00B32613"/>
    <w:rsid w:val="00B33124"/>
    <w:rsid w:val="00B33129"/>
    <w:rsid w:val="00B338E1"/>
    <w:rsid w:val="00B343D7"/>
    <w:rsid w:val="00B3445B"/>
    <w:rsid w:val="00B34B3D"/>
    <w:rsid w:val="00B34CBF"/>
    <w:rsid w:val="00B35004"/>
    <w:rsid w:val="00B35D94"/>
    <w:rsid w:val="00B35EA3"/>
    <w:rsid w:val="00B3616C"/>
    <w:rsid w:val="00B361CB"/>
    <w:rsid w:val="00B367ED"/>
    <w:rsid w:val="00B3701F"/>
    <w:rsid w:val="00B370AE"/>
    <w:rsid w:val="00B37643"/>
    <w:rsid w:val="00B37EE3"/>
    <w:rsid w:val="00B41952"/>
    <w:rsid w:val="00B42344"/>
    <w:rsid w:val="00B425D2"/>
    <w:rsid w:val="00B426F3"/>
    <w:rsid w:val="00B42D70"/>
    <w:rsid w:val="00B42F25"/>
    <w:rsid w:val="00B443B1"/>
    <w:rsid w:val="00B44891"/>
    <w:rsid w:val="00B44D01"/>
    <w:rsid w:val="00B44D05"/>
    <w:rsid w:val="00B44D82"/>
    <w:rsid w:val="00B44E0F"/>
    <w:rsid w:val="00B44ED0"/>
    <w:rsid w:val="00B4512E"/>
    <w:rsid w:val="00B45D05"/>
    <w:rsid w:val="00B45F3E"/>
    <w:rsid w:val="00B46A75"/>
    <w:rsid w:val="00B47821"/>
    <w:rsid w:val="00B47B61"/>
    <w:rsid w:val="00B47BBC"/>
    <w:rsid w:val="00B501F5"/>
    <w:rsid w:val="00B501FD"/>
    <w:rsid w:val="00B50437"/>
    <w:rsid w:val="00B50B1A"/>
    <w:rsid w:val="00B50E8A"/>
    <w:rsid w:val="00B512F5"/>
    <w:rsid w:val="00B519CC"/>
    <w:rsid w:val="00B51BB2"/>
    <w:rsid w:val="00B51CD1"/>
    <w:rsid w:val="00B52A67"/>
    <w:rsid w:val="00B52B51"/>
    <w:rsid w:val="00B52B59"/>
    <w:rsid w:val="00B53E59"/>
    <w:rsid w:val="00B54481"/>
    <w:rsid w:val="00B553DC"/>
    <w:rsid w:val="00B55E2E"/>
    <w:rsid w:val="00B57829"/>
    <w:rsid w:val="00B57FFE"/>
    <w:rsid w:val="00B6032C"/>
    <w:rsid w:val="00B604FB"/>
    <w:rsid w:val="00B606C4"/>
    <w:rsid w:val="00B610B5"/>
    <w:rsid w:val="00B61BE1"/>
    <w:rsid w:val="00B61CAC"/>
    <w:rsid w:val="00B62C65"/>
    <w:rsid w:val="00B638C3"/>
    <w:rsid w:val="00B6469E"/>
    <w:rsid w:val="00B64AC3"/>
    <w:rsid w:val="00B64B01"/>
    <w:rsid w:val="00B64B02"/>
    <w:rsid w:val="00B6507F"/>
    <w:rsid w:val="00B651E9"/>
    <w:rsid w:val="00B6678D"/>
    <w:rsid w:val="00B66840"/>
    <w:rsid w:val="00B668D9"/>
    <w:rsid w:val="00B66944"/>
    <w:rsid w:val="00B66CC2"/>
    <w:rsid w:val="00B66D7A"/>
    <w:rsid w:val="00B67AAD"/>
    <w:rsid w:val="00B67F2F"/>
    <w:rsid w:val="00B70910"/>
    <w:rsid w:val="00B709DB"/>
    <w:rsid w:val="00B70D5A"/>
    <w:rsid w:val="00B70F44"/>
    <w:rsid w:val="00B72663"/>
    <w:rsid w:val="00B727C1"/>
    <w:rsid w:val="00B72848"/>
    <w:rsid w:val="00B73273"/>
    <w:rsid w:val="00B7352C"/>
    <w:rsid w:val="00B73636"/>
    <w:rsid w:val="00B73AAB"/>
    <w:rsid w:val="00B73BE6"/>
    <w:rsid w:val="00B73D11"/>
    <w:rsid w:val="00B73DA8"/>
    <w:rsid w:val="00B73E69"/>
    <w:rsid w:val="00B73FDF"/>
    <w:rsid w:val="00B742C8"/>
    <w:rsid w:val="00B74508"/>
    <w:rsid w:val="00B745CE"/>
    <w:rsid w:val="00B74773"/>
    <w:rsid w:val="00B74CA6"/>
    <w:rsid w:val="00B75791"/>
    <w:rsid w:val="00B75A4E"/>
    <w:rsid w:val="00B75CCA"/>
    <w:rsid w:val="00B75FFD"/>
    <w:rsid w:val="00B766DD"/>
    <w:rsid w:val="00B76D15"/>
    <w:rsid w:val="00B77587"/>
    <w:rsid w:val="00B77675"/>
    <w:rsid w:val="00B77846"/>
    <w:rsid w:val="00B77D3A"/>
    <w:rsid w:val="00B800BA"/>
    <w:rsid w:val="00B801BD"/>
    <w:rsid w:val="00B801C5"/>
    <w:rsid w:val="00B8034C"/>
    <w:rsid w:val="00B80534"/>
    <w:rsid w:val="00B80B0C"/>
    <w:rsid w:val="00B817E6"/>
    <w:rsid w:val="00B81A56"/>
    <w:rsid w:val="00B8268F"/>
    <w:rsid w:val="00B828D6"/>
    <w:rsid w:val="00B82E36"/>
    <w:rsid w:val="00B8335C"/>
    <w:rsid w:val="00B835F7"/>
    <w:rsid w:val="00B8400D"/>
    <w:rsid w:val="00B84715"/>
    <w:rsid w:val="00B84789"/>
    <w:rsid w:val="00B84A89"/>
    <w:rsid w:val="00B84BDF"/>
    <w:rsid w:val="00B84E44"/>
    <w:rsid w:val="00B84F17"/>
    <w:rsid w:val="00B84F18"/>
    <w:rsid w:val="00B856DC"/>
    <w:rsid w:val="00B85E55"/>
    <w:rsid w:val="00B86349"/>
    <w:rsid w:val="00B863F7"/>
    <w:rsid w:val="00B86811"/>
    <w:rsid w:val="00B86911"/>
    <w:rsid w:val="00B86D9D"/>
    <w:rsid w:val="00B87A53"/>
    <w:rsid w:val="00B87C3B"/>
    <w:rsid w:val="00B87EF5"/>
    <w:rsid w:val="00B87F0A"/>
    <w:rsid w:val="00B87F98"/>
    <w:rsid w:val="00B901F3"/>
    <w:rsid w:val="00B909D5"/>
    <w:rsid w:val="00B90C5C"/>
    <w:rsid w:val="00B90EEF"/>
    <w:rsid w:val="00B911C3"/>
    <w:rsid w:val="00B92CAA"/>
    <w:rsid w:val="00B92F56"/>
    <w:rsid w:val="00B9358B"/>
    <w:rsid w:val="00B9372C"/>
    <w:rsid w:val="00B93BE2"/>
    <w:rsid w:val="00B9448A"/>
    <w:rsid w:val="00B947E9"/>
    <w:rsid w:val="00B94F50"/>
    <w:rsid w:val="00B95B33"/>
    <w:rsid w:val="00B96351"/>
    <w:rsid w:val="00B96AE8"/>
    <w:rsid w:val="00BA05A4"/>
    <w:rsid w:val="00BA0BD7"/>
    <w:rsid w:val="00BA12A2"/>
    <w:rsid w:val="00BA1396"/>
    <w:rsid w:val="00BA14AA"/>
    <w:rsid w:val="00BA1B4F"/>
    <w:rsid w:val="00BA1D3A"/>
    <w:rsid w:val="00BA303B"/>
    <w:rsid w:val="00BA4981"/>
    <w:rsid w:val="00BA4E31"/>
    <w:rsid w:val="00BA4F31"/>
    <w:rsid w:val="00BA4FCC"/>
    <w:rsid w:val="00BA56A6"/>
    <w:rsid w:val="00BA585C"/>
    <w:rsid w:val="00BA7B28"/>
    <w:rsid w:val="00BB02C1"/>
    <w:rsid w:val="00BB03F9"/>
    <w:rsid w:val="00BB068D"/>
    <w:rsid w:val="00BB143A"/>
    <w:rsid w:val="00BB1497"/>
    <w:rsid w:val="00BB2469"/>
    <w:rsid w:val="00BB27BE"/>
    <w:rsid w:val="00BB2C8D"/>
    <w:rsid w:val="00BB3D2E"/>
    <w:rsid w:val="00BB3EDF"/>
    <w:rsid w:val="00BB4835"/>
    <w:rsid w:val="00BB4BD6"/>
    <w:rsid w:val="00BB4C5C"/>
    <w:rsid w:val="00BB4E18"/>
    <w:rsid w:val="00BB4F74"/>
    <w:rsid w:val="00BB50BA"/>
    <w:rsid w:val="00BB5CEE"/>
    <w:rsid w:val="00BB698F"/>
    <w:rsid w:val="00BB69DA"/>
    <w:rsid w:val="00BB71E9"/>
    <w:rsid w:val="00BB7AAA"/>
    <w:rsid w:val="00BC038F"/>
    <w:rsid w:val="00BC1697"/>
    <w:rsid w:val="00BC171F"/>
    <w:rsid w:val="00BC18B5"/>
    <w:rsid w:val="00BC1EF7"/>
    <w:rsid w:val="00BC363E"/>
    <w:rsid w:val="00BC3780"/>
    <w:rsid w:val="00BC3A26"/>
    <w:rsid w:val="00BC3BE9"/>
    <w:rsid w:val="00BC443B"/>
    <w:rsid w:val="00BC47DC"/>
    <w:rsid w:val="00BC4C8E"/>
    <w:rsid w:val="00BC5124"/>
    <w:rsid w:val="00BC5BC2"/>
    <w:rsid w:val="00BC6128"/>
    <w:rsid w:val="00BC6151"/>
    <w:rsid w:val="00BC6380"/>
    <w:rsid w:val="00BC63F7"/>
    <w:rsid w:val="00BC6D8C"/>
    <w:rsid w:val="00BC75A3"/>
    <w:rsid w:val="00BC7B34"/>
    <w:rsid w:val="00BC7DEF"/>
    <w:rsid w:val="00BD0FD6"/>
    <w:rsid w:val="00BD1EB9"/>
    <w:rsid w:val="00BD3277"/>
    <w:rsid w:val="00BD3E16"/>
    <w:rsid w:val="00BD466B"/>
    <w:rsid w:val="00BD4A2D"/>
    <w:rsid w:val="00BD4EBA"/>
    <w:rsid w:val="00BD57EB"/>
    <w:rsid w:val="00BD5EF6"/>
    <w:rsid w:val="00BD61FC"/>
    <w:rsid w:val="00BD668D"/>
    <w:rsid w:val="00BD6B48"/>
    <w:rsid w:val="00BD6E4D"/>
    <w:rsid w:val="00BD6F2D"/>
    <w:rsid w:val="00BD7195"/>
    <w:rsid w:val="00BD7518"/>
    <w:rsid w:val="00BE020D"/>
    <w:rsid w:val="00BE08C4"/>
    <w:rsid w:val="00BE0BB8"/>
    <w:rsid w:val="00BE1181"/>
    <w:rsid w:val="00BE12E4"/>
    <w:rsid w:val="00BE1389"/>
    <w:rsid w:val="00BE14A7"/>
    <w:rsid w:val="00BE1542"/>
    <w:rsid w:val="00BE1BA4"/>
    <w:rsid w:val="00BE1F6A"/>
    <w:rsid w:val="00BE2281"/>
    <w:rsid w:val="00BE22DF"/>
    <w:rsid w:val="00BE3366"/>
    <w:rsid w:val="00BE4364"/>
    <w:rsid w:val="00BE465F"/>
    <w:rsid w:val="00BE56D7"/>
    <w:rsid w:val="00BE5F9A"/>
    <w:rsid w:val="00BE61AA"/>
    <w:rsid w:val="00BE7781"/>
    <w:rsid w:val="00BF0301"/>
    <w:rsid w:val="00BF1265"/>
    <w:rsid w:val="00BF15F4"/>
    <w:rsid w:val="00BF1718"/>
    <w:rsid w:val="00BF18DA"/>
    <w:rsid w:val="00BF1BC1"/>
    <w:rsid w:val="00BF1E2C"/>
    <w:rsid w:val="00BF25FB"/>
    <w:rsid w:val="00BF2607"/>
    <w:rsid w:val="00BF2742"/>
    <w:rsid w:val="00BF2C86"/>
    <w:rsid w:val="00BF2DAD"/>
    <w:rsid w:val="00BF2E20"/>
    <w:rsid w:val="00BF3037"/>
    <w:rsid w:val="00BF3D2B"/>
    <w:rsid w:val="00BF3F7B"/>
    <w:rsid w:val="00BF3FFF"/>
    <w:rsid w:val="00BF4247"/>
    <w:rsid w:val="00BF52A9"/>
    <w:rsid w:val="00BF5311"/>
    <w:rsid w:val="00BF5F3D"/>
    <w:rsid w:val="00BF61DD"/>
    <w:rsid w:val="00BF6321"/>
    <w:rsid w:val="00C004D4"/>
    <w:rsid w:val="00C0060D"/>
    <w:rsid w:val="00C006CB"/>
    <w:rsid w:val="00C00A50"/>
    <w:rsid w:val="00C018A8"/>
    <w:rsid w:val="00C01CF7"/>
    <w:rsid w:val="00C029D4"/>
    <w:rsid w:val="00C029EE"/>
    <w:rsid w:val="00C03071"/>
    <w:rsid w:val="00C03D1E"/>
    <w:rsid w:val="00C03F5D"/>
    <w:rsid w:val="00C03FAF"/>
    <w:rsid w:val="00C04402"/>
    <w:rsid w:val="00C04D45"/>
    <w:rsid w:val="00C05630"/>
    <w:rsid w:val="00C05664"/>
    <w:rsid w:val="00C05C14"/>
    <w:rsid w:val="00C05F8A"/>
    <w:rsid w:val="00C06660"/>
    <w:rsid w:val="00C069A1"/>
    <w:rsid w:val="00C06DC1"/>
    <w:rsid w:val="00C06DEB"/>
    <w:rsid w:val="00C0767A"/>
    <w:rsid w:val="00C11390"/>
    <w:rsid w:val="00C1146E"/>
    <w:rsid w:val="00C11A4E"/>
    <w:rsid w:val="00C12EF0"/>
    <w:rsid w:val="00C14180"/>
    <w:rsid w:val="00C14936"/>
    <w:rsid w:val="00C14DC3"/>
    <w:rsid w:val="00C154E4"/>
    <w:rsid w:val="00C1559C"/>
    <w:rsid w:val="00C15B84"/>
    <w:rsid w:val="00C15BFC"/>
    <w:rsid w:val="00C16270"/>
    <w:rsid w:val="00C164A0"/>
    <w:rsid w:val="00C1686F"/>
    <w:rsid w:val="00C16A4A"/>
    <w:rsid w:val="00C16A5C"/>
    <w:rsid w:val="00C16C03"/>
    <w:rsid w:val="00C16CB2"/>
    <w:rsid w:val="00C17A55"/>
    <w:rsid w:val="00C17C51"/>
    <w:rsid w:val="00C20317"/>
    <w:rsid w:val="00C209E1"/>
    <w:rsid w:val="00C2122B"/>
    <w:rsid w:val="00C2180C"/>
    <w:rsid w:val="00C21D7A"/>
    <w:rsid w:val="00C22276"/>
    <w:rsid w:val="00C22B46"/>
    <w:rsid w:val="00C22F1B"/>
    <w:rsid w:val="00C22F22"/>
    <w:rsid w:val="00C2303D"/>
    <w:rsid w:val="00C23B0E"/>
    <w:rsid w:val="00C23CA3"/>
    <w:rsid w:val="00C24B41"/>
    <w:rsid w:val="00C24C19"/>
    <w:rsid w:val="00C24CCC"/>
    <w:rsid w:val="00C24D52"/>
    <w:rsid w:val="00C25B08"/>
    <w:rsid w:val="00C26A97"/>
    <w:rsid w:val="00C26F20"/>
    <w:rsid w:val="00C27DA0"/>
    <w:rsid w:val="00C27E03"/>
    <w:rsid w:val="00C308F4"/>
    <w:rsid w:val="00C30A46"/>
    <w:rsid w:val="00C30BF1"/>
    <w:rsid w:val="00C30EA3"/>
    <w:rsid w:val="00C316F6"/>
    <w:rsid w:val="00C31B3F"/>
    <w:rsid w:val="00C31FE7"/>
    <w:rsid w:val="00C323FD"/>
    <w:rsid w:val="00C3287D"/>
    <w:rsid w:val="00C33B4A"/>
    <w:rsid w:val="00C33C45"/>
    <w:rsid w:val="00C3435C"/>
    <w:rsid w:val="00C344C0"/>
    <w:rsid w:val="00C34D50"/>
    <w:rsid w:val="00C35D17"/>
    <w:rsid w:val="00C35DBE"/>
    <w:rsid w:val="00C361C7"/>
    <w:rsid w:val="00C36457"/>
    <w:rsid w:val="00C36792"/>
    <w:rsid w:val="00C36CF2"/>
    <w:rsid w:val="00C3734B"/>
    <w:rsid w:val="00C37537"/>
    <w:rsid w:val="00C37867"/>
    <w:rsid w:val="00C37890"/>
    <w:rsid w:val="00C40ACC"/>
    <w:rsid w:val="00C40BE1"/>
    <w:rsid w:val="00C41136"/>
    <w:rsid w:val="00C41165"/>
    <w:rsid w:val="00C41C5E"/>
    <w:rsid w:val="00C41E5C"/>
    <w:rsid w:val="00C423FF"/>
    <w:rsid w:val="00C425AA"/>
    <w:rsid w:val="00C42812"/>
    <w:rsid w:val="00C42EF7"/>
    <w:rsid w:val="00C438F4"/>
    <w:rsid w:val="00C43956"/>
    <w:rsid w:val="00C4463A"/>
    <w:rsid w:val="00C44727"/>
    <w:rsid w:val="00C4554B"/>
    <w:rsid w:val="00C465D8"/>
    <w:rsid w:val="00C467C9"/>
    <w:rsid w:val="00C47AE9"/>
    <w:rsid w:val="00C47B8E"/>
    <w:rsid w:val="00C47D07"/>
    <w:rsid w:val="00C47D62"/>
    <w:rsid w:val="00C50450"/>
    <w:rsid w:val="00C50BC5"/>
    <w:rsid w:val="00C50E7D"/>
    <w:rsid w:val="00C51634"/>
    <w:rsid w:val="00C51A73"/>
    <w:rsid w:val="00C53650"/>
    <w:rsid w:val="00C53A1A"/>
    <w:rsid w:val="00C53B71"/>
    <w:rsid w:val="00C543B1"/>
    <w:rsid w:val="00C54E32"/>
    <w:rsid w:val="00C55234"/>
    <w:rsid w:val="00C55367"/>
    <w:rsid w:val="00C55ABA"/>
    <w:rsid w:val="00C55EE1"/>
    <w:rsid w:val="00C56EA8"/>
    <w:rsid w:val="00C5759E"/>
    <w:rsid w:val="00C57D7A"/>
    <w:rsid w:val="00C57D7F"/>
    <w:rsid w:val="00C608CF"/>
    <w:rsid w:val="00C60E8D"/>
    <w:rsid w:val="00C61016"/>
    <w:rsid w:val="00C61255"/>
    <w:rsid w:val="00C61765"/>
    <w:rsid w:val="00C61A17"/>
    <w:rsid w:val="00C61C89"/>
    <w:rsid w:val="00C61D37"/>
    <w:rsid w:val="00C62B18"/>
    <w:rsid w:val="00C632C1"/>
    <w:rsid w:val="00C63382"/>
    <w:rsid w:val="00C636F6"/>
    <w:rsid w:val="00C63DF5"/>
    <w:rsid w:val="00C63F94"/>
    <w:rsid w:val="00C64D71"/>
    <w:rsid w:val="00C64E62"/>
    <w:rsid w:val="00C65DBA"/>
    <w:rsid w:val="00C66B2E"/>
    <w:rsid w:val="00C67448"/>
    <w:rsid w:val="00C70281"/>
    <w:rsid w:val="00C705BC"/>
    <w:rsid w:val="00C70CDF"/>
    <w:rsid w:val="00C71609"/>
    <w:rsid w:val="00C718BF"/>
    <w:rsid w:val="00C71F97"/>
    <w:rsid w:val="00C7248D"/>
    <w:rsid w:val="00C746B6"/>
    <w:rsid w:val="00C74771"/>
    <w:rsid w:val="00C750F2"/>
    <w:rsid w:val="00C75121"/>
    <w:rsid w:val="00C7517F"/>
    <w:rsid w:val="00C75324"/>
    <w:rsid w:val="00C756CE"/>
    <w:rsid w:val="00C7599A"/>
    <w:rsid w:val="00C75F7D"/>
    <w:rsid w:val="00C75F82"/>
    <w:rsid w:val="00C7649B"/>
    <w:rsid w:val="00C76741"/>
    <w:rsid w:val="00C767EA"/>
    <w:rsid w:val="00C76F66"/>
    <w:rsid w:val="00C77A19"/>
    <w:rsid w:val="00C77B3E"/>
    <w:rsid w:val="00C77FAC"/>
    <w:rsid w:val="00C804A6"/>
    <w:rsid w:val="00C80B56"/>
    <w:rsid w:val="00C81952"/>
    <w:rsid w:val="00C81A42"/>
    <w:rsid w:val="00C8229A"/>
    <w:rsid w:val="00C82567"/>
    <w:rsid w:val="00C832EA"/>
    <w:rsid w:val="00C83D0B"/>
    <w:rsid w:val="00C8476F"/>
    <w:rsid w:val="00C84A9B"/>
    <w:rsid w:val="00C84C48"/>
    <w:rsid w:val="00C85266"/>
    <w:rsid w:val="00C857CD"/>
    <w:rsid w:val="00C85ABD"/>
    <w:rsid w:val="00C863AB"/>
    <w:rsid w:val="00C86999"/>
    <w:rsid w:val="00C86F97"/>
    <w:rsid w:val="00C874E1"/>
    <w:rsid w:val="00C8786E"/>
    <w:rsid w:val="00C87E5C"/>
    <w:rsid w:val="00C90093"/>
    <w:rsid w:val="00C9046B"/>
    <w:rsid w:val="00C90F73"/>
    <w:rsid w:val="00C91517"/>
    <w:rsid w:val="00C91910"/>
    <w:rsid w:val="00C91CDC"/>
    <w:rsid w:val="00C91D8B"/>
    <w:rsid w:val="00C92EA9"/>
    <w:rsid w:val="00C934C7"/>
    <w:rsid w:val="00C93F58"/>
    <w:rsid w:val="00C94109"/>
    <w:rsid w:val="00C94E68"/>
    <w:rsid w:val="00C9547E"/>
    <w:rsid w:val="00C959ED"/>
    <w:rsid w:val="00C95DED"/>
    <w:rsid w:val="00C962E0"/>
    <w:rsid w:val="00C964CB"/>
    <w:rsid w:val="00C97BFD"/>
    <w:rsid w:val="00C97D3A"/>
    <w:rsid w:val="00C97EA5"/>
    <w:rsid w:val="00CA04EB"/>
    <w:rsid w:val="00CA08BD"/>
    <w:rsid w:val="00CA0F4E"/>
    <w:rsid w:val="00CA1279"/>
    <w:rsid w:val="00CA13BF"/>
    <w:rsid w:val="00CA27ED"/>
    <w:rsid w:val="00CA3B6C"/>
    <w:rsid w:val="00CA3C46"/>
    <w:rsid w:val="00CA426E"/>
    <w:rsid w:val="00CA43EE"/>
    <w:rsid w:val="00CA46A6"/>
    <w:rsid w:val="00CA5CBE"/>
    <w:rsid w:val="00CA60C0"/>
    <w:rsid w:val="00CA61D9"/>
    <w:rsid w:val="00CA662E"/>
    <w:rsid w:val="00CA6B94"/>
    <w:rsid w:val="00CA6C5C"/>
    <w:rsid w:val="00CA757D"/>
    <w:rsid w:val="00CA7B74"/>
    <w:rsid w:val="00CA7BC6"/>
    <w:rsid w:val="00CB0A22"/>
    <w:rsid w:val="00CB14C3"/>
    <w:rsid w:val="00CB1577"/>
    <w:rsid w:val="00CB2A2C"/>
    <w:rsid w:val="00CB359F"/>
    <w:rsid w:val="00CB4020"/>
    <w:rsid w:val="00CB47B1"/>
    <w:rsid w:val="00CB47B9"/>
    <w:rsid w:val="00CB4A92"/>
    <w:rsid w:val="00CB598C"/>
    <w:rsid w:val="00CB59DD"/>
    <w:rsid w:val="00CB5BBB"/>
    <w:rsid w:val="00CB6705"/>
    <w:rsid w:val="00CB6B82"/>
    <w:rsid w:val="00CB705F"/>
    <w:rsid w:val="00CB7329"/>
    <w:rsid w:val="00CB737E"/>
    <w:rsid w:val="00CB78E3"/>
    <w:rsid w:val="00CB7A4C"/>
    <w:rsid w:val="00CB7C41"/>
    <w:rsid w:val="00CC0638"/>
    <w:rsid w:val="00CC0AD3"/>
    <w:rsid w:val="00CC13DB"/>
    <w:rsid w:val="00CC1705"/>
    <w:rsid w:val="00CC1836"/>
    <w:rsid w:val="00CC1E33"/>
    <w:rsid w:val="00CC2686"/>
    <w:rsid w:val="00CC268E"/>
    <w:rsid w:val="00CC39E6"/>
    <w:rsid w:val="00CC3D3E"/>
    <w:rsid w:val="00CC3EBF"/>
    <w:rsid w:val="00CC469C"/>
    <w:rsid w:val="00CC49F1"/>
    <w:rsid w:val="00CC4A07"/>
    <w:rsid w:val="00CC4C24"/>
    <w:rsid w:val="00CC4C54"/>
    <w:rsid w:val="00CC4DC1"/>
    <w:rsid w:val="00CC5843"/>
    <w:rsid w:val="00CC5866"/>
    <w:rsid w:val="00CC5D0B"/>
    <w:rsid w:val="00CC6094"/>
    <w:rsid w:val="00CC62BA"/>
    <w:rsid w:val="00CC650C"/>
    <w:rsid w:val="00CC7330"/>
    <w:rsid w:val="00CC743A"/>
    <w:rsid w:val="00CC768A"/>
    <w:rsid w:val="00CD00C3"/>
    <w:rsid w:val="00CD0DD4"/>
    <w:rsid w:val="00CD0E64"/>
    <w:rsid w:val="00CD17E7"/>
    <w:rsid w:val="00CD1C3F"/>
    <w:rsid w:val="00CD2A50"/>
    <w:rsid w:val="00CD32D1"/>
    <w:rsid w:val="00CD3448"/>
    <w:rsid w:val="00CD3903"/>
    <w:rsid w:val="00CD39BF"/>
    <w:rsid w:val="00CD455C"/>
    <w:rsid w:val="00CD47B2"/>
    <w:rsid w:val="00CD4B54"/>
    <w:rsid w:val="00CD4CB8"/>
    <w:rsid w:val="00CD5453"/>
    <w:rsid w:val="00CD55B1"/>
    <w:rsid w:val="00CD5680"/>
    <w:rsid w:val="00CD575A"/>
    <w:rsid w:val="00CD57D9"/>
    <w:rsid w:val="00CD60D2"/>
    <w:rsid w:val="00CD6364"/>
    <w:rsid w:val="00CD679D"/>
    <w:rsid w:val="00CD6AFB"/>
    <w:rsid w:val="00CD6C21"/>
    <w:rsid w:val="00CD6CBB"/>
    <w:rsid w:val="00CD77CB"/>
    <w:rsid w:val="00CD793D"/>
    <w:rsid w:val="00CE0020"/>
    <w:rsid w:val="00CE0082"/>
    <w:rsid w:val="00CE07BE"/>
    <w:rsid w:val="00CE0B26"/>
    <w:rsid w:val="00CE1510"/>
    <w:rsid w:val="00CE1553"/>
    <w:rsid w:val="00CE1A01"/>
    <w:rsid w:val="00CE1F17"/>
    <w:rsid w:val="00CE29C2"/>
    <w:rsid w:val="00CE2C6B"/>
    <w:rsid w:val="00CE2DCF"/>
    <w:rsid w:val="00CE3383"/>
    <w:rsid w:val="00CE35FC"/>
    <w:rsid w:val="00CE3A75"/>
    <w:rsid w:val="00CE3F63"/>
    <w:rsid w:val="00CE3F88"/>
    <w:rsid w:val="00CE4A9A"/>
    <w:rsid w:val="00CE582B"/>
    <w:rsid w:val="00CE59AD"/>
    <w:rsid w:val="00CE5FE7"/>
    <w:rsid w:val="00CE64EE"/>
    <w:rsid w:val="00CE6C83"/>
    <w:rsid w:val="00CE702F"/>
    <w:rsid w:val="00CE74EF"/>
    <w:rsid w:val="00CE789F"/>
    <w:rsid w:val="00CE7D3D"/>
    <w:rsid w:val="00CF0135"/>
    <w:rsid w:val="00CF09E9"/>
    <w:rsid w:val="00CF0FB4"/>
    <w:rsid w:val="00CF1D7A"/>
    <w:rsid w:val="00CF1FEC"/>
    <w:rsid w:val="00CF24CC"/>
    <w:rsid w:val="00CF452F"/>
    <w:rsid w:val="00CF489C"/>
    <w:rsid w:val="00CF6CAE"/>
    <w:rsid w:val="00CF7027"/>
    <w:rsid w:val="00CF70ED"/>
    <w:rsid w:val="00CF7D4F"/>
    <w:rsid w:val="00D0012A"/>
    <w:rsid w:val="00D00334"/>
    <w:rsid w:val="00D003FA"/>
    <w:rsid w:val="00D007CA"/>
    <w:rsid w:val="00D010B7"/>
    <w:rsid w:val="00D019DB"/>
    <w:rsid w:val="00D01BD0"/>
    <w:rsid w:val="00D01DF1"/>
    <w:rsid w:val="00D01EA0"/>
    <w:rsid w:val="00D024AD"/>
    <w:rsid w:val="00D03202"/>
    <w:rsid w:val="00D03618"/>
    <w:rsid w:val="00D0439F"/>
    <w:rsid w:val="00D04471"/>
    <w:rsid w:val="00D044A9"/>
    <w:rsid w:val="00D04C07"/>
    <w:rsid w:val="00D054CE"/>
    <w:rsid w:val="00D0682B"/>
    <w:rsid w:val="00D06D8D"/>
    <w:rsid w:val="00D06F31"/>
    <w:rsid w:val="00D07C14"/>
    <w:rsid w:val="00D10F8F"/>
    <w:rsid w:val="00D114E8"/>
    <w:rsid w:val="00D11EB4"/>
    <w:rsid w:val="00D11F2C"/>
    <w:rsid w:val="00D128FA"/>
    <w:rsid w:val="00D12B91"/>
    <w:rsid w:val="00D12EFA"/>
    <w:rsid w:val="00D1375C"/>
    <w:rsid w:val="00D137EE"/>
    <w:rsid w:val="00D14130"/>
    <w:rsid w:val="00D14472"/>
    <w:rsid w:val="00D144C1"/>
    <w:rsid w:val="00D144E5"/>
    <w:rsid w:val="00D15141"/>
    <w:rsid w:val="00D15310"/>
    <w:rsid w:val="00D156E9"/>
    <w:rsid w:val="00D15EDB"/>
    <w:rsid w:val="00D1617C"/>
    <w:rsid w:val="00D171C1"/>
    <w:rsid w:val="00D17552"/>
    <w:rsid w:val="00D176D2"/>
    <w:rsid w:val="00D17B4B"/>
    <w:rsid w:val="00D17ED9"/>
    <w:rsid w:val="00D20275"/>
    <w:rsid w:val="00D2062B"/>
    <w:rsid w:val="00D20D87"/>
    <w:rsid w:val="00D20F1B"/>
    <w:rsid w:val="00D210AD"/>
    <w:rsid w:val="00D214CC"/>
    <w:rsid w:val="00D21793"/>
    <w:rsid w:val="00D2186E"/>
    <w:rsid w:val="00D21C94"/>
    <w:rsid w:val="00D21D34"/>
    <w:rsid w:val="00D222FA"/>
    <w:rsid w:val="00D22334"/>
    <w:rsid w:val="00D22CD8"/>
    <w:rsid w:val="00D22DBD"/>
    <w:rsid w:val="00D22DC6"/>
    <w:rsid w:val="00D2309E"/>
    <w:rsid w:val="00D2319D"/>
    <w:rsid w:val="00D23CA3"/>
    <w:rsid w:val="00D24442"/>
    <w:rsid w:val="00D24546"/>
    <w:rsid w:val="00D24DDC"/>
    <w:rsid w:val="00D26781"/>
    <w:rsid w:val="00D27376"/>
    <w:rsid w:val="00D274BA"/>
    <w:rsid w:val="00D27D7A"/>
    <w:rsid w:val="00D27F40"/>
    <w:rsid w:val="00D301A3"/>
    <w:rsid w:val="00D30A5F"/>
    <w:rsid w:val="00D30CF1"/>
    <w:rsid w:val="00D327EA"/>
    <w:rsid w:val="00D32836"/>
    <w:rsid w:val="00D32DA8"/>
    <w:rsid w:val="00D32DDF"/>
    <w:rsid w:val="00D32FA5"/>
    <w:rsid w:val="00D33281"/>
    <w:rsid w:val="00D332AD"/>
    <w:rsid w:val="00D34621"/>
    <w:rsid w:val="00D34770"/>
    <w:rsid w:val="00D34938"/>
    <w:rsid w:val="00D3503C"/>
    <w:rsid w:val="00D355EC"/>
    <w:rsid w:val="00D3594C"/>
    <w:rsid w:val="00D36251"/>
    <w:rsid w:val="00D3696F"/>
    <w:rsid w:val="00D36DE2"/>
    <w:rsid w:val="00D36DE5"/>
    <w:rsid w:val="00D3719A"/>
    <w:rsid w:val="00D37834"/>
    <w:rsid w:val="00D37B0E"/>
    <w:rsid w:val="00D4044A"/>
    <w:rsid w:val="00D40B91"/>
    <w:rsid w:val="00D41723"/>
    <w:rsid w:val="00D41B7C"/>
    <w:rsid w:val="00D41EBF"/>
    <w:rsid w:val="00D427F6"/>
    <w:rsid w:val="00D42886"/>
    <w:rsid w:val="00D439EC"/>
    <w:rsid w:val="00D43B8A"/>
    <w:rsid w:val="00D43CB1"/>
    <w:rsid w:val="00D440F5"/>
    <w:rsid w:val="00D455EA"/>
    <w:rsid w:val="00D459FF"/>
    <w:rsid w:val="00D45A40"/>
    <w:rsid w:val="00D45ABA"/>
    <w:rsid w:val="00D45ADA"/>
    <w:rsid w:val="00D45E1C"/>
    <w:rsid w:val="00D461EA"/>
    <w:rsid w:val="00D4630D"/>
    <w:rsid w:val="00D46502"/>
    <w:rsid w:val="00D47379"/>
    <w:rsid w:val="00D47553"/>
    <w:rsid w:val="00D504BC"/>
    <w:rsid w:val="00D505D7"/>
    <w:rsid w:val="00D50766"/>
    <w:rsid w:val="00D50A43"/>
    <w:rsid w:val="00D50E84"/>
    <w:rsid w:val="00D5122E"/>
    <w:rsid w:val="00D51345"/>
    <w:rsid w:val="00D51F56"/>
    <w:rsid w:val="00D525EF"/>
    <w:rsid w:val="00D527D5"/>
    <w:rsid w:val="00D52B7D"/>
    <w:rsid w:val="00D53908"/>
    <w:rsid w:val="00D53C48"/>
    <w:rsid w:val="00D541F2"/>
    <w:rsid w:val="00D554FE"/>
    <w:rsid w:val="00D556D3"/>
    <w:rsid w:val="00D55745"/>
    <w:rsid w:val="00D55A49"/>
    <w:rsid w:val="00D56138"/>
    <w:rsid w:val="00D56392"/>
    <w:rsid w:val="00D56B78"/>
    <w:rsid w:val="00D56E98"/>
    <w:rsid w:val="00D57317"/>
    <w:rsid w:val="00D579EF"/>
    <w:rsid w:val="00D600EE"/>
    <w:rsid w:val="00D603EB"/>
    <w:rsid w:val="00D6058A"/>
    <w:rsid w:val="00D606C6"/>
    <w:rsid w:val="00D60A31"/>
    <w:rsid w:val="00D611C6"/>
    <w:rsid w:val="00D61999"/>
    <w:rsid w:val="00D619B4"/>
    <w:rsid w:val="00D61FF4"/>
    <w:rsid w:val="00D62211"/>
    <w:rsid w:val="00D628B9"/>
    <w:rsid w:val="00D62A2A"/>
    <w:rsid w:val="00D63382"/>
    <w:rsid w:val="00D6493C"/>
    <w:rsid w:val="00D649BE"/>
    <w:rsid w:val="00D64B1F"/>
    <w:rsid w:val="00D64D26"/>
    <w:rsid w:val="00D651F8"/>
    <w:rsid w:val="00D659A0"/>
    <w:rsid w:val="00D65EFA"/>
    <w:rsid w:val="00D662E2"/>
    <w:rsid w:val="00D66995"/>
    <w:rsid w:val="00D67113"/>
    <w:rsid w:val="00D6717D"/>
    <w:rsid w:val="00D678E7"/>
    <w:rsid w:val="00D6793C"/>
    <w:rsid w:val="00D702D9"/>
    <w:rsid w:val="00D716EE"/>
    <w:rsid w:val="00D71934"/>
    <w:rsid w:val="00D72592"/>
    <w:rsid w:val="00D72868"/>
    <w:rsid w:val="00D72972"/>
    <w:rsid w:val="00D73E92"/>
    <w:rsid w:val="00D73F78"/>
    <w:rsid w:val="00D74299"/>
    <w:rsid w:val="00D74501"/>
    <w:rsid w:val="00D74988"/>
    <w:rsid w:val="00D74F8E"/>
    <w:rsid w:val="00D74FDE"/>
    <w:rsid w:val="00D7514F"/>
    <w:rsid w:val="00D75659"/>
    <w:rsid w:val="00D75740"/>
    <w:rsid w:val="00D75766"/>
    <w:rsid w:val="00D75F9B"/>
    <w:rsid w:val="00D7642E"/>
    <w:rsid w:val="00D767BE"/>
    <w:rsid w:val="00D76C44"/>
    <w:rsid w:val="00D770EF"/>
    <w:rsid w:val="00D806DA"/>
    <w:rsid w:val="00D80BCB"/>
    <w:rsid w:val="00D811B0"/>
    <w:rsid w:val="00D81BB7"/>
    <w:rsid w:val="00D81EC8"/>
    <w:rsid w:val="00D81EEB"/>
    <w:rsid w:val="00D81F7E"/>
    <w:rsid w:val="00D822DA"/>
    <w:rsid w:val="00D82879"/>
    <w:rsid w:val="00D82B4B"/>
    <w:rsid w:val="00D82FF3"/>
    <w:rsid w:val="00D8331C"/>
    <w:rsid w:val="00D83827"/>
    <w:rsid w:val="00D84E81"/>
    <w:rsid w:val="00D85096"/>
    <w:rsid w:val="00D851D5"/>
    <w:rsid w:val="00D85646"/>
    <w:rsid w:val="00D85994"/>
    <w:rsid w:val="00D86856"/>
    <w:rsid w:val="00D86D8A"/>
    <w:rsid w:val="00D8785C"/>
    <w:rsid w:val="00D87981"/>
    <w:rsid w:val="00D905AC"/>
    <w:rsid w:val="00D907E0"/>
    <w:rsid w:val="00D92091"/>
    <w:rsid w:val="00D92EF8"/>
    <w:rsid w:val="00D935B9"/>
    <w:rsid w:val="00D94270"/>
    <w:rsid w:val="00D947CE"/>
    <w:rsid w:val="00D956C8"/>
    <w:rsid w:val="00D95808"/>
    <w:rsid w:val="00D962B0"/>
    <w:rsid w:val="00D96D1A"/>
    <w:rsid w:val="00D97022"/>
    <w:rsid w:val="00D97317"/>
    <w:rsid w:val="00D97863"/>
    <w:rsid w:val="00D97CFC"/>
    <w:rsid w:val="00DA11C3"/>
    <w:rsid w:val="00DA1508"/>
    <w:rsid w:val="00DA16CE"/>
    <w:rsid w:val="00DA3DAA"/>
    <w:rsid w:val="00DA3EFD"/>
    <w:rsid w:val="00DA40D6"/>
    <w:rsid w:val="00DA4213"/>
    <w:rsid w:val="00DA4FBF"/>
    <w:rsid w:val="00DA50CA"/>
    <w:rsid w:val="00DA5659"/>
    <w:rsid w:val="00DA6578"/>
    <w:rsid w:val="00DA6724"/>
    <w:rsid w:val="00DA7022"/>
    <w:rsid w:val="00DA73D2"/>
    <w:rsid w:val="00DA780F"/>
    <w:rsid w:val="00DB021C"/>
    <w:rsid w:val="00DB04AE"/>
    <w:rsid w:val="00DB0F87"/>
    <w:rsid w:val="00DB1EC4"/>
    <w:rsid w:val="00DB209B"/>
    <w:rsid w:val="00DB2196"/>
    <w:rsid w:val="00DB2422"/>
    <w:rsid w:val="00DB3525"/>
    <w:rsid w:val="00DB4036"/>
    <w:rsid w:val="00DB4213"/>
    <w:rsid w:val="00DB4286"/>
    <w:rsid w:val="00DB443B"/>
    <w:rsid w:val="00DB484E"/>
    <w:rsid w:val="00DB4885"/>
    <w:rsid w:val="00DB4F8D"/>
    <w:rsid w:val="00DB5489"/>
    <w:rsid w:val="00DB5583"/>
    <w:rsid w:val="00DB615D"/>
    <w:rsid w:val="00DB64F5"/>
    <w:rsid w:val="00DB6806"/>
    <w:rsid w:val="00DB6A73"/>
    <w:rsid w:val="00DB6C13"/>
    <w:rsid w:val="00DB700F"/>
    <w:rsid w:val="00DB7C41"/>
    <w:rsid w:val="00DB7E4D"/>
    <w:rsid w:val="00DC019D"/>
    <w:rsid w:val="00DC17C8"/>
    <w:rsid w:val="00DC18DD"/>
    <w:rsid w:val="00DC1A0D"/>
    <w:rsid w:val="00DC1F94"/>
    <w:rsid w:val="00DC2571"/>
    <w:rsid w:val="00DC25E2"/>
    <w:rsid w:val="00DC27EC"/>
    <w:rsid w:val="00DC2C25"/>
    <w:rsid w:val="00DC3404"/>
    <w:rsid w:val="00DC37E5"/>
    <w:rsid w:val="00DC3978"/>
    <w:rsid w:val="00DC43D3"/>
    <w:rsid w:val="00DC4B40"/>
    <w:rsid w:val="00DC5560"/>
    <w:rsid w:val="00DC57E6"/>
    <w:rsid w:val="00DC5D12"/>
    <w:rsid w:val="00DC5D40"/>
    <w:rsid w:val="00DC5F10"/>
    <w:rsid w:val="00DC611D"/>
    <w:rsid w:val="00DC652A"/>
    <w:rsid w:val="00DC67E4"/>
    <w:rsid w:val="00DC75A5"/>
    <w:rsid w:val="00DC79D2"/>
    <w:rsid w:val="00DC7D72"/>
    <w:rsid w:val="00DC7D8B"/>
    <w:rsid w:val="00DD0F72"/>
    <w:rsid w:val="00DD13B1"/>
    <w:rsid w:val="00DD187D"/>
    <w:rsid w:val="00DD187F"/>
    <w:rsid w:val="00DD196E"/>
    <w:rsid w:val="00DD19A6"/>
    <w:rsid w:val="00DD23F2"/>
    <w:rsid w:val="00DD29E6"/>
    <w:rsid w:val="00DD2AE4"/>
    <w:rsid w:val="00DD3303"/>
    <w:rsid w:val="00DD366F"/>
    <w:rsid w:val="00DD5260"/>
    <w:rsid w:val="00DD58BB"/>
    <w:rsid w:val="00DD5F80"/>
    <w:rsid w:val="00DD65B6"/>
    <w:rsid w:val="00DD65F8"/>
    <w:rsid w:val="00DD7220"/>
    <w:rsid w:val="00DE0050"/>
    <w:rsid w:val="00DE0A41"/>
    <w:rsid w:val="00DE0C1B"/>
    <w:rsid w:val="00DE2068"/>
    <w:rsid w:val="00DE2119"/>
    <w:rsid w:val="00DE2292"/>
    <w:rsid w:val="00DE2755"/>
    <w:rsid w:val="00DE2CF9"/>
    <w:rsid w:val="00DE311E"/>
    <w:rsid w:val="00DE36C0"/>
    <w:rsid w:val="00DE3B1F"/>
    <w:rsid w:val="00DE4762"/>
    <w:rsid w:val="00DE4BAB"/>
    <w:rsid w:val="00DE5863"/>
    <w:rsid w:val="00DE6570"/>
    <w:rsid w:val="00DE6BBA"/>
    <w:rsid w:val="00DE73D2"/>
    <w:rsid w:val="00DF04D0"/>
    <w:rsid w:val="00DF0B7B"/>
    <w:rsid w:val="00DF0BC7"/>
    <w:rsid w:val="00DF0C0F"/>
    <w:rsid w:val="00DF12FC"/>
    <w:rsid w:val="00DF1569"/>
    <w:rsid w:val="00DF17EF"/>
    <w:rsid w:val="00DF2A70"/>
    <w:rsid w:val="00DF2E19"/>
    <w:rsid w:val="00DF34DB"/>
    <w:rsid w:val="00DF3DFD"/>
    <w:rsid w:val="00DF4B26"/>
    <w:rsid w:val="00DF50FD"/>
    <w:rsid w:val="00DF51F0"/>
    <w:rsid w:val="00DF5C28"/>
    <w:rsid w:val="00DF5DBB"/>
    <w:rsid w:val="00DF5F7F"/>
    <w:rsid w:val="00DF67DC"/>
    <w:rsid w:val="00DF6E61"/>
    <w:rsid w:val="00DF75AE"/>
    <w:rsid w:val="00DF7995"/>
    <w:rsid w:val="00DF7D82"/>
    <w:rsid w:val="00E00062"/>
    <w:rsid w:val="00E00305"/>
    <w:rsid w:val="00E004B1"/>
    <w:rsid w:val="00E00854"/>
    <w:rsid w:val="00E00C81"/>
    <w:rsid w:val="00E00E33"/>
    <w:rsid w:val="00E00F21"/>
    <w:rsid w:val="00E01C40"/>
    <w:rsid w:val="00E01C44"/>
    <w:rsid w:val="00E02112"/>
    <w:rsid w:val="00E023F0"/>
    <w:rsid w:val="00E02537"/>
    <w:rsid w:val="00E02811"/>
    <w:rsid w:val="00E02D1C"/>
    <w:rsid w:val="00E05BD9"/>
    <w:rsid w:val="00E06BF0"/>
    <w:rsid w:val="00E07585"/>
    <w:rsid w:val="00E076D3"/>
    <w:rsid w:val="00E07CAA"/>
    <w:rsid w:val="00E07D8A"/>
    <w:rsid w:val="00E07F61"/>
    <w:rsid w:val="00E101EC"/>
    <w:rsid w:val="00E10206"/>
    <w:rsid w:val="00E10353"/>
    <w:rsid w:val="00E10615"/>
    <w:rsid w:val="00E106E0"/>
    <w:rsid w:val="00E115F3"/>
    <w:rsid w:val="00E117B1"/>
    <w:rsid w:val="00E1181B"/>
    <w:rsid w:val="00E11C42"/>
    <w:rsid w:val="00E11DFA"/>
    <w:rsid w:val="00E11ED2"/>
    <w:rsid w:val="00E11F5C"/>
    <w:rsid w:val="00E1200B"/>
    <w:rsid w:val="00E13320"/>
    <w:rsid w:val="00E13639"/>
    <w:rsid w:val="00E14364"/>
    <w:rsid w:val="00E14573"/>
    <w:rsid w:val="00E14721"/>
    <w:rsid w:val="00E1474B"/>
    <w:rsid w:val="00E149EE"/>
    <w:rsid w:val="00E15078"/>
    <w:rsid w:val="00E16435"/>
    <w:rsid w:val="00E16D22"/>
    <w:rsid w:val="00E16D44"/>
    <w:rsid w:val="00E1780D"/>
    <w:rsid w:val="00E178DC"/>
    <w:rsid w:val="00E17917"/>
    <w:rsid w:val="00E17CD5"/>
    <w:rsid w:val="00E17D92"/>
    <w:rsid w:val="00E2053E"/>
    <w:rsid w:val="00E207C0"/>
    <w:rsid w:val="00E20D8C"/>
    <w:rsid w:val="00E21456"/>
    <w:rsid w:val="00E21A40"/>
    <w:rsid w:val="00E21A50"/>
    <w:rsid w:val="00E21F48"/>
    <w:rsid w:val="00E21FD8"/>
    <w:rsid w:val="00E2228C"/>
    <w:rsid w:val="00E2277B"/>
    <w:rsid w:val="00E22818"/>
    <w:rsid w:val="00E22B9B"/>
    <w:rsid w:val="00E2316C"/>
    <w:rsid w:val="00E233DC"/>
    <w:rsid w:val="00E239DD"/>
    <w:rsid w:val="00E23A8B"/>
    <w:rsid w:val="00E24854"/>
    <w:rsid w:val="00E2497A"/>
    <w:rsid w:val="00E24A54"/>
    <w:rsid w:val="00E24D29"/>
    <w:rsid w:val="00E250D5"/>
    <w:rsid w:val="00E25A39"/>
    <w:rsid w:val="00E25FDD"/>
    <w:rsid w:val="00E262AD"/>
    <w:rsid w:val="00E26324"/>
    <w:rsid w:val="00E26452"/>
    <w:rsid w:val="00E26C63"/>
    <w:rsid w:val="00E26F77"/>
    <w:rsid w:val="00E2745E"/>
    <w:rsid w:val="00E27BB8"/>
    <w:rsid w:val="00E3012D"/>
    <w:rsid w:val="00E316AE"/>
    <w:rsid w:val="00E3255E"/>
    <w:rsid w:val="00E3286B"/>
    <w:rsid w:val="00E32A0E"/>
    <w:rsid w:val="00E32C8A"/>
    <w:rsid w:val="00E33D73"/>
    <w:rsid w:val="00E33F94"/>
    <w:rsid w:val="00E340AC"/>
    <w:rsid w:val="00E34838"/>
    <w:rsid w:val="00E34C91"/>
    <w:rsid w:val="00E35477"/>
    <w:rsid w:val="00E354F9"/>
    <w:rsid w:val="00E3591A"/>
    <w:rsid w:val="00E366A3"/>
    <w:rsid w:val="00E36AF5"/>
    <w:rsid w:val="00E36BC0"/>
    <w:rsid w:val="00E407C1"/>
    <w:rsid w:val="00E409A6"/>
    <w:rsid w:val="00E40BAD"/>
    <w:rsid w:val="00E411DB"/>
    <w:rsid w:val="00E41214"/>
    <w:rsid w:val="00E4130C"/>
    <w:rsid w:val="00E419DF"/>
    <w:rsid w:val="00E41AA9"/>
    <w:rsid w:val="00E41B1E"/>
    <w:rsid w:val="00E41CDC"/>
    <w:rsid w:val="00E41D7E"/>
    <w:rsid w:val="00E4206F"/>
    <w:rsid w:val="00E4216B"/>
    <w:rsid w:val="00E421DC"/>
    <w:rsid w:val="00E423A7"/>
    <w:rsid w:val="00E42844"/>
    <w:rsid w:val="00E4287D"/>
    <w:rsid w:val="00E42D51"/>
    <w:rsid w:val="00E42FFB"/>
    <w:rsid w:val="00E4361F"/>
    <w:rsid w:val="00E447DF"/>
    <w:rsid w:val="00E456A5"/>
    <w:rsid w:val="00E45DFE"/>
    <w:rsid w:val="00E462E4"/>
    <w:rsid w:val="00E4673F"/>
    <w:rsid w:val="00E46F60"/>
    <w:rsid w:val="00E470BB"/>
    <w:rsid w:val="00E47576"/>
    <w:rsid w:val="00E47FDF"/>
    <w:rsid w:val="00E5000D"/>
    <w:rsid w:val="00E50762"/>
    <w:rsid w:val="00E50B79"/>
    <w:rsid w:val="00E51446"/>
    <w:rsid w:val="00E519FC"/>
    <w:rsid w:val="00E51DFC"/>
    <w:rsid w:val="00E53327"/>
    <w:rsid w:val="00E53871"/>
    <w:rsid w:val="00E53FFA"/>
    <w:rsid w:val="00E54326"/>
    <w:rsid w:val="00E552F6"/>
    <w:rsid w:val="00E55656"/>
    <w:rsid w:val="00E5585B"/>
    <w:rsid w:val="00E55B9B"/>
    <w:rsid w:val="00E55E30"/>
    <w:rsid w:val="00E565C0"/>
    <w:rsid w:val="00E56A26"/>
    <w:rsid w:val="00E57CD6"/>
    <w:rsid w:val="00E57D26"/>
    <w:rsid w:val="00E57F2A"/>
    <w:rsid w:val="00E60E0D"/>
    <w:rsid w:val="00E6106C"/>
    <w:rsid w:val="00E612D2"/>
    <w:rsid w:val="00E621AA"/>
    <w:rsid w:val="00E629AA"/>
    <w:rsid w:val="00E62EF8"/>
    <w:rsid w:val="00E6385B"/>
    <w:rsid w:val="00E63A51"/>
    <w:rsid w:val="00E64CFA"/>
    <w:rsid w:val="00E650EC"/>
    <w:rsid w:val="00E656AD"/>
    <w:rsid w:val="00E6736C"/>
    <w:rsid w:val="00E67708"/>
    <w:rsid w:val="00E67B3D"/>
    <w:rsid w:val="00E67E18"/>
    <w:rsid w:val="00E67F35"/>
    <w:rsid w:val="00E702DA"/>
    <w:rsid w:val="00E70E26"/>
    <w:rsid w:val="00E722A6"/>
    <w:rsid w:val="00E722ED"/>
    <w:rsid w:val="00E730DF"/>
    <w:rsid w:val="00E73233"/>
    <w:rsid w:val="00E73DAE"/>
    <w:rsid w:val="00E73EB9"/>
    <w:rsid w:val="00E74174"/>
    <w:rsid w:val="00E7473D"/>
    <w:rsid w:val="00E750EF"/>
    <w:rsid w:val="00E7551E"/>
    <w:rsid w:val="00E75810"/>
    <w:rsid w:val="00E7600C"/>
    <w:rsid w:val="00E764B8"/>
    <w:rsid w:val="00E7687C"/>
    <w:rsid w:val="00E76967"/>
    <w:rsid w:val="00E76A04"/>
    <w:rsid w:val="00E76ACF"/>
    <w:rsid w:val="00E779CE"/>
    <w:rsid w:val="00E77BC2"/>
    <w:rsid w:val="00E77F93"/>
    <w:rsid w:val="00E81144"/>
    <w:rsid w:val="00E81C25"/>
    <w:rsid w:val="00E82578"/>
    <w:rsid w:val="00E849C7"/>
    <w:rsid w:val="00E85154"/>
    <w:rsid w:val="00E85FD1"/>
    <w:rsid w:val="00E860A8"/>
    <w:rsid w:val="00E8610D"/>
    <w:rsid w:val="00E8623D"/>
    <w:rsid w:val="00E87F9B"/>
    <w:rsid w:val="00E90332"/>
    <w:rsid w:val="00E9124D"/>
    <w:rsid w:val="00E912CD"/>
    <w:rsid w:val="00E917F6"/>
    <w:rsid w:val="00E91CE3"/>
    <w:rsid w:val="00E92897"/>
    <w:rsid w:val="00E92CAA"/>
    <w:rsid w:val="00E939A8"/>
    <w:rsid w:val="00E9432A"/>
    <w:rsid w:val="00E943E7"/>
    <w:rsid w:val="00E95432"/>
    <w:rsid w:val="00E95B4F"/>
    <w:rsid w:val="00E96602"/>
    <w:rsid w:val="00E979A7"/>
    <w:rsid w:val="00EA0AA4"/>
    <w:rsid w:val="00EA0D2E"/>
    <w:rsid w:val="00EA15FE"/>
    <w:rsid w:val="00EA1913"/>
    <w:rsid w:val="00EA1C8C"/>
    <w:rsid w:val="00EA1D59"/>
    <w:rsid w:val="00EA2232"/>
    <w:rsid w:val="00EA2ED9"/>
    <w:rsid w:val="00EA3F1F"/>
    <w:rsid w:val="00EA454B"/>
    <w:rsid w:val="00EA54EB"/>
    <w:rsid w:val="00EA62A0"/>
    <w:rsid w:val="00EA73A9"/>
    <w:rsid w:val="00EA7833"/>
    <w:rsid w:val="00EB15B4"/>
    <w:rsid w:val="00EB1A74"/>
    <w:rsid w:val="00EB20E7"/>
    <w:rsid w:val="00EB234F"/>
    <w:rsid w:val="00EB244E"/>
    <w:rsid w:val="00EB26CF"/>
    <w:rsid w:val="00EB2B1D"/>
    <w:rsid w:val="00EB2CC7"/>
    <w:rsid w:val="00EB3E87"/>
    <w:rsid w:val="00EB40BE"/>
    <w:rsid w:val="00EB4686"/>
    <w:rsid w:val="00EB53B1"/>
    <w:rsid w:val="00EB5B08"/>
    <w:rsid w:val="00EB5FFA"/>
    <w:rsid w:val="00EB6221"/>
    <w:rsid w:val="00EB6B7D"/>
    <w:rsid w:val="00EB6CD7"/>
    <w:rsid w:val="00EB74DC"/>
    <w:rsid w:val="00EB776D"/>
    <w:rsid w:val="00EC02A9"/>
    <w:rsid w:val="00EC0C5D"/>
    <w:rsid w:val="00EC1567"/>
    <w:rsid w:val="00EC1776"/>
    <w:rsid w:val="00EC17D6"/>
    <w:rsid w:val="00EC20EF"/>
    <w:rsid w:val="00EC28D0"/>
    <w:rsid w:val="00EC315B"/>
    <w:rsid w:val="00EC31D8"/>
    <w:rsid w:val="00EC3A65"/>
    <w:rsid w:val="00EC3DC0"/>
    <w:rsid w:val="00EC3EA3"/>
    <w:rsid w:val="00EC3F96"/>
    <w:rsid w:val="00EC41AC"/>
    <w:rsid w:val="00EC46D8"/>
    <w:rsid w:val="00EC47AA"/>
    <w:rsid w:val="00EC4E3D"/>
    <w:rsid w:val="00EC5A02"/>
    <w:rsid w:val="00EC5B5D"/>
    <w:rsid w:val="00EC63B3"/>
    <w:rsid w:val="00EC6687"/>
    <w:rsid w:val="00EC6A96"/>
    <w:rsid w:val="00EC6C29"/>
    <w:rsid w:val="00EC71AD"/>
    <w:rsid w:val="00EC7693"/>
    <w:rsid w:val="00EC783E"/>
    <w:rsid w:val="00EC7B4D"/>
    <w:rsid w:val="00EC7EEE"/>
    <w:rsid w:val="00EC7F23"/>
    <w:rsid w:val="00ED03A5"/>
    <w:rsid w:val="00ED0768"/>
    <w:rsid w:val="00ED0A97"/>
    <w:rsid w:val="00ED1079"/>
    <w:rsid w:val="00ED12A7"/>
    <w:rsid w:val="00ED17FA"/>
    <w:rsid w:val="00ED282E"/>
    <w:rsid w:val="00ED300A"/>
    <w:rsid w:val="00ED393A"/>
    <w:rsid w:val="00ED3A3E"/>
    <w:rsid w:val="00ED3E7F"/>
    <w:rsid w:val="00ED4402"/>
    <w:rsid w:val="00ED4B0B"/>
    <w:rsid w:val="00ED4F89"/>
    <w:rsid w:val="00ED5039"/>
    <w:rsid w:val="00ED532C"/>
    <w:rsid w:val="00ED53A9"/>
    <w:rsid w:val="00ED586F"/>
    <w:rsid w:val="00ED5887"/>
    <w:rsid w:val="00ED5B96"/>
    <w:rsid w:val="00ED5C33"/>
    <w:rsid w:val="00ED5C50"/>
    <w:rsid w:val="00ED5D22"/>
    <w:rsid w:val="00ED6FF2"/>
    <w:rsid w:val="00EE06C8"/>
    <w:rsid w:val="00EE08BD"/>
    <w:rsid w:val="00EE09F5"/>
    <w:rsid w:val="00EE0DD7"/>
    <w:rsid w:val="00EE1C96"/>
    <w:rsid w:val="00EE240F"/>
    <w:rsid w:val="00EE28F1"/>
    <w:rsid w:val="00EE2903"/>
    <w:rsid w:val="00EE2BA6"/>
    <w:rsid w:val="00EE33AE"/>
    <w:rsid w:val="00EE3C9A"/>
    <w:rsid w:val="00EE42DA"/>
    <w:rsid w:val="00EE569D"/>
    <w:rsid w:val="00EE56A6"/>
    <w:rsid w:val="00EE5984"/>
    <w:rsid w:val="00EE6AC7"/>
    <w:rsid w:val="00EE6E38"/>
    <w:rsid w:val="00EE704C"/>
    <w:rsid w:val="00EE747F"/>
    <w:rsid w:val="00EE7960"/>
    <w:rsid w:val="00EE7ED6"/>
    <w:rsid w:val="00EF03A8"/>
    <w:rsid w:val="00EF082E"/>
    <w:rsid w:val="00EF111A"/>
    <w:rsid w:val="00EF1520"/>
    <w:rsid w:val="00EF15DF"/>
    <w:rsid w:val="00EF189F"/>
    <w:rsid w:val="00EF18C0"/>
    <w:rsid w:val="00EF2267"/>
    <w:rsid w:val="00EF228E"/>
    <w:rsid w:val="00EF3596"/>
    <w:rsid w:val="00EF381A"/>
    <w:rsid w:val="00EF3AD5"/>
    <w:rsid w:val="00EF5082"/>
    <w:rsid w:val="00EF558E"/>
    <w:rsid w:val="00EF5AE3"/>
    <w:rsid w:val="00EF603D"/>
    <w:rsid w:val="00EF6647"/>
    <w:rsid w:val="00EF6D87"/>
    <w:rsid w:val="00EF6DCB"/>
    <w:rsid w:val="00EF6F07"/>
    <w:rsid w:val="00EF6F1F"/>
    <w:rsid w:val="00EF70FA"/>
    <w:rsid w:val="00F01020"/>
    <w:rsid w:val="00F013C8"/>
    <w:rsid w:val="00F01870"/>
    <w:rsid w:val="00F01C8C"/>
    <w:rsid w:val="00F02065"/>
    <w:rsid w:val="00F021A6"/>
    <w:rsid w:val="00F02414"/>
    <w:rsid w:val="00F0294F"/>
    <w:rsid w:val="00F02BC5"/>
    <w:rsid w:val="00F02C1C"/>
    <w:rsid w:val="00F031DC"/>
    <w:rsid w:val="00F040E5"/>
    <w:rsid w:val="00F0456E"/>
    <w:rsid w:val="00F06C0B"/>
    <w:rsid w:val="00F06E7D"/>
    <w:rsid w:val="00F07880"/>
    <w:rsid w:val="00F07932"/>
    <w:rsid w:val="00F07EAD"/>
    <w:rsid w:val="00F10622"/>
    <w:rsid w:val="00F10B9F"/>
    <w:rsid w:val="00F12161"/>
    <w:rsid w:val="00F12193"/>
    <w:rsid w:val="00F12308"/>
    <w:rsid w:val="00F128B1"/>
    <w:rsid w:val="00F12CF7"/>
    <w:rsid w:val="00F13210"/>
    <w:rsid w:val="00F13C43"/>
    <w:rsid w:val="00F13E47"/>
    <w:rsid w:val="00F149D0"/>
    <w:rsid w:val="00F14C07"/>
    <w:rsid w:val="00F14E6E"/>
    <w:rsid w:val="00F14ED8"/>
    <w:rsid w:val="00F15425"/>
    <w:rsid w:val="00F1556C"/>
    <w:rsid w:val="00F15F21"/>
    <w:rsid w:val="00F167FF"/>
    <w:rsid w:val="00F16C30"/>
    <w:rsid w:val="00F16EB6"/>
    <w:rsid w:val="00F17C0B"/>
    <w:rsid w:val="00F204A5"/>
    <w:rsid w:val="00F2081E"/>
    <w:rsid w:val="00F20DF1"/>
    <w:rsid w:val="00F2138A"/>
    <w:rsid w:val="00F21476"/>
    <w:rsid w:val="00F21A79"/>
    <w:rsid w:val="00F21B9F"/>
    <w:rsid w:val="00F21BA4"/>
    <w:rsid w:val="00F220CA"/>
    <w:rsid w:val="00F2217F"/>
    <w:rsid w:val="00F22291"/>
    <w:rsid w:val="00F22D58"/>
    <w:rsid w:val="00F22DBE"/>
    <w:rsid w:val="00F22DD0"/>
    <w:rsid w:val="00F22FD5"/>
    <w:rsid w:val="00F23006"/>
    <w:rsid w:val="00F2305A"/>
    <w:rsid w:val="00F240BD"/>
    <w:rsid w:val="00F24448"/>
    <w:rsid w:val="00F24921"/>
    <w:rsid w:val="00F24B70"/>
    <w:rsid w:val="00F24E90"/>
    <w:rsid w:val="00F250BE"/>
    <w:rsid w:val="00F25996"/>
    <w:rsid w:val="00F26119"/>
    <w:rsid w:val="00F262F4"/>
    <w:rsid w:val="00F26447"/>
    <w:rsid w:val="00F26595"/>
    <w:rsid w:val="00F26A55"/>
    <w:rsid w:val="00F26C6E"/>
    <w:rsid w:val="00F276F6"/>
    <w:rsid w:val="00F27B2F"/>
    <w:rsid w:val="00F30651"/>
    <w:rsid w:val="00F30BAA"/>
    <w:rsid w:val="00F31042"/>
    <w:rsid w:val="00F31618"/>
    <w:rsid w:val="00F31746"/>
    <w:rsid w:val="00F31801"/>
    <w:rsid w:val="00F3183A"/>
    <w:rsid w:val="00F31884"/>
    <w:rsid w:val="00F31921"/>
    <w:rsid w:val="00F324C4"/>
    <w:rsid w:val="00F326BE"/>
    <w:rsid w:val="00F3325C"/>
    <w:rsid w:val="00F33364"/>
    <w:rsid w:val="00F33A55"/>
    <w:rsid w:val="00F3469D"/>
    <w:rsid w:val="00F348C0"/>
    <w:rsid w:val="00F35B34"/>
    <w:rsid w:val="00F35D70"/>
    <w:rsid w:val="00F35F2F"/>
    <w:rsid w:val="00F365D4"/>
    <w:rsid w:val="00F36BB5"/>
    <w:rsid w:val="00F373F4"/>
    <w:rsid w:val="00F4036D"/>
    <w:rsid w:val="00F404A3"/>
    <w:rsid w:val="00F407D0"/>
    <w:rsid w:val="00F40857"/>
    <w:rsid w:val="00F412C8"/>
    <w:rsid w:val="00F423DC"/>
    <w:rsid w:val="00F42435"/>
    <w:rsid w:val="00F42663"/>
    <w:rsid w:val="00F42921"/>
    <w:rsid w:val="00F42C8B"/>
    <w:rsid w:val="00F42CD6"/>
    <w:rsid w:val="00F439D7"/>
    <w:rsid w:val="00F4441C"/>
    <w:rsid w:val="00F45386"/>
    <w:rsid w:val="00F460C5"/>
    <w:rsid w:val="00F464CC"/>
    <w:rsid w:val="00F464E2"/>
    <w:rsid w:val="00F466EF"/>
    <w:rsid w:val="00F4686C"/>
    <w:rsid w:val="00F46D9A"/>
    <w:rsid w:val="00F47286"/>
    <w:rsid w:val="00F473A0"/>
    <w:rsid w:val="00F47568"/>
    <w:rsid w:val="00F479D0"/>
    <w:rsid w:val="00F47AC5"/>
    <w:rsid w:val="00F47DD6"/>
    <w:rsid w:val="00F506DC"/>
    <w:rsid w:val="00F50E59"/>
    <w:rsid w:val="00F50EB9"/>
    <w:rsid w:val="00F51299"/>
    <w:rsid w:val="00F51438"/>
    <w:rsid w:val="00F517A1"/>
    <w:rsid w:val="00F52FA5"/>
    <w:rsid w:val="00F532ED"/>
    <w:rsid w:val="00F53333"/>
    <w:rsid w:val="00F53844"/>
    <w:rsid w:val="00F546CF"/>
    <w:rsid w:val="00F552A8"/>
    <w:rsid w:val="00F5530F"/>
    <w:rsid w:val="00F55655"/>
    <w:rsid w:val="00F55F81"/>
    <w:rsid w:val="00F571B4"/>
    <w:rsid w:val="00F60055"/>
    <w:rsid w:val="00F601BC"/>
    <w:rsid w:val="00F616AF"/>
    <w:rsid w:val="00F61CFF"/>
    <w:rsid w:val="00F62819"/>
    <w:rsid w:val="00F62A11"/>
    <w:rsid w:val="00F6377F"/>
    <w:rsid w:val="00F645E7"/>
    <w:rsid w:val="00F653B2"/>
    <w:rsid w:val="00F65748"/>
    <w:rsid w:val="00F65D2F"/>
    <w:rsid w:val="00F65DF4"/>
    <w:rsid w:val="00F66323"/>
    <w:rsid w:val="00F66F9B"/>
    <w:rsid w:val="00F701DF"/>
    <w:rsid w:val="00F7058A"/>
    <w:rsid w:val="00F718AB"/>
    <w:rsid w:val="00F7201F"/>
    <w:rsid w:val="00F727CB"/>
    <w:rsid w:val="00F7309C"/>
    <w:rsid w:val="00F73183"/>
    <w:rsid w:val="00F745D4"/>
    <w:rsid w:val="00F74660"/>
    <w:rsid w:val="00F747BA"/>
    <w:rsid w:val="00F74DB6"/>
    <w:rsid w:val="00F74DF0"/>
    <w:rsid w:val="00F75271"/>
    <w:rsid w:val="00F753B8"/>
    <w:rsid w:val="00F760CE"/>
    <w:rsid w:val="00F765E2"/>
    <w:rsid w:val="00F76786"/>
    <w:rsid w:val="00F76AC8"/>
    <w:rsid w:val="00F76C6E"/>
    <w:rsid w:val="00F77117"/>
    <w:rsid w:val="00F77DA8"/>
    <w:rsid w:val="00F80BFC"/>
    <w:rsid w:val="00F811F5"/>
    <w:rsid w:val="00F8141E"/>
    <w:rsid w:val="00F838DF"/>
    <w:rsid w:val="00F83D31"/>
    <w:rsid w:val="00F84424"/>
    <w:rsid w:val="00F85FA7"/>
    <w:rsid w:val="00F86057"/>
    <w:rsid w:val="00F8684C"/>
    <w:rsid w:val="00F86900"/>
    <w:rsid w:val="00F86945"/>
    <w:rsid w:val="00F86B4B"/>
    <w:rsid w:val="00F86BC5"/>
    <w:rsid w:val="00F87155"/>
    <w:rsid w:val="00F87E0E"/>
    <w:rsid w:val="00F904CE"/>
    <w:rsid w:val="00F90D8B"/>
    <w:rsid w:val="00F910EF"/>
    <w:rsid w:val="00F9169B"/>
    <w:rsid w:val="00F91884"/>
    <w:rsid w:val="00F91A99"/>
    <w:rsid w:val="00F9210E"/>
    <w:rsid w:val="00F9283E"/>
    <w:rsid w:val="00F92DFA"/>
    <w:rsid w:val="00F92F0F"/>
    <w:rsid w:val="00F9421C"/>
    <w:rsid w:val="00F94EEB"/>
    <w:rsid w:val="00F95010"/>
    <w:rsid w:val="00F95519"/>
    <w:rsid w:val="00F95DD6"/>
    <w:rsid w:val="00F95F91"/>
    <w:rsid w:val="00F96081"/>
    <w:rsid w:val="00F963A8"/>
    <w:rsid w:val="00F96A07"/>
    <w:rsid w:val="00F9728B"/>
    <w:rsid w:val="00F973AA"/>
    <w:rsid w:val="00FA027A"/>
    <w:rsid w:val="00FA02A6"/>
    <w:rsid w:val="00FA11C7"/>
    <w:rsid w:val="00FA1257"/>
    <w:rsid w:val="00FA1C1D"/>
    <w:rsid w:val="00FA27D5"/>
    <w:rsid w:val="00FA2802"/>
    <w:rsid w:val="00FA2A3F"/>
    <w:rsid w:val="00FA2B88"/>
    <w:rsid w:val="00FA301E"/>
    <w:rsid w:val="00FA3FD3"/>
    <w:rsid w:val="00FA4296"/>
    <w:rsid w:val="00FA44EB"/>
    <w:rsid w:val="00FA56F9"/>
    <w:rsid w:val="00FA5747"/>
    <w:rsid w:val="00FA57C0"/>
    <w:rsid w:val="00FA5BF7"/>
    <w:rsid w:val="00FA5C79"/>
    <w:rsid w:val="00FA5EDA"/>
    <w:rsid w:val="00FA5F62"/>
    <w:rsid w:val="00FA6234"/>
    <w:rsid w:val="00FA654B"/>
    <w:rsid w:val="00FA6825"/>
    <w:rsid w:val="00FA6D7C"/>
    <w:rsid w:val="00FA73E3"/>
    <w:rsid w:val="00FA79FD"/>
    <w:rsid w:val="00FA7EDF"/>
    <w:rsid w:val="00FB0D8C"/>
    <w:rsid w:val="00FB10F8"/>
    <w:rsid w:val="00FB152A"/>
    <w:rsid w:val="00FB270D"/>
    <w:rsid w:val="00FB3257"/>
    <w:rsid w:val="00FB333A"/>
    <w:rsid w:val="00FB3ABD"/>
    <w:rsid w:val="00FB4180"/>
    <w:rsid w:val="00FB48E7"/>
    <w:rsid w:val="00FB48FF"/>
    <w:rsid w:val="00FB5E76"/>
    <w:rsid w:val="00FB6A90"/>
    <w:rsid w:val="00FB6D0B"/>
    <w:rsid w:val="00FB6D1D"/>
    <w:rsid w:val="00FC0156"/>
    <w:rsid w:val="00FC023B"/>
    <w:rsid w:val="00FC032F"/>
    <w:rsid w:val="00FC0542"/>
    <w:rsid w:val="00FC103E"/>
    <w:rsid w:val="00FC1674"/>
    <w:rsid w:val="00FC236C"/>
    <w:rsid w:val="00FC2DAA"/>
    <w:rsid w:val="00FC34E3"/>
    <w:rsid w:val="00FC4DA4"/>
    <w:rsid w:val="00FC4E68"/>
    <w:rsid w:val="00FC51BE"/>
    <w:rsid w:val="00FC52BD"/>
    <w:rsid w:val="00FC55D8"/>
    <w:rsid w:val="00FC563A"/>
    <w:rsid w:val="00FC5A17"/>
    <w:rsid w:val="00FC5E25"/>
    <w:rsid w:val="00FC680D"/>
    <w:rsid w:val="00FC6FDE"/>
    <w:rsid w:val="00FC7341"/>
    <w:rsid w:val="00FC7453"/>
    <w:rsid w:val="00FC78DD"/>
    <w:rsid w:val="00FD099F"/>
    <w:rsid w:val="00FD10AF"/>
    <w:rsid w:val="00FD10F2"/>
    <w:rsid w:val="00FD2102"/>
    <w:rsid w:val="00FD2FDB"/>
    <w:rsid w:val="00FD34D3"/>
    <w:rsid w:val="00FD39B3"/>
    <w:rsid w:val="00FD3A43"/>
    <w:rsid w:val="00FD4781"/>
    <w:rsid w:val="00FD4B6F"/>
    <w:rsid w:val="00FD5391"/>
    <w:rsid w:val="00FD59C1"/>
    <w:rsid w:val="00FD5A41"/>
    <w:rsid w:val="00FD5E87"/>
    <w:rsid w:val="00FD6237"/>
    <w:rsid w:val="00FD6408"/>
    <w:rsid w:val="00FD65EB"/>
    <w:rsid w:val="00FD6669"/>
    <w:rsid w:val="00FD6D58"/>
    <w:rsid w:val="00FD6FBD"/>
    <w:rsid w:val="00FD7A2B"/>
    <w:rsid w:val="00FD7B4B"/>
    <w:rsid w:val="00FD7C15"/>
    <w:rsid w:val="00FE0905"/>
    <w:rsid w:val="00FE1006"/>
    <w:rsid w:val="00FE1144"/>
    <w:rsid w:val="00FE134B"/>
    <w:rsid w:val="00FE1CFF"/>
    <w:rsid w:val="00FE21AB"/>
    <w:rsid w:val="00FE232D"/>
    <w:rsid w:val="00FE24ED"/>
    <w:rsid w:val="00FE250B"/>
    <w:rsid w:val="00FE2A6D"/>
    <w:rsid w:val="00FE2AAA"/>
    <w:rsid w:val="00FE3628"/>
    <w:rsid w:val="00FE3E39"/>
    <w:rsid w:val="00FE446A"/>
    <w:rsid w:val="00FE4593"/>
    <w:rsid w:val="00FE51B7"/>
    <w:rsid w:val="00FE63C9"/>
    <w:rsid w:val="00FE6580"/>
    <w:rsid w:val="00FE67E3"/>
    <w:rsid w:val="00FE6A06"/>
    <w:rsid w:val="00FE6E2F"/>
    <w:rsid w:val="00FE6E95"/>
    <w:rsid w:val="00FE70B1"/>
    <w:rsid w:val="00FF0619"/>
    <w:rsid w:val="00FF0B33"/>
    <w:rsid w:val="00FF1811"/>
    <w:rsid w:val="00FF1D73"/>
    <w:rsid w:val="00FF27E2"/>
    <w:rsid w:val="00FF2D48"/>
    <w:rsid w:val="00FF2EDA"/>
    <w:rsid w:val="00FF3295"/>
    <w:rsid w:val="00FF3815"/>
    <w:rsid w:val="00FF3B0A"/>
    <w:rsid w:val="00FF5B2D"/>
    <w:rsid w:val="00FF6023"/>
    <w:rsid w:val="00FF620C"/>
    <w:rsid w:val="00FF6A0F"/>
    <w:rsid w:val="00FF7AE0"/>
    <w:rsid w:val="00FF7FD0"/>
    <w:rsid w:val="17D117E8"/>
    <w:rsid w:val="24854DE7"/>
    <w:rsid w:val="343C3A9B"/>
    <w:rsid w:val="42D90E4A"/>
    <w:rsid w:val="7F9DA4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9C29"/>
  <w15:chartTrackingRefBased/>
  <w15:docId w15:val="{1C77828D-6D32-466A-A76B-9A4452D6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B38"/>
    <w:pPr>
      <w:spacing w:after="200" w:line="276" w:lineRule="auto"/>
    </w:pPr>
    <w:rPr>
      <w:sz w:val="22"/>
      <w:szCs w:val="22"/>
      <w:lang w:eastAsia="en-US"/>
    </w:rPr>
  </w:style>
  <w:style w:type="paragraph" w:styleId="Heading1">
    <w:name w:val="heading 1"/>
    <w:basedOn w:val="Normal"/>
    <w:next w:val="Normal"/>
    <w:link w:val="Heading1Char"/>
    <w:uiPriority w:val="9"/>
    <w:qFormat/>
    <w:rsid w:val="00510B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10B38"/>
    <w:pPr>
      <w:keepNext/>
      <w:spacing w:after="0" w:line="240" w:lineRule="auto"/>
      <w:outlineLvl w:val="1"/>
    </w:pPr>
    <w:rPr>
      <w:rFonts w:ascii="Times New Roman" w:eastAsia="Times New Roman" w:hAnsi="Times New Roman"/>
      <w:b/>
      <w:bCs/>
      <w:sz w:val="24"/>
      <w:szCs w:val="20"/>
    </w:rPr>
  </w:style>
  <w:style w:type="paragraph" w:styleId="Heading4">
    <w:name w:val="heading 4"/>
    <w:basedOn w:val="Normal"/>
    <w:next w:val="Normal"/>
    <w:link w:val="Heading4Char"/>
    <w:semiHidden/>
    <w:unhideWhenUsed/>
    <w:qFormat/>
    <w:rsid w:val="005E2D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0B38"/>
    <w:rPr>
      <w:rFonts w:ascii="Cambria" w:eastAsia="Times New Roman" w:hAnsi="Cambria" w:cs="Times New Roman"/>
      <w:b/>
      <w:bCs/>
      <w:color w:val="365F91"/>
      <w:sz w:val="28"/>
      <w:szCs w:val="28"/>
    </w:rPr>
  </w:style>
  <w:style w:type="character" w:customStyle="1" w:styleId="Heading2Char">
    <w:name w:val="Heading 2 Char"/>
    <w:link w:val="Heading2"/>
    <w:rsid w:val="00510B38"/>
    <w:rPr>
      <w:rFonts w:ascii="Times New Roman" w:eastAsia="Times New Roman" w:hAnsi="Times New Roman" w:cs="Times New Roman"/>
      <w:b/>
      <w:bCs/>
      <w:sz w:val="24"/>
      <w:szCs w:val="20"/>
    </w:rPr>
  </w:style>
  <w:style w:type="paragraph" w:customStyle="1" w:styleId="ESText">
    <w:name w:val="ES_Text"/>
    <w:basedOn w:val="Normal"/>
    <w:rsid w:val="00510B38"/>
    <w:pPr>
      <w:spacing w:after="0" w:line="280" w:lineRule="exact"/>
    </w:pPr>
    <w:rPr>
      <w:rFonts w:ascii="Times New Roman" w:eastAsia="Times New Roman" w:hAnsi="Times New Roman"/>
      <w:sz w:val="24"/>
      <w:szCs w:val="20"/>
    </w:rPr>
  </w:style>
  <w:style w:type="character" w:styleId="Hyperlink">
    <w:name w:val="Hyperlink"/>
    <w:uiPriority w:val="99"/>
    <w:unhideWhenUsed/>
    <w:rsid w:val="00021939"/>
    <w:rPr>
      <w:color w:val="0563C1"/>
      <w:u w:val="single"/>
    </w:rPr>
  </w:style>
  <w:style w:type="character" w:styleId="CommentReference">
    <w:name w:val="annotation reference"/>
    <w:semiHidden/>
    <w:unhideWhenUsed/>
    <w:rsid w:val="007136E5"/>
    <w:rPr>
      <w:sz w:val="16"/>
      <w:szCs w:val="16"/>
    </w:rPr>
  </w:style>
  <w:style w:type="paragraph" w:styleId="CommentText">
    <w:name w:val="annotation text"/>
    <w:basedOn w:val="Normal"/>
    <w:link w:val="CommentTextChar"/>
    <w:semiHidden/>
    <w:unhideWhenUsed/>
    <w:rsid w:val="007136E5"/>
    <w:rPr>
      <w:sz w:val="20"/>
      <w:szCs w:val="20"/>
    </w:rPr>
  </w:style>
  <w:style w:type="character" w:customStyle="1" w:styleId="CommentTextChar">
    <w:name w:val="Comment Text Char"/>
    <w:link w:val="CommentText"/>
    <w:semiHidden/>
    <w:rsid w:val="007136E5"/>
    <w:rPr>
      <w:lang w:eastAsia="en-US"/>
    </w:rPr>
  </w:style>
  <w:style w:type="paragraph" w:styleId="CommentSubject">
    <w:name w:val="annotation subject"/>
    <w:basedOn w:val="CommentText"/>
    <w:next w:val="CommentText"/>
    <w:link w:val="CommentSubjectChar"/>
    <w:uiPriority w:val="99"/>
    <w:semiHidden/>
    <w:unhideWhenUsed/>
    <w:rsid w:val="007136E5"/>
    <w:rPr>
      <w:b/>
      <w:bCs/>
    </w:rPr>
  </w:style>
  <w:style w:type="character" w:customStyle="1" w:styleId="CommentSubjectChar">
    <w:name w:val="Comment Subject Char"/>
    <w:link w:val="CommentSubject"/>
    <w:uiPriority w:val="99"/>
    <w:semiHidden/>
    <w:rsid w:val="007136E5"/>
    <w:rPr>
      <w:b/>
      <w:bCs/>
      <w:lang w:eastAsia="en-US"/>
    </w:rPr>
  </w:style>
  <w:style w:type="paragraph" w:styleId="BalloonText">
    <w:name w:val="Balloon Text"/>
    <w:basedOn w:val="Normal"/>
    <w:link w:val="BalloonTextChar"/>
    <w:uiPriority w:val="99"/>
    <w:semiHidden/>
    <w:unhideWhenUsed/>
    <w:rsid w:val="007136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36E5"/>
    <w:rPr>
      <w:rFonts w:ascii="Segoe UI" w:hAnsi="Segoe UI" w:cs="Segoe UI"/>
      <w:sz w:val="18"/>
      <w:szCs w:val="18"/>
      <w:lang w:eastAsia="en-US"/>
    </w:rPr>
  </w:style>
  <w:style w:type="paragraph" w:styleId="Header">
    <w:name w:val="header"/>
    <w:basedOn w:val="Normal"/>
    <w:link w:val="HeaderChar"/>
    <w:uiPriority w:val="99"/>
    <w:unhideWhenUsed/>
    <w:rsid w:val="00AF0C6A"/>
    <w:pPr>
      <w:tabs>
        <w:tab w:val="center" w:pos="4513"/>
        <w:tab w:val="right" w:pos="9026"/>
      </w:tabs>
    </w:pPr>
  </w:style>
  <w:style w:type="character" w:customStyle="1" w:styleId="HeaderChar">
    <w:name w:val="Header Char"/>
    <w:link w:val="Header"/>
    <w:uiPriority w:val="99"/>
    <w:rsid w:val="00AF0C6A"/>
    <w:rPr>
      <w:sz w:val="22"/>
      <w:szCs w:val="22"/>
      <w:lang w:eastAsia="en-US"/>
    </w:rPr>
  </w:style>
  <w:style w:type="paragraph" w:styleId="Footer">
    <w:name w:val="footer"/>
    <w:basedOn w:val="Normal"/>
    <w:link w:val="FooterChar"/>
    <w:uiPriority w:val="99"/>
    <w:unhideWhenUsed/>
    <w:rsid w:val="00AF0C6A"/>
    <w:pPr>
      <w:tabs>
        <w:tab w:val="center" w:pos="4513"/>
        <w:tab w:val="right" w:pos="9026"/>
      </w:tabs>
    </w:pPr>
  </w:style>
  <w:style w:type="character" w:customStyle="1" w:styleId="FooterChar">
    <w:name w:val="Footer Char"/>
    <w:link w:val="Footer"/>
    <w:uiPriority w:val="99"/>
    <w:rsid w:val="00AF0C6A"/>
    <w:rPr>
      <w:sz w:val="22"/>
      <w:szCs w:val="22"/>
      <w:lang w:eastAsia="en-US"/>
    </w:rPr>
  </w:style>
  <w:style w:type="paragraph" w:styleId="ListParagraph">
    <w:name w:val="List Paragraph"/>
    <w:aliases w:val="List Paragraph1,Recommendation,List Paragraph11,Bullet point,L,List Paragraph111,F5 List Paragraph,Dot pt,CV text,Table text,Medium Grid 1 - Accent 21,Numbered Paragraph,List Paragraph2,NFP GP Bulleted List,FooterText,numbered,列出段,列出,列"/>
    <w:basedOn w:val="Normal"/>
    <w:link w:val="ListParagraphChar"/>
    <w:uiPriority w:val="34"/>
    <w:qFormat/>
    <w:rsid w:val="0098672B"/>
    <w:pPr>
      <w:ind w:left="720"/>
    </w:pPr>
  </w:style>
  <w:style w:type="paragraph" w:styleId="FootnoteText">
    <w:name w:val="footnote text"/>
    <w:basedOn w:val="Normal"/>
    <w:link w:val="FootnoteTextChar"/>
    <w:unhideWhenUsed/>
    <w:rsid w:val="009467B3"/>
    <w:rPr>
      <w:sz w:val="20"/>
      <w:szCs w:val="20"/>
    </w:rPr>
  </w:style>
  <w:style w:type="character" w:customStyle="1" w:styleId="FootnoteTextChar">
    <w:name w:val="Footnote Text Char"/>
    <w:link w:val="FootnoteText"/>
    <w:rsid w:val="009467B3"/>
    <w:rPr>
      <w:lang w:eastAsia="en-US"/>
    </w:rPr>
  </w:style>
  <w:style w:type="character" w:styleId="FootnoteReference">
    <w:name w:val="footnote reference"/>
    <w:unhideWhenUsed/>
    <w:rsid w:val="009467B3"/>
    <w:rPr>
      <w:vertAlign w:val="superscript"/>
    </w:rPr>
  </w:style>
  <w:style w:type="character" w:customStyle="1" w:styleId="Calibri12">
    <w:name w:val="Calibri 12"/>
    <w:basedOn w:val="DefaultParagraphFont"/>
    <w:uiPriority w:val="1"/>
    <w:qFormat/>
    <w:rsid w:val="00A86E6E"/>
    <w:rPr>
      <w:rFonts w:ascii="Calibri" w:hAnsi="Calibri" w:cs="Calibri" w:hint="default"/>
      <w:sz w:val="24"/>
    </w:rPr>
  </w:style>
  <w:style w:type="paragraph" w:customStyle="1" w:styleId="Default">
    <w:name w:val="Default"/>
    <w:rsid w:val="000E4D0C"/>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List Paragraph1 Char,Recommendation Char,List Paragraph11 Char,Bullet point Char,L Char,List Paragraph111 Char,F5 List Paragraph Char,Dot pt Char,CV text Char,Table text Char,Medium Grid 1 - Accent 21 Char,Numbered Paragraph Char"/>
    <w:basedOn w:val="DefaultParagraphFont"/>
    <w:link w:val="ListParagraph"/>
    <w:uiPriority w:val="34"/>
    <w:qFormat/>
    <w:locked/>
    <w:rsid w:val="000242A6"/>
    <w:rPr>
      <w:sz w:val="22"/>
      <w:szCs w:val="22"/>
      <w:lang w:eastAsia="en-US"/>
    </w:rPr>
  </w:style>
  <w:style w:type="paragraph" w:styleId="NoSpacing">
    <w:name w:val="No Spacing"/>
    <w:uiPriority w:val="1"/>
    <w:qFormat/>
    <w:rsid w:val="0026577B"/>
    <w:rPr>
      <w:sz w:val="22"/>
      <w:szCs w:val="22"/>
      <w:lang w:eastAsia="en-US"/>
    </w:rPr>
  </w:style>
  <w:style w:type="character" w:styleId="UnresolvedMention">
    <w:name w:val="Unresolved Mention"/>
    <w:basedOn w:val="DefaultParagraphFont"/>
    <w:uiPriority w:val="99"/>
    <w:semiHidden/>
    <w:unhideWhenUsed/>
    <w:rsid w:val="00D71934"/>
    <w:rPr>
      <w:color w:val="605E5C"/>
      <w:shd w:val="clear" w:color="auto" w:fill="E1DFDD"/>
    </w:rPr>
  </w:style>
  <w:style w:type="character" w:customStyle="1" w:styleId="Heading4Char">
    <w:name w:val="Heading 4 Char"/>
    <w:basedOn w:val="DefaultParagraphFont"/>
    <w:link w:val="Heading4"/>
    <w:semiHidden/>
    <w:rsid w:val="005E2D1A"/>
    <w:rPr>
      <w:rFonts w:asciiTheme="majorHAnsi" w:eastAsiaTheme="majorEastAsia" w:hAnsiTheme="majorHAnsi" w:cstheme="majorBidi"/>
      <w:i/>
      <w:iCs/>
      <w:color w:val="2F5496" w:themeColor="accent1" w:themeShade="BF"/>
      <w:sz w:val="22"/>
      <w:szCs w:val="22"/>
      <w:lang w:eastAsia="en-US"/>
    </w:rPr>
  </w:style>
  <w:style w:type="paragraph" w:styleId="NormalWeb">
    <w:name w:val="Normal (Web)"/>
    <w:basedOn w:val="Normal"/>
    <w:uiPriority w:val="99"/>
    <w:semiHidden/>
    <w:unhideWhenUsed/>
    <w:rsid w:val="00A40D9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listparagraph0">
    <w:name w:val="listparagraph"/>
    <w:basedOn w:val="Normal"/>
    <w:rsid w:val="00CA3C46"/>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F6377F"/>
    <w:rPr>
      <w:sz w:val="22"/>
      <w:szCs w:val="22"/>
      <w:lang w:eastAsia="en-US"/>
    </w:rPr>
  </w:style>
  <w:style w:type="character" w:styleId="FollowedHyperlink">
    <w:name w:val="FollowedHyperlink"/>
    <w:basedOn w:val="DefaultParagraphFont"/>
    <w:uiPriority w:val="99"/>
    <w:semiHidden/>
    <w:unhideWhenUsed/>
    <w:rsid w:val="00995F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7987">
      <w:bodyDiv w:val="1"/>
      <w:marLeft w:val="0"/>
      <w:marRight w:val="0"/>
      <w:marTop w:val="0"/>
      <w:marBottom w:val="0"/>
      <w:divBdr>
        <w:top w:val="none" w:sz="0" w:space="0" w:color="auto"/>
        <w:left w:val="none" w:sz="0" w:space="0" w:color="auto"/>
        <w:bottom w:val="none" w:sz="0" w:space="0" w:color="auto"/>
        <w:right w:val="none" w:sz="0" w:space="0" w:color="auto"/>
      </w:divBdr>
      <w:divsChild>
        <w:div w:id="73474670">
          <w:marLeft w:val="0"/>
          <w:marRight w:val="0"/>
          <w:marTop w:val="0"/>
          <w:marBottom w:val="0"/>
          <w:divBdr>
            <w:top w:val="none" w:sz="0" w:space="0" w:color="auto"/>
            <w:left w:val="none" w:sz="0" w:space="0" w:color="auto"/>
            <w:bottom w:val="none" w:sz="0" w:space="0" w:color="auto"/>
            <w:right w:val="none" w:sz="0" w:space="0" w:color="auto"/>
          </w:divBdr>
        </w:div>
        <w:div w:id="743186107">
          <w:marLeft w:val="0"/>
          <w:marRight w:val="0"/>
          <w:marTop w:val="0"/>
          <w:marBottom w:val="0"/>
          <w:divBdr>
            <w:top w:val="none" w:sz="0" w:space="0" w:color="auto"/>
            <w:left w:val="none" w:sz="0" w:space="0" w:color="auto"/>
            <w:bottom w:val="none" w:sz="0" w:space="0" w:color="auto"/>
            <w:right w:val="none" w:sz="0" w:space="0" w:color="auto"/>
          </w:divBdr>
        </w:div>
        <w:div w:id="1540048925">
          <w:marLeft w:val="0"/>
          <w:marRight w:val="0"/>
          <w:marTop w:val="0"/>
          <w:marBottom w:val="0"/>
          <w:divBdr>
            <w:top w:val="none" w:sz="0" w:space="0" w:color="auto"/>
            <w:left w:val="none" w:sz="0" w:space="0" w:color="auto"/>
            <w:bottom w:val="none" w:sz="0" w:space="0" w:color="auto"/>
            <w:right w:val="none" w:sz="0" w:space="0" w:color="auto"/>
          </w:divBdr>
        </w:div>
        <w:div w:id="1828741991">
          <w:marLeft w:val="0"/>
          <w:marRight w:val="0"/>
          <w:marTop w:val="0"/>
          <w:marBottom w:val="0"/>
          <w:divBdr>
            <w:top w:val="none" w:sz="0" w:space="0" w:color="auto"/>
            <w:left w:val="none" w:sz="0" w:space="0" w:color="auto"/>
            <w:bottom w:val="none" w:sz="0" w:space="0" w:color="auto"/>
            <w:right w:val="none" w:sz="0" w:space="0" w:color="auto"/>
          </w:divBdr>
        </w:div>
      </w:divsChild>
    </w:div>
    <w:div w:id="339309867">
      <w:bodyDiv w:val="1"/>
      <w:marLeft w:val="0"/>
      <w:marRight w:val="0"/>
      <w:marTop w:val="0"/>
      <w:marBottom w:val="0"/>
      <w:divBdr>
        <w:top w:val="none" w:sz="0" w:space="0" w:color="auto"/>
        <w:left w:val="none" w:sz="0" w:space="0" w:color="auto"/>
        <w:bottom w:val="none" w:sz="0" w:space="0" w:color="auto"/>
        <w:right w:val="none" w:sz="0" w:space="0" w:color="auto"/>
      </w:divBdr>
    </w:div>
    <w:div w:id="464395534">
      <w:bodyDiv w:val="1"/>
      <w:marLeft w:val="0"/>
      <w:marRight w:val="0"/>
      <w:marTop w:val="0"/>
      <w:marBottom w:val="0"/>
      <w:divBdr>
        <w:top w:val="none" w:sz="0" w:space="0" w:color="auto"/>
        <w:left w:val="none" w:sz="0" w:space="0" w:color="auto"/>
        <w:bottom w:val="none" w:sz="0" w:space="0" w:color="auto"/>
        <w:right w:val="none" w:sz="0" w:space="0" w:color="auto"/>
      </w:divBdr>
    </w:div>
    <w:div w:id="1283418821">
      <w:bodyDiv w:val="1"/>
      <w:marLeft w:val="0"/>
      <w:marRight w:val="0"/>
      <w:marTop w:val="0"/>
      <w:marBottom w:val="0"/>
      <w:divBdr>
        <w:top w:val="none" w:sz="0" w:space="0" w:color="auto"/>
        <w:left w:val="none" w:sz="0" w:space="0" w:color="auto"/>
        <w:bottom w:val="none" w:sz="0" w:space="0" w:color="auto"/>
        <w:right w:val="none" w:sz="0" w:space="0" w:color="auto"/>
      </w:divBdr>
    </w:div>
    <w:div w:id="1339580381">
      <w:bodyDiv w:val="1"/>
      <w:marLeft w:val="0"/>
      <w:marRight w:val="0"/>
      <w:marTop w:val="0"/>
      <w:marBottom w:val="0"/>
      <w:divBdr>
        <w:top w:val="none" w:sz="0" w:space="0" w:color="auto"/>
        <w:left w:val="none" w:sz="0" w:space="0" w:color="auto"/>
        <w:bottom w:val="none" w:sz="0" w:space="0" w:color="auto"/>
        <w:right w:val="none" w:sz="0" w:space="0" w:color="auto"/>
      </w:divBdr>
    </w:div>
    <w:div w:id="1639218520">
      <w:bodyDiv w:val="1"/>
      <w:marLeft w:val="0"/>
      <w:marRight w:val="0"/>
      <w:marTop w:val="0"/>
      <w:marBottom w:val="0"/>
      <w:divBdr>
        <w:top w:val="none" w:sz="0" w:space="0" w:color="auto"/>
        <w:left w:val="none" w:sz="0" w:space="0" w:color="auto"/>
        <w:bottom w:val="none" w:sz="0" w:space="0" w:color="auto"/>
        <w:right w:val="none" w:sz="0" w:space="0" w:color="auto"/>
      </w:divBdr>
      <w:divsChild>
        <w:div w:id="277688930">
          <w:marLeft w:val="0"/>
          <w:marRight w:val="0"/>
          <w:marTop w:val="15"/>
          <w:marBottom w:val="0"/>
          <w:divBdr>
            <w:top w:val="none" w:sz="0" w:space="0" w:color="auto"/>
            <w:left w:val="none" w:sz="0" w:space="0" w:color="auto"/>
            <w:bottom w:val="none" w:sz="0" w:space="0" w:color="auto"/>
            <w:right w:val="none" w:sz="0" w:space="0" w:color="auto"/>
          </w:divBdr>
          <w:divsChild>
            <w:div w:id="196548166">
              <w:marLeft w:val="0"/>
              <w:marRight w:val="0"/>
              <w:marTop w:val="0"/>
              <w:marBottom w:val="0"/>
              <w:divBdr>
                <w:top w:val="none" w:sz="0" w:space="0" w:color="auto"/>
                <w:left w:val="none" w:sz="0" w:space="0" w:color="auto"/>
                <w:bottom w:val="none" w:sz="0" w:space="0" w:color="auto"/>
                <w:right w:val="none" w:sz="0" w:space="0" w:color="auto"/>
              </w:divBdr>
              <w:divsChild>
                <w:div w:id="1288005196">
                  <w:marLeft w:val="0"/>
                  <w:marRight w:val="0"/>
                  <w:marTop w:val="0"/>
                  <w:marBottom w:val="0"/>
                  <w:divBdr>
                    <w:top w:val="none" w:sz="0" w:space="0" w:color="auto"/>
                    <w:left w:val="none" w:sz="0" w:space="0" w:color="auto"/>
                    <w:bottom w:val="none" w:sz="0" w:space="0" w:color="auto"/>
                    <w:right w:val="none" w:sz="0" w:space="0" w:color="auto"/>
                  </w:divBdr>
                </w:div>
                <w:div w:id="21317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ice.act.gov.au/sites/default/files/2019-08/report_GuideforFramingOffences_LPB_201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afeworkaustralia.gov.au/system/files/documents/1902/review_of_the_model_whs_laws_final_report_0.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irwork.gov.au/tools-and-resources/library/K600454_Annual-leave-sick-leave-during-workers-compensation" TargetMode="External"/><Relationship Id="rId5" Type="http://schemas.openxmlformats.org/officeDocument/2006/relationships/numbering" Target="numbering.xml"/><Relationship Id="rId15" Type="http://schemas.openxmlformats.org/officeDocument/2006/relationships/hyperlink" Target="https://justice.act.gov.au/sites/default/files/2019-08/report_GuideforFramingOffences_LPB_201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ice.act.gov.au/sites/default/files/2019-08/report_GuideforFramingOffences_LPB_201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0286F33704294299E0210587A38756" ma:contentTypeVersion="4" ma:contentTypeDescription="Create a new document." ma:contentTypeScope="" ma:versionID="ed934a2356021e06631ae46f04ddec08">
  <xsd:schema xmlns:xsd="http://www.w3.org/2001/XMLSchema" xmlns:xs="http://www.w3.org/2001/XMLSchema" xmlns:p="http://schemas.microsoft.com/office/2006/metadata/properties" xmlns:ns2="2d057cc2-410a-46e1-a895-95eff28ea422" targetNamespace="http://schemas.microsoft.com/office/2006/metadata/properties" ma:root="true" ma:fieldsID="8800aab41ac91895a0d1535417e70ba1" ns2:_="">
    <xsd:import namespace="2d057cc2-410a-46e1-a895-95eff28ea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57cc2-410a-46e1-a895-95eff28ea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EF8AF-9BE0-4141-9C4E-6DE4F6654E7D}">
  <ds:schemaRefs>
    <ds:schemaRef ds:uri="http://schemas.openxmlformats.org/officeDocument/2006/bibliography"/>
  </ds:schemaRefs>
</ds:datastoreItem>
</file>

<file path=customXml/itemProps2.xml><?xml version="1.0" encoding="utf-8"?>
<ds:datastoreItem xmlns:ds="http://schemas.openxmlformats.org/officeDocument/2006/customXml" ds:itemID="{1E177DEC-E0C7-4F7E-9E7B-9A7193DB3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57cc2-410a-46e1-a895-95eff28ea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66E29-0939-4691-91C3-4CC4CC292EA3}">
  <ds:schemaRefs>
    <ds:schemaRef ds:uri="http://schemas.microsoft.com/sharepoint/v3/contenttype/forms"/>
  </ds:schemaRefs>
</ds:datastoreItem>
</file>

<file path=customXml/itemProps4.xml><?xml version="1.0" encoding="utf-8"?>
<ds:datastoreItem xmlns:ds="http://schemas.openxmlformats.org/officeDocument/2006/customXml" ds:itemID="{F32B80FC-05D1-4195-B0F6-BAB7274E4A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7416</Words>
  <Characters>39501</Characters>
  <Application>Microsoft Office Word</Application>
  <DocSecurity>0</DocSecurity>
  <Lines>796</Lines>
  <Paragraphs>287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Moxon, KarenL</cp:lastModifiedBy>
  <cp:revision>4</cp:revision>
  <dcterms:created xsi:type="dcterms:W3CDTF">2022-06-07T23:29:00Z</dcterms:created>
  <dcterms:modified xsi:type="dcterms:W3CDTF">2022-06-07T23:29:00Z</dcterms:modified>
</cp:coreProperties>
</file>