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F106BB" w:rsidRDefault="00790FE4" w:rsidP="001A32A5">
      <w:pPr>
        <w:spacing w:after="0"/>
        <w:jc w:val="center"/>
        <w:rPr>
          <w:rFonts w:asciiTheme="minorHAnsi" w:hAnsiTheme="minorHAnsi" w:cstheme="minorHAnsi"/>
          <w:b/>
          <w:bCs/>
          <w:sz w:val="24"/>
          <w:szCs w:val="24"/>
        </w:rPr>
      </w:pPr>
    </w:p>
    <w:p w14:paraId="42440CF1" w14:textId="77777777" w:rsidR="00790FE4" w:rsidRPr="00F106BB" w:rsidRDefault="00790FE4" w:rsidP="001A32A5">
      <w:pPr>
        <w:spacing w:after="0"/>
        <w:jc w:val="center"/>
        <w:rPr>
          <w:rFonts w:asciiTheme="minorHAnsi" w:hAnsiTheme="minorHAnsi" w:cstheme="minorHAnsi"/>
          <w:b/>
          <w:bCs/>
          <w:sz w:val="24"/>
          <w:szCs w:val="24"/>
        </w:rPr>
      </w:pPr>
    </w:p>
    <w:p w14:paraId="47B146F4" w14:textId="378BD17D" w:rsidR="00BB387E" w:rsidRPr="00F106BB" w:rsidRDefault="006555E3" w:rsidP="001A32A5">
      <w:pPr>
        <w:spacing w:after="0"/>
        <w:jc w:val="center"/>
        <w:rPr>
          <w:rFonts w:asciiTheme="minorHAnsi" w:hAnsiTheme="minorHAnsi" w:cstheme="minorHAnsi"/>
          <w:b/>
          <w:bCs/>
          <w:sz w:val="24"/>
          <w:szCs w:val="24"/>
        </w:rPr>
      </w:pPr>
      <w:r w:rsidRPr="00F106BB">
        <w:rPr>
          <w:rFonts w:asciiTheme="minorHAnsi" w:hAnsiTheme="minorHAnsi" w:cstheme="minorHAnsi"/>
          <w:b/>
          <w:bCs/>
          <w:sz w:val="24"/>
          <w:szCs w:val="24"/>
        </w:rPr>
        <w:t>202</w:t>
      </w:r>
      <w:r w:rsidR="00DF40CD" w:rsidRPr="00F106BB">
        <w:rPr>
          <w:rFonts w:asciiTheme="minorHAnsi" w:hAnsiTheme="minorHAnsi" w:cstheme="minorHAnsi"/>
          <w:b/>
          <w:bCs/>
          <w:sz w:val="24"/>
          <w:szCs w:val="24"/>
        </w:rPr>
        <w:t>2</w:t>
      </w:r>
    </w:p>
    <w:p w14:paraId="76FBCA77" w14:textId="77777777" w:rsidR="00BB387E" w:rsidRPr="00F106BB" w:rsidRDefault="00BB387E" w:rsidP="001A32A5">
      <w:pPr>
        <w:spacing w:after="0"/>
        <w:jc w:val="center"/>
        <w:rPr>
          <w:rFonts w:asciiTheme="minorHAnsi" w:hAnsiTheme="minorHAnsi" w:cstheme="minorHAnsi"/>
          <w:b/>
          <w:sz w:val="24"/>
          <w:szCs w:val="24"/>
        </w:rPr>
      </w:pPr>
    </w:p>
    <w:p w14:paraId="3493308A" w14:textId="77777777" w:rsidR="00BB387E" w:rsidRPr="00F106BB" w:rsidRDefault="00BB387E" w:rsidP="001A32A5">
      <w:pPr>
        <w:spacing w:after="0"/>
        <w:jc w:val="center"/>
        <w:rPr>
          <w:rFonts w:asciiTheme="minorHAnsi" w:hAnsiTheme="minorHAnsi" w:cstheme="minorHAnsi"/>
          <w:b/>
          <w:sz w:val="24"/>
          <w:szCs w:val="24"/>
        </w:rPr>
      </w:pPr>
    </w:p>
    <w:p w14:paraId="0DB9FAF9" w14:textId="77777777" w:rsidR="00BB387E" w:rsidRPr="00F106BB" w:rsidRDefault="00BB387E" w:rsidP="001A32A5">
      <w:pPr>
        <w:spacing w:after="0"/>
        <w:jc w:val="center"/>
        <w:rPr>
          <w:rFonts w:asciiTheme="minorHAnsi" w:hAnsiTheme="minorHAnsi" w:cstheme="minorHAnsi"/>
          <w:b/>
          <w:sz w:val="24"/>
          <w:szCs w:val="24"/>
        </w:rPr>
      </w:pPr>
    </w:p>
    <w:p w14:paraId="32DDD7F5" w14:textId="77777777" w:rsidR="00BB387E" w:rsidRPr="00F106BB" w:rsidRDefault="00BB387E" w:rsidP="001A32A5">
      <w:pPr>
        <w:spacing w:after="0"/>
        <w:jc w:val="center"/>
        <w:rPr>
          <w:rFonts w:asciiTheme="minorHAnsi" w:hAnsiTheme="minorHAnsi" w:cstheme="minorHAnsi"/>
          <w:b/>
          <w:sz w:val="24"/>
          <w:szCs w:val="24"/>
        </w:rPr>
      </w:pPr>
    </w:p>
    <w:p w14:paraId="03B2A002" w14:textId="77777777" w:rsidR="00BB387E" w:rsidRPr="00F106BB" w:rsidRDefault="00BB387E" w:rsidP="001A32A5">
      <w:pPr>
        <w:spacing w:after="0"/>
        <w:jc w:val="center"/>
        <w:rPr>
          <w:rFonts w:asciiTheme="minorHAnsi" w:hAnsiTheme="minorHAnsi" w:cstheme="minorHAnsi"/>
          <w:b/>
          <w:bCs/>
          <w:sz w:val="24"/>
          <w:szCs w:val="24"/>
        </w:rPr>
      </w:pPr>
    </w:p>
    <w:p w14:paraId="76B12392" w14:textId="77777777" w:rsidR="00BB387E" w:rsidRPr="00F106BB" w:rsidRDefault="00BB387E" w:rsidP="001A32A5">
      <w:pPr>
        <w:spacing w:after="0"/>
        <w:jc w:val="center"/>
        <w:rPr>
          <w:rFonts w:asciiTheme="minorHAnsi" w:hAnsiTheme="minorHAnsi" w:cstheme="minorHAnsi"/>
          <w:b/>
          <w:bCs/>
          <w:sz w:val="24"/>
          <w:szCs w:val="24"/>
        </w:rPr>
      </w:pPr>
    </w:p>
    <w:p w14:paraId="04AE96BF" w14:textId="77777777" w:rsidR="00BB387E" w:rsidRPr="00F106BB" w:rsidRDefault="00BB387E" w:rsidP="001A32A5">
      <w:pPr>
        <w:spacing w:after="0"/>
        <w:jc w:val="center"/>
        <w:rPr>
          <w:rFonts w:asciiTheme="minorHAnsi" w:hAnsiTheme="minorHAnsi" w:cstheme="minorHAnsi"/>
          <w:b/>
          <w:bCs/>
          <w:sz w:val="24"/>
          <w:szCs w:val="24"/>
        </w:rPr>
      </w:pPr>
      <w:r w:rsidRPr="00F106BB">
        <w:rPr>
          <w:rFonts w:asciiTheme="minorHAnsi" w:hAnsiTheme="minorHAnsi" w:cstheme="minorHAnsi"/>
          <w:b/>
          <w:bCs/>
          <w:sz w:val="24"/>
          <w:szCs w:val="24"/>
        </w:rPr>
        <w:t>THE LEGISLATIVE ASSEMBLY FOR THE</w:t>
      </w:r>
    </w:p>
    <w:p w14:paraId="38D9D6DC" w14:textId="77777777" w:rsidR="00BB387E" w:rsidRPr="00F106BB" w:rsidRDefault="00BB387E" w:rsidP="001A32A5">
      <w:pPr>
        <w:spacing w:after="0"/>
        <w:jc w:val="center"/>
        <w:rPr>
          <w:rFonts w:asciiTheme="minorHAnsi" w:hAnsiTheme="minorHAnsi" w:cstheme="minorHAnsi"/>
          <w:b/>
          <w:sz w:val="24"/>
          <w:szCs w:val="24"/>
        </w:rPr>
      </w:pPr>
      <w:r w:rsidRPr="00F106BB">
        <w:rPr>
          <w:rFonts w:asciiTheme="minorHAnsi" w:hAnsiTheme="minorHAnsi" w:cstheme="minorHAnsi"/>
          <w:b/>
          <w:bCs/>
          <w:sz w:val="24"/>
          <w:szCs w:val="24"/>
        </w:rPr>
        <w:t>AUSTRALIAN CAPITAL TERRITORY</w:t>
      </w:r>
    </w:p>
    <w:p w14:paraId="1814759D" w14:textId="77777777" w:rsidR="00BB387E" w:rsidRPr="00F106BB" w:rsidRDefault="00BB387E" w:rsidP="001A32A5">
      <w:pPr>
        <w:spacing w:after="0"/>
        <w:jc w:val="center"/>
        <w:rPr>
          <w:rFonts w:asciiTheme="minorHAnsi" w:hAnsiTheme="minorHAnsi" w:cstheme="minorHAnsi"/>
          <w:b/>
          <w:sz w:val="24"/>
          <w:szCs w:val="24"/>
        </w:rPr>
      </w:pPr>
    </w:p>
    <w:p w14:paraId="63F0CAA5" w14:textId="77777777" w:rsidR="00BB387E" w:rsidRPr="00F106BB" w:rsidRDefault="00BB387E" w:rsidP="001A32A5">
      <w:pPr>
        <w:spacing w:after="0"/>
        <w:jc w:val="center"/>
        <w:rPr>
          <w:rFonts w:asciiTheme="minorHAnsi" w:hAnsiTheme="minorHAnsi" w:cstheme="minorHAnsi"/>
          <w:b/>
          <w:sz w:val="24"/>
          <w:szCs w:val="24"/>
        </w:rPr>
      </w:pPr>
    </w:p>
    <w:p w14:paraId="279B0824" w14:textId="77777777" w:rsidR="00BB387E" w:rsidRPr="00F106BB" w:rsidRDefault="00BB387E" w:rsidP="001A32A5">
      <w:pPr>
        <w:spacing w:after="0"/>
        <w:jc w:val="center"/>
        <w:rPr>
          <w:rFonts w:asciiTheme="minorHAnsi" w:hAnsiTheme="minorHAnsi" w:cstheme="minorHAnsi"/>
          <w:b/>
          <w:sz w:val="24"/>
          <w:szCs w:val="24"/>
        </w:rPr>
      </w:pPr>
    </w:p>
    <w:p w14:paraId="01940BA6" w14:textId="77777777" w:rsidR="00BB387E" w:rsidRPr="00F106BB" w:rsidRDefault="00BB387E" w:rsidP="001A32A5">
      <w:pPr>
        <w:spacing w:after="0"/>
        <w:jc w:val="center"/>
        <w:rPr>
          <w:rFonts w:asciiTheme="minorHAnsi" w:hAnsiTheme="minorHAnsi" w:cstheme="minorHAnsi"/>
          <w:b/>
          <w:sz w:val="24"/>
          <w:szCs w:val="24"/>
        </w:rPr>
      </w:pPr>
    </w:p>
    <w:p w14:paraId="278F861F" w14:textId="77777777" w:rsidR="00BB387E" w:rsidRPr="00F106BB" w:rsidRDefault="00BB387E" w:rsidP="001A32A5">
      <w:pPr>
        <w:spacing w:after="0"/>
        <w:jc w:val="center"/>
        <w:rPr>
          <w:rFonts w:asciiTheme="minorHAnsi" w:hAnsiTheme="minorHAnsi" w:cstheme="minorHAnsi"/>
          <w:b/>
          <w:sz w:val="24"/>
          <w:szCs w:val="24"/>
        </w:rPr>
      </w:pPr>
    </w:p>
    <w:p w14:paraId="48190A2F" w14:textId="77777777" w:rsidR="00BB387E" w:rsidRPr="00F106BB" w:rsidRDefault="00BB387E" w:rsidP="001A32A5">
      <w:pPr>
        <w:spacing w:after="0"/>
        <w:jc w:val="center"/>
        <w:rPr>
          <w:rFonts w:asciiTheme="minorHAnsi" w:hAnsiTheme="minorHAnsi" w:cstheme="minorHAnsi"/>
          <w:b/>
          <w:sz w:val="24"/>
          <w:szCs w:val="24"/>
        </w:rPr>
      </w:pPr>
    </w:p>
    <w:p w14:paraId="03A897E3" w14:textId="77777777" w:rsidR="00BB387E" w:rsidRPr="00F106BB" w:rsidRDefault="00BB387E" w:rsidP="001A32A5">
      <w:pPr>
        <w:spacing w:after="0"/>
        <w:jc w:val="center"/>
        <w:rPr>
          <w:rFonts w:asciiTheme="minorHAnsi" w:hAnsiTheme="minorHAnsi" w:cstheme="minorHAnsi"/>
          <w:b/>
          <w:sz w:val="24"/>
          <w:szCs w:val="24"/>
        </w:rPr>
      </w:pPr>
    </w:p>
    <w:p w14:paraId="75D7A359" w14:textId="77777777" w:rsidR="00BB387E" w:rsidRPr="00F106BB" w:rsidRDefault="00BB387E" w:rsidP="001A32A5">
      <w:pPr>
        <w:spacing w:after="0"/>
        <w:jc w:val="center"/>
        <w:rPr>
          <w:rFonts w:asciiTheme="minorHAnsi" w:hAnsiTheme="minorHAnsi" w:cstheme="minorHAnsi"/>
          <w:b/>
          <w:sz w:val="24"/>
          <w:szCs w:val="24"/>
        </w:rPr>
      </w:pPr>
    </w:p>
    <w:p w14:paraId="6CA27CE6" w14:textId="77777777" w:rsidR="00BB387E" w:rsidRPr="00F106BB" w:rsidRDefault="00BB387E" w:rsidP="001A32A5">
      <w:pPr>
        <w:spacing w:after="0"/>
        <w:jc w:val="center"/>
        <w:rPr>
          <w:rFonts w:asciiTheme="minorHAnsi" w:hAnsiTheme="minorHAnsi" w:cstheme="minorHAnsi"/>
          <w:b/>
          <w:sz w:val="24"/>
          <w:szCs w:val="24"/>
        </w:rPr>
      </w:pPr>
    </w:p>
    <w:p w14:paraId="309E6F3A" w14:textId="77777777" w:rsidR="00BB387E" w:rsidRPr="00F106BB" w:rsidRDefault="00BB387E" w:rsidP="001A32A5">
      <w:pPr>
        <w:spacing w:after="0"/>
        <w:jc w:val="center"/>
        <w:rPr>
          <w:rFonts w:asciiTheme="minorHAnsi" w:hAnsiTheme="minorHAnsi" w:cstheme="minorHAnsi"/>
          <w:b/>
          <w:sz w:val="24"/>
          <w:szCs w:val="24"/>
        </w:rPr>
      </w:pPr>
    </w:p>
    <w:p w14:paraId="69918477" w14:textId="677F94A0" w:rsidR="00741C4A" w:rsidRPr="00F106BB" w:rsidRDefault="00894590" w:rsidP="001A32A5">
      <w:pPr>
        <w:spacing w:after="0"/>
        <w:jc w:val="center"/>
        <w:rPr>
          <w:rFonts w:asciiTheme="minorHAnsi" w:hAnsiTheme="minorHAnsi" w:cstheme="minorHAnsi"/>
          <w:b/>
          <w:bCs/>
          <w:sz w:val="24"/>
          <w:szCs w:val="24"/>
        </w:rPr>
      </w:pPr>
      <w:r w:rsidRPr="00F106BB">
        <w:rPr>
          <w:rFonts w:asciiTheme="minorHAnsi" w:hAnsiTheme="minorHAnsi" w:cstheme="minorHAnsi"/>
          <w:b/>
          <w:bCs/>
          <w:sz w:val="24"/>
          <w:szCs w:val="24"/>
        </w:rPr>
        <w:t xml:space="preserve">JUSTICE AND COMMUNITY SAFETY LEGISLATION AMENDMENT </w:t>
      </w:r>
      <w:r w:rsidR="00741C4A" w:rsidRPr="00F106BB">
        <w:rPr>
          <w:rFonts w:asciiTheme="minorHAnsi" w:hAnsiTheme="minorHAnsi" w:cstheme="minorHAnsi"/>
          <w:b/>
          <w:bCs/>
          <w:sz w:val="24"/>
          <w:szCs w:val="24"/>
        </w:rPr>
        <w:t>BILL 20</w:t>
      </w:r>
      <w:r w:rsidR="00130A37" w:rsidRPr="00F106BB">
        <w:rPr>
          <w:rFonts w:asciiTheme="minorHAnsi" w:hAnsiTheme="minorHAnsi" w:cstheme="minorHAnsi"/>
          <w:b/>
          <w:bCs/>
          <w:sz w:val="24"/>
          <w:szCs w:val="24"/>
        </w:rPr>
        <w:t>2</w:t>
      </w:r>
      <w:r w:rsidR="00DF40CD" w:rsidRPr="00F106BB">
        <w:rPr>
          <w:rFonts w:asciiTheme="minorHAnsi" w:hAnsiTheme="minorHAnsi" w:cstheme="minorHAnsi"/>
          <w:b/>
          <w:bCs/>
          <w:sz w:val="24"/>
          <w:szCs w:val="24"/>
        </w:rPr>
        <w:t>2</w:t>
      </w:r>
    </w:p>
    <w:p w14:paraId="19F3C407" w14:textId="77777777" w:rsidR="00BB387E" w:rsidRPr="00F106BB" w:rsidRDefault="00BB387E" w:rsidP="001A32A5">
      <w:pPr>
        <w:spacing w:after="0"/>
        <w:jc w:val="center"/>
        <w:rPr>
          <w:rFonts w:asciiTheme="minorHAnsi" w:hAnsiTheme="minorHAnsi" w:cstheme="minorHAnsi"/>
          <w:b/>
          <w:bCs/>
          <w:sz w:val="24"/>
          <w:szCs w:val="24"/>
        </w:rPr>
      </w:pPr>
    </w:p>
    <w:p w14:paraId="37B3F0B9" w14:textId="77777777" w:rsidR="00BB387E" w:rsidRPr="00F106BB" w:rsidRDefault="00BB387E" w:rsidP="001A32A5">
      <w:pPr>
        <w:spacing w:after="0"/>
        <w:jc w:val="center"/>
        <w:rPr>
          <w:rFonts w:asciiTheme="minorHAnsi" w:hAnsiTheme="minorHAnsi" w:cstheme="minorHAnsi"/>
          <w:b/>
          <w:sz w:val="24"/>
          <w:szCs w:val="24"/>
        </w:rPr>
      </w:pPr>
    </w:p>
    <w:p w14:paraId="0D26BB2F" w14:textId="77777777" w:rsidR="00BB387E" w:rsidRPr="00F106BB" w:rsidRDefault="00BB387E" w:rsidP="001A32A5">
      <w:pPr>
        <w:spacing w:after="0"/>
        <w:jc w:val="center"/>
        <w:rPr>
          <w:rFonts w:asciiTheme="minorHAnsi" w:hAnsiTheme="minorHAnsi" w:cstheme="minorHAnsi"/>
          <w:b/>
          <w:bCs/>
          <w:sz w:val="24"/>
          <w:szCs w:val="24"/>
        </w:rPr>
      </w:pPr>
    </w:p>
    <w:p w14:paraId="588053E2" w14:textId="08708433" w:rsidR="00BC3EF0" w:rsidRPr="00F106BB" w:rsidRDefault="00BB387E" w:rsidP="001A32A5">
      <w:pPr>
        <w:spacing w:after="0"/>
        <w:jc w:val="center"/>
        <w:rPr>
          <w:rFonts w:asciiTheme="minorHAnsi" w:hAnsiTheme="minorHAnsi" w:cstheme="minorHAnsi"/>
          <w:b/>
          <w:bCs/>
          <w:sz w:val="24"/>
          <w:szCs w:val="24"/>
        </w:rPr>
      </w:pPr>
      <w:r w:rsidRPr="00F106BB">
        <w:rPr>
          <w:rFonts w:asciiTheme="minorHAnsi" w:hAnsiTheme="minorHAnsi" w:cstheme="minorHAnsi"/>
          <w:b/>
          <w:bCs/>
          <w:sz w:val="24"/>
          <w:szCs w:val="24"/>
        </w:rPr>
        <w:t>EXPLANATORY STATEMENT</w:t>
      </w:r>
    </w:p>
    <w:p w14:paraId="06C942D2" w14:textId="5211A683" w:rsidR="00BC3EF0" w:rsidRPr="00F106BB" w:rsidRDefault="00BC3EF0" w:rsidP="001A32A5">
      <w:pPr>
        <w:spacing w:after="0"/>
        <w:jc w:val="center"/>
        <w:rPr>
          <w:rFonts w:asciiTheme="minorHAnsi" w:hAnsiTheme="minorHAnsi" w:cstheme="minorHAnsi"/>
          <w:b/>
          <w:bCs/>
          <w:sz w:val="24"/>
          <w:szCs w:val="24"/>
        </w:rPr>
      </w:pPr>
      <w:r w:rsidRPr="00F106BB">
        <w:rPr>
          <w:rFonts w:asciiTheme="minorHAnsi" w:hAnsiTheme="minorHAnsi" w:cstheme="minorHAnsi"/>
          <w:b/>
          <w:bCs/>
          <w:sz w:val="24"/>
          <w:szCs w:val="24"/>
        </w:rPr>
        <w:t>and</w:t>
      </w:r>
    </w:p>
    <w:p w14:paraId="21E7A29D" w14:textId="081CF002" w:rsidR="00BB387E" w:rsidRPr="00F106BB" w:rsidRDefault="00BC3EF0" w:rsidP="001A32A5">
      <w:pPr>
        <w:spacing w:after="0"/>
        <w:jc w:val="center"/>
        <w:rPr>
          <w:rFonts w:asciiTheme="minorHAnsi" w:hAnsiTheme="minorHAnsi" w:cstheme="minorHAnsi"/>
          <w:b/>
          <w:bCs/>
          <w:sz w:val="24"/>
          <w:szCs w:val="24"/>
        </w:rPr>
      </w:pPr>
      <w:r w:rsidRPr="00F106BB">
        <w:rPr>
          <w:rFonts w:asciiTheme="minorHAnsi" w:hAnsiTheme="minorHAnsi" w:cstheme="minorHAnsi"/>
          <w:b/>
          <w:bCs/>
          <w:sz w:val="24"/>
          <w:szCs w:val="24"/>
        </w:rPr>
        <w:t>HUMAN RIGHTS COMPATIBILITY STATEMENT</w:t>
      </w:r>
    </w:p>
    <w:p w14:paraId="00B32D69" w14:textId="797A78E0" w:rsidR="00BC3EF0" w:rsidRPr="00F106BB" w:rsidRDefault="00BC3EF0" w:rsidP="001A32A5">
      <w:pPr>
        <w:spacing w:after="0"/>
        <w:jc w:val="center"/>
        <w:rPr>
          <w:rFonts w:asciiTheme="minorHAnsi" w:hAnsiTheme="minorHAnsi" w:cstheme="minorHAnsi"/>
          <w:b/>
          <w:sz w:val="24"/>
          <w:szCs w:val="24"/>
        </w:rPr>
      </w:pPr>
      <w:r w:rsidRPr="00F106BB">
        <w:rPr>
          <w:rFonts w:asciiTheme="minorHAnsi" w:hAnsiTheme="minorHAnsi" w:cstheme="minorHAnsi"/>
          <w:b/>
          <w:bCs/>
          <w:sz w:val="24"/>
          <w:szCs w:val="24"/>
        </w:rPr>
        <w:t>(</w:t>
      </w:r>
      <w:r w:rsidRPr="00F106BB">
        <w:rPr>
          <w:rFonts w:asciiTheme="minorHAnsi" w:hAnsiTheme="minorHAnsi" w:cstheme="minorHAnsi"/>
          <w:b/>
          <w:bCs/>
          <w:i/>
          <w:iCs/>
          <w:sz w:val="24"/>
          <w:szCs w:val="24"/>
        </w:rPr>
        <w:t>Human Rights Act 2004</w:t>
      </w:r>
      <w:r w:rsidRPr="00F106BB">
        <w:rPr>
          <w:rFonts w:asciiTheme="minorHAnsi" w:hAnsiTheme="minorHAnsi" w:cstheme="minorHAnsi"/>
          <w:b/>
          <w:bCs/>
          <w:sz w:val="24"/>
          <w:szCs w:val="24"/>
        </w:rPr>
        <w:t>, s 37)</w:t>
      </w:r>
    </w:p>
    <w:p w14:paraId="4E561EC7" w14:textId="77777777" w:rsidR="00BB387E" w:rsidRPr="00F106BB" w:rsidRDefault="00BB387E" w:rsidP="001A32A5">
      <w:pPr>
        <w:spacing w:after="0"/>
        <w:jc w:val="center"/>
        <w:rPr>
          <w:rFonts w:asciiTheme="minorHAnsi" w:hAnsiTheme="minorHAnsi" w:cstheme="minorHAnsi"/>
          <w:b/>
          <w:sz w:val="24"/>
          <w:szCs w:val="24"/>
        </w:rPr>
      </w:pPr>
    </w:p>
    <w:p w14:paraId="58E7858B" w14:textId="77777777" w:rsidR="00BB387E" w:rsidRPr="00F106BB" w:rsidRDefault="00BB387E" w:rsidP="001A32A5">
      <w:pPr>
        <w:spacing w:after="0"/>
        <w:jc w:val="center"/>
        <w:rPr>
          <w:rFonts w:asciiTheme="minorHAnsi" w:hAnsiTheme="minorHAnsi" w:cstheme="minorHAnsi"/>
          <w:b/>
          <w:sz w:val="24"/>
          <w:szCs w:val="24"/>
        </w:rPr>
      </w:pPr>
    </w:p>
    <w:p w14:paraId="44FB09C0" w14:textId="77777777" w:rsidR="00BB387E" w:rsidRPr="00F106BB" w:rsidRDefault="00BB387E" w:rsidP="001A32A5">
      <w:pPr>
        <w:spacing w:after="0"/>
        <w:jc w:val="center"/>
        <w:rPr>
          <w:rFonts w:asciiTheme="minorHAnsi" w:hAnsiTheme="minorHAnsi" w:cstheme="minorHAnsi"/>
          <w:b/>
          <w:sz w:val="24"/>
          <w:szCs w:val="24"/>
        </w:rPr>
      </w:pPr>
    </w:p>
    <w:p w14:paraId="6DB1E5EF" w14:textId="77777777" w:rsidR="00BB387E" w:rsidRPr="00F106BB" w:rsidRDefault="00BB387E" w:rsidP="001A32A5">
      <w:pPr>
        <w:spacing w:after="0"/>
        <w:jc w:val="center"/>
        <w:rPr>
          <w:rFonts w:asciiTheme="minorHAnsi" w:hAnsiTheme="minorHAnsi" w:cstheme="minorHAnsi"/>
          <w:b/>
          <w:sz w:val="24"/>
          <w:szCs w:val="24"/>
        </w:rPr>
      </w:pPr>
    </w:p>
    <w:p w14:paraId="5CCF0433" w14:textId="77777777" w:rsidR="00BB387E" w:rsidRPr="00F106BB" w:rsidRDefault="00BB387E" w:rsidP="001A32A5">
      <w:pPr>
        <w:keepNext/>
        <w:widowControl w:val="0"/>
        <w:spacing w:after="0"/>
        <w:jc w:val="center"/>
        <w:outlineLvl w:val="7"/>
        <w:rPr>
          <w:rFonts w:asciiTheme="minorHAnsi" w:hAnsiTheme="minorHAnsi" w:cstheme="minorHAnsi"/>
          <w:b/>
          <w:bCs/>
          <w:sz w:val="24"/>
          <w:szCs w:val="24"/>
        </w:rPr>
      </w:pPr>
    </w:p>
    <w:p w14:paraId="0CE0F478" w14:textId="77777777" w:rsidR="00BB387E" w:rsidRPr="00F106BB" w:rsidRDefault="00BB387E" w:rsidP="001A32A5">
      <w:pPr>
        <w:keepNext/>
        <w:widowControl w:val="0"/>
        <w:spacing w:after="0"/>
        <w:jc w:val="center"/>
        <w:outlineLvl w:val="7"/>
        <w:rPr>
          <w:rFonts w:asciiTheme="minorHAnsi" w:hAnsiTheme="minorHAnsi" w:cstheme="minorHAnsi"/>
          <w:b/>
          <w:bCs/>
          <w:sz w:val="24"/>
          <w:szCs w:val="24"/>
        </w:rPr>
      </w:pPr>
    </w:p>
    <w:p w14:paraId="2D0F4E33" w14:textId="77777777" w:rsidR="00BB387E" w:rsidRPr="00F106BB" w:rsidRDefault="00BB387E" w:rsidP="0011623A">
      <w:pPr>
        <w:keepNext/>
        <w:widowControl w:val="0"/>
        <w:spacing w:after="0"/>
        <w:ind w:right="686"/>
        <w:jc w:val="right"/>
        <w:outlineLvl w:val="7"/>
        <w:rPr>
          <w:rFonts w:asciiTheme="minorHAnsi" w:hAnsiTheme="minorHAnsi" w:cstheme="minorHAnsi"/>
          <w:b/>
          <w:bCs/>
          <w:sz w:val="24"/>
          <w:szCs w:val="24"/>
        </w:rPr>
      </w:pPr>
      <w:r w:rsidRPr="00F106BB">
        <w:rPr>
          <w:rFonts w:asciiTheme="minorHAnsi" w:hAnsiTheme="minorHAnsi" w:cstheme="minorHAnsi"/>
          <w:b/>
          <w:bCs/>
          <w:sz w:val="24"/>
          <w:szCs w:val="24"/>
        </w:rPr>
        <w:t>Presented by</w:t>
      </w:r>
    </w:p>
    <w:p w14:paraId="5BBE2D1D" w14:textId="0BEDCC34" w:rsidR="00BB387E" w:rsidRPr="00F106BB" w:rsidRDefault="00106E05" w:rsidP="0011623A">
      <w:pPr>
        <w:spacing w:after="0"/>
        <w:ind w:right="686"/>
        <w:jc w:val="right"/>
        <w:rPr>
          <w:rFonts w:asciiTheme="minorHAnsi" w:hAnsiTheme="minorHAnsi" w:cstheme="minorHAnsi"/>
          <w:b/>
          <w:bCs/>
          <w:sz w:val="24"/>
          <w:szCs w:val="24"/>
        </w:rPr>
      </w:pPr>
      <w:r w:rsidRPr="00F106BB">
        <w:rPr>
          <w:rFonts w:asciiTheme="minorHAnsi" w:hAnsiTheme="minorHAnsi" w:cstheme="minorHAnsi"/>
          <w:b/>
          <w:bCs/>
          <w:sz w:val="24"/>
          <w:szCs w:val="24"/>
        </w:rPr>
        <w:t xml:space="preserve">Shane Rattenbury </w:t>
      </w:r>
      <w:r w:rsidR="00E954A1" w:rsidRPr="00F106BB">
        <w:rPr>
          <w:rFonts w:asciiTheme="minorHAnsi" w:hAnsiTheme="minorHAnsi" w:cstheme="minorHAnsi"/>
          <w:b/>
          <w:bCs/>
          <w:sz w:val="24"/>
          <w:szCs w:val="24"/>
        </w:rPr>
        <w:t>MLA</w:t>
      </w:r>
    </w:p>
    <w:p w14:paraId="3CBFA049" w14:textId="673ABA2B" w:rsidR="00682BBB" w:rsidRPr="00F106BB" w:rsidRDefault="00682BBB" w:rsidP="0011623A">
      <w:pPr>
        <w:spacing w:after="0"/>
        <w:ind w:right="686"/>
        <w:jc w:val="right"/>
        <w:rPr>
          <w:rFonts w:asciiTheme="minorHAnsi" w:hAnsiTheme="minorHAnsi" w:cstheme="minorHAnsi"/>
          <w:b/>
          <w:bCs/>
          <w:sz w:val="24"/>
          <w:szCs w:val="24"/>
        </w:rPr>
      </w:pPr>
      <w:r w:rsidRPr="00F106BB">
        <w:rPr>
          <w:rFonts w:asciiTheme="minorHAnsi" w:hAnsiTheme="minorHAnsi" w:cstheme="minorHAnsi"/>
          <w:b/>
          <w:bCs/>
          <w:sz w:val="24"/>
          <w:szCs w:val="24"/>
        </w:rPr>
        <w:t>Attorney-General</w:t>
      </w:r>
    </w:p>
    <w:p w14:paraId="29D58DC6" w14:textId="77777777" w:rsidR="00DC5912" w:rsidRPr="00F106BB" w:rsidRDefault="00DC5912" w:rsidP="001A32A5">
      <w:pPr>
        <w:spacing w:after="0" w:line="240" w:lineRule="auto"/>
        <w:jc w:val="both"/>
        <w:rPr>
          <w:rFonts w:asciiTheme="minorHAnsi" w:hAnsiTheme="minorHAnsi" w:cstheme="minorHAnsi"/>
          <w:b/>
          <w:bCs/>
          <w:sz w:val="24"/>
          <w:szCs w:val="24"/>
          <w:u w:val="single"/>
        </w:rPr>
        <w:sectPr w:rsidR="00DC5912" w:rsidRPr="00F106BB"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F106BB">
        <w:rPr>
          <w:rFonts w:asciiTheme="minorHAnsi" w:hAnsiTheme="minorHAnsi" w:cstheme="minorHAnsi"/>
          <w:b/>
          <w:bCs/>
          <w:sz w:val="24"/>
          <w:szCs w:val="24"/>
          <w:u w:val="single"/>
        </w:rPr>
        <w:br w:type="page"/>
      </w:r>
    </w:p>
    <w:p w14:paraId="1F586C92" w14:textId="77777777" w:rsidR="00894590" w:rsidRPr="00F106BB" w:rsidRDefault="00894590" w:rsidP="001A32A5">
      <w:pPr>
        <w:spacing w:after="0"/>
        <w:jc w:val="both"/>
        <w:rPr>
          <w:rFonts w:asciiTheme="minorHAnsi" w:hAnsiTheme="minorHAnsi" w:cstheme="minorHAnsi"/>
          <w:b/>
          <w:sz w:val="24"/>
          <w:szCs w:val="24"/>
        </w:rPr>
      </w:pPr>
    </w:p>
    <w:p w14:paraId="1E49F169" w14:textId="77777777" w:rsidR="00894590" w:rsidRPr="00F106BB" w:rsidRDefault="00894590" w:rsidP="001A32A5">
      <w:pPr>
        <w:spacing w:after="0"/>
        <w:jc w:val="both"/>
        <w:rPr>
          <w:rFonts w:asciiTheme="minorHAnsi" w:hAnsiTheme="minorHAnsi" w:cstheme="minorHAnsi"/>
          <w:b/>
          <w:bCs/>
          <w:sz w:val="24"/>
          <w:szCs w:val="24"/>
        </w:rPr>
      </w:pPr>
      <w:r w:rsidRPr="00F106BB">
        <w:rPr>
          <w:rFonts w:asciiTheme="minorHAnsi" w:hAnsiTheme="minorHAnsi" w:cstheme="minorHAnsi"/>
          <w:b/>
          <w:bCs/>
          <w:sz w:val="24"/>
          <w:szCs w:val="24"/>
        </w:rPr>
        <w:t>JUSTICE AND COMMUNITY SAFETY LEGISLATION AMENDMENT BILL 2022</w:t>
      </w:r>
    </w:p>
    <w:p w14:paraId="2612AE1F" w14:textId="77777777" w:rsidR="00834FC9" w:rsidRPr="00F106BB" w:rsidRDefault="00834FC9" w:rsidP="001A32A5">
      <w:pPr>
        <w:spacing w:after="0"/>
        <w:contextualSpacing/>
        <w:jc w:val="both"/>
        <w:rPr>
          <w:rFonts w:asciiTheme="minorHAnsi" w:hAnsiTheme="minorHAnsi" w:cstheme="minorHAnsi"/>
          <w:bCs/>
          <w:sz w:val="24"/>
          <w:szCs w:val="24"/>
        </w:rPr>
      </w:pPr>
    </w:p>
    <w:p w14:paraId="1C55190C" w14:textId="3A86D937" w:rsidR="00790FE4" w:rsidRPr="00F106BB" w:rsidRDefault="00834FC9" w:rsidP="001A32A5">
      <w:pPr>
        <w:spacing w:after="0"/>
        <w:contextualSpacing/>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The Bill </w:t>
      </w:r>
      <w:r w:rsidRPr="00F106BB">
        <w:rPr>
          <w:rFonts w:asciiTheme="minorHAnsi" w:hAnsiTheme="minorHAnsi" w:cstheme="minorHAnsi"/>
          <w:b/>
          <w:sz w:val="24"/>
          <w:szCs w:val="24"/>
        </w:rPr>
        <w:t>is</w:t>
      </w:r>
      <w:r w:rsidRPr="00F106BB">
        <w:rPr>
          <w:rFonts w:asciiTheme="minorHAnsi" w:hAnsiTheme="minorHAnsi" w:cstheme="minorHAnsi"/>
          <w:bCs/>
          <w:sz w:val="24"/>
          <w:szCs w:val="24"/>
        </w:rPr>
        <w:t xml:space="preserve"> a Significant Bill. Significant Bills are bills that have been assessed as likely to have significant engagement of human rights and require more detailed reasoning in relation to compatibility with the </w:t>
      </w:r>
      <w:r w:rsidRPr="00F106BB">
        <w:rPr>
          <w:rFonts w:asciiTheme="minorHAnsi" w:hAnsiTheme="minorHAnsi" w:cstheme="minorHAnsi"/>
          <w:bCs/>
          <w:i/>
          <w:iCs/>
          <w:sz w:val="24"/>
          <w:szCs w:val="24"/>
        </w:rPr>
        <w:t>Human Rights Act 2004</w:t>
      </w:r>
      <w:r w:rsidRPr="00F106BB">
        <w:rPr>
          <w:rFonts w:asciiTheme="minorHAnsi" w:hAnsiTheme="minorHAnsi" w:cstheme="minorHAnsi"/>
          <w:bCs/>
          <w:sz w:val="24"/>
          <w:szCs w:val="24"/>
        </w:rPr>
        <w:t>.</w:t>
      </w:r>
    </w:p>
    <w:p w14:paraId="7D7A4727" w14:textId="77777777" w:rsidR="00894590" w:rsidRPr="00F106BB" w:rsidRDefault="00894590" w:rsidP="001A32A5">
      <w:pPr>
        <w:spacing w:after="0"/>
        <w:contextualSpacing/>
        <w:jc w:val="both"/>
        <w:rPr>
          <w:rFonts w:asciiTheme="minorHAnsi" w:hAnsiTheme="minorHAnsi" w:cstheme="minorHAnsi"/>
          <w:bCs/>
          <w:sz w:val="24"/>
          <w:szCs w:val="24"/>
        </w:rPr>
      </w:pPr>
    </w:p>
    <w:p w14:paraId="6247F476" w14:textId="15BF10DB" w:rsidR="00894590" w:rsidRPr="00F106BB" w:rsidRDefault="00894590" w:rsidP="001A32A5">
      <w:pPr>
        <w:spacing w:after="0"/>
        <w:contextualSpacing/>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This explanatory statement relates to the </w:t>
      </w:r>
      <w:r w:rsidRPr="00F106BB">
        <w:rPr>
          <w:rFonts w:asciiTheme="minorHAnsi" w:hAnsiTheme="minorHAnsi" w:cstheme="minorHAnsi"/>
          <w:bCs/>
          <w:i/>
          <w:iCs/>
          <w:sz w:val="24"/>
          <w:szCs w:val="24"/>
        </w:rPr>
        <w:t xml:space="preserve">Justice and Community Safety Legislation Amendment Bill 2022 </w:t>
      </w:r>
      <w:r w:rsidRPr="00F106BB">
        <w:rPr>
          <w:rFonts w:asciiTheme="minorHAnsi" w:hAnsiTheme="minorHAnsi" w:cstheme="minorHAnsi"/>
          <w:bCs/>
          <w:sz w:val="24"/>
          <w:szCs w:val="24"/>
        </w:rPr>
        <w:t xml:space="preserve">as presented to the Legislative Assembly. It has been prepared to assist the reader of the Bill and to help inform debate on it. It does not form part of the Bill and has not been endorsed by the Assembly. The statement is to be read in conjunction with the Bill. It is not, and is not meant to be, a comprehensive description of the Bill. </w:t>
      </w:r>
    </w:p>
    <w:p w14:paraId="3F20865D" w14:textId="77777777" w:rsidR="0052127F" w:rsidRPr="00F106BB" w:rsidRDefault="0052127F" w:rsidP="001A32A5">
      <w:pPr>
        <w:spacing w:after="0"/>
        <w:jc w:val="both"/>
        <w:rPr>
          <w:rFonts w:asciiTheme="minorHAnsi" w:hAnsiTheme="minorHAnsi" w:cstheme="minorHAnsi"/>
          <w:bCs/>
          <w:sz w:val="24"/>
          <w:szCs w:val="24"/>
          <w:highlight w:val="yellow"/>
        </w:rPr>
      </w:pPr>
    </w:p>
    <w:p w14:paraId="29C29316" w14:textId="56470B09" w:rsidR="007B6A78" w:rsidRPr="00F106BB" w:rsidRDefault="003323FA" w:rsidP="001A32A5">
      <w:pPr>
        <w:pStyle w:val="Heading2"/>
        <w:jc w:val="both"/>
        <w:rPr>
          <w:rFonts w:asciiTheme="minorHAnsi" w:hAnsiTheme="minorHAnsi" w:cstheme="minorHAnsi"/>
          <w:szCs w:val="24"/>
        </w:rPr>
      </w:pPr>
      <w:r w:rsidRPr="00F106BB">
        <w:rPr>
          <w:rFonts w:asciiTheme="minorHAnsi" w:hAnsiTheme="minorHAnsi" w:cstheme="minorHAnsi"/>
          <w:szCs w:val="24"/>
        </w:rPr>
        <w:t>OVERVIEW OF THE BILL</w:t>
      </w:r>
    </w:p>
    <w:p w14:paraId="7936E7CB" w14:textId="0376948F" w:rsidR="00106E05" w:rsidRPr="00F106BB" w:rsidRDefault="00FF3EAD" w:rsidP="001A32A5">
      <w:pPr>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The Bill is an omnibus bill which amends a range of legislation, primarily in the Attorney-General’s portfolio, including: </w:t>
      </w:r>
    </w:p>
    <w:p w14:paraId="772DF070" w14:textId="78715AC2" w:rsidR="00FF3EAD" w:rsidRPr="00F106BB" w:rsidRDefault="00FF3EAD" w:rsidP="001A32A5">
      <w:pPr>
        <w:pStyle w:val="ListParagraph"/>
        <w:numPr>
          <w:ilvl w:val="0"/>
          <w:numId w:val="4"/>
        </w:numPr>
        <w:jc w:val="both"/>
        <w:rPr>
          <w:rFonts w:asciiTheme="minorHAnsi" w:hAnsiTheme="minorHAnsi" w:cstheme="minorHAnsi"/>
          <w:bCs/>
          <w:sz w:val="24"/>
          <w:szCs w:val="24"/>
        </w:rPr>
      </w:pPr>
      <w:r w:rsidRPr="00F106BB">
        <w:rPr>
          <w:rFonts w:asciiTheme="minorHAnsi" w:hAnsiTheme="minorHAnsi" w:cstheme="minorHAnsi"/>
          <w:bCs/>
          <w:i/>
          <w:iCs/>
          <w:sz w:val="24"/>
          <w:szCs w:val="24"/>
        </w:rPr>
        <w:t>Agents Act 2003</w:t>
      </w:r>
    </w:p>
    <w:p w14:paraId="48F1EA19" w14:textId="2FB3C92D" w:rsidR="00FF3EAD" w:rsidRPr="00F106BB" w:rsidRDefault="00FF3EAD" w:rsidP="001A32A5">
      <w:pPr>
        <w:pStyle w:val="ListParagraph"/>
        <w:numPr>
          <w:ilvl w:val="0"/>
          <w:numId w:val="4"/>
        </w:numPr>
        <w:jc w:val="both"/>
        <w:rPr>
          <w:rFonts w:asciiTheme="minorHAnsi" w:hAnsiTheme="minorHAnsi" w:cstheme="minorHAnsi"/>
          <w:bCs/>
          <w:sz w:val="24"/>
          <w:szCs w:val="24"/>
        </w:rPr>
      </w:pPr>
      <w:r w:rsidRPr="00F106BB">
        <w:rPr>
          <w:rFonts w:asciiTheme="minorHAnsi" w:hAnsiTheme="minorHAnsi" w:cstheme="minorHAnsi"/>
          <w:bCs/>
          <w:i/>
          <w:iCs/>
          <w:sz w:val="24"/>
          <w:szCs w:val="24"/>
        </w:rPr>
        <w:t>Civil Law (Wrongs) Act 2002</w:t>
      </w:r>
    </w:p>
    <w:p w14:paraId="443BFDDC" w14:textId="1F399133" w:rsidR="00FF3EAD" w:rsidRPr="00F106BB" w:rsidRDefault="00FF3EAD" w:rsidP="001A32A5">
      <w:pPr>
        <w:pStyle w:val="ListParagraph"/>
        <w:numPr>
          <w:ilvl w:val="0"/>
          <w:numId w:val="4"/>
        </w:numPr>
        <w:jc w:val="both"/>
        <w:rPr>
          <w:rFonts w:asciiTheme="minorHAnsi" w:hAnsiTheme="minorHAnsi" w:cstheme="minorHAnsi"/>
          <w:bCs/>
          <w:i/>
          <w:iCs/>
          <w:sz w:val="24"/>
          <w:szCs w:val="24"/>
        </w:rPr>
      </w:pPr>
      <w:r w:rsidRPr="00F106BB">
        <w:rPr>
          <w:rFonts w:asciiTheme="minorHAnsi" w:hAnsiTheme="minorHAnsi" w:cstheme="minorHAnsi"/>
          <w:bCs/>
          <w:i/>
          <w:iCs/>
          <w:sz w:val="24"/>
          <w:szCs w:val="24"/>
        </w:rPr>
        <w:t>COVID-19 Emergency</w:t>
      </w:r>
      <w:r w:rsidRPr="00F106BB">
        <w:rPr>
          <w:rFonts w:asciiTheme="minorHAnsi" w:hAnsiTheme="minorHAnsi" w:cstheme="minorHAnsi"/>
          <w:bCs/>
          <w:sz w:val="24"/>
          <w:szCs w:val="24"/>
        </w:rPr>
        <w:t xml:space="preserve"> </w:t>
      </w:r>
      <w:r w:rsidRPr="00F106BB">
        <w:rPr>
          <w:rFonts w:asciiTheme="minorHAnsi" w:hAnsiTheme="minorHAnsi" w:cstheme="minorHAnsi"/>
          <w:bCs/>
          <w:i/>
          <w:iCs/>
          <w:sz w:val="24"/>
          <w:szCs w:val="24"/>
        </w:rPr>
        <w:t>Response Act 2020</w:t>
      </w:r>
    </w:p>
    <w:p w14:paraId="537F764A" w14:textId="7E8420CC" w:rsidR="00FF3EAD" w:rsidRPr="00F106BB" w:rsidRDefault="00FF3EAD" w:rsidP="001A32A5">
      <w:pPr>
        <w:pStyle w:val="ListParagraph"/>
        <w:numPr>
          <w:ilvl w:val="0"/>
          <w:numId w:val="4"/>
        </w:numPr>
        <w:jc w:val="both"/>
        <w:rPr>
          <w:rFonts w:asciiTheme="minorHAnsi" w:hAnsiTheme="minorHAnsi" w:cstheme="minorHAnsi"/>
          <w:bCs/>
          <w:sz w:val="24"/>
          <w:szCs w:val="24"/>
        </w:rPr>
      </w:pPr>
      <w:r w:rsidRPr="00F106BB">
        <w:rPr>
          <w:rFonts w:asciiTheme="minorHAnsi" w:hAnsiTheme="minorHAnsi" w:cstheme="minorHAnsi"/>
          <w:bCs/>
          <w:i/>
          <w:iCs/>
          <w:sz w:val="24"/>
          <w:szCs w:val="24"/>
        </w:rPr>
        <w:t>Gaming</w:t>
      </w:r>
      <w:r w:rsidRPr="00F106BB">
        <w:rPr>
          <w:rFonts w:asciiTheme="minorHAnsi" w:hAnsiTheme="minorHAnsi" w:cstheme="minorHAnsi"/>
          <w:bCs/>
          <w:sz w:val="24"/>
          <w:szCs w:val="24"/>
        </w:rPr>
        <w:t xml:space="preserve"> </w:t>
      </w:r>
      <w:r w:rsidRPr="00F106BB">
        <w:rPr>
          <w:rFonts w:asciiTheme="minorHAnsi" w:hAnsiTheme="minorHAnsi" w:cstheme="minorHAnsi"/>
          <w:bCs/>
          <w:i/>
          <w:iCs/>
          <w:sz w:val="24"/>
          <w:szCs w:val="24"/>
        </w:rPr>
        <w:t>Machine Act 2004</w:t>
      </w:r>
    </w:p>
    <w:p w14:paraId="18A6EE61" w14:textId="2DEB390F" w:rsidR="00FF3EAD" w:rsidRPr="00F106BB" w:rsidRDefault="00FF3EAD" w:rsidP="001A32A5">
      <w:pPr>
        <w:pStyle w:val="ListParagraph"/>
        <w:numPr>
          <w:ilvl w:val="0"/>
          <w:numId w:val="4"/>
        </w:numPr>
        <w:jc w:val="both"/>
        <w:rPr>
          <w:rFonts w:asciiTheme="minorHAnsi" w:hAnsiTheme="minorHAnsi" w:cstheme="minorHAnsi"/>
          <w:bCs/>
          <w:sz w:val="24"/>
          <w:szCs w:val="24"/>
        </w:rPr>
      </w:pPr>
      <w:r w:rsidRPr="00F106BB">
        <w:rPr>
          <w:rFonts w:asciiTheme="minorHAnsi" w:hAnsiTheme="minorHAnsi" w:cstheme="minorHAnsi"/>
          <w:bCs/>
          <w:i/>
          <w:iCs/>
          <w:sz w:val="24"/>
          <w:szCs w:val="24"/>
        </w:rPr>
        <w:t>Land Titles Act 1925</w:t>
      </w:r>
    </w:p>
    <w:p w14:paraId="0BFE7FB1" w14:textId="33F8AD2C" w:rsidR="00FF3EAD" w:rsidRPr="00F106BB" w:rsidRDefault="00FF3EAD" w:rsidP="001A32A5">
      <w:pPr>
        <w:pStyle w:val="ListParagraph"/>
        <w:numPr>
          <w:ilvl w:val="0"/>
          <w:numId w:val="4"/>
        </w:numPr>
        <w:jc w:val="both"/>
        <w:rPr>
          <w:rFonts w:asciiTheme="minorHAnsi" w:hAnsiTheme="minorHAnsi" w:cstheme="minorHAnsi"/>
          <w:bCs/>
          <w:sz w:val="24"/>
          <w:szCs w:val="24"/>
        </w:rPr>
      </w:pPr>
      <w:r w:rsidRPr="00F106BB">
        <w:rPr>
          <w:rFonts w:asciiTheme="minorHAnsi" w:hAnsiTheme="minorHAnsi" w:cstheme="minorHAnsi"/>
          <w:bCs/>
          <w:i/>
          <w:iCs/>
          <w:sz w:val="24"/>
          <w:szCs w:val="24"/>
        </w:rPr>
        <w:t>Limitation Act 1985</w:t>
      </w:r>
    </w:p>
    <w:p w14:paraId="2BFC22F5" w14:textId="69D57CFD" w:rsidR="00FF3EAD" w:rsidRPr="00F106BB" w:rsidRDefault="00FF3EAD" w:rsidP="001A32A5">
      <w:pPr>
        <w:pStyle w:val="ListParagraph"/>
        <w:numPr>
          <w:ilvl w:val="0"/>
          <w:numId w:val="4"/>
        </w:numPr>
        <w:jc w:val="both"/>
        <w:rPr>
          <w:rFonts w:asciiTheme="minorHAnsi" w:hAnsiTheme="minorHAnsi" w:cstheme="minorHAnsi"/>
          <w:bCs/>
          <w:i/>
          <w:iCs/>
          <w:sz w:val="24"/>
          <w:szCs w:val="24"/>
        </w:rPr>
      </w:pPr>
      <w:r w:rsidRPr="00F106BB">
        <w:rPr>
          <w:rFonts w:asciiTheme="minorHAnsi" w:hAnsiTheme="minorHAnsi" w:cstheme="minorHAnsi"/>
          <w:bCs/>
          <w:i/>
          <w:iCs/>
          <w:sz w:val="24"/>
          <w:szCs w:val="24"/>
        </w:rPr>
        <w:t>Residential Tenancies Act 1997</w:t>
      </w:r>
    </w:p>
    <w:p w14:paraId="76D638BF" w14:textId="77777777" w:rsidR="00106E05" w:rsidRPr="00F106BB" w:rsidRDefault="00106E05" w:rsidP="001A32A5">
      <w:pPr>
        <w:jc w:val="both"/>
        <w:rPr>
          <w:rFonts w:asciiTheme="minorHAnsi" w:hAnsiTheme="minorHAnsi" w:cstheme="minorHAnsi"/>
          <w:i/>
          <w:color w:val="FF0000"/>
          <w:sz w:val="24"/>
          <w:szCs w:val="24"/>
        </w:rPr>
      </w:pPr>
    </w:p>
    <w:p w14:paraId="58CDAB38" w14:textId="77777777" w:rsidR="00827C35" w:rsidRPr="00F106BB" w:rsidRDefault="00AC59DF" w:rsidP="001A32A5">
      <w:pPr>
        <w:jc w:val="both"/>
        <w:rPr>
          <w:rFonts w:asciiTheme="minorHAnsi" w:hAnsiTheme="minorHAnsi" w:cstheme="minorHAnsi"/>
          <w:b/>
          <w:sz w:val="24"/>
          <w:szCs w:val="24"/>
        </w:rPr>
      </w:pPr>
      <w:r w:rsidRPr="00F106BB">
        <w:rPr>
          <w:rFonts w:asciiTheme="minorHAnsi" w:hAnsiTheme="minorHAnsi" w:cstheme="minorHAnsi"/>
          <w:b/>
          <w:sz w:val="24"/>
          <w:szCs w:val="24"/>
        </w:rPr>
        <w:t>CONSULTATION ON THE PROPOSED APPROACH</w:t>
      </w:r>
    </w:p>
    <w:p w14:paraId="71CC11BF" w14:textId="2B072D47" w:rsidR="00134D7B" w:rsidRPr="00F106BB" w:rsidRDefault="00134D7B" w:rsidP="001A32A5">
      <w:pPr>
        <w:jc w:val="both"/>
        <w:rPr>
          <w:rFonts w:asciiTheme="minorHAnsi" w:hAnsiTheme="minorHAnsi" w:cstheme="minorHAnsi"/>
          <w:bCs/>
          <w:sz w:val="24"/>
          <w:szCs w:val="24"/>
        </w:rPr>
      </w:pPr>
      <w:r w:rsidRPr="00F106BB">
        <w:rPr>
          <w:rFonts w:asciiTheme="minorHAnsi" w:hAnsiTheme="minorHAnsi" w:cstheme="minorHAnsi"/>
          <w:bCs/>
          <w:sz w:val="24"/>
          <w:szCs w:val="24"/>
        </w:rPr>
        <w:t xml:space="preserve">A number of ACT Government Directorates and independent agencies were consulted on the amendments in the </w:t>
      </w:r>
      <w:r w:rsidR="00C141D1">
        <w:rPr>
          <w:rFonts w:asciiTheme="minorHAnsi" w:hAnsiTheme="minorHAnsi" w:cstheme="minorHAnsi"/>
          <w:bCs/>
          <w:sz w:val="24"/>
          <w:szCs w:val="24"/>
        </w:rPr>
        <w:t>Bill.</w:t>
      </w:r>
    </w:p>
    <w:p w14:paraId="2689EAB2" w14:textId="09598935" w:rsidR="00D01E89" w:rsidRPr="00F106BB" w:rsidRDefault="00894590" w:rsidP="001A32A5">
      <w:pPr>
        <w:jc w:val="both"/>
        <w:rPr>
          <w:rFonts w:asciiTheme="minorHAnsi" w:hAnsiTheme="minorHAnsi" w:cstheme="minorHAnsi"/>
          <w:sz w:val="24"/>
          <w:szCs w:val="24"/>
        </w:rPr>
      </w:pPr>
      <w:r w:rsidRPr="00F106BB">
        <w:rPr>
          <w:rFonts w:asciiTheme="minorHAnsi" w:hAnsiTheme="minorHAnsi" w:cstheme="minorHAnsi"/>
          <w:iCs/>
          <w:sz w:val="24"/>
          <w:szCs w:val="24"/>
        </w:rPr>
        <w:t xml:space="preserve">The ACT Law Society and the ACT Bar Association were also consulted on the draft </w:t>
      </w:r>
      <w:r w:rsidR="00013431" w:rsidRPr="00F106BB">
        <w:rPr>
          <w:rFonts w:asciiTheme="minorHAnsi" w:hAnsiTheme="minorHAnsi" w:cstheme="minorHAnsi"/>
          <w:iCs/>
          <w:sz w:val="24"/>
          <w:szCs w:val="24"/>
        </w:rPr>
        <w:t>Bill.</w:t>
      </w:r>
      <w:r w:rsidR="00013431" w:rsidRPr="00F106BB">
        <w:rPr>
          <w:rFonts w:asciiTheme="minorHAnsi" w:hAnsiTheme="minorHAnsi" w:cstheme="minorHAnsi"/>
          <w:sz w:val="24"/>
          <w:szCs w:val="24"/>
        </w:rPr>
        <w:t xml:space="preserve"> In</w:t>
      </w:r>
      <w:r w:rsidR="00D01E89" w:rsidRPr="00F106BB">
        <w:rPr>
          <w:rFonts w:asciiTheme="minorHAnsi" w:hAnsiTheme="minorHAnsi" w:cstheme="minorHAnsi"/>
          <w:sz w:val="24"/>
          <w:szCs w:val="24"/>
        </w:rPr>
        <w:t xml:space="preserve"> relation to the amendments to the </w:t>
      </w:r>
      <w:r w:rsidR="00D01E89" w:rsidRPr="002707D1">
        <w:rPr>
          <w:rFonts w:asciiTheme="minorHAnsi" w:hAnsiTheme="minorHAnsi" w:cstheme="minorHAnsi"/>
          <w:sz w:val="24"/>
          <w:szCs w:val="24"/>
        </w:rPr>
        <w:t xml:space="preserve">Civil Law (Wrongs) Act </w:t>
      </w:r>
      <w:r w:rsidR="00D01E89" w:rsidRPr="00CF0136">
        <w:rPr>
          <w:rFonts w:asciiTheme="minorHAnsi" w:hAnsiTheme="minorHAnsi" w:cstheme="minorHAnsi"/>
          <w:sz w:val="24"/>
          <w:szCs w:val="24"/>
        </w:rPr>
        <w:t xml:space="preserve">and </w:t>
      </w:r>
      <w:r w:rsidR="00D01E89" w:rsidRPr="002707D1">
        <w:rPr>
          <w:rFonts w:asciiTheme="minorHAnsi" w:hAnsiTheme="minorHAnsi" w:cstheme="minorHAnsi"/>
          <w:sz w:val="24"/>
          <w:szCs w:val="24"/>
        </w:rPr>
        <w:t>Limitation Act</w:t>
      </w:r>
      <w:r w:rsidR="00D01E89" w:rsidRPr="00F106BB">
        <w:rPr>
          <w:rFonts w:asciiTheme="minorHAnsi" w:hAnsiTheme="minorHAnsi" w:cstheme="minorHAnsi"/>
          <w:sz w:val="24"/>
          <w:szCs w:val="24"/>
        </w:rPr>
        <w:t xml:space="preserve">, </w:t>
      </w:r>
      <w:r w:rsidRPr="00F106BB">
        <w:rPr>
          <w:rFonts w:asciiTheme="minorHAnsi" w:hAnsiTheme="minorHAnsi" w:cstheme="minorHAnsi"/>
          <w:sz w:val="24"/>
          <w:szCs w:val="24"/>
        </w:rPr>
        <w:t xml:space="preserve">a </w:t>
      </w:r>
      <w:r w:rsidR="00D01E89" w:rsidRPr="00F106BB">
        <w:rPr>
          <w:rFonts w:asciiTheme="minorHAnsi" w:hAnsiTheme="minorHAnsi" w:cstheme="minorHAnsi"/>
          <w:sz w:val="24"/>
          <w:szCs w:val="24"/>
        </w:rPr>
        <w:t>targeted consultation process</w:t>
      </w:r>
      <w:r w:rsidRPr="00F106BB">
        <w:rPr>
          <w:rFonts w:asciiTheme="minorHAnsi" w:hAnsiTheme="minorHAnsi" w:cstheme="minorHAnsi"/>
          <w:sz w:val="24"/>
          <w:szCs w:val="24"/>
        </w:rPr>
        <w:t xml:space="preserve"> was undertaken</w:t>
      </w:r>
      <w:r w:rsidR="00D01E89" w:rsidRPr="00F106BB">
        <w:rPr>
          <w:rFonts w:asciiTheme="minorHAnsi" w:hAnsiTheme="minorHAnsi" w:cstheme="minorHAnsi"/>
          <w:sz w:val="24"/>
          <w:szCs w:val="24"/>
        </w:rPr>
        <w:t xml:space="preserve">. </w:t>
      </w:r>
    </w:p>
    <w:p w14:paraId="4A775DE4" w14:textId="4AF15F77" w:rsidR="00D01E89" w:rsidRPr="00F106BB" w:rsidRDefault="00894590"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As part of this targeted consultation </w:t>
      </w:r>
      <w:r w:rsidR="00013431" w:rsidRPr="00F106BB">
        <w:rPr>
          <w:rFonts w:asciiTheme="minorHAnsi" w:hAnsiTheme="minorHAnsi" w:cstheme="minorHAnsi"/>
          <w:sz w:val="24"/>
          <w:szCs w:val="24"/>
        </w:rPr>
        <w:t xml:space="preserve">process, </w:t>
      </w:r>
      <w:r w:rsidRPr="00F106BB">
        <w:rPr>
          <w:rFonts w:asciiTheme="minorHAnsi" w:hAnsiTheme="minorHAnsi" w:cstheme="minorHAnsi"/>
          <w:sz w:val="24"/>
          <w:szCs w:val="24"/>
        </w:rPr>
        <w:t xml:space="preserve">advocacy group </w:t>
      </w:r>
      <w:r w:rsidR="00D01E89" w:rsidRPr="00F106BB">
        <w:rPr>
          <w:rFonts w:asciiTheme="minorHAnsi" w:hAnsiTheme="minorHAnsi" w:cstheme="minorHAnsi"/>
          <w:sz w:val="24"/>
          <w:szCs w:val="24"/>
        </w:rPr>
        <w:t xml:space="preserve">Beyond Abuse, and </w:t>
      </w:r>
      <w:r w:rsidRPr="00F106BB">
        <w:rPr>
          <w:rFonts w:asciiTheme="minorHAnsi" w:hAnsiTheme="minorHAnsi" w:cstheme="minorHAnsi"/>
          <w:sz w:val="24"/>
          <w:szCs w:val="24"/>
        </w:rPr>
        <w:t>key stakeholders, including survivors, and legal service organisations and institutions, were consulted</w:t>
      </w:r>
      <w:r w:rsidR="00006F51" w:rsidRPr="00F106BB">
        <w:rPr>
          <w:rFonts w:asciiTheme="minorHAnsi" w:hAnsiTheme="minorHAnsi" w:cstheme="minorHAnsi"/>
          <w:sz w:val="24"/>
          <w:szCs w:val="24"/>
        </w:rPr>
        <w:t xml:space="preserve"> </w:t>
      </w:r>
      <w:r w:rsidR="00D01E89" w:rsidRPr="00F106BB">
        <w:rPr>
          <w:rFonts w:asciiTheme="minorHAnsi" w:hAnsiTheme="minorHAnsi" w:cstheme="minorHAnsi"/>
          <w:sz w:val="24"/>
          <w:szCs w:val="24"/>
        </w:rPr>
        <w:t xml:space="preserve">on the draft Bill. </w:t>
      </w:r>
      <w:r w:rsidR="00006F51" w:rsidRPr="00F106BB">
        <w:rPr>
          <w:rFonts w:asciiTheme="minorHAnsi" w:hAnsiTheme="minorHAnsi" w:cstheme="minorHAnsi"/>
          <w:sz w:val="24"/>
          <w:szCs w:val="24"/>
        </w:rPr>
        <w:t>Stakeholders</w:t>
      </w:r>
      <w:r w:rsidR="00D01E89" w:rsidRPr="00F106BB">
        <w:rPr>
          <w:rFonts w:asciiTheme="minorHAnsi" w:hAnsiTheme="minorHAnsi" w:cstheme="minorHAnsi"/>
          <w:sz w:val="24"/>
          <w:szCs w:val="24"/>
        </w:rPr>
        <w:t xml:space="preserve"> provided significant and valuable knowledge which informed the</w:t>
      </w:r>
      <w:r w:rsidR="005355D4" w:rsidRPr="00F106BB">
        <w:rPr>
          <w:rFonts w:asciiTheme="minorHAnsi" w:hAnsiTheme="minorHAnsi" w:cstheme="minorHAnsi"/>
          <w:sz w:val="24"/>
          <w:szCs w:val="24"/>
        </w:rPr>
        <w:t xml:space="preserve"> </w:t>
      </w:r>
      <w:r w:rsidR="00C141D1">
        <w:rPr>
          <w:rFonts w:asciiTheme="minorHAnsi" w:hAnsiTheme="minorHAnsi" w:cstheme="minorHAnsi"/>
          <w:sz w:val="24"/>
          <w:szCs w:val="24"/>
        </w:rPr>
        <w:t>d</w:t>
      </w:r>
      <w:r w:rsidR="005355D4" w:rsidRPr="00F106BB">
        <w:rPr>
          <w:rFonts w:asciiTheme="minorHAnsi" w:hAnsiTheme="minorHAnsi" w:cstheme="minorHAnsi"/>
          <w:sz w:val="24"/>
          <w:szCs w:val="24"/>
        </w:rPr>
        <w:t>rafting of</w:t>
      </w:r>
      <w:r w:rsidR="00006F51" w:rsidRPr="00F106BB">
        <w:rPr>
          <w:rFonts w:asciiTheme="minorHAnsi" w:hAnsiTheme="minorHAnsi" w:cstheme="minorHAnsi"/>
          <w:sz w:val="24"/>
          <w:szCs w:val="24"/>
        </w:rPr>
        <w:t xml:space="preserve"> the Bill.</w:t>
      </w:r>
    </w:p>
    <w:p w14:paraId="04C31132" w14:textId="749867BC" w:rsidR="00D01E89" w:rsidRPr="00F106BB" w:rsidRDefault="00D01E89" w:rsidP="001A32A5">
      <w:pPr>
        <w:pStyle w:val="CS-Paragraphnumbering"/>
        <w:ind w:left="0" w:firstLine="0"/>
        <w:jc w:val="both"/>
        <w:rPr>
          <w:rFonts w:asciiTheme="minorHAnsi" w:hAnsiTheme="minorHAnsi" w:cstheme="minorHAnsi"/>
        </w:rPr>
      </w:pPr>
    </w:p>
    <w:p w14:paraId="4A7B5694" w14:textId="77777777" w:rsidR="00224569" w:rsidRPr="00F106BB" w:rsidRDefault="00224569" w:rsidP="001A32A5">
      <w:pPr>
        <w:jc w:val="both"/>
        <w:rPr>
          <w:rFonts w:asciiTheme="minorHAnsi" w:hAnsiTheme="minorHAnsi" w:cstheme="minorHAnsi"/>
          <w:b/>
          <w:sz w:val="24"/>
          <w:szCs w:val="24"/>
        </w:rPr>
      </w:pPr>
    </w:p>
    <w:p w14:paraId="5EC8CB22" w14:textId="77777777" w:rsidR="00224569" w:rsidRPr="00F106BB" w:rsidRDefault="00224569" w:rsidP="001A32A5">
      <w:pPr>
        <w:jc w:val="both"/>
        <w:rPr>
          <w:rFonts w:asciiTheme="minorHAnsi" w:hAnsiTheme="minorHAnsi" w:cstheme="minorHAnsi"/>
          <w:b/>
          <w:sz w:val="24"/>
          <w:szCs w:val="24"/>
        </w:rPr>
      </w:pPr>
    </w:p>
    <w:p w14:paraId="536C9F06" w14:textId="78B54FF1" w:rsidR="00134D7B" w:rsidRPr="00F106BB" w:rsidRDefault="0019329A" w:rsidP="001A32A5">
      <w:pPr>
        <w:jc w:val="both"/>
        <w:rPr>
          <w:rFonts w:asciiTheme="minorHAnsi" w:hAnsiTheme="minorHAnsi" w:cstheme="minorHAnsi"/>
          <w:b/>
          <w:sz w:val="24"/>
          <w:szCs w:val="24"/>
        </w:rPr>
      </w:pPr>
      <w:r w:rsidRPr="00F106BB">
        <w:rPr>
          <w:rFonts w:asciiTheme="minorHAnsi" w:hAnsiTheme="minorHAnsi" w:cstheme="minorHAnsi"/>
          <w:b/>
          <w:sz w:val="24"/>
          <w:szCs w:val="24"/>
        </w:rPr>
        <w:lastRenderedPageBreak/>
        <w:t xml:space="preserve">SUMMARY OF AMENDMENTS </w:t>
      </w:r>
    </w:p>
    <w:p w14:paraId="0B7A9D2F" w14:textId="12FE2DB8" w:rsidR="0019329A" w:rsidRPr="00F106BB" w:rsidRDefault="0019329A" w:rsidP="001A32A5">
      <w:pPr>
        <w:jc w:val="both"/>
        <w:rPr>
          <w:rFonts w:asciiTheme="minorHAnsi" w:hAnsiTheme="minorHAnsi" w:cstheme="minorHAnsi"/>
          <w:b/>
          <w:i/>
          <w:iCs/>
          <w:sz w:val="24"/>
          <w:szCs w:val="24"/>
        </w:rPr>
      </w:pPr>
      <w:r w:rsidRPr="00F106BB">
        <w:rPr>
          <w:rFonts w:asciiTheme="minorHAnsi" w:hAnsiTheme="minorHAnsi" w:cstheme="minorHAnsi"/>
          <w:b/>
          <w:i/>
          <w:iCs/>
          <w:sz w:val="24"/>
          <w:szCs w:val="24"/>
        </w:rPr>
        <w:t>Agen</w:t>
      </w:r>
      <w:r w:rsidR="005F7F93" w:rsidRPr="00F106BB">
        <w:rPr>
          <w:rFonts w:asciiTheme="minorHAnsi" w:hAnsiTheme="minorHAnsi" w:cstheme="minorHAnsi"/>
          <w:b/>
          <w:i/>
          <w:iCs/>
          <w:sz w:val="24"/>
          <w:szCs w:val="24"/>
        </w:rPr>
        <w:t xml:space="preserve">ts Act 2003 </w:t>
      </w:r>
    </w:p>
    <w:p w14:paraId="6F0C5C65" w14:textId="28E82E53" w:rsidR="003552B1" w:rsidRDefault="008F3B30" w:rsidP="001A32A5">
      <w:pPr>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The Bill amends </w:t>
      </w:r>
      <w:r w:rsidR="00191C1B" w:rsidRPr="00F106BB">
        <w:rPr>
          <w:rFonts w:asciiTheme="minorHAnsi" w:hAnsiTheme="minorHAnsi" w:cstheme="minorHAnsi"/>
          <w:bCs/>
          <w:sz w:val="24"/>
          <w:szCs w:val="24"/>
        </w:rPr>
        <w:t xml:space="preserve">section 99 of </w:t>
      </w:r>
      <w:r w:rsidRPr="00F106BB">
        <w:rPr>
          <w:rFonts w:asciiTheme="minorHAnsi" w:hAnsiTheme="minorHAnsi" w:cstheme="minorHAnsi"/>
          <w:bCs/>
          <w:sz w:val="24"/>
          <w:szCs w:val="24"/>
        </w:rPr>
        <w:t xml:space="preserve">the </w:t>
      </w:r>
      <w:r w:rsidRPr="00F106BB">
        <w:rPr>
          <w:rFonts w:asciiTheme="minorHAnsi" w:hAnsiTheme="minorHAnsi" w:cstheme="minorHAnsi"/>
          <w:bCs/>
          <w:i/>
          <w:iCs/>
          <w:sz w:val="24"/>
          <w:szCs w:val="24"/>
        </w:rPr>
        <w:t xml:space="preserve">Agents Act </w:t>
      </w:r>
      <w:r w:rsidRPr="00F106BB">
        <w:rPr>
          <w:rFonts w:asciiTheme="minorHAnsi" w:hAnsiTheme="minorHAnsi" w:cstheme="minorHAnsi"/>
          <w:bCs/>
          <w:sz w:val="24"/>
          <w:szCs w:val="24"/>
        </w:rPr>
        <w:t xml:space="preserve">to include reference to the sale of a business or professional practice in </w:t>
      </w:r>
      <w:r w:rsidR="00191C1B" w:rsidRPr="00F106BB">
        <w:rPr>
          <w:rFonts w:asciiTheme="minorHAnsi" w:hAnsiTheme="minorHAnsi" w:cstheme="minorHAnsi"/>
          <w:bCs/>
          <w:sz w:val="24"/>
          <w:szCs w:val="24"/>
        </w:rPr>
        <w:t xml:space="preserve">subsequent </w:t>
      </w:r>
      <w:r w:rsidR="00F64E8D" w:rsidRPr="00F106BB">
        <w:rPr>
          <w:rFonts w:asciiTheme="minorHAnsi" w:hAnsiTheme="minorHAnsi" w:cstheme="minorHAnsi"/>
          <w:bCs/>
          <w:sz w:val="24"/>
          <w:szCs w:val="24"/>
        </w:rPr>
        <w:t xml:space="preserve">provisions </w:t>
      </w:r>
      <w:r w:rsidRPr="00F106BB">
        <w:rPr>
          <w:rFonts w:asciiTheme="minorHAnsi" w:hAnsiTheme="minorHAnsi" w:cstheme="minorHAnsi"/>
          <w:bCs/>
          <w:sz w:val="24"/>
          <w:szCs w:val="24"/>
        </w:rPr>
        <w:t xml:space="preserve">relating to requirements of agency agreements. </w:t>
      </w:r>
    </w:p>
    <w:p w14:paraId="3C2CA23E" w14:textId="01C29BE4" w:rsidR="00394B7C" w:rsidRPr="00F106BB" w:rsidRDefault="008F3B30" w:rsidP="001A32A5">
      <w:pPr>
        <w:jc w:val="both"/>
        <w:rPr>
          <w:rFonts w:asciiTheme="minorHAnsi" w:hAnsiTheme="minorHAnsi" w:cstheme="minorHAnsi"/>
          <w:bCs/>
          <w:sz w:val="24"/>
          <w:szCs w:val="24"/>
        </w:rPr>
      </w:pPr>
      <w:r w:rsidRPr="00F106BB">
        <w:rPr>
          <w:rFonts w:asciiTheme="minorHAnsi" w:hAnsiTheme="minorHAnsi" w:cstheme="minorHAnsi"/>
          <w:bCs/>
          <w:sz w:val="24"/>
          <w:szCs w:val="24"/>
        </w:rPr>
        <w:t>T</w:t>
      </w:r>
      <w:r w:rsidR="00110094" w:rsidRPr="00F106BB">
        <w:rPr>
          <w:rFonts w:asciiTheme="minorHAnsi" w:hAnsiTheme="minorHAnsi" w:cstheme="minorHAnsi"/>
          <w:bCs/>
          <w:sz w:val="24"/>
          <w:szCs w:val="24"/>
        </w:rPr>
        <w:t xml:space="preserve">he </w:t>
      </w:r>
      <w:r w:rsidR="00110094" w:rsidRPr="00F106BB">
        <w:rPr>
          <w:rFonts w:asciiTheme="minorHAnsi" w:hAnsiTheme="minorHAnsi" w:cstheme="minorHAnsi"/>
          <w:bCs/>
          <w:i/>
          <w:iCs/>
          <w:sz w:val="24"/>
          <w:szCs w:val="24"/>
        </w:rPr>
        <w:t>Agents Regulation 2003</w:t>
      </w:r>
      <w:r w:rsidR="00110094" w:rsidRPr="00F106BB">
        <w:rPr>
          <w:rFonts w:asciiTheme="minorHAnsi" w:hAnsiTheme="minorHAnsi" w:cstheme="minorHAnsi"/>
          <w:bCs/>
          <w:sz w:val="24"/>
          <w:szCs w:val="24"/>
        </w:rPr>
        <w:t xml:space="preserve"> section 15 requires agency agreements to comply with requirements set out in certain schedules of the Regulation. Section 15(2)(e) of </w:t>
      </w:r>
      <w:r w:rsidR="00110094" w:rsidRPr="00CF0136">
        <w:rPr>
          <w:rFonts w:asciiTheme="minorHAnsi" w:hAnsiTheme="minorHAnsi" w:cstheme="minorHAnsi"/>
          <w:bCs/>
          <w:sz w:val="24"/>
          <w:szCs w:val="24"/>
        </w:rPr>
        <w:t xml:space="preserve">the </w:t>
      </w:r>
      <w:r w:rsidR="00110094" w:rsidRPr="00922869">
        <w:rPr>
          <w:rFonts w:asciiTheme="minorHAnsi" w:hAnsiTheme="minorHAnsi" w:cstheme="minorHAnsi"/>
          <w:bCs/>
          <w:i/>
          <w:iCs/>
          <w:sz w:val="24"/>
          <w:szCs w:val="24"/>
        </w:rPr>
        <w:t>Agents Act</w:t>
      </w:r>
      <w:r w:rsidR="00110094" w:rsidRPr="002707D1">
        <w:rPr>
          <w:rFonts w:asciiTheme="minorHAnsi" w:hAnsiTheme="minorHAnsi" w:cstheme="minorHAnsi"/>
          <w:bCs/>
          <w:sz w:val="24"/>
          <w:szCs w:val="24"/>
        </w:rPr>
        <w:t xml:space="preserve"> </w:t>
      </w:r>
      <w:r w:rsidR="00110094" w:rsidRPr="00F106BB">
        <w:rPr>
          <w:rFonts w:asciiTheme="minorHAnsi" w:hAnsiTheme="minorHAnsi" w:cstheme="minorHAnsi"/>
          <w:bCs/>
          <w:sz w:val="24"/>
          <w:szCs w:val="24"/>
        </w:rPr>
        <w:t xml:space="preserve">applies schedule 7 </w:t>
      </w:r>
      <w:r w:rsidR="004C087B" w:rsidRPr="00F106BB">
        <w:rPr>
          <w:rFonts w:asciiTheme="minorHAnsi" w:hAnsiTheme="minorHAnsi" w:cstheme="minorHAnsi"/>
          <w:bCs/>
          <w:sz w:val="24"/>
          <w:szCs w:val="24"/>
        </w:rPr>
        <w:t xml:space="preserve">(Terms specific to agency agreements for the sale of business) to an agency agreement under which the agent will act for the seller on the sale of a business or professional practice. </w:t>
      </w:r>
      <w:r w:rsidR="0039565E" w:rsidRPr="00F106BB">
        <w:rPr>
          <w:rFonts w:asciiTheme="minorHAnsi" w:hAnsiTheme="minorHAnsi" w:cstheme="minorHAnsi"/>
          <w:bCs/>
          <w:sz w:val="24"/>
          <w:szCs w:val="24"/>
        </w:rPr>
        <w:t xml:space="preserve">Section 100(1)(c) of the </w:t>
      </w:r>
      <w:r w:rsidR="0039565E" w:rsidRPr="00922869">
        <w:rPr>
          <w:rFonts w:asciiTheme="minorHAnsi" w:hAnsiTheme="minorHAnsi" w:cstheme="minorHAnsi"/>
          <w:bCs/>
          <w:i/>
          <w:iCs/>
          <w:sz w:val="24"/>
          <w:szCs w:val="24"/>
        </w:rPr>
        <w:t>Agents Act</w:t>
      </w:r>
      <w:r w:rsidR="0039565E" w:rsidRPr="00F106BB">
        <w:rPr>
          <w:rFonts w:asciiTheme="minorHAnsi" w:hAnsiTheme="minorHAnsi" w:cstheme="minorHAnsi"/>
          <w:bCs/>
          <w:sz w:val="24"/>
          <w:szCs w:val="24"/>
        </w:rPr>
        <w:t xml:space="preserve"> provides that a licenced agent is not entitled to commission or expenses from a principal for services provided unless the agency agreement complies with the regulations. </w:t>
      </w:r>
    </w:p>
    <w:p w14:paraId="7E87FA6E" w14:textId="4D60B54A" w:rsidR="0039565E" w:rsidRPr="00F106BB" w:rsidRDefault="0039565E" w:rsidP="001A32A5">
      <w:pPr>
        <w:jc w:val="both"/>
        <w:rPr>
          <w:rFonts w:asciiTheme="minorHAnsi" w:hAnsiTheme="minorHAnsi" w:cstheme="minorHAnsi"/>
          <w:bCs/>
          <w:sz w:val="24"/>
          <w:szCs w:val="24"/>
        </w:rPr>
      </w:pPr>
      <w:r w:rsidRPr="00F106BB">
        <w:rPr>
          <w:rFonts w:asciiTheme="minorHAnsi" w:hAnsiTheme="minorHAnsi" w:cstheme="minorHAnsi"/>
          <w:bCs/>
          <w:sz w:val="24"/>
          <w:szCs w:val="24"/>
        </w:rPr>
        <w:t xml:space="preserve">Section 99 of the </w:t>
      </w:r>
      <w:r w:rsidRPr="00922869">
        <w:rPr>
          <w:rFonts w:asciiTheme="minorHAnsi" w:hAnsiTheme="minorHAnsi" w:cstheme="minorHAnsi"/>
          <w:bCs/>
          <w:i/>
          <w:iCs/>
          <w:sz w:val="24"/>
          <w:szCs w:val="24"/>
        </w:rPr>
        <w:t>Agents Act</w:t>
      </w:r>
      <w:r w:rsidRPr="00F106BB">
        <w:rPr>
          <w:rFonts w:asciiTheme="minorHAnsi" w:hAnsiTheme="minorHAnsi" w:cstheme="minorHAnsi"/>
          <w:bCs/>
          <w:sz w:val="24"/>
          <w:szCs w:val="24"/>
        </w:rPr>
        <w:t xml:space="preserve"> applies Part 6 (Agency agreement) (in which section 100 sits) to services provided in relation to land and makes no mention to the same of a business or professional practice. As such, section 15 of the Regulation is outside the power provided by section 100(1)(c) of the </w:t>
      </w:r>
      <w:r w:rsidRPr="00922869">
        <w:rPr>
          <w:rFonts w:asciiTheme="minorHAnsi" w:hAnsiTheme="minorHAnsi" w:cstheme="minorHAnsi"/>
          <w:bCs/>
          <w:i/>
          <w:iCs/>
          <w:sz w:val="24"/>
          <w:szCs w:val="24"/>
        </w:rPr>
        <w:t>Agents Act</w:t>
      </w:r>
      <w:r w:rsidRPr="00F106BB">
        <w:rPr>
          <w:rFonts w:asciiTheme="minorHAnsi" w:hAnsiTheme="minorHAnsi" w:cstheme="minorHAnsi"/>
          <w:bCs/>
          <w:sz w:val="24"/>
          <w:szCs w:val="24"/>
        </w:rPr>
        <w:t xml:space="preserve"> due to the application provision in section 99. </w:t>
      </w:r>
    </w:p>
    <w:p w14:paraId="44A53E86" w14:textId="17870507" w:rsidR="0039565E" w:rsidRPr="00F106BB" w:rsidRDefault="0039565E" w:rsidP="001A32A5">
      <w:pPr>
        <w:jc w:val="both"/>
        <w:rPr>
          <w:rFonts w:asciiTheme="minorHAnsi" w:hAnsiTheme="minorHAnsi" w:cstheme="minorHAnsi"/>
          <w:b/>
          <w:i/>
          <w:iCs/>
          <w:sz w:val="24"/>
          <w:szCs w:val="24"/>
        </w:rPr>
      </w:pPr>
      <w:r w:rsidRPr="00F106BB">
        <w:rPr>
          <w:rFonts w:asciiTheme="minorHAnsi" w:hAnsiTheme="minorHAnsi" w:cstheme="minorHAnsi"/>
          <w:b/>
          <w:i/>
          <w:iCs/>
          <w:sz w:val="24"/>
          <w:szCs w:val="24"/>
        </w:rPr>
        <w:t xml:space="preserve">COVID-19 Emergency Response Act 2020 </w:t>
      </w:r>
    </w:p>
    <w:p w14:paraId="31D8A28E" w14:textId="27C76B7D" w:rsidR="00260F84" w:rsidRPr="00F106BB" w:rsidRDefault="00260F84" w:rsidP="001A32A5">
      <w:pPr>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The Bill amends section 3 of </w:t>
      </w:r>
      <w:r w:rsidRPr="00CF0136">
        <w:rPr>
          <w:rFonts w:asciiTheme="minorHAnsi" w:hAnsiTheme="minorHAnsi" w:cstheme="minorHAnsi"/>
          <w:bCs/>
          <w:sz w:val="24"/>
          <w:szCs w:val="24"/>
        </w:rPr>
        <w:t xml:space="preserve">the </w:t>
      </w:r>
      <w:r w:rsidRPr="00922869">
        <w:rPr>
          <w:rFonts w:asciiTheme="minorHAnsi" w:hAnsiTheme="minorHAnsi" w:cstheme="minorHAnsi"/>
          <w:bCs/>
          <w:i/>
          <w:iCs/>
          <w:sz w:val="24"/>
          <w:szCs w:val="24"/>
        </w:rPr>
        <w:t>COVID-19 Emergency Response Act</w:t>
      </w:r>
      <w:r w:rsidRPr="00F106BB">
        <w:rPr>
          <w:rFonts w:asciiTheme="minorHAnsi" w:hAnsiTheme="minorHAnsi" w:cstheme="minorHAnsi"/>
          <w:bCs/>
          <w:sz w:val="24"/>
          <w:szCs w:val="24"/>
        </w:rPr>
        <w:t xml:space="preserve"> to clarify that reporting requirements do not apply where a COVID-19 measure is subsequently amended so that it operates on an ongoing basis or where a COVID-19 measure is repealed. The </w:t>
      </w:r>
      <w:r w:rsidRPr="00F106BB">
        <w:rPr>
          <w:rFonts w:asciiTheme="minorHAnsi" w:hAnsiTheme="minorHAnsi" w:cstheme="minorHAnsi"/>
          <w:bCs/>
          <w:i/>
          <w:iCs/>
          <w:sz w:val="24"/>
          <w:szCs w:val="24"/>
        </w:rPr>
        <w:t>COVID-19 Emergency Response Act</w:t>
      </w:r>
      <w:r w:rsidRPr="00F106BB">
        <w:rPr>
          <w:rFonts w:asciiTheme="minorHAnsi" w:hAnsiTheme="minorHAnsi" w:cstheme="minorHAnsi"/>
          <w:bCs/>
          <w:sz w:val="24"/>
          <w:szCs w:val="24"/>
        </w:rPr>
        <w:t xml:space="preserve"> and the </w:t>
      </w:r>
      <w:r w:rsidRPr="00F106BB">
        <w:rPr>
          <w:rFonts w:asciiTheme="minorHAnsi" w:hAnsiTheme="minorHAnsi" w:cstheme="minorHAnsi"/>
          <w:bCs/>
          <w:i/>
          <w:iCs/>
          <w:sz w:val="24"/>
          <w:szCs w:val="24"/>
        </w:rPr>
        <w:t xml:space="preserve">COVID-19 Emergency Response Legislation Amendment Act 2020 </w:t>
      </w:r>
      <w:r w:rsidRPr="00F106BB">
        <w:rPr>
          <w:rFonts w:asciiTheme="minorHAnsi" w:hAnsiTheme="minorHAnsi" w:cstheme="minorHAnsi"/>
          <w:bCs/>
          <w:sz w:val="24"/>
          <w:szCs w:val="24"/>
        </w:rPr>
        <w:t>introduced a range of temporary legislative measures to be used during the COVID-19 emergency to assist with operational requirements. This amendment ensures that the requirement for a responsible Minister to prepare a report for the Legislative Assembly on the application of a COVID-19 measure each reporting period does not apply to measures that are subsequently amended to allow for their ongoing operation outside of a COVID-19 emergency or are repealed.</w:t>
      </w:r>
    </w:p>
    <w:p w14:paraId="6418B463" w14:textId="21C7F164" w:rsidR="0081083F" w:rsidRPr="00F106BB" w:rsidRDefault="0081083F" w:rsidP="001A32A5">
      <w:pPr>
        <w:jc w:val="both"/>
        <w:rPr>
          <w:rFonts w:asciiTheme="minorHAnsi" w:hAnsiTheme="minorHAnsi" w:cstheme="minorHAnsi"/>
          <w:b/>
          <w:i/>
          <w:iCs/>
          <w:sz w:val="24"/>
          <w:szCs w:val="24"/>
        </w:rPr>
      </w:pPr>
      <w:r w:rsidRPr="00F106BB">
        <w:rPr>
          <w:rFonts w:asciiTheme="minorHAnsi" w:hAnsiTheme="minorHAnsi" w:cstheme="minorHAnsi"/>
          <w:b/>
          <w:i/>
          <w:iCs/>
          <w:sz w:val="24"/>
          <w:szCs w:val="24"/>
        </w:rPr>
        <w:t xml:space="preserve">Gaming Machine Act 2004 </w:t>
      </w:r>
    </w:p>
    <w:p w14:paraId="469D3126" w14:textId="6D45CF31" w:rsidR="005C05AD" w:rsidRPr="00F106BB" w:rsidRDefault="00191C1B" w:rsidP="001A32A5">
      <w:pPr>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The Bill amends </w:t>
      </w:r>
      <w:r w:rsidR="00CD0208" w:rsidRPr="00F106BB">
        <w:rPr>
          <w:rFonts w:asciiTheme="minorHAnsi" w:hAnsiTheme="minorHAnsi" w:cstheme="minorHAnsi"/>
          <w:bCs/>
          <w:sz w:val="24"/>
          <w:szCs w:val="24"/>
        </w:rPr>
        <w:t xml:space="preserve">section 179A of the </w:t>
      </w:r>
      <w:r w:rsidR="00CD0208" w:rsidRPr="00F106BB">
        <w:rPr>
          <w:rFonts w:asciiTheme="minorHAnsi" w:hAnsiTheme="minorHAnsi" w:cstheme="minorHAnsi"/>
          <w:bCs/>
          <w:i/>
          <w:iCs/>
          <w:sz w:val="24"/>
          <w:szCs w:val="24"/>
        </w:rPr>
        <w:t xml:space="preserve">Gaming Machine </w:t>
      </w:r>
      <w:r w:rsidR="00C141D1">
        <w:rPr>
          <w:rFonts w:asciiTheme="minorHAnsi" w:hAnsiTheme="minorHAnsi" w:cstheme="minorHAnsi"/>
          <w:bCs/>
          <w:i/>
          <w:iCs/>
          <w:sz w:val="24"/>
          <w:szCs w:val="24"/>
        </w:rPr>
        <w:t xml:space="preserve">Act </w:t>
      </w:r>
      <w:r w:rsidR="00CD0208" w:rsidRPr="00F106BB">
        <w:rPr>
          <w:rFonts w:asciiTheme="minorHAnsi" w:hAnsiTheme="minorHAnsi" w:cstheme="minorHAnsi"/>
          <w:bCs/>
          <w:sz w:val="24"/>
          <w:szCs w:val="24"/>
        </w:rPr>
        <w:t>to allow the Minister an additional year, to 30 November 2023, to review and table a report on the gaming machine tax rebate</w:t>
      </w:r>
      <w:r w:rsidR="005C05AD" w:rsidRPr="00F106BB">
        <w:rPr>
          <w:rFonts w:asciiTheme="minorHAnsi" w:hAnsiTheme="minorHAnsi" w:cstheme="minorHAnsi"/>
          <w:bCs/>
          <w:sz w:val="24"/>
          <w:szCs w:val="24"/>
        </w:rPr>
        <w:t xml:space="preserve">. </w:t>
      </w:r>
    </w:p>
    <w:p w14:paraId="0E845E00" w14:textId="3A017B1E" w:rsidR="0081083F" w:rsidRPr="00F106BB" w:rsidRDefault="0081083F" w:rsidP="001A32A5">
      <w:pPr>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The </w:t>
      </w:r>
      <w:r w:rsidRPr="00922869">
        <w:rPr>
          <w:rFonts w:asciiTheme="minorHAnsi" w:hAnsiTheme="minorHAnsi" w:cstheme="minorHAnsi"/>
          <w:bCs/>
          <w:i/>
          <w:iCs/>
          <w:sz w:val="24"/>
          <w:szCs w:val="24"/>
        </w:rPr>
        <w:t>Gaming Machine Act</w:t>
      </w:r>
      <w:r w:rsidRPr="00F106BB">
        <w:rPr>
          <w:rFonts w:asciiTheme="minorHAnsi" w:hAnsiTheme="minorHAnsi" w:cstheme="minorHAnsi"/>
          <w:bCs/>
          <w:i/>
          <w:iCs/>
          <w:sz w:val="24"/>
          <w:szCs w:val="24"/>
        </w:rPr>
        <w:t xml:space="preserve"> </w:t>
      </w:r>
      <w:r w:rsidRPr="00F106BB">
        <w:rPr>
          <w:rFonts w:asciiTheme="minorHAnsi" w:hAnsiTheme="minorHAnsi" w:cstheme="minorHAnsi"/>
          <w:bCs/>
          <w:sz w:val="24"/>
          <w:szCs w:val="24"/>
        </w:rPr>
        <w:t xml:space="preserve">at section 162A entitles a gaming machine licensee a rebate of Gaming Machine Tax for the financial year if the licensee is a small or medium club or is part of a small or medium club group, for the year. </w:t>
      </w:r>
    </w:p>
    <w:p w14:paraId="074D61F4" w14:textId="1217B014" w:rsidR="0081083F" w:rsidRPr="00F106BB" w:rsidRDefault="0081083F" w:rsidP="001A32A5">
      <w:pPr>
        <w:jc w:val="both"/>
        <w:rPr>
          <w:rFonts w:asciiTheme="minorHAnsi" w:hAnsiTheme="minorHAnsi" w:cstheme="minorHAnsi"/>
          <w:bCs/>
          <w:sz w:val="24"/>
          <w:szCs w:val="24"/>
        </w:rPr>
      </w:pPr>
      <w:r w:rsidRPr="00F106BB">
        <w:rPr>
          <w:rFonts w:asciiTheme="minorHAnsi" w:hAnsiTheme="minorHAnsi" w:cstheme="minorHAnsi"/>
          <w:bCs/>
          <w:sz w:val="24"/>
          <w:szCs w:val="24"/>
        </w:rPr>
        <w:t xml:space="preserve">Due to the COVID-19 pandemic, Clubs have been closed </w:t>
      </w:r>
      <w:r w:rsidR="00C141D1">
        <w:rPr>
          <w:rFonts w:asciiTheme="minorHAnsi" w:hAnsiTheme="minorHAnsi" w:cstheme="minorHAnsi"/>
          <w:bCs/>
          <w:sz w:val="24"/>
          <w:szCs w:val="24"/>
        </w:rPr>
        <w:t>due to</w:t>
      </w:r>
      <w:r w:rsidR="002707D1">
        <w:rPr>
          <w:rFonts w:asciiTheme="minorHAnsi" w:hAnsiTheme="minorHAnsi" w:cstheme="minorHAnsi"/>
          <w:bCs/>
          <w:sz w:val="24"/>
          <w:szCs w:val="24"/>
        </w:rPr>
        <w:t xml:space="preserve"> l</w:t>
      </w:r>
      <w:r w:rsidRPr="00F106BB">
        <w:rPr>
          <w:rFonts w:asciiTheme="minorHAnsi" w:hAnsiTheme="minorHAnsi" w:cstheme="minorHAnsi"/>
          <w:bCs/>
          <w:sz w:val="24"/>
          <w:szCs w:val="24"/>
        </w:rPr>
        <w:t xml:space="preserve">ockdowns and have not </w:t>
      </w:r>
      <w:r w:rsidR="00C141D1">
        <w:rPr>
          <w:rFonts w:asciiTheme="minorHAnsi" w:hAnsiTheme="minorHAnsi" w:cstheme="minorHAnsi"/>
          <w:bCs/>
          <w:sz w:val="24"/>
          <w:szCs w:val="24"/>
        </w:rPr>
        <w:t>paid</w:t>
      </w:r>
      <w:r w:rsidR="002707D1">
        <w:rPr>
          <w:rFonts w:asciiTheme="minorHAnsi" w:hAnsiTheme="minorHAnsi" w:cstheme="minorHAnsi"/>
          <w:bCs/>
          <w:sz w:val="24"/>
          <w:szCs w:val="24"/>
        </w:rPr>
        <w:t xml:space="preserve"> </w:t>
      </w:r>
      <w:r w:rsidRPr="00F106BB">
        <w:rPr>
          <w:rFonts w:asciiTheme="minorHAnsi" w:hAnsiTheme="minorHAnsi" w:cstheme="minorHAnsi"/>
          <w:bCs/>
          <w:sz w:val="24"/>
          <w:szCs w:val="24"/>
        </w:rPr>
        <w:t xml:space="preserve">standard rates of tax. </w:t>
      </w:r>
      <w:r w:rsidR="003B3248">
        <w:rPr>
          <w:rFonts w:asciiTheme="minorHAnsi" w:hAnsiTheme="minorHAnsi" w:cstheme="minorHAnsi"/>
          <w:bCs/>
          <w:sz w:val="24"/>
          <w:szCs w:val="24"/>
        </w:rPr>
        <w:t>Due to the inability to properly assess</w:t>
      </w:r>
      <w:r w:rsidR="00D776BC">
        <w:rPr>
          <w:rFonts w:asciiTheme="minorHAnsi" w:hAnsiTheme="minorHAnsi" w:cstheme="minorHAnsi"/>
          <w:bCs/>
          <w:sz w:val="24"/>
          <w:szCs w:val="24"/>
        </w:rPr>
        <w:t xml:space="preserve"> </w:t>
      </w:r>
      <w:r w:rsidRPr="00F106BB">
        <w:rPr>
          <w:rFonts w:asciiTheme="minorHAnsi" w:hAnsiTheme="minorHAnsi" w:cstheme="minorHAnsi"/>
          <w:bCs/>
          <w:sz w:val="24"/>
          <w:szCs w:val="24"/>
        </w:rPr>
        <w:t>the operation of the gaming machine tax rebate</w:t>
      </w:r>
      <w:r w:rsidR="003B3248">
        <w:rPr>
          <w:rFonts w:asciiTheme="minorHAnsi" w:hAnsiTheme="minorHAnsi" w:cstheme="minorHAnsi"/>
          <w:bCs/>
          <w:sz w:val="24"/>
          <w:szCs w:val="24"/>
        </w:rPr>
        <w:t xml:space="preserve"> a year extension is required</w:t>
      </w:r>
      <w:r w:rsidRPr="00F106BB">
        <w:rPr>
          <w:rFonts w:asciiTheme="minorHAnsi" w:hAnsiTheme="minorHAnsi" w:cstheme="minorHAnsi"/>
          <w:bCs/>
          <w:sz w:val="24"/>
          <w:szCs w:val="24"/>
        </w:rPr>
        <w:t xml:space="preserve">. </w:t>
      </w:r>
    </w:p>
    <w:p w14:paraId="67377751" w14:textId="5E970E9E" w:rsidR="0039565E" w:rsidRPr="00F106BB" w:rsidRDefault="0039565E" w:rsidP="001A32A5">
      <w:pPr>
        <w:jc w:val="both"/>
        <w:rPr>
          <w:rFonts w:asciiTheme="minorHAnsi" w:hAnsiTheme="minorHAnsi" w:cstheme="minorHAnsi"/>
          <w:b/>
          <w:i/>
          <w:iCs/>
          <w:sz w:val="24"/>
          <w:szCs w:val="24"/>
        </w:rPr>
      </w:pPr>
      <w:r w:rsidRPr="00F106BB">
        <w:rPr>
          <w:rFonts w:asciiTheme="minorHAnsi" w:hAnsiTheme="minorHAnsi" w:cstheme="minorHAnsi"/>
          <w:b/>
          <w:i/>
          <w:iCs/>
          <w:sz w:val="24"/>
          <w:szCs w:val="24"/>
        </w:rPr>
        <w:lastRenderedPageBreak/>
        <w:t xml:space="preserve">Land Titles Act 1925 </w:t>
      </w:r>
    </w:p>
    <w:p w14:paraId="0D841B1C" w14:textId="675C9D2F" w:rsidR="00157D25" w:rsidRPr="00F106BB" w:rsidRDefault="005C05AD" w:rsidP="001A32A5">
      <w:pPr>
        <w:jc w:val="both"/>
        <w:rPr>
          <w:rFonts w:asciiTheme="minorHAnsi" w:hAnsiTheme="minorHAnsi" w:cstheme="minorHAnsi"/>
          <w:bCs/>
          <w:sz w:val="24"/>
          <w:szCs w:val="24"/>
        </w:rPr>
      </w:pPr>
      <w:r w:rsidRPr="00F106BB">
        <w:rPr>
          <w:rFonts w:asciiTheme="minorHAnsi" w:hAnsiTheme="minorHAnsi" w:cstheme="minorHAnsi"/>
          <w:bCs/>
          <w:sz w:val="24"/>
          <w:szCs w:val="24"/>
        </w:rPr>
        <w:t>The Bill amends the</w:t>
      </w:r>
      <w:r w:rsidR="00FA2BBB" w:rsidRPr="00F106BB">
        <w:rPr>
          <w:rFonts w:asciiTheme="minorHAnsi" w:hAnsiTheme="minorHAnsi" w:cstheme="minorHAnsi"/>
          <w:bCs/>
          <w:sz w:val="24"/>
          <w:szCs w:val="24"/>
        </w:rPr>
        <w:t xml:space="preserve"> note at section 48BD of the </w:t>
      </w:r>
      <w:r w:rsidRPr="00922869">
        <w:rPr>
          <w:rFonts w:asciiTheme="minorHAnsi" w:hAnsiTheme="minorHAnsi" w:cstheme="minorHAnsi"/>
          <w:bCs/>
          <w:i/>
          <w:iCs/>
          <w:sz w:val="24"/>
          <w:szCs w:val="24"/>
        </w:rPr>
        <w:t>Land Titles Act</w:t>
      </w:r>
      <w:r w:rsidRPr="00F106BB">
        <w:rPr>
          <w:rFonts w:asciiTheme="minorHAnsi" w:hAnsiTheme="minorHAnsi" w:cstheme="minorHAnsi"/>
          <w:bCs/>
          <w:i/>
          <w:iCs/>
          <w:sz w:val="24"/>
          <w:szCs w:val="24"/>
        </w:rPr>
        <w:t xml:space="preserve"> </w:t>
      </w:r>
      <w:r w:rsidRPr="00F106BB">
        <w:rPr>
          <w:rFonts w:asciiTheme="minorHAnsi" w:hAnsiTheme="minorHAnsi" w:cstheme="minorHAnsi"/>
          <w:bCs/>
          <w:sz w:val="24"/>
          <w:szCs w:val="24"/>
        </w:rPr>
        <w:t xml:space="preserve">to </w:t>
      </w:r>
      <w:r w:rsidR="00FA2BBB" w:rsidRPr="00F106BB">
        <w:rPr>
          <w:rFonts w:asciiTheme="minorHAnsi" w:hAnsiTheme="minorHAnsi" w:cstheme="minorHAnsi"/>
          <w:bCs/>
          <w:sz w:val="24"/>
          <w:szCs w:val="24"/>
        </w:rPr>
        <w:t>correct a</w:t>
      </w:r>
      <w:r w:rsidRPr="00F106BB">
        <w:rPr>
          <w:rFonts w:asciiTheme="minorHAnsi" w:hAnsiTheme="minorHAnsi" w:cstheme="minorHAnsi"/>
          <w:bCs/>
          <w:sz w:val="24"/>
          <w:szCs w:val="24"/>
        </w:rPr>
        <w:t xml:space="preserve"> reference </w:t>
      </w:r>
      <w:r w:rsidR="00FA2BBB" w:rsidRPr="00F106BB">
        <w:rPr>
          <w:rFonts w:asciiTheme="minorHAnsi" w:hAnsiTheme="minorHAnsi" w:cstheme="minorHAnsi"/>
          <w:bCs/>
          <w:sz w:val="24"/>
          <w:szCs w:val="24"/>
        </w:rPr>
        <w:t>to the elec</w:t>
      </w:r>
      <w:r w:rsidR="00FA2BBB" w:rsidRPr="00CF0136">
        <w:rPr>
          <w:rFonts w:asciiTheme="minorHAnsi" w:hAnsiTheme="minorHAnsi" w:cstheme="minorHAnsi"/>
          <w:bCs/>
          <w:sz w:val="24"/>
          <w:szCs w:val="24"/>
        </w:rPr>
        <w:t xml:space="preserve">tronic lodgement of documents in </w:t>
      </w:r>
      <w:r w:rsidRPr="00CF0136">
        <w:rPr>
          <w:rFonts w:asciiTheme="minorHAnsi" w:hAnsiTheme="minorHAnsi" w:cstheme="minorHAnsi"/>
          <w:bCs/>
          <w:sz w:val="24"/>
          <w:szCs w:val="24"/>
        </w:rPr>
        <w:t xml:space="preserve">the </w:t>
      </w:r>
      <w:r w:rsidRPr="00922869">
        <w:rPr>
          <w:rFonts w:asciiTheme="minorHAnsi" w:hAnsiTheme="minorHAnsi" w:cstheme="minorHAnsi"/>
          <w:bCs/>
          <w:i/>
          <w:iCs/>
          <w:sz w:val="24"/>
          <w:szCs w:val="24"/>
        </w:rPr>
        <w:t>E-Conveyancing Law</w:t>
      </w:r>
      <w:r w:rsidRPr="00CF0136">
        <w:rPr>
          <w:rFonts w:asciiTheme="minorHAnsi" w:hAnsiTheme="minorHAnsi" w:cstheme="minorHAnsi"/>
          <w:bCs/>
          <w:sz w:val="24"/>
          <w:szCs w:val="24"/>
        </w:rPr>
        <w:t xml:space="preserve">. </w:t>
      </w:r>
      <w:r w:rsidR="0039565E" w:rsidRPr="00CF0136">
        <w:rPr>
          <w:rFonts w:asciiTheme="minorHAnsi" w:hAnsiTheme="minorHAnsi" w:cstheme="minorHAnsi"/>
          <w:bCs/>
          <w:sz w:val="24"/>
          <w:szCs w:val="24"/>
        </w:rPr>
        <w:t xml:space="preserve">Section 48BD of the </w:t>
      </w:r>
      <w:r w:rsidR="0039565E" w:rsidRPr="002707D1">
        <w:rPr>
          <w:rFonts w:asciiTheme="minorHAnsi" w:hAnsiTheme="minorHAnsi" w:cstheme="minorHAnsi"/>
          <w:bCs/>
          <w:sz w:val="24"/>
          <w:szCs w:val="24"/>
        </w:rPr>
        <w:t>Land Titles Act</w:t>
      </w:r>
      <w:r w:rsidR="002707D1">
        <w:rPr>
          <w:rFonts w:asciiTheme="minorHAnsi" w:hAnsiTheme="minorHAnsi" w:cstheme="minorHAnsi"/>
          <w:bCs/>
          <w:sz w:val="24"/>
          <w:szCs w:val="24"/>
        </w:rPr>
        <w:t xml:space="preserve"> </w:t>
      </w:r>
      <w:r w:rsidR="0039565E" w:rsidRPr="00F106BB">
        <w:rPr>
          <w:rFonts w:asciiTheme="minorHAnsi" w:hAnsiTheme="minorHAnsi" w:cstheme="minorHAnsi"/>
          <w:bCs/>
          <w:sz w:val="24"/>
          <w:szCs w:val="24"/>
        </w:rPr>
        <w:t xml:space="preserve">outlines the signature and witnessing requirements for legal practitioners and mortgagee corporations. A note is included under section 48BD that provides that the ‘E-Conveyancing Law, pt 2, div 2 contains similar provisions for instruments lodged electronically.’ </w:t>
      </w:r>
      <w:r w:rsidR="0081083F" w:rsidRPr="00F106BB">
        <w:rPr>
          <w:rFonts w:asciiTheme="minorHAnsi" w:hAnsiTheme="minorHAnsi" w:cstheme="minorHAnsi"/>
          <w:bCs/>
          <w:sz w:val="24"/>
          <w:szCs w:val="24"/>
        </w:rPr>
        <w:t>P</w:t>
      </w:r>
      <w:r w:rsidR="00157D25" w:rsidRPr="00F106BB">
        <w:rPr>
          <w:rFonts w:asciiTheme="minorHAnsi" w:hAnsiTheme="minorHAnsi" w:cstheme="minorHAnsi"/>
          <w:bCs/>
          <w:sz w:val="24"/>
          <w:szCs w:val="24"/>
        </w:rPr>
        <w:t xml:space="preserve">t 2, division 2 of this Law </w:t>
      </w:r>
      <w:r w:rsidR="00FA2BBB" w:rsidRPr="00F106BB">
        <w:rPr>
          <w:rFonts w:asciiTheme="minorHAnsi" w:hAnsiTheme="minorHAnsi" w:cstheme="minorHAnsi"/>
          <w:bCs/>
          <w:sz w:val="24"/>
          <w:szCs w:val="24"/>
        </w:rPr>
        <w:t>does not relate to electronic lodgement of documents</w:t>
      </w:r>
      <w:r w:rsidR="00157D25" w:rsidRPr="00F106BB">
        <w:rPr>
          <w:rFonts w:asciiTheme="minorHAnsi" w:hAnsiTheme="minorHAnsi" w:cstheme="minorHAnsi"/>
          <w:bCs/>
          <w:sz w:val="24"/>
          <w:szCs w:val="24"/>
        </w:rPr>
        <w:t>. The correct reference is pt</w:t>
      </w:r>
      <w:r w:rsidR="0081083F" w:rsidRPr="00F106BB">
        <w:rPr>
          <w:rFonts w:asciiTheme="minorHAnsi" w:hAnsiTheme="minorHAnsi" w:cstheme="minorHAnsi"/>
          <w:bCs/>
          <w:sz w:val="24"/>
          <w:szCs w:val="24"/>
        </w:rPr>
        <w:t xml:space="preserve"> </w:t>
      </w:r>
      <w:r w:rsidR="00157D25" w:rsidRPr="00F106BB">
        <w:rPr>
          <w:rFonts w:asciiTheme="minorHAnsi" w:hAnsiTheme="minorHAnsi" w:cstheme="minorHAnsi"/>
          <w:bCs/>
          <w:sz w:val="24"/>
          <w:szCs w:val="24"/>
        </w:rPr>
        <w:t>2, div 1</w:t>
      </w:r>
      <w:r w:rsidR="00FA2BBB" w:rsidRPr="00F106BB">
        <w:rPr>
          <w:rFonts w:asciiTheme="minorHAnsi" w:hAnsiTheme="minorHAnsi" w:cstheme="minorHAnsi"/>
          <w:bCs/>
          <w:sz w:val="24"/>
          <w:szCs w:val="24"/>
        </w:rPr>
        <w:t>.</w:t>
      </w:r>
    </w:p>
    <w:p w14:paraId="2A6F98B2" w14:textId="64474ADE" w:rsidR="0081083F" w:rsidRPr="00F106BB" w:rsidRDefault="0081083F" w:rsidP="001A32A5">
      <w:pPr>
        <w:jc w:val="both"/>
        <w:rPr>
          <w:rFonts w:asciiTheme="minorHAnsi" w:hAnsiTheme="minorHAnsi" w:cstheme="minorHAnsi"/>
          <w:b/>
          <w:i/>
          <w:iCs/>
          <w:sz w:val="24"/>
          <w:szCs w:val="24"/>
        </w:rPr>
      </w:pPr>
      <w:r w:rsidRPr="00F106BB">
        <w:rPr>
          <w:rFonts w:asciiTheme="minorHAnsi" w:hAnsiTheme="minorHAnsi" w:cstheme="minorHAnsi"/>
          <w:b/>
          <w:i/>
          <w:iCs/>
          <w:sz w:val="24"/>
          <w:szCs w:val="24"/>
        </w:rPr>
        <w:t xml:space="preserve">Residential Tenancies Act 1977 </w:t>
      </w:r>
    </w:p>
    <w:p w14:paraId="5C1A3248" w14:textId="5BA02E4A" w:rsidR="008F0A5D" w:rsidRPr="00F106BB" w:rsidRDefault="008F0A5D" w:rsidP="001A32A5">
      <w:pPr>
        <w:jc w:val="both"/>
        <w:rPr>
          <w:rFonts w:asciiTheme="minorHAnsi" w:hAnsiTheme="minorHAnsi" w:cstheme="minorHAnsi"/>
          <w:bCs/>
          <w:i/>
          <w:iCs/>
          <w:sz w:val="24"/>
          <w:szCs w:val="24"/>
        </w:rPr>
      </w:pPr>
      <w:r w:rsidRPr="00F106BB">
        <w:rPr>
          <w:rFonts w:asciiTheme="minorHAnsi" w:hAnsiTheme="minorHAnsi" w:cstheme="minorHAnsi"/>
          <w:bCs/>
          <w:i/>
          <w:iCs/>
          <w:sz w:val="24"/>
          <w:szCs w:val="24"/>
        </w:rPr>
        <w:t xml:space="preserve">Amendment to section 12(4) </w:t>
      </w:r>
    </w:p>
    <w:p w14:paraId="165E6041" w14:textId="3EEA41BC" w:rsidR="0039565E" w:rsidRPr="00F106BB" w:rsidRDefault="00FA2BBB" w:rsidP="001A32A5">
      <w:pPr>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The Bill amends section 12(4) of the </w:t>
      </w:r>
      <w:r w:rsidRPr="00F106BB">
        <w:rPr>
          <w:rFonts w:asciiTheme="minorHAnsi" w:hAnsiTheme="minorHAnsi" w:cstheme="minorHAnsi"/>
          <w:bCs/>
          <w:i/>
          <w:iCs/>
          <w:sz w:val="24"/>
          <w:szCs w:val="24"/>
        </w:rPr>
        <w:t>Residential Tenancies Act</w:t>
      </w:r>
      <w:r w:rsidRPr="00F106BB">
        <w:rPr>
          <w:rFonts w:asciiTheme="minorHAnsi" w:hAnsiTheme="minorHAnsi" w:cstheme="minorHAnsi"/>
          <w:bCs/>
          <w:sz w:val="24"/>
          <w:szCs w:val="24"/>
        </w:rPr>
        <w:t xml:space="preserve"> to correctly define ‘asbestos advice’ as per the </w:t>
      </w:r>
      <w:r w:rsidRPr="00F106BB">
        <w:rPr>
          <w:rFonts w:asciiTheme="minorHAnsi" w:hAnsiTheme="minorHAnsi" w:cstheme="minorHAnsi"/>
          <w:bCs/>
          <w:i/>
          <w:iCs/>
          <w:sz w:val="24"/>
          <w:szCs w:val="24"/>
        </w:rPr>
        <w:t>Dangerous Substances Act 2004</w:t>
      </w:r>
      <w:r w:rsidRPr="00F106BB">
        <w:rPr>
          <w:rFonts w:asciiTheme="minorHAnsi" w:hAnsiTheme="minorHAnsi" w:cstheme="minorHAnsi"/>
          <w:bCs/>
          <w:sz w:val="24"/>
          <w:szCs w:val="24"/>
        </w:rPr>
        <w:t xml:space="preserve"> section 47M. T</w:t>
      </w:r>
      <w:r w:rsidR="007938FE" w:rsidRPr="00F106BB">
        <w:rPr>
          <w:rFonts w:asciiTheme="minorHAnsi" w:hAnsiTheme="minorHAnsi" w:cstheme="minorHAnsi"/>
          <w:bCs/>
          <w:sz w:val="24"/>
          <w:szCs w:val="24"/>
        </w:rPr>
        <w:t xml:space="preserve">he </w:t>
      </w:r>
      <w:r w:rsidR="007938FE" w:rsidRPr="00F106BB">
        <w:rPr>
          <w:rFonts w:asciiTheme="minorHAnsi" w:hAnsiTheme="minorHAnsi" w:cstheme="minorHAnsi"/>
          <w:bCs/>
          <w:i/>
          <w:iCs/>
          <w:sz w:val="24"/>
          <w:szCs w:val="24"/>
        </w:rPr>
        <w:t>Residential Tenancies Act</w:t>
      </w:r>
      <w:r w:rsidR="007938FE" w:rsidRPr="00F106BB">
        <w:rPr>
          <w:rFonts w:asciiTheme="minorHAnsi" w:hAnsiTheme="minorHAnsi" w:cstheme="minorHAnsi"/>
          <w:bCs/>
          <w:sz w:val="24"/>
          <w:szCs w:val="24"/>
        </w:rPr>
        <w:t xml:space="preserve"> </w:t>
      </w:r>
      <w:r w:rsidRPr="00F106BB">
        <w:rPr>
          <w:rFonts w:asciiTheme="minorHAnsi" w:hAnsiTheme="minorHAnsi" w:cstheme="minorHAnsi"/>
          <w:bCs/>
          <w:sz w:val="24"/>
          <w:szCs w:val="24"/>
        </w:rPr>
        <w:t xml:space="preserve">currently incorrectly </w:t>
      </w:r>
      <w:r w:rsidR="008F0A5D" w:rsidRPr="00F106BB">
        <w:rPr>
          <w:rFonts w:asciiTheme="minorHAnsi" w:hAnsiTheme="minorHAnsi" w:cstheme="minorHAnsi"/>
          <w:bCs/>
          <w:sz w:val="24"/>
          <w:szCs w:val="24"/>
        </w:rPr>
        <w:t xml:space="preserve">refers to the </w:t>
      </w:r>
      <w:r w:rsidR="008F0A5D" w:rsidRPr="00F106BB">
        <w:rPr>
          <w:rFonts w:asciiTheme="minorHAnsi" w:hAnsiTheme="minorHAnsi" w:cstheme="minorHAnsi"/>
          <w:bCs/>
          <w:i/>
          <w:iCs/>
          <w:sz w:val="24"/>
          <w:szCs w:val="24"/>
        </w:rPr>
        <w:t>Dangerous Substances Act 2004</w:t>
      </w:r>
      <w:r w:rsidR="008F0A5D" w:rsidRPr="00F106BB">
        <w:rPr>
          <w:rFonts w:asciiTheme="minorHAnsi" w:hAnsiTheme="minorHAnsi" w:cstheme="minorHAnsi"/>
          <w:bCs/>
          <w:sz w:val="24"/>
          <w:szCs w:val="24"/>
        </w:rPr>
        <w:t xml:space="preserve">, section 47J for the definition of ‘asbestos advice’. </w:t>
      </w:r>
    </w:p>
    <w:p w14:paraId="0F59B2F3" w14:textId="1B4C6C35" w:rsidR="008F0A5D" w:rsidRPr="00F106BB" w:rsidRDefault="008F0A5D" w:rsidP="001A32A5">
      <w:pPr>
        <w:jc w:val="both"/>
        <w:rPr>
          <w:rFonts w:asciiTheme="minorHAnsi" w:hAnsiTheme="minorHAnsi" w:cstheme="minorHAnsi"/>
          <w:bCs/>
          <w:i/>
          <w:iCs/>
          <w:sz w:val="24"/>
          <w:szCs w:val="24"/>
        </w:rPr>
      </w:pPr>
      <w:r w:rsidRPr="00F106BB">
        <w:rPr>
          <w:rFonts w:asciiTheme="minorHAnsi" w:hAnsiTheme="minorHAnsi" w:cstheme="minorHAnsi"/>
          <w:bCs/>
          <w:i/>
          <w:iCs/>
          <w:sz w:val="24"/>
          <w:szCs w:val="24"/>
        </w:rPr>
        <w:t xml:space="preserve">Amendment to section 35A(4)(b) </w:t>
      </w:r>
    </w:p>
    <w:p w14:paraId="5DDFE766" w14:textId="33676D61" w:rsidR="008F0A5D" w:rsidRPr="00F106BB" w:rsidRDefault="00FA2BBB" w:rsidP="001A32A5">
      <w:pPr>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The Bill amends section 35A(4)(b) of the </w:t>
      </w:r>
      <w:r w:rsidRPr="00922869">
        <w:rPr>
          <w:rFonts w:asciiTheme="minorHAnsi" w:hAnsiTheme="minorHAnsi" w:cstheme="minorHAnsi"/>
          <w:bCs/>
          <w:i/>
          <w:iCs/>
          <w:sz w:val="24"/>
          <w:szCs w:val="24"/>
        </w:rPr>
        <w:t>Residential Tenancies Act</w:t>
      </w:r>
      <w:r w:rsidR="002707D1">
        <w:rPr>
          <w:rFonts w:asciiTheme="minorHAnsi" w:hAnsiTheme="minorHAnsi" w:cstheme="minorHAnsi"/>
          <w:bCs/>
          <w:sz w:val="24"/>
          <w:szCs w:val="24"/>
        </w:rPr>
        <w:t xml:space="preserve"> </w:t>
      </w:r>
      <w:r w:rsidRPr="00F106BB">
        <w:rPr>
          <w:rFonts w:asciiTheme="minorHAnsi" w:hAnsiTheme="minorHAnsi" w:cstheme="minorHAnsi"/>
          <w:bCs/>
          <w:sz w:val="24"/>
          <w:szCs w:val="24"/>
        </w:rPr>
        <w:t xml:space="preserve">to correct a reference from section 35G(2)(a), which does not exist, to section 35G(2). </w:t>
      </w:r>
      <w:r w:rsidR="00C72256" w:rsidRPr="00F106BB">
        <w:rPr>
          <w:rFonts w:asciiTheme="minorHAnsi" w:hAnsiTheme="minorHAnsi" w:cstheme="minorHAnsi"/>
          <w:bCs/>
          <w:sz w:val="24"/>
          <w:szCs w:val="24"/>
        </w:rPr>
        <w:t xml:space="preserve">Section 35A(1)(a) of the </w:t>
      </w:r>
      <w:r w:rsidR="00C72256" w:rsidRPr="00922869">
        <w:rPr>
          <w:rFonts w:asciiTheme="minorHAnsi" w:hAnsiTheme="minorHAnsi" w:cstheme="minorHAnsi"/>
          <w:bCs/>
          <w:i/>
          <w:iCs/>
          <w:sz w:val="24"/>
          <w:szCs w:val="24"/>
        </w:rPr>
        <w:t>Residential Tenancies Act</w:t>
      </w:r>
      <w:r w:rsidRPr="00F106BB">
        <w:rPr>
          <w:rFonts w:asciiTheme="minorHAnsi" w:hAnsiTheme="minorHAnsi" w:cstheme="minorHAnsi"/>
          <w:bCs/>
          <w:i/>
          <w:iCs/>
          <w:sz w:val="24"/>
          <w:szCs w:val="24"/>
        </w:rPr>
        <w:t xml:space="preserve"> </w:t>
      </w:r>
      <w:r w:rsidRPr="00F106BB">
        <w:rPr>
          <w:rFonts w:asciiTheme="minorHAnsi" w:hAnsiTheme="minorHAnsi" w:cstheme="minorHAnsi"/>
          <w:bCs/>
          <w:sz w:val="24"/>
          <w:szCs w:val="24"/>
        </w:rPr>
        <w:t xml:space="preserve">provides that </w:t>
      </w:r>
      <w:r w:rsidR="00C72256" w:rsidRPr="00F106BB">
        <w:rPr>
          <w:rFonts w:asciiTheme="minorHAnsi" w:hAnsiTheme="minorHAnsi" w:cstheme="minorHAnsi"/>
          <w:bCs/>
          <w:sz w:val="24"/>
          <w:szCs w:val="24"/>
        </w:rPr>
        <w:t>a co-tenant may stop being a party to a residential tenancy agreement only with the consent of the lessor and each remaining co-tenant, or by order of the ACAT. Under section 35A(4)(b), the lessor and remaining co-tenant are taken to have consented if they do not apply to the ACAT within 21 days after receiving the consent application for an under section 35G(1)(b) or (2)(a) to refuse consent. Section 35G(2)(a) does not exist. The correct reference is section 35G(2)</w:t>
      </w:r>
      <w:r w:rsidRPr="00F106BB">
        <w:rPr>
          <w:rFonts w:asciiTheme="minorHAnsi" w:hAnsiTheme="minorHAnsi" w:cstheme="minorHAnsi"/>
          <w:bCs/>
          <w:sz w:val="24"/>
          <w:szCs w:val="24"/>
        </w:rPr>
        <w:t>.</w:t>
      </w:r>
    </w:p>
    <w:p w14:paraId="6FF6C049" w14:textId="3840E06D" w:rsidR="00DF31EF" w:rsidRPr="00F106BB" w:rsidRDefault="00DF31EF" w:rsidP="001A32A5">
      <w:pPr>
        <w:jc w:val="both"/>
        <w:rPr>
          <w:rFonts w:asciiTheme="minorHAnsi" w:hAnsiTheme="minorHAnsi" w:cstheme="minorHAnsi"/>
          <w:bCs/>
          <w:i/>
          <w:iCs/>
          <w:sz w:val="24"/>
          <w:szCs w:val="24"/>
        </w:rPr>
      </w:pPr>
      <w:r w:rsidRPr="00F106BB">
        <w:rPr>
          <w:rFonts w:asciiTheme="minorHAnsi" w:hAnsiTheme="minorHAnsi" w:cstheme="minorHAnsi"/>
          <w:bCs/>
          <w:i/>
          <w:iCs/>
          <w:sz w:val="24"/>
          <w:szCs w:val="24"/>
        </w:rPr>
        <w:t xml:space="preserve">Amendment to section 35B(6) </w:t>
      </w:r>
    </w:p>
    <w:p w14:paraId="08EB16EA" w14:textId="5960ED73" w:rsidR="00FA2BBB" w:rsidRPr="00F106BB" w:rsidRDefault="00FA2BBB" w:rsidP="001A32A5">
      <w:pPr>
        <w:pStyle w:val="CS-Paragraphnumbering"/>
        <w:ind w:left="0" w:firstLine="0"/>
        <w:jc w:val="both"/>
        <w:rPr>
          <w:rFonts w:asciiTheme="minorHAnsi" w:eastAsia="Times New Roman" w:hAnsiTheme="minorHAnsi" w:cstheme="minorHAnsi"/>
          <w:bCs/>
        </w:rPr>
      </w:pPr>
      <w:r w:rsidRPr="00F106BB">
        <w:rPr>
          <w:rFonts w:asciiTheme="minorHAnsi" w:eastAsia="Times New Roman" w:hAnsiTheme="minorHAnsi" w:cstheme="minorHAnsi"/>
          <w:bCs/>
        </w:rPr>
        <w:t xml:space="preserve">The Bill amends the note at section 35B(2) to correct a reference from section 83(c), which does not exist, to section 83(1)(c). </w:t>
      </w:r>
    </w:p>
    <w:p w14:paraId="26370130" w14:textId="0137BAFD" w:rsidR="00FC1E20" w:rsidRPr="00F106BB" w:rsidRDefault="00FC1E20" w:rsidP="001A32A5">
      <w:pPr>
        <w:pStyle w:val="CS-Paragraphnumbering"/>
        <w:ind w:left="0" w:firstLine="0"/>
        <w:jc w:val="both"/>
        <w:rPr>
          <w:rFonts w:asciiTheme="minorHAnsi" w:eastAsia="Times New Roman" w:hAnsiTheme="minorHAnsi" w:cstheme="minorHAnsi"/>
          <w:bCs/>
        </w:rPr>
      </w:pPr>
      <w:r w:rsidRPr="00F106BB">
        <w:rPr>
          <w:rFonts w:asciiTheme="minorHAnsi" w:eastAsia="Times New Roman" w:hAnsiTheme="minorHAnsi" w:cstheme="minorHAnsi"/>
          <w:bCs/>
        </w:rPr>
        <w:t>Section 35B(6) provides that a leaving co-tenant may apply to the ACAT for resolution of a dispute in relation to bond or rent even if the leaving co-tenant is no longer a party to the residential tenancy agreement. This section includes a note which provides that the ACAT may make orders requiring the payment of an amount to a person and directs the reader to section 83(c)</w:t>
      </w:r>
      <w:r w:rsidR="00FA2BBB" w:rsidRPr="00F106BB">
        <w:rPr>
          <w:rFonts w:asciiTheme="minorHAnsi" w:eastAsia="Times New Roman" w:hAnsiTheme="minorHAnsi" w:cstheme="minorHAnsi"/>
          <w:bCs/>
        </w:rPr>
        <w:t xml:space="preserve"> – the correct provision is section 83(1)(c) </w:t>
      </w:r>
      <w:r w:rsidRPr="00F106BB">
        <w:rPr>
          <w:rFonts w:asciiTheme="minorHAnsi" w:eastAsia="Times New Roman" w:hAnsiTheme="minorHAnsi" w:cstheme="minorHAnsi"/>
          <w:bCs/>
        </w:rPr>
        <w:t xml:space="preserve">which provides that the ACAT can make an order requiring the payment of an amount to the Territory or a person. </w:t>
      </w:r>
    </w:p>
    <w:p w14:paraId="1AC510E6" w14:textId="3F262BB7" w:rsidR="00FC1E20" w:rsidRPr="00F106BB" w:rsidRDefault="00FC1E20" w:rsidP="001A32A5">
      <w:pPr>
        <w:pStyle w:val="CS-Paragraphnumbering"/>
        <w:ind w:left="0" w:firstLine="0"/>
        <w:jc w:val="both"/>
        <w:rPr>
          <w:rFonts w:asciiTheme="minorHAnsi" w:eastAsia="Times New Roman" w:hAnsiTheme="minorHAnsi" w:cstheme="minorHAnsi"/>
          <w:bCs/>
          <w:i/>
          <w:iCs/>
        </w:rPr>
      </w:pPr>
      <w:r w:rsidRPr="00F106BB">
        <w:rPr>
          <w:rFonts w:asciiTheme="minorHAnsi" w:eastAsia="Times New Roman" w:hAnsiTheme="minorHAnsi" w:cstheme="minorHAnsi"/>
          <w:bCs/>
          <w:i/>
          <w:iCs/>
        </w:rPr>
        <w:t xml:space="preserve">Amendment to schedule 1, clause 100  </w:t>
      </w:r>
    </w:p>
    <w:p w14:paraId="298B10F4" w14:textId="6988EC57" w:rsidR="00E90D0B" w:rsidRPr="00F106BB" w:rsidRDefault="00682BBB" w:rsidP="001A32A5">
      <w:pPr>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The Bill amends schedule 1, clause 100 of the standard residential tenancy terms to change the reference from ‘joint tenants’ to ‘co-tenants’. </w:t>
      </w:r>
      <w:r w:rsidR="00E90D0B" w:rsidRPr="00F106BB">
        <w:rPr>
          <w:rFonts w:asciiTheme="minorHAnsi" w:hAnsiTheme="minorHAnsi" w:cstheme="minorHAnsi"/>
          <w:bCs/>
          <w:sz w:val="24"/>
          <w:szCs w:val="24"/>
        </w:rPr>
        <w:t xml:space="preserve">The phrase ‘joint tenants’ is not used elsewhere in the </w:t>
      </w:r>
      <w:r w:rsidR="00E90D0B" w:rsidRPr="002707D1">
        <w:rPr>
          <w:rFonts w:asciiTheme="minorHAnsi" w:hAnsiTheme="minorHAnsi" w:cstheme="minorHAnsi"/>
          <w:bCs/>
          <w:sz w:val="24"/>
          <w:szCs w:val="24"/>
        </w:rPr>
        <w:t>Residential Tenancies Act</w:t>
      </w:r>
      <w:r w:rsidR="00E90D0B" w:rsidRPr="00CF0136">
        <w:rPr>
          <w:rFonts w:asciiTheme="minorHAnsi" w:hAnsiTheme="minorHAnsi" w:cstheme="minorHAnsi"/>
          <w:bCs/>
          <w:sz w:val="24"/>
          <w:szCs w:val="24"/>
        </w:rPr>
        <w:t>.</w:t>
      </w:r>
      <w:r w:rsidR="00E90D0B" w:rsidRPr="00F106BB">
        <w:rPr>
          <w:rFonts w:asciiTheme="minorHAnsi" w:hAnsiTheme="minorHAnsi" w:cstheme="minorHAnsi"/>
          <w:bCs/>
          <w:sz w:val="24"/>
          <w:szCs w:val="24"/>
        </w:rPr>
        <w:t xml:space="preserve"> The correct term is ‘co-tenants’. </w:t>
      </w:r>
    </w:p>
    <w:p w14:paraId="70E46F8B" w14:textId="44DFC4E9" w:rsidR="002A48B6" w:rsidRPr="00F106BB" w:rsidRDefault="003B3248" w:rsidP="001A32A5">
      <w:pPr>
        <w:jc w:val="both"/>
        <w:rPr>
          <w:rFonts w:asciiTheme="minorHAnsi" w:hAnsiTheme="minorHAnsi" w:cstheme="minorHAnsi"/>
          <w:b/>
          <w:i/>
          <w:iCs/>
          <w:sz w:val="24"/>
          <w:szCs w:val="24"/>
        </w:rPr>
      </w:pPr>
      <w:r>
        <w:rPr>
          <w:rFonts w:asciiTheme="minorHAnsi" w:hAnsiTheme="minorHAnsi" w:cstheme="minorHAnsi"/>
          <w:b/>
          <w:i/>
          <w:iCs/>
          <w:sz w:val="24"/>
          <w:szCs w:val="24"/>
        </w:rPr>
        <w:lastRenderedPageBreak/>
        <w:t>Setting aside unjust institutional child abuse settlement agreements</w:t>
      </w:r>
    </w:p>
    <w:p w14:paraId="1651AE8A" w14:textId="1D70FD45" w:rsidR="002A48B6" w:rsidRPr="00F106BB" w:rsidRDefault="009867F2" w:rsidP="001A32A5">
      <w:pPr>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The Bill amends the </w:t>
      </w:r>
      <w:r w:rsidRPr="00F106BB">
        <w:rPr>
          <w:rFonts w:asciiTheme="minorHAnsi" w:hAnsiTheme="minorHAnsi" w:cstheme="minorHAnsi"/>
          <w:bCs/>
          <w:i/>
          <w:iCs/>
          <w:sz w:val="24"/>
          <w:szCs w:val="24"/>
        </w:rPr>
        <w:t xml:space="preserve">Civil Law (Wrongs) Act </w:t>
      </w:r>
      <w:r w:rsidRPr="00F106BB">
        <w:rPr>
          <w:rFonts w:asciiTheme="minorHAnsi" w:hAnsiTheme="minorHAnsi" w:cstheme="minorHAnsi"/>
          <w:bCs/>
          <w:sz w:val="24"/>
          <w:szCs w:val="24"/>
        </w:rPr>
        <w:t xml:space="preserve">to insert new </w:t>
      </w:r>
      <w:r w:rsidR="00894590" w:rsidRPr="00F106BB">
        <w:rPr>
          <w:rFonts w:asciiTheme="minorHAnsi" w:hAnsiTheme="minorHAnsi" w:cstheme="minorHAnsi"/>
          <w:bCs/>
          <w:sz w:val="24"/>
          <w:szCs w:val="24"/>
        </w:rPr>
        <w:t>section 8A</w:t>
      </w:r>
      <w:r w:rsidR="004502B1" w:rsidRPr="00F106BB">
        <w:rPr>
          <w:rFonts w:asciiTheme="minorHAnsi" w:hAnsiTheme="minorHAnsi" w:cstheme="minorHAnsi"/>
          <w:bCs/>
          <w:sz w:val="24"/>
          <w:szCs w:val="24"/>
        </w:rPr>
        <w:t>.3</w:t>
      </w:r>
      <w:r w:rsidR="00894590" w:rsidRPr="00F106BB">
        <w:rPr>
          <w:rFonts w:asciiTheme="minorHAnsi" w:hAnsiTheme="minorHAnsi" w:cstheme="minorHAnsi"/>
          <w:bCs/>
          <w:sz w:val="24"/>
          <w:szCs w:val="24"/>
        </w:rPr>
        <w:t xml:space="preserve">, </w:t>
      </w:r>
      <w:r w:rsidRPr="00F106BB">
        <w:rPr>
          <w:rFonts w:asciiTheme="minorHAnsi" w:hAnsiTheme="minorHAnsi" w:cstheme="minorHAnsi"/>
          <w:bCs/>
          <w:sz w:val="24"/>
          <w:szCs w:val="24"/>
        </w:rPr>
        <w:t>that allows the court to set aside unjust institutional child abuse settlement agreements</w:t>
      </w:r>
      <w:r w:rsidR="00940636" w:rsidRPr="00F106BB">
        <w:rPr>
          <w:rFonts w:asciiTheme="minorHAnsi" w:hAnsiTheme="minorHAnsi" w:cstheme="minorHAnsi"/>
          <w:bCs/>
          <w:sz w:val="24"/>
          <w:szCs w:val="24"/>
        </w:rPr>
        <w:t>.</w:t>
      </w:r>
      <w:r w:rsidRPr="00F106BB">
        <w:rPr>
          <w:rFonts w:asciiTheme="minorHAnsi" w:hAnsiTheme="minorHAnsi" w:cstheme="minorHAnsi"/>
          <w:bCs/>
          <w:sz w:val="24"/>
          <w:szCs w:val="24"/>
        </w:rPr>
        <w:t xml:space="preserve"> </w:t>
      </w:r>
      <w:r w:rsidR="00DC75F9" w:rsidRPr="00F106BB">
        <w:rPr>
          <w:rFonts w:asciiTheme="minorHAnsi" w:hAnsiTheme="minorHAnsi" w:cstheme="minorHAnsi"/>
          <w:bCs/>
          <w:sz w:val="24"/>
          <w:szCs w:val="24"/>
        </w:rPr>
        <w:t xml:space="preserve">It amends the definition of ‘child abuse’ in </w:t>
      </w:r>
      <w:r w:rsidR="00006F51" w:rsidRPr="00F106BB">
        <w:rPr>
          <w:rFonts w:asciiTheme="minorHAnsi" w:hAnsiTheme="minorHAnsi" w:cstheme="minorHAnsi"/>
          <w:bCs/>
          <w:sz w:val="24"/>
          <w:szCs w:val="24"/>
        </w:rPr>
        <w:t xml:space="preserve">section 21C of </w:t>
      </w:r>
      <w:r w:rsidR="00DC75F9" w:rsidRPr="00F106BB">
        <w:rPr>
          <w:rFonts w:asciiTheme="minorHAnsi" w:hAnsiTheme="minorHAnsi" w:cstheme="minorHAnsi"/>
          <w:bCs/>
          <w:sz w:val="24"/>
          <w:szCs w:val="24"/>
        </w:rPr>
        <w:t xml:space="preserve">the </w:t>
      </w:r>
      <w:r w:rsidR="00DC75F9" w:rsidRPr="002707D1">
        <w:rPr>
          <w:rFonts w:asciiTheme="minorHAnsi" w:hAnsiTheme="minorHAnsi" w:cstheme="minorHAnsi"/>
          <w:bCs/>
          <w:sz w:val="24"/>
          <w:szCs w:val="24"/>
        </w:rPr>
        <w:t>Limitation Act</w:t>
      </w:r>
      <w:r w:rsidR="00DC75F9" w:rsidRPr="00F106BB">
        <w:rPr>
          <w:rFonts w:asciiTheme="minorHAnsi" w:hAnsiTheme="minorHAnsi" w:cstheme="minorHAnsi"/>
          <w:bCs/>
          <w:i/>
          <w:iCs/>
          <w:sz w:val="24"/>
          <w:szCs w:val="24"/>
        </w:rPr>
        <w:t xml:space="preserve"> </w:t>
      </w:r>
      <w:r w:rsidR="00DC75F9" w:rsidRPr="00F106BB">
        <w:rPr>
          <w:rFonts w:asciiTheme="minorHAnsi" w:hAnsiTheme="minorHAnsi" w:cstheme="minorHAnsi"/>
          <w:bCs/>
          <w:sz w:val="24"/>
          <w:szCs w:val="24"/>
        </w:rPr>
        <w:t xml:space="preserve">beyond ‘sexual’ abuse to also cover </w:t>
      </w:r>
      <w:bookmarkStart w:id="0" w:name="_Hlk102393002"/>
      <w:r w:rsidR="00DC75F9" w:rsidRPr="00F106BB">
        <w:rPr>
          <w:rFonts w:asciiTheme="minorHAnsi" w:hAnsiTheme="minorHAnsi" w:cstheme="minorHAnsi"/>
          <w:bCs/>
          <w:sz w:val="24"/>
          <w:szCs w:val="24"/>
        </w:rPr>
        <w:t>‘physical’ abuse.</w:t>
      </w:r>
    </w:p>
    <w:p w14:paraId="6270F854" w14:textId="5E719419" w:rsidR="007E1AEB" w:rsidRPr="00F106BB" w:rsidRDefault="00940636" w:rsidP="001A32A5">
      <w:pPr>
        <w:pStyle w:val="CS-Paragraphnumbering"/>
        <w:ind w:left="0" w:firstLine="0"/>
        <w:jc w:val="both"/>
        <w:rPr>
          <w:rFonts w:asciiTheme="minorHAnsi" w:hAnsiTheme="minorHAnsi" w:cstheme="minorHAnsi"/>
        </w:rPr>
      </w:pPr>
      <w:r w:rsidRPr="00F106BB">
        <w:rPr>
          <w:rFonts w:asciiTheme="minorHAnsi" w:hAnsiTheme="minorHAnsi" w:cstheme="minorHAnsi"/>
        </w:rPr>
        <w:t>The ACT Government implemented reforms in the civil litigation and redress space following the Royal Commission into Institutional Responses to Child Sexual Abuse (Royal Commission)</w:t>
      </w:r>
      <w:r w:rsidR="005034D9" w:rsidRPr="00F106BB">
        <w:rPr>
          <w:rFonts w:asciiTheme="minorHAnsi" w:hAnsiTheme="minorHAnsi" w:cstheme="minorHAnsi"/>
        </w:rPr>
        <w:t xml:space="preserve"> which included</w:t>
      </w:r>
      <w:r w:rsidR="00697C4E" w:rsidRPr="00F106BB">
        <w:rPr>
          <w:rFonts w:asciiTheme="minorHAnsi" w:hAnsiTheme="minorHAnsi" w:cstheme="minorHAnsi"/>
        </w:rPr>
        <w:t xml:space="preserve"> removing</w:t>
      </w:r>
      <w:r w:rsidRPr="00F106BB">
        <w:rPr>
          <w:rFonts w:asciiTheme="minorHAnsi" w:hAnsiTheme="minorHAnsi" w:cstheme="minorHAnsi"/>
        </w:rPr>
        <w:t xml:space="preserve"> limitation periods for child</w:t>
      </w:r>
      <w:r w:rsidR="00006F51" w:rsidRPr="00F106BB">
        <w:rPr>
          <w:rFonts w:asciiTheme="minorHAnsi" w:hAnsiTheme="minorHAnsi" w:cstheme="minorHAnsi"/>
        </w:rPr>
        <w:t xml:space="preserve"> sexual</w:t>
      </w:r>
      <w:r w:rsidRPr="00F106BB">
        <w:rPr>
          <w:rFonts w:asciiTheme="minorHAnsi" w:hAnsiTheme="minorHAnsi" w:cstheme="minorHAnsi"/>
        </w:rPr>
        <w:t xml:space="preserve"> abuse </w:t>
      </w:r>
      <w:r w:rsidR="005034D9" w:rsidRPr="00F106BB">
        <w:rPr>
          <w:rFonts w:asciiTheme="minorHAnsi" w:hAnsiTheme="minorHAnsi" w:cstheme="minorHAnsi"/>
        </w:rPr>
        <w:t>claims. Prior</w:t>
      </w:r>
      <w:r w:rsidR="007E1AEB" w:rsidRPr="00F106BB">
        <w:rPr>
          <w:rFonts w:asciiTheme="minorHAnsi" w:hAnsiTheme="minorHAnsi" w:cstheme="minorHAnsi"/>
        </w:rPr>
        <w:t xml:space="preserve"> to these reforms many child abuse survivors entered into </w:t>
      </w:r>
      <w:r w:rsidR="00DB39D3" w:rsidRPr="00F106BB">
        <w:rPr>
          <w:rFonts w:asciiTheme="minorHAnsi" w:hAnsiTheme="minorHAnsi" w:cstheme="minorHAnsi"/>
        </w:rPr>
        <w:t xml:space="preserve">unfair </w:t>
      </w:r>
      <w:r w:rsidR="007E1AEB" w:rsidRPr="00F106BB">
        <w:rPr>
          <w:rFonts w:asciiTheme="minorHAnsi" w:hAnsiTheme="minorHAnsi" w:cstheme="minorHAnsi"/>
        </w:rPr>
        <w:t>settlement agreements</w:t>
      </w:r>
      <w:r w:rsidR="00DB39D3" w:rsidRPr="00F106BB">
        <w:rPr>
          <w:rFonts w:asciiTheme="minorHAnsi" w:hAnsiTheme="minorHAnsi" w:cstheme="minorHAnsi"/>
        </w:rPr>
        <w:t xml:space="preserve">. </w:t>
      </w:r>
      <w:r w:rsidR="007E1AEB" w:rsidRPr="00F106BB">
        <w:rPr>
          <w:rFonts w:asciiTheme="minorHAnsi" w:hAnsiTheme="minorHAnsi" w:cstheme="minorHAnsi"/>
        </w:rPr>
        <w:t>Most of these survivors are barred from seeking further compensation as their agreements generally released the institution from any further claims. While the ACT’s reforms</w:t>
      </w:r>
      <w:r w:rsidR="00B3452D" w:rsidRPr="00F106BB">
        <w:rPr>
          <w:rFonts w:asciiTheme="minorHAnsi" w:hAnsiTheme="minorHAnsi" w:cstheme="minorHAnsi"/>
        </w:rPr>
        <w:t xml:space="preserve"> to date</w:t>
      </w:r>
      <w:r w:rsidR="007E1AEB" w:rsidRPr="00F106BB">
        <w:rPr>
          <w:rFonts w:asciiTheme="minorHAnsi" w:hAnsiTheme="minorHAnsi" w:cstheme="minorHAnsi"/>
        </w:rPr>
        <w:t xml:space="preserve"> have removed significant barriers to civil litigation for survivors of institutional child abuse, they do not deal with the unjust products of the previous barriers, which led to survivors accepting inadequate settlements and releasing institutions from future liability.</w:t>
      </w:r>
    </w:p>
    <w:bookmarkEnd w:id="0"/>
    <w:p w14:paraId="18D08F52" w14:textId="12B0F6C4" w:rsidR="009526F5" w:rsidRPr="00F106BB" w:rsidRDefault="009526F5" w:rsidP="001A32A5">
      <w:pPr>
        <w:tabs>
          <w:tab w:val="left" w:pos="425"/>
        </w:tabs>
        <w:spacing w:before="240"/>
        <w:jc w:val="both"/>
        <w:rPr>
          <w:rFonts w:asciiTheme="minorHAnsi" w:hAnsiTheme="minorHAnsi" w:cstheme="minorHAnsi"/>
          <w:bCs/>
          <w:sz w:val="24"/>
          <w:szCs w:val="24"/>
        </w:rPr>
      </w:pPr>
      <w:r w:rsidRPr="00F106BB">
        <w:rPr>
          <w:rFonts w:asciiTheme="minorHAnsi" w:hAnsiTheme="minorHAnsi" w:cstheme="minorHAnsi"/>
          <w:bCs/>
          <w:sz w:val="24"/>
          <w:szCs w:val="24"/>
        </w:rPr>
        <w:t>The objective of the Bill is to provide an avenue for survivors to apply to the court to have their past settlement agreement set aside if at the time the agreement was made, there were legal barriers to the survivor being fully compensated</w:t>
      </w:r>
      <w:r w:rsidR="00D35D8C" w:rsidRPr="00F106BB">
        <w:rPr>
          <w:rFonts w:asciiTheme="minorHAnsi" w:hAnsiTheme="minorHAnsi" w:cstheme="minorHAnsi"/>
          <w:bCs/>
          <w:sz w:val="24"/>
          <w:szCs w:val="24"/>
        </w:rPr>
        <w:t xml:space="preserve"> through a legal cause of action</w:t>
      </w:r>
      <w:r w:rsidRPr="00F106BB">
        <w:rPr>
          <w:rFonts w:asciiTheme="minorHAnsi" w:hAnsiTheme="minorHAnsi" w:cstheme="minorHAnsi"/>
          <w:bCs/>
          <w:sz w:val="24"/>
          <w:szCs w:val="24"/>
        </w:rPr>
        <w:t>.</w:t>
      </w:r>
      <w:r w:rsidR="00D35D8C" w:rsidRPr="00F106BB">
        <w:rPr>
          <w:rFonts w:asciiTheme="minorHAnsi" w:hAnsiTheme="minorHAnsi" w:cstheme="minorHAnsi"/>
          <w:bCs/>
          <w:sz w:val="24"/>
          <w:szCs w:val="24"/>
        </w:rPr>
        <w:t xml:space="preserve"> It is also intended to allow a survivor to have their agreement set aside if, when the agreement is sought to be yet aside, the agreement is, in all the circumstances, not a just and reasonable agreement.</w:t>
      </w:r>
      <w:r w:rsidRPr="00F106BB">
        <w:rPr>
          <w:rFonts w:asciiTheme="minorHAnsi" w:hAnsiTheme="minorHAnsi" w:cstheme="minorHAnsi"/>
          <w:bCs/>
          <w:sz w:val="24"/>
          <w:szCs w:val="24"/>
        </w:rPr>
        <w:t xml:space="preserve"> </w:t>
      </w:r>
      <w:r w:rsidR="00D35D8C" w:rsidRPr="00F106BB">
        <w:rPr>
          <w:rFonts w:asciiTheme="minorHAnsi" w:hAnsiTheme="minorHAnsi" w:cstheme="minorHAnsi"/>
          <w:bCs/>
          <w:sz w:val="24"/>
          <w:szCs w:val="24"/>
        </w:rPr>
        <w:t>The intention is to</w:t>
      </w:r>
      <w:r w:rsidRPr="00F106BB">
        <w:rPr>
          <w:rFonts w:asciiTheme="minorHAnsi" w:hAnsiTheme="minorHAnsi" w:cstheme="minorHAnsi"/>
          <w:bCs/>
          <w:sz w:val="24"/>
          <w:szCs w:val="24"/>
        </w:rPr>
        <w:t xml:space="preserve"> create equality for survivors by allowing them to receive compensation that is appropriate by today’s standards. </w:t>
      </w:r>
    </w:p>
    <w:p w14:paraId="14170566" w14:textId="5BC21EA0" w:rsidR="009526F5" w:rsidRPr="00F106BB" w:rsidRDefault="009526F5" w:rsidP="001A32A5">
      <w:pPr>
        <w:tabs>
          <w:tab w:val="left" w:pos="425"/>
        </w:tabs>
        <w:spacing w:before="240"/>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The Bill </w:t>
      </w:r>
      <w:r w:rsidR="00C97A79" w:rsidRPr="00F106BB">
        <w:rPr>
          <w:rFonts w:asciiTheme="minorHAnsi" w:hAnsiTheme="minorHAnsi" w:cstheme="minorHAnsi"/>
          <w:bCs/>
          <w:sz w:val="24"/>
          <w:szCs w:val="24"/>
        </w:rPr>
        <w:t>ensures that</w:t>
      </w:r>
      <w:r w:rsidRPr="00F106BB">
        <w:rPr>
          <w:rFonts w:asciiTheme="minorHAnsi" w:hAnsiTheme="minorHAnsi" w:cstheme="minorHAnsi"/>
          <w:bCs/>
          <w:sz w:val="24"/>
          <w:szCs w:val="24"/>
        </w:rPr>
        <w:t xml:space="preserve"> survivors who entered into unjust or unreasonable settlement agreements </w:t>
      </w:r>
      <w:r w:rsidR="00DB39D3" w:rsidRPr="00F106BB">
        <w:rPr>
          <w:rFonts w:asciiTheme="minorHAnsi" w:hAnsiTheme="minorHAnsi" w:cstheme="minorHAnsi"/>
          <w:bCs/>
          <w:sz w:val="24"/>
          <w:szCs w:val="24"/>
        </w:rPr>
        <w:t>can</w:t>
      </w:r>
      <w:r w:rsidRPr="00F106BB">
        <w:rPr>
          <w:rFonts w:asciiTheme="minorHAnsi" w:hAnsiTheme="minorHAnsi" w:cstheme="minorHAnsi"/>
          <w:bCs/>
          <w:sz w:val="24"/>
          <w:szCs w:val="24"/>
        </w:rPr>
        <w:t xml:space="preserve"> have those agreements set aside and bring a new claim for compensation that is adequate, just and equitable by </w:t>
      </w:r>
      <w:r w:rsidR="00DB39D3" w:rsidRPr="00F106BB">
        <w:rPr>
          <w:rFonts w:asciiTheme="minorHAnsi" w:hAnsiTheme="minorHAnsi" w:cstheme="minorHAnsi"/>
          <w:bCs/>
          <w:sz w:val="24"/>
          <w:szCs w:val="24"/>
        </w:rPr>
        <w:t>today’s</w:t>
      </w:r>
      <w:r w:rsidRPr="00F106BB">
        <w:rPr>
          <w:rFonts w:asciiTheme="minorHAnsi" w:hAnsiTheme="minorHAnsi" w:cstheme="minorHAnsi"/>
          <w:bCs/>
          <w:sz w:val="24"/>
          <w:szCs w:val="24"/>
        </w:rPr>
        <w:t xml:space="preserve"> expectations. It places on equal footing those survivors who entered into settlement agreements before the ACT’s earlier reforms, with those who benefited from the reforms.</w:t>
      </w:r>
    </w:p>
    <w:p w14:paraId="1B860B6F" w14:textId="3CAF0789" w:rsidR="009526F5" w:rsidRPr="00F106BB" w:rsidRDefault="009526F5" w:rsidP="001A32A5">
      <w:pPr>
        <w:tabs>
          <w:tab w:val="left" w:pos="425"/>
        </w:tabs>
        <w:spacing w:before="240"/>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The legislation is intended to give survivors trapped in a past unjust settlement access to damages according to what they would be assessed as deserving by the standards of today. Considerations of equality must be at the forefront of the decision makers mind -that is, everyone deserves the equal right to access justice, and survivors trapped in a past settlement must have access to the same damages as a survivor bringing their action today.  It is intended this legislation operate to the benefit of survivors of institutional child abuse. </w:t>
      </w:r>
    </w:p>
    <w:p w14:paraId="70B0C3A4" w14:textId="3AE898D6" w:rsidR="009526F5" w:rsidRPr="00F106BB" w:rsidRDefault="009526F5" w:rsidP="001A32A5">
      <w:pPr>
        <w:tabs>
          <w:tab w:val="left" w:pos="425"/>
        </w:tabs>
        <w:spacing w:before="240"/>
        <w:jc w:val="both"/>
        <w:rPr>
          <w:rFonts w:asciiTheme="minorHAnsi" w:hAnsiTheme="minorHAnsi" w:cstheme="minorHAnsi"/>
          <w:bCs/>
          <w:i/>
          <w:iCs/>
          <w:sz w:val="24"/>
          <w:szCs w:val="24"/>
        </w:rPr>
      </w:pPr>
      <w:r w:rsidRPr="00F106BB">
        <w:rPr>
          <w:rFonts w:asciiTheme="minorHAnsi" w:hAnsiTheme="minorHAnsi" w:cstheme="minorHAnsi"/>
          <w:bCs/>
          <w:sz w:val="24"/>
          <w:szCs w:val="24"/>
        </w:rPr>
        <w:t xml:space="preserve">The Bill’s implementation should right the wrongs of the past to ensure survivors who carry the burden of the institutional abuse perpetrated on them as children </w:t>
      </w:r>
      <w:r w:rsidR="00D35D8C" w:rsidRPr="00F106BB">
        <w:rPr>
          <w:rFonts w:asciiTheme="minorHAnsi" w:hAnsiTheme="minorHAnsi" w:cstheme="minorHAnsi"/>
          <w:bCs/>
          <w:sz w:val="24"/>
          <w:szCs w:val="24"/>
        </w:rPr>
        <w:t xml:space="preserve">by virtue of being trapped in unjust settlements, </w:t>
      </w:r>
      <w:r w:rsidRPr="00F106BB">
        <w:rPr>
          <w:rFonts w:asciiTheme="minorHAnsi" w:hAnsiTheme="minorHAnsi" w:cstheme="minorHAnsi"/>
          <w:bCs/>
          <w:sz w:val="24"/>
          <w:szCs w:val="24"/>
        </w:rPr>
        <w:t>can access the civil justice they deserve</w:t>
      </w:r>
      <w:r w:rsidR="00D35D8C" w:rsidRPr="00F106BB">
        <w:rPr>
          <w:rFonts w:asciiTheme="minorHAnsi" w:hAnsiTheme="minorHAnsi" w:cstheme="minorHAnsi"/>
          <w:bCs/>
          <w:sz w:val="24"/>
          <w:szCs w:val="24"/>
        </w:rPr>
        <w:t>, a</w:t>
      </w:r>
      <w:r w:rsidRPr="00F106BB">
        <w:rPr>
          <w:rFonts w:asciiTheme="minorHAnsi" w:hAnsiTheme="minorHAnsi" w:cstheme="minorHAnsi"/>
          <w:bCs/>
          <w:sz w:val="24"/>
          <w:szCs w:val="24"/>
        </w:rPr>
        <w:t>nd be properly compensated for the mistreatment they suffered as children.</w:t>
      </w:r>
    </w:p>
    <w:p w14:paraId="26CB77DB" w14:textId="03EB3083" w:rsidR="00EF1E74" w:rsidRPr="00F106BB" w:rsidRDefault="00EF1E74" w:rsidP="00277EBF">
      <w:pPr>
        <w:keepNext/>
        <w:tabs>
          <w:tab w:val="left" w:pos="425"/>
        </w:tabs>
        <w:spacing w:before="240"/>
        <w:jc w:val="both"/>
        <w:rPr>
          <w:rFonts w:asciiTheme="minorHAnsi" w:hAnsiTheme="minorHAnsi" w:cstheme="minorHAnsi"/>
          <w:bCs/>
          <w:i/>
          <w:iCs/>
          <w:sz w:val="24"/>
          <w:szCs w:val="24"/>
        </w:rPr>
      </w:pPr>
      <w:r w:rsidRPr="00F106BB">
        <w:rPr>
          <w:rFonts w:asciiTheme="minorHAnsi" w:hAnsiTheme="minorHAnsi" w:cstheme="minorHAnsi"/>
          <w:bCs/>
          <w:i/>
          <w:iCs/>
          <w:sz w:val="24"/>
          <w:szCs w:val="24"/>
        </w:rPr>
        <w:lastRenderedPageBreak/>
        <w:t xml:space="preserve">Types of agreements that can be set aside </w:t>
      </w:r>
    </w:p>
    <w:p w14:paraId="1FAE6E13" w14:textId="03053A0B" w:rsidR="00472B3C" w:rsidRPr="00F106BB" w:rsidRDefault="00940636" w:rsidP="001A32A5">
      <w:pPr>
        <w:tabs>
          <w:tab w:val="left" w:pos="425"/>
        </w:tabs>
        <w:spacing w:before="240"/>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This Bill builds on </w:t>
      </w:r>
      <w:r w:rsidR="00DC75F9" w:rsidRPr="00F106BB">
        <w:rPr>
          <w:rFonts w:asciiTheme="minorHAnsi" w:hAnsiTheme="minorHAnsi" w:cstheme="minorHAnsi"/>
          <w:bCs/>
          <w:sz w:val="24"/>
          <w:szCs w:val="24"/>
        </w:rPr>
        <w:t>the ACT’s previous</w:t>
      </w:r>
      <w:r w:rsidRPr="00F106BB">
        <w:rPr>
          <w:rFonts w:asciiTheme="minorHAnsi" w:hAnsiTheme="minorHAnsi" w:cstheme="minorHAnsi"/>
          <w:bCs/>
          <w:sz w:val="24"/>
          <w:szCs w:val="24"/>
        </w:rPr>
        <w:t xml:space="preserve"> reforms</w:t>
      </w:r>
      <w:r w:rsidR="005034D9" w:rsidRPr="00F106BB">
        <w:rPr>
          <w:rFonts w:asciiTheme="minorHAnsi" w:hAnsiTheme="minorHAnsi" w:cstheme="minorHAnsi"/>
          <w:bCs/>
          <w:sz w:val="24"/>
          <w:szCs w:val="24"/>
        </w:rPr>
        <w:t xml:space="preserve"> to civil litigation</w:t>
      </w:r>
      <w:r w:rsidR="00C97A79" w:rsidRPr="00F106BB">
        <w:rPr>
          <w:rFonts w:asciiTheme="minorHAnsi" w:hAnsiTheme="minorHAnsi" w:cstheme="minorHAnsi"/>
          <w:bCs/>
          <w:sz w:val="24"/>
          <w:szCs w:val="24"/>
        </w:rPr>
        <w:t xml:space="preserve"> in the </w:t>
      </w:r>
      <w:r w:rsidR="005034D9" w:rsidRPr="00F106BB">
        <w:rPr>
          <w:rFonts w:asciiTheme="minorHAnsi" w:hAnsiTheme="minorHAnsi" w:cstheme="minorHAnsi"/>
          <w:bCs/>
          <w:sz w:val="24"/>
          <w:szCs w:val="24"/>
        </w:rPr>
        <w:t>institutional child abuse</w:t>
      </w:r>
      <w:r w:rsidR="00C97A79" w:rsidRPr="00F106BB">
        <w:rPr>
          <w:rFonts w:asciiTheme="minorHAnsi" w:hAnsiTheme="minorHAnsi" w:cstheme="minorHAnsi"/>
          <w:bCs/>
          <w:sz w:val="24"/>
          <w:szCs w:val="24"/>
        </w:rPr>
        <w:t xml:space="preserve"> space</w:t>
      </w:r>
      <w:r w:rsidRPr="00F106BB">
        <w:rPr>
          <w:rFonts w:asciiTheme="minorHAnsi" w:hAnsiTheme="minorHAnsi" w:cstheme="minorHAnsi"/>
          <w:bCs/>
          <w:sz w:val="24"/>
          <w:szCs w:val="24"/>
        </w:rPr>
        <w:t>.</w:t>
      </w:r>
      <w:r w:rsidR="00472B3C" w:rsidRPr="00F106BB">
        <w:rPr>
          <w:rFonts w:asciiTheme="minorHAnsi" w:hAnsiTheme="minorHAnsi" w:cstheme="minorHAnsi"/>
          <w:bCs/>
          <w:sz w:val="24"/>
          <w:szCs w:val="24"/>
        </w:rPr>
        <w:t xml:space="preserve"> </w:t>
      </w:r>
      <w:bookmarkStart w:id="1" w:name="_Hlk102301012"/>
      <w:r w:rsidR="00472B3C" w:rsidRPr="00F106BB">
        <w:rPr>
          <w:rFonts w:asciiTheme="minorHAnsi" w:hAnsiTheme="minorHAnsi" w:cstheme="minorHAnsi"/>
          <w:bCs/>
          <w:sz w:val="24"/>
          <w:szCs w:val="24"/>
        </w:rPr>
        <w:t>The Bill provides that the types of agreements that can be set aside are</w:t>
      </w:r>
      <w:r w:rsidR="003B3248">
        <w:rPr>
          <w:rFonts w:asciiTheme="minorHAnsi" w:hAnsiTheme="minorHAnsi" w:cstheme="minorHAnsi"/>
          <w:bCs/>
          <w:sz w:val="24"/>
          <w:szCs w:val="24"/>
        </w:rPr>
        <w:t xml:space="preserve"> </w:t>
      </w:r>
      <w:r w:rsidR="002707D1">
        <w:rPr>
          <w:rFonts w:asciiTheme="minorHAnsi" w:hAnsiTheme="minorHAnsi" w:cstheme="minorHAnsi"/>
          <w:bCs/>
          <w:sz w:val="24"/>
          <w:szCs w:val="24"/>
        </w:rPr>
        <w:t>agreements</w:t>
      </w:r>
      <w:r w:rsidR="00472B3C" w:rsidRPr="00F106BB">
        <w:rPr>
          <w:rFonts w:asciiTheme="minorHAnsi" w:hAnsiTheme="minorHAnsi" w:cstheme="minorHAnsi"/>
          <w:bCs/>
          <w:sz w:val="24"/>
          <w:szCs w:val="24"/>
        </w:rPr>
        <w:t>:</w:t>
      </w:r>
    </w:p>
    <w:p w14:paraId="1F8E2005" w14:textId="10327810" w:rsidR="006C4E7A" w:rsidRPr="00F106BB" w:rsidRDefault="00472B3C" w:rsidP="001A32A5">
      <w:pPr>
        <w:pStyle w:val="CS-Paragraphnumbering"/>
        <w:numPr>
          <w:ilvl w:val="0"/>
          <w:numId w:val="12"/>
        </w:numPr>
        <w:jc w:val="both"/>
        <w:rPr>
          <w:rFonts w:asciiTheme="minorHAnsi" w:eastAsia="Times New Roman" w:hAnsiTheme="minorHAnsi" w:cstheme="minorHAnsi"/>
          <w:bCs/>
        </w:rPr>
      </w:pPr>
      <w:r w:rsidRPr="00F106BB">
        <w:rPr>
          <w:rFonts w:asciiTheme="minorHAnsi" w:eastAsia="Times New Roman" w:hAnsiTheme="minorHAnsi" w:cstheme="minorHAnsi"/>
          <w:bCs/>
        </w:rPr>
        <w:t>that happened before the limitation period for the abuse was removed</w:t>
      </w:r>
    </w:p>
    <w:p w14:paraId="1BB6C2CE" w14:textId="602C69FE" w:rsidR="006C4E7A" w:rsidRPr="00F106BB" w:rsidRDefault="00472B3C" w:rsidP="001A32A5">
      <w:pPr>
        <w:pStyle w:val="CS-Paragraphnumbering"/>
        <w:numPr>
          <w:ilvl w:val="0"/>
          <w:numId w:val="12"/>
        </w:numPr>
        <w:jc w:val="both"/>
        <w:rPr>
          <w:rFonts w:asciiTheme="minorHAnsi" w:eastAsia="Times New Roman" w:hAnsiTheme="minorHAnsi" w:cstheme="minorHAnsi"/>
          <w:bCs/>
        </w:rPr>
      </w:pPr>
      <w:r w:rsidRPr="00F106BB">
        <w:rPr>
          <w:rFonts w:asciiTheme="minorHAnsi" w:eastAsia="Times New Roman" w:hAnsiTheme="minorHAnsi" w:cstheme="minorHAnsi"/>
          <w:bCs/>
        </w:rPr>
        <w:t>where there might have been the option to apply to the court to have the limitation period extended but the survivor did not do so</w:t>
      </w:r>
      <w:r w:rsidR="00DB39D3" w:rsidRPr="00F106BB">
        <w:rPr>
          <w:rFonts w:asciiTheme="minorHAnsi" w:eastAsia="Times New Roman" w:hAnsiTheme="minorHAnsi" w:cstheme="minorHAnsi"/>
          <w:bCs/>
        </w:rPr>
        <w:t xml:space="preserve">; </w:t>
      </w:r>
      <w:r w:rsidRPr="00F106BB">
        <w:rPr>
          <w:rFonts w:asciiTheme="minorHAnsi" w:eastAsia="Times New Roman" w:hAnsiTheme="minorHAnsi" w:cstheme="minorHAnsi"/>
          <w:bCs/>
        </w:rPr>
        <w:t xml:space="preserve">and </w:t>
      </w:r>
    </w:p>
    <w:p w14:paraId="4AFE8F28" w14:textId="2F8039BB" w:rsidR="006C4E7A" w:rsidRPr="00FD6CDA" w:rsidRDefault="00472B3C" w:rsidP="00FD6CDA">
      <w:pPr>
        <w:pStyle w:val="CS-Paragraphnumbering"/>
        <w:numPr>
          <w:ilvl w:val="0"/>
          <w:numId w:val="12"/>
        </w:numPr>
        <w:jc w:val="both"/>
        <w:rPr>
          <w:rFonts w:asciiTheme="minorHAnsi" w:eastAsia="Times New Roman" w:hAnsiTheme="minorHAnsi" w:cstheme="minorHAnsi"/>
          <w:bCs/>
        </w:rPr>
      </w:pPr>
      <w:r w:rsidRPr="00F106BB">
        <w:rPr>
          <w:rFonts w:asciiTheme="minorHAnsi" w:eastAsia="Times New Roman" w:hAnsiTheme="minorHAnsi" w:cstheme="minorHAnsi"/>
          <w:bCs/>
        </w:rPr>
        <w:t>happened before the JACS Bill 2022 is introduced where the agreement is not just and reasonable in the circumstances.</w:t>
      </w:r>
    </w:p>
    <w:p w14:paraId="15B5A6E1" w14:textId="5825B77C" w:rsidR="00EF1E74" w:rsidRPr="00F106BB" w:rsidRDefault="00D35D8C" w:rsidP="001A32A5">
      <w:pPr>
        <w:pStyle w:val="CS-Paragraphnumbering"/>
        <w:ind w:left="0" w:firstLine="0"/>
        <w:jc w:val="both"/>
        <w:rPr>
          <w:rFonts w:asciiTheme="minorHAnsi" w:hAnsiTheme="minorHAnsi" w:cstheme="minorHAnsi"/>
          <w:bCs/>
        </w:rPr>
      </w:pPr>
      <w:r w:rsidRPr="00F106BB">
        <w:rPr>
          <w:rFonts w:asciiTheme="minorHAnsi" w:hAnsiTheme="minorHAnsi" w:cstheme="minorHAnsi"/>
          <w:bCs/>
        </w:rPr>
        <w:t xml:space="preserve">The latter subsection is important – allowing the court to </w:t>
      </w:r>
      <w:r w:rsidR="00EF1E74" w:rsidRPr="00F106BB">
        <w:rPr>
          <w:rFonts w:asciiTheme="minorHAnsi" w:hAnsiTheme="minorHAnsi" w:cstheme="minorHAnsi"/>
          <w:bCs/>
        </w:rPr>
        <w:t xml:space="preserve">set aside settlement agreements for claims settled before this Bill is introduced </w:t>
      </w:r>
      <w:r w:rsidRPr="00F106BB">
        <w:rPr>
          <w:rFonts w:asciiTheme="minorHAnsi" w:hAnsiTheme="minorHAnsi" w:cstheme="minorHAnsi"/>
          <w:bCs/>
        </w:rPr>
        <w:t>if the agreement is not just and reasonable</w:t>
      </w:r>
      <w:r w:rsidR="00DA10B3" w:rsidRPr="00F106BB">
        <w:rPr>
          <w:rFonts w:asciiTheme="minorHAnsi" w:hAnsiTheme="minorHAnsi" w:cstheme="minorHAnsi"/>
          <w:bCs/>
        </w:rPr>
        <w:t xml:space="preserve">, recognises that not all barriers faced by survivors that resulted in unjust settlements were legal barriers. </w:t>
      </w:r>
      <w:r w:rsidR="00EF1E74" w:rsidRPr="00F106BB">
        <w:rPr>
          <w:rFonts w:asciiTheme="minorHAnsi" w:hAnsiTheme="minorHAnsi" w:cstheme="minorHAnsi"/>
          <w:bCs/>
        </w:rPr>
        <w:t xml:space="preserve">This broad approach has been welcomed by survivors and their advocates and </w:t>
      </w:r>
      <w:r w:rsidR="00DB39D3" w:rsidRPr="00F106BB">
        <w:rPr>
          <w:rFonts w:asciiTheme="minorHAnsi" w:hAnsiTheme="minorHAnsi" w:cstheme="minorHAnsi"/>
          <w:bCs/>
        </w:rPr>
        <w:t xml:space="preserve">is intended to </w:t>
      </w:r>
      <w:r w:rsidR="00EF1E74" w:rsidRPr="00F106BB">
        <w:rPr>
          <w:rFonts w:asciiTheme="minorHAnsi" w:hAnsiTheme="minorHAnsi" w:cstheme="minorHAnsi"/>
          <w:bCs/>
        </w:rPr>
        <w:t xml:space="preserve">result in greater rights for survivors. </w:t>
      </w:r>
    </w:p>
    <w:p w14:paraId="33AB50A3" w14:textId="5A7AB887" w:rsidR="00472B3C" w:rsidRPr="00F106BB" w:rsidRDefault="00472B3C" w:rsidP="001A32A5">
      <w:pPr>
        <w:pStyle w:val="ListParagraph"/>
        <w:tabs>
          <w:tab w:val="left" w:pos="425"/>
        </w:tabs>
        <w:spacing w:before="240" w:line="276" w:lineRule="auto"/>
        <w:ind w:left="0"/>
        <w:jc w:val="both"/>
        <w:rPr>
          <w:rFonts w:asciiTheme="minorHAnsi" w:hAnsiTheme="minorHAnsi" w:cstheme="minorHAnsi"/>
          <w:bCs/>
          <w:sz w:val="24"/>
          <w:szCs w:val="24"/>
          <w:lang w:eastAsia="en-US"/>
        </w:rPr>
      </w:pPr>
      <w:r w:rsidRPr="00F106BB">
        <w:rPr>
          <w:rFonts w:asciiTheme="minorHAnsi" w:hAnsiTheme="minorHAnsi" w:cstheme="minorHAnsi"/>
          <w:bCs/>
          <w:sz w:val="24"/>
          <w:szCs w:val="24"/>
          <w:lang w:eastAsia="en-US"/>
        </w:rPr>
        <w:t>It is in the court’s discretion to determine what is just and reasonable according to the circumstances of each case, allowing the court to apply broad principles and take into account any relevant factors. This may include, for example, the amount of the settlement</w:t>
      </w:r>
      <w:r w:rsidR="00DB39D3" w:rsidRPr="00F106BB">
        <w:rPr>
          <w:rFonts w:asciiTheme="minorHAnsi" w:hAnsiTheme="minorHAnsi" w:cstheme="minorHAnsi"/>
          <w:bCs/>
          <w:sz w:val="24"/>
          <w:szCs w:val="24"/>
          <w:lang w:eastAsia="en-US"/>
        </w:rPr>
        <w:t xml:space="preserve"> (compared to what the survivor would receive today)</w:t>
      </w:r>
      <w:r w:rsidRPr="00F106BB">
        <w:rPr>
          <w:rFonts w:asciiTheme="minorHAnsi" w:hAnsiTheme="minorHAnsi" w:cstheme="minorHAnsi"/>
          <w:bCs/>
          <w:sz w:val="24"/>
          <w:szCs w:val="24"/>
          <w:lang w:eastAsia="en-US"/>
        </w:rPr>
        <w:t xml:space="preserve"> and the bargaining power of the parties.</w:t>
      </w:r>
      <w:r w:rsidR="00972CBE" w:rsidRPr="00F106BB">
        <w:rPr>
          <w:rFonts w:asciiTheme="minorHAnsi" w:hAnsiTheme="minorHAnsi" w:cstheme="minorHAnsi"/>
          <w:bCs/>
          <w:sz w:val="24"/>
          <w:szCs w:val="24"/>
        </w:rPr>
        <w:t xml:space="preserve"> It is not necessary that the existence of the limitation period be the predominant reason as to why the agreement was entered into. It might be the reason. It might be one of the reasons. But it does not need to the only factor that permits the court to set aside the settlement.</w:t>
      </w:r>
    </w:p>
    <w:p w14:paraId="3A98F290" w14:textId="77777777" w:rsidR="00472B3C" w:rsidRPr="00F106BB" w:rsidRDefault="00472B3C" w:rsidP="001A32A5">
      <w:pPr>
        <w:tabs>
          <w:tab w:val="left" w:pos="425"/>
        </w:tabs>
        <w:spacing w:before="240"/>
        <w:jc w:val="both"/>
        <w:rPr>
          <w:rFonts w:asciiTheme="minorHAnsi" w:hAnsiTheme="minorHAnsi" w:cstheme="minorHAnsi"/>
          <w:bCs/>
          <w:sz w:val="24"/>
          <w:szCs w:val="24"/>
        </w:rPr>
      </w:pPr>
      <w:r w:rsidRPr="00F106BB">
        <w:rPr>
          <w:rFonts w:asciiTheme="minorHAnsi" w:hAnsiTheme="minorHAnsi" w:cstheme="minorHAnsi"/>
          <w:bCs/>
          <w:sz w:val="24"/>
          <w:szCs w:val="24"/>
        </w:rPr>
        <w:t xml:space="preserve">Once the agreement is set aside, the survivor is then able have their claim determined on its merits and receive reasonable and just compensation for the harm they have suffered.  </w:t>
      </w:r>
    </w:p>
    <w:bookmarkEnd w:id="1"/>
    <w:p w14:paraId="186F1EBD" w14:textId="2F1FB82A" w:rsidR="002724F8" w:rsidRPr="00F106BB" w:rsidRDefault="002724F8" w:rsidP="001A32A5">
      <w:pPr>
        <w:tabs>
          <w:tab w:val="left" w:pos="425"/>
        </w:tabs>
        <w:spacing w:before="240"/>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The ACT Government has heard from survivors and advocates </w:t>
      </w:r>
      <w:r w:rsidR="003B3248">
        <w:rPr>
          <w:rFonts w:asciiTheme="minorHAnsi" w:hAnsiTheme="minorHAnsi" w:cstheme="minorHAnsi"/>
          <w:bCs/>
          <w:sz w:val="24"/>
          <w:szCs w:val="24"/>
        </w:rPr>
        <w:t>that circumstances</w:t>
      </w:r>
      <w:r w:rsidR="00B3452D" w:rsidRPr="00F106BB">
        <w:rPr>
          <w:rFonts w:asciiTheme="minorHAnsi" w:hAnsiTheme="minorHAnsi" w:cstheme="minorHAnsi"/>
          <w:bCs/>
          <w:sz w:val="24"/>
          <w:szCs w:val="24"/>
        </w:rPr>
        <w:t xml:space="preserve"> that </w:t>
      </w:r>
      <w:r w:rsidRPr="00F106BB">
        <w:rPr>
          <w:rFonts w:asciiTheme="minorHAnsi" w:hAnsiTheme="minorHAnsi" w:cstheme="minorHAnsi"/>
          <w:bCs/>
          <w:sz w:val="24"/>
          <w:szCs w:val="24"/>
        </w:rPr>
        <w:t>resulted in unjust settlements</w:t>
      </w:r>
      <w:r w:rsidR="00B3452D" w:rsidRPr="00F106BB">
        <w:rPr>
          <w:rFonts w:asciiTheme="minorHAnsi" w:hAnsiTheme="minorHAnsi" w:cstheme="minorHAnsi"/>
          <w:bCs/>
          <w:sz w:val="24"/>
          <w:szCs w:val="24"/>
        </w:rPr>
        <w:t xml:space="preserve"> include but are not limited to:</w:t>
      </w:r>
    </w:p>
    <w:p w14:paraId="3122B7B7" w14:textId="56872A3A" w:rsidR="002724F8" w:rsidRPr="00F106BB" w:rsidRDefault="005849BC" w:rsidP="001A32A5">
      <w:pPr>
        <w:pStyle w:val="ListParagraph"/>
        <w:numPr>
          <w:ilvl w:val="0"/>
          <w:numId w:val="10"/>
        </w:numPr>
        <w:tabs>
          <w:tab w:val="left" w:pos="425"/>
        </w:tabs>
        <w:spacing w:before="240"/>
        <w:jc w:val="both"/>
        <w:rPr>
          <w:rFonts w:asciiTheme="minorHAnsi" w:hAnsiTheme="minorHAnsi" w:cstheme="minorHAnsi"/>
          <w:bCs/>
          <w:sz w:val="24"/>
          <w:szCs w:val="24"/>
        </w:rPr>
      </w:pPr>
      <w:r w:rsidRPr="00F106BB">
        <w:rPr>
          <w:rFonts w:asciiTheme="minorHAnsi" w:hAnsiTheme="minorHAnsi" w:cstheme="minorHAnsi"/>
          <w:bCs/>
          <w:sz w:val="24"/>
          <w:szCs w:val="24"/>
        </w:rPr>
        <w:t xml:space="preserve">Expiry of a limitation period </w:t>
      </w:r>
    </w:p>
    <w:p w14:paraId="480F0E0D" w14:textId="77777777" w:rsidR="002724F8" w:rsidRPr="00F106BB" w:rsidRDefault="005849BC" w:rsidP="001A32A5">
      <w:pPr>
        <w:pStyle w:val="ListParagraph"/>
        <w:numPr>
          <w:ilvl w:val="0"/>
          <w:numId w:val="10"/>
        </w:numPr>
        <w:tabs>
          <w:tab w:val="left" w:pos="425"/>
        </w:tabs>
        <w:spacing w:before="240"/>
        <w:jc w:val="both"/>
        <w:rPr>
          <w:rFonts w:asciiTheme="minorHAnsi" w:hAnsiTheme="minorHAnsi" w:cstheme="minorHAnsi"/>
          <w:bCs/>
          <w:sz w:val="24"/>
          <w:szCs w:val="24"/>
        </w:rPr>
      </w:pPr>
      <w:r w:rsidRPr="00F106BB">
        <w:rPr>
          <w:rFonts w:asciiTheme="minorHAnsi" w:hAnsiTheme="minorHAnsi" w:cstheme="minorHAnsi"/>
          <w:bCs/>
          <w:sz w:val="24"/>
          <w:szCs w:val="24"/>
        </w:rPr>
        <w:t xml:space="preserve">Inability to identify a proper defendant </w:t>
      </w:r>
    </w:p>
    <w:p w14:paraId="240CACD0" w14:textId="77777777" w:rsidR="002724F8" w:rsidRPr="00F106BB" w:rsidRDefault="005849BC" w:rsidP="001A32A5">
      <w:pPr>
        <w:pStyle w:val="ListParagraph"/>
        <w:numPr>
          <w:ilvl w:val="0"/>
          <w:numId w:val="10"/>
        </w:numPr>
        <w:tabs>
          <w:tab w:val="left" w:pos="425"/>
        </w:tabs>
        <w:spacing w:before="240"/>
        <w:jc w:val="both"/>
        <w:rPr>
          <w:rFonts w:asciiTheme="minorHAnsi" w:hAnsiTheme="minorHAnsi" w:cstheme="minorHAnsi"/>
          <w:bCs/>
          <w:sz w:val="24"/>
          <w:szCs w:val="24"/>
        </w:rPr>
      </w:pPr>
      <w:r w:rsidRPr="00F106BB">
        <w:rPr>
          <w:rFonts w:asciiTheme="minorHAnsi" w:hAnsiTheme="minorHAnsi" w:cstheme="minorHAnsi"/>
          <w:bCs/>
          <w:sz w:val="24"/>
          <w:szCs w:val="24"/>
        </w:rPr>
        <w:t xml:space="preserve">Deficiencies in the law of liability at the time (including lack of clear vicarious liability of institutions for intentional wrongs of an employee – or person akin to an employee) </w:t>
      </w:r>
    </w:p>
    <w:p w14:paraId="64568405" w14:textId="77777777" w:rsidR="002724F8" w:rsidRPr="00F106BB" w:rsidRDefault="005849BC" w:rsidP="001A32A5">
      <w:pPr>
        <w:pStyle w:val="ListParagraph"/>
        <w:numPr>
          <w:ilvl w:val="0"/>
          <w:numId w:val="10"/>
        </w:numPr>
        <w:tabs>
          <w:tab w:val="left" w:pos="425"/>
        </w:tabs>
        <w:spacing w:before="240"/>
        <w:jc w:val="both"/>
        <w:rPr>
          <w:rFonts w:asciiTheme="minorHAnsi" w:hAnsiTheme="minorHAnsi" w:cstheme="minorHAnsi"/>
          <w:bCs/>
          <w:sz w:val="24"/>
          <w:szCs w:val="24"/>
        </w:rPr>
      </w:pPr>
      <w:r w:rsidRPr="00F106BB">
        <w:rPr>
          <w:rFonts w:asciiTheme="minorHAnsi" w:hAnsiTheme="minorHAnsi" w:cstheme="minorHAnsi"/>
          <w:bCs/>
          <w:sz w:val="24"/>
          <w:szCs w:val="24"/>
        </w:rPr>
        <w:t xml:space="preserve">Misconduct of the institution (eg withholding evidence, making false statements, denying things which they knew were true, etc) </w:t>
      </w:r>
    </w:p>
    <w:p w14:paraId="5EA2DFE3" w14:textId="77777777" w:rsidR="002724F8" w:rsidRPr="00F106BB" w:rsidRDefault="005849BC" w:rsidP="001A32A5">
      <w:pPr>
        <w:pStyle w:val="ListParagraph"/>
        <w:numPr>
          <w:ilvl w:val="0"/>
          <w:numId w:val="10"/>
        </w:numPr>
        <w:tabs>
          <w:tab w:val="left" w:pos="425"/>
        </w:tabs>
        <w:spacing w:before="240"/>
        <w:jc w:val="both"/>
        <w:rPr>
          <w:rFonts w:asciiTheme="minorHAnsi" w:hAnsiTheme="minorHAnsi" w:cstheme="minorHAnsi"/>
          <w:bCs/>
          <w:sz w:val="24"/>
          <w:szCs w:val="24"/>
        </w:rPr>
      </w:pPr>
      <w:r w:rsidRPr="00F106BB">
        <w:rPr>
          <w:rFonts w:asciiTheme="minorHAnsi" w:hAnsiTheme="minorHAnsi" w:cstheme="minorHAnsi"/>
          <w:bCs/>
          <w:sz w:val="24"/>
          <w:szCs w:val="24"/>
        </w:rPr>
        <w:t xml:space="preserve">Asymmetry of power between the parties </w:t>
      </w:r>
    </w:p>
    <w:p w14:paraId="679412B7" w14:textId="4E7B9FC3" w:rsidR="002724F8" w:rsidRPr="00F106BB" w:rsidRDefault="005849BC" w:rsidP="001A32A5">
      <w:pPr>
        <w:pStyle w:val="ListParagraph"/>
        <w:numPr>
          <w:ilvl w:val="0"/>
          <w:numId w:val="10"/>
        </w:numPr>
        <w:tabs>
          <w:tab w:val="left" w:pos="425"/>
        </w:tabs>
        <w:spacing w:before="240"/>
        <w:jc w:val="both"/>
        <w:rPr>
          <w:rFonts w:asciiTheme="minorHAnsi" w:hAnsiTheme="minorHAnsi" w:cstheme="minorHAnsi"/>
          <w:bCs/>
          <w:sz w:val="24"/>
          <w:szCs w:val="24"/>
        </w:rPr>
      </w:pPr>
      <w:r w:rsidRPr="00F106BB">
        <w:rPr>
          <w:rFonts w:asciiTheme="minorHAnsi" w:hAnsiTheme="minorHAnsi" w:cstheme="minorHAnsi"/>
          <w:bCs/>
          <w:sz w:val="24"/>
          <w:szCs w:val="24"/>
        </w:rPr>
        <w:t xml:space="preserve">Misconduct or weak conduct by the victims’ own lawyer </w:t>
      </w:r>
    </w:p>
    <w:p w14:paraId="73D400F4" w14:textId="3FBCDA1E" w:rsidR="002724F8" w:rsidRPr="00F106BB" w:rsidRDefault="005849BC" w:rsidP="001A32A5">
      <w:pPr>
        <w:pStyle w:val="ListParagraph"/>
        <w:numPr>
          <w:ilvl w:val="0"/>
          <w:numId w:val="10"/>
        </w:numPr>
        <w:tabs>
          <w:tab w:val="left" w:pos="425"/>
        </w:tabs>
        <w:spacing w:before="240"/>
        <w:jc w:val="both"/>
        <w:rPr>
          <w:rFonts w:asciiTheme="minorHAnsi" w:hAnsiTheme="minorHAnsi" w:cstheme="minorHAnsi"/>
          <w:bCs/>
          <w:sz w:val="24"/>
          <w:szCs w:val="24"/>
        </w:rPr>
      </w:pPr>
      <w:r w:rsidRPr="00F106BB">
        <w:rPr>
          <w:rFonts w:asciiTheme="minorHAnsi" w:hAnsiTheme="minorHAnsi" w:cstheme="minorHAnsi"/>
          <w:bCs/>
          <w:sz w:val="24"/>
          <w:szCs w:val="24"/>
        </w:rPr>
        <w:t xml:space="preserve">Inadequate understanding by the </w:t>
      </w:r>
      <w:r w:rsidR="00DA10B3" w:rsidRPr="00F106BB">
        <w:rPr>
          <w:rFonts w:asciiTheme="minorHAnsi" w:hAnsiTheme="minorHAnsi" w:cstheme="minorHAnsi"/>
          <w:bCs/>
          <w:sz w:val="24"/>
          <w:szCs w:val="24"/>
        </w:rPr>
        <w:t>c</w:t>
      </w:r>
      <w:r w:rsidRPr="00F106BB">
        <w:rPr>
          <w:rFonts w:asciiTheme="minorHAnsi" w:hAnsiTheme="minorHAnsi" w:cstheme="minorHAnsi"/>
          <w:bCs/>
          <w:sz w:val="24"/>
          <w:szCs w:val="24"/>
        </w:rPr>
        <w:t xml:space="preserve">ourt of abuse and the effect of abuse </w:t>
      </w:r>
    </w:p>
    <w:p w14:paraId="797D1B76" w14:textId="68973C02" w:rsidR="00AD63C9" w:rsidRPr="00F106BB" w:rsidRDefault="00C97A79" w:rsidP="001A32A5">
      <w:pPr>
        <w:tabs>
          <w:tab w:val="left" w:pos="425"/>
        </w:tabs>
        <w:spacing w:before="240"/>
        <w:jc w:val="both"/>
        <w:rPr>
          <w:rFonts w:asciiTheme="minorHAnsi" w:hAnsiTheme="minorHAnsi" w:cstheme="minorHAnsi"/>
          <w:bCs/>
          <w:sz w:val="24"/>
          <w:szCs w:val="24"/>
        </w:rPr>
      </w:pPr>
      <w:r w:rsidRPr="00F106BB">
        <w:rPr>
          <w:rFonts w:asciiTheme="minorHAnsi" w:hAnsiTheme="minorHAnsi" w:cstheme="minorHAnsi"/>
          <w:bCs/>
          <w:sz w:val="24"/>
          <w:szCs w:val="24"/>
        </w:rPr>
        <w:lastRenderedPageBreak/>
        <w:t xml:space="preserve">This Bill will provide the </w:t>
      </w:r>
      <w:r w:rsidR="00DA10B3" w:rsidRPr="00F106BB">
        <w:rPr>
          <w:rFonts w:asciiTheme="minorHAnsi" w:hAnsiTheme="minorHAnsi" w:cstheme="minorHAnsi"/>
          <w:bCs/>
          <w:sz w:val="24"/>
          <w:szCs w:val="24"/>
        </w:rPr>
        <w:t>court</w:t>
      </w:r>
      <w:r w:rsidRPr="00F106BB">
        <w:rPr>
          <w:rFonts w:asciiTheme="minorHAnsi" w:hAnsiTheme="minorHAnsi" w:cstheme="minorHAnsi"/>
          <w:bCs/>
          <w:sz w:val="24"/>
          <w:szCs w:val="24"/>
        </w:rPr>
        <w:t xml:space="preserve"> with the power to consider</w:t>
      </w:r>
      <w:r w:rsidR="00AD63C9" w:rsidRPr="00F106BB">
        <w:rPr>
          <w:rFonts w:asciiTheme="minorHAnsi" w:hAnsiTheme="minorHAnsi" w:cstheme="minorHAnsi"/>
          <w:bCs/>
          <w:sz w:val="24"/>
          <w:szCs w:val="24"/>
        </w:rPr>
        <w:t xml:space="preserve"> settlements entered into because of any of these factors, or any combination of these factors, </w:t>
      </w:r>
      <w:r w:rsidR="005034D9" w:rsidRPr="00F106BB">
        <w:rPr>
          <w:rFonts w:asciiTheme="minorHAnsi" w:hAnsiTheme="minorHAnsi" w:cstheme="minorHAnsi"/>
          <w:bCs/>
          <w:sz w:val="24"/>
          <w:szCs w:val="24"/>
        </w:rPr>
        <w:t xml:space="preserve">and to </w:t>
      </w:r>
      <w:r w:rsidR="00AD63C9" w:rsidRPr="00F106BB">
        <w:rPr>
          <w:rFonts w:asciiTheme="minorHAnsi" w:hAnsiTheme="minorHAnsi" w:cstheme="minorHAnsi"/>
          <w:bCs/>
          <w:sz w:val="24"/>
          <w:szCs w:val="24"/>
        </w:rPr>
        <w:t xml:space="preserve">set </w:t>
      </w:r>
      <w:r w:rsidR="005034D9" w:rsidRPr="00F106BB">
        <w:rPr>
          <w:rFonts w:asciiTheme="minorHAnsi" w:hAnsiTheme="minorHAnsi" w:cstheme="minorHAnsi"/>
          <w:bCs/>
          <w:sz w:val="24"/>
          <w:szCs w:val="24"/>
        </w:rPr>
        <w:t xml:space="preserve">them </w:t>
      </w:r>
      <w:r w:rsidR="00AD63C9" w:rsidRPr="00F106BB">
        <w:rPr>
          <w:rFonts w:asciiTheme="minorHAnsi" w:hAnsiTheme="minorHAnsi" w:cstheme="minorHAnsi"/>
          <w:bCs/>
          <w:sz w:val="24"/>
          <w:szCs w:val="24"/>
        </w:rPr>
        <w:t>aside</w:t>
      </w:r>
      <w:r w:rsidR="00DA10B3" w:rsidRPr="00F106BB">
        <w:rPr>
          <w:rFonts w:asciiTheme="minorHAnsi" w:hAnsiTheme="minorHAnsi" w:cstheme="minorHAnsi"/>
          <w:bCs/>
          <w:sz w:val="24"/>
          <w:szCs w:val="24"/>
        </w:rPr>
        <w:t>.</w:t>
      </w:r>
    </w:p>
    <w:p w14:paraId="6784AB68" w14:textId="621AB935" w:rsidR="00585159" w:rsidRPr="00F106BB" w:rsidRDefault="00585159" w:rsidP="001A32A5">
      <w:pPr>
        <w:tabs>
          <w:tab w:val="left" w:pos="425"/>
        </w:tabs>
        <w:spacing w:before="240"/>
        <w:jc w:val="both"/>
        <w:rPr>
          <w:rFonts w:asciiTheme="minorHAnsi" w:hAnsiTheme="minorHAnsi" w:cstheme="minorHAnsi"/>
          <w:bCs/>
          <w:sz w:val="24"/>
          <w:szCs w:val="24"/>
        </w:rPr>
      </w:pPr>
      <w:r w:rsidRPr="00F106BB">
        <w:rPr>
          <w:rFonts w:asciiTheme="minorHAnsi" w:hAnsiTheme="minorHAnsi" w:cstheme="minorHAnsi"/>
          <w:bCs/>
          <w:sz w:val="24"/>
          <w:szCs w:val="24"/>
        </w:rPr>
        <w:t xml:space="preserve">It is important that there is clarity around the types of injustices that are able to be set aside, for applicants, respondents and the court. </w:t>
      </w:r>
      <w:r w:rsidR="00DB39D3" w:rsidRPr="00F106BB">
        <w:rPr>
          <w:rFonts w:asciiTheme="minorHAnsi" w:hAnsiTheme="minorHAnsi" w:cstheme="minorHAnsi"/>
          <w:bCs/>
          <w:sz w:val="24"/>
          <w:szCs w:val="24"/>
        </w:rPr>
        <w:t>This legislation should not be</w:t>
      </w:r>
      <w:r w:rsidRPr="00F106BB">
        <w:rPr>
          <w:rFonts w:asciiTheme="minorHAnsi" w:hAnsiTheme="minorHAnsi" w:cstheme="minorHAnsi"/>
          <w:bCs/>
          <w:sz w:val="24"/>
          <w:szCs w:val="24"/>
        </w:rPr>
        <w:t xml:space="preserve"> weaponised in such a way that re-victimises a survivor, and makes it more onerous that necessary, to give the survivor access to the justice they have denied for so long</w:t>
      </w:r>
      <w:r w:rsidR="00DB39D3" w:rsidRPr="00F106BB">
        <w:rPr>
          <w:rFonts w:asciiTheme="minorHAnsi" w:hAnsiTheme="minorHAnsi" w:cstheme="minorHAnsi"/>
          <w:bCs/>
          <w:sz w:val="24"/>
          <w:szCs w:val="24"/>
        </w:rPr>
        <w:t>.</w:t>
      </w:r>
      <w:r w:rsidRPr="00F106BB">
        <w:rPr>
          <w:rFonts w:asciiTheme="minorHAnsi" w:hAnsiTheme="minorHAnsi" w:cstheme="minorHAnsi"/>
          <w:bCs/>
          <w:sz w:val="24"/>
          <w:szCs w:val="24"/>
        </w:rPr>
        <w:t xml:space="preserve"> </w:t>
      </w:r>
    </w:p>
    <w:p w14:paraId="67B0A313" w14:textId="61F11FD6" w:rsidR="00585159" w:rsidRPr="00F106BB" w:rsidRDefault="00CF0136" w:rsidP="001A32A5">
      <w:pPr>
        <w:tabs>
          <w:tab w:val="left" w:pos="425"/>
        </w:tabs>
        <w:spacing w:before="240"/>
        <w:jc w:val="both"/>
        <w:rPr>
          <w:rFonts w:asciiTheme="minorHAnsi" w:hAnsiTheme="minorHAnsi" w:cstheme="minorHAnsi"/>
          <w:bCs/>
          <w:sz w:val="24"/>
          <w:szCs w:val="24"/>
        </w:rPr>
      </w:pPr>
      <w:r>
        <w:rPr>
          <w:rFonts w:asciiTheme="minorHAnsi" w:hAnsiTheme="minorHAnsi" w:cstheme="minorHAnsi"/>
          <w:bCs/>
          <w:sz w:val="24"/>
          <w:szCs w:val="24"/>
        </w:rPr>
        <w:t>The</w:t>
      </w:r>
      <w:r w:rsidR="00585159" w:rsidRPr="00F106BB">
        <w:rPr>
          <w:rFonts w:asciiTheme="minorHAnsi" w:hAnsiTheme="minorHAnsi" w:cstheme="minorHAnsi"/>
          <w:bCs/>
          <w:sz w:val="24"/>
          <w:szCs w:val="24"/>
        </w:rPr>
        <w:t xml:space="preserve"> court can commence its consideration of the application from a place of accepting that survivors, their advocates, and the Royal Commission, have unequivocally demonstrated that many past settlement agreements were unjust and unreasonable and accordingly there should be a low threshold for setting them aside. </w:t>
      </w:r>
    </w:p>
    <w:p w14:paraId="345B3943" w14:textId="39804DEE" w:rsidR="00585159" w:rsidRPr="00F106BB" w:rsidRDefault="00585159" w:rsidP="001A32A5">
      <w:pPr>
        <w:tabs>
          <w:tab w:val="left" w:pos="425"/>
        </w:tabs>
        <w:spacing w:before="240"/>
        <w:jc w:val="both"/>
        <w:rPr>
          <w:rFonts w:asciiTheme="minorHAnsi" w:hAnsiTheme="minorHAnsi" w:cstheme="minorHAnsi"/>
          <w:bCs/>
          <w:sz w:val="24"/>
          <w:szCs w:val="24"/>
        </w:rPr>
      </w:pPr>
      <w:r w:rsidRPr="00F106BB">
        <w:rPr>
          <w:rFonts w:asciiTheme="minorHAnsi" w:hAnsiTheme="minorHAnsi" w:cstheme="minorHAnsi"/>
          <w:bCs/>
          <w:sz w:val="24"/>
          <w:szCs w:val="24"/>
        </w:rPr>
        <w:t xml:space="preserve">Original settlement agreements should be viewed as tarnished by the unjust circumstances of their creation and not as final and unable to be set aside. This will not create a concerning precedent around the finality of agreements – because these agreements are intended to be set aside for this cohort, to remedy the mischief created by the unjust settlement. </w:t>
      </w:r>
    </w:p>
    <w:p w14:paraId="45065465" w14:textId="77777777" w:rsidR="00940636" w:rsidRPr="002707D1" w:rsidRDefault="00940636" w:rsidP="001A32A5">
      <w:pPr>
        <w:keepNext/>
        <w:jc w:val="both"/>
        <w:rPr>
          <w:rFonts w:asciiTheme="minorHAnsi" w:hAnsiTheme="minorHAnsi" w:cstheme="minorHAnsi"/>
          <w:bCs/>
          <w:i/>
          <w:iCs/>
          <w:sz w:val="24"/>
          <w:szCs w:val="24"/>
        </w:rPr>
      </w:pPr>
      <w:r w:rsidRPr="002707D1">
        <w:rPr>
          <w:rFonts w:asciiTheme="minorHAnsi" w:hAnsiTheme="minorHAnsi" w:cstheme="minorHAnsi"/>
          <w:bCs/>
          <w:i/>
          <w:iCs/>
          <w:sz w:val="24"/>
          <w:szCs w:val="24"/>
        </w:rPr>
        <w:t xml:space="preserve">Limitation Act 1985 </w:t>
      </w:r>
    </w:p>
    <w:p w14:paraId="48AC86FD" w14:textId="4934D90E" w:rsidR="00E70B8D" w:rsidRPr="00F106BB" w:rsidRDefault="00546E56" w:rsidP="001A32A5">
      <w:pPr>
        <w:tabs>
          <w:tab w:val="left" w:pos="425"/>
        </w:tabs>
        <w:spacing w:before="240"/>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The Bill expands the definition of child abuse in </w:t>
      </w:r>
      <w:r w:rsidR="00080A79" w:rsidRPr="00F106BB">
        <w:rPr>
          <w:rFonts w:asciiTheme="minorHAnsi" w:hAnsiTheme="minorHAnsi" w:cstheme="minorHAnsi"/>
          <w:bCs/>
          <w:sz w:val="24"/>
          <w:szCs w:val="24"/>
        </w:rPr>
        <w:t xml:space="preserve">s 21C of </w:t>
      </w:r>
      <w:r w:rsidRPr="00F106BB">
        <w:rPr>
          <w:rFonts w:asciiTheme="minorHAnsi" w:hAnsiTheme="minorHAnsi" w:cstheme="minorHAnsi"/>
          <w:bCs/>
          <w:sz w:val="24"/>
          <w:szCs w:val="24"/>
        </w:rPr>
        <w:t xml:space="preserve">the </w:t>
      </w:r>
      <w:r w:rsidRPr="00922869">
        <w:rPr>
          <w:rFonts w:asciiTheme="minorHAnsi" w:hAnsiTheme="minorHAnsi" w:cstheme="minorHAnsi"/>
          <w:bCs/>
          <w:i/>
          <w:iCs/>
          <w:sz w:val="24"/>
          <w:szCs w:val="24"/>
        </w:rPr>
        <w:t>Limitation Act</w:t>
      </w:r>
      <w:r w:rsidRPr="00F106BB">
        <w:rPr>
          <w:rFonts w:asciiTheme="minorHAnsi" w:hAnsiTheme="minorHAnsi" w:cstheme="minorHAnsi"/>
          <w:bCs/>
          <w:sz w:val="24"/>
          <w:szCs w:val="24"/>
        </w:rPr>
        <w:t xml:space="preserve"> </w:t>
      </w:r>
      <w:r w:rsidR="00E70B8D" w:rsidRPr="00F106BB">
        <w:rPr>
          <w:rFonts w:asciiTheme="minorHAnsi" w:hAnsiTheme="minorHAnsi" w:cstheme="minorHAnsi"/>
          <w:bCs/>
          <w:sz w:val="24"/>
          <w:szCs w:val="24"/>
        </w:rPr>
        <w:t xml:space="preserve">from ‘sexual’ abuse only </w:t>
      </w:r>
      <w:r w:rsidRPr="00F106BB">
        <w:rPr>
          <w:rFonts w:asciiTheme="minorHAnsi" w:hAnsiTheme="minorHAnsi" w:cstheme="minorHAnsi"/>
          <w:bCs/>
          <w:sz w:val="24"/>
          <w:szCs w:val="24"/>
        </w:rPr>
        <w:t>to</w:t>
      </w:r>
      <w:r w:rsidR="00E70B8D" w:rsidRPr="00F106BB">
        <w:rPr>
          <w:rFonts w:asciiTheme="minorHAnsi" w:hAnsiTheme="minorHAnsi" w:cstheme="minorHAnsi"/>
          <w:bCs/>
          <w:sz w:val="24"/>
          <w:szCs w:val="24"/>
        </w:rPr>
        <w:t xml:space="preserve"> also</w:t>
      </w:r>
      <w:r w:rsidRPr="00F106BB">
        <w:rPr>
          <w:rFonts w:asciiTheme="minorHAnsi" w:hAnsiTheme="minorHAnsi" w:cstheme="minorHAnsi"/>
          <w:bCs/>
          <w:sz w:val="24"/>
          <w:szCs w:val="24"/>
        </w:rPr>
        <w:t xml:space="preserve"> include ‘physical</w:t>
      </w:r>
      <w:r w:rsidR="008B6594" w:rsidRPr="00F106BB">
        <w:rPr>
          <w:rFonts w:asciiTheme="minorHAnsi" w:hAnsiTheme="minorHAnsi" w:cstheme="minorHAnsi"/>
          <w:bCs/>
          <w:sz w:val="24"/>
          <w:szCs w:val="24"/>
        </w:rPr>
        <w:t>’</w:t>
      </w:r>
      <w:r w:rsidRPr="00F106BB">
        <w:rPr>
          <w:rFonts w:asciiTheme="minorHAnsi" w:hAnsiTheme="minorHAnsi" w:cstheme="minorHAnsi"/>
          <w:bCs/>
          <w:sz w:val="24"/>
          <w:szCs w:val="24"/>
        </w:rPr>
        <w:t xml:space="preserve"> abuse</w:t>
      </w:r>
      <w:r w:rsidR="00E70B8D" w:rsidRPr="00F106BB">
        <w:rPr>
          <w:rFonts w:asciiTheme="minorHAnsi" w:hAnsiTheme="minorHAnsi" w:cstheme="minorHAnsi"/>
          <w:bCs/>
          <w:sz w:val="24"/>
          <w:szCs w:val="24"/>
        </w:rPr>
        <w:t>.</w:t>
      </w:r>
      <w:r w:rsidRPr="00F106BB">
        <w:rPr>
          <w:rFonts w:asciiTheme="minorHAnsi" w:hAnsiTheme="minorHAnsi" w:cstheme="minorHAnsi"/>
          <w:bCs/>
          <w:sz w:val="24"/>
          <w:szCs w:val="24"/>
        </w:rPr>
        <w:t xml:space="preserve"> </w:t>
      </w:r>
      <w:r w:rsidR="00E70B8D" w:rsidRPr="00F106BB">
        <w:rPr>
          <w:rFonts w:asciiTheme="minorHAnsi" w:hAnsiTheme="minorHAnsi" w:cstheme="minorHAnsi"/>
          <w:bCs/>
          <w:sz w:val="24"/>
          <w:szCs w:val="24"/>
        </w:rPr>
        <w:t>This aligns it with the definition of child</w:t>
      </w:r>
      <w:r w:rsidR="00080A79" w:rsidRPr="00F106BB">
        <w:rPr>
          <w:rFonts w:asciiTheme="minorHAnsi" w:hAnsiTheme="minorHAnsi" w:cstheme="minorHAnsi"/>
          <w:bCs/>
          <w:sz w:val="24"/>
          <w:szCs w:val="24"/>
        </w:rPr>
        <w:t xml:space="preserve"> abuse in section 114A(1) of the </w:t>
      </w:r>
      <w:r w:rsidR="00080A79" w:rsidRPr="00F106BB">
        <w:rPr>
          <w:rFonts w:asciiTheme="minorHAnsi" w:hAnsiTheme="minorHAnsi" w:cstheme="minorHAnsi"/>
          <w:bCs/>
          <w:i/>
          <w:iCs/>
          <w:sz w:val="24"/>
          <w:szCs w:val="24"/>
        </w:rPr>
        <w:t>Civil Law (Wrongs) Act</w:t>
      </w:r>
      <w:r w:rsidR="00080A79" w:rsidRPr="00F106BB">
        <w:rPr>
          <w:rFonts w:asciiTheme="minorHAnsi" w:hAnsiTheme="minorHAnsi" w:cstheme="minorHAnsi"/>
          <w:bCs/>
          <w:sz w:val="24"/>
          <w:szCs w:val="24"/>
        </w:rPr>
        <w:t xml:space="preserve"> which defines child abuse as including 'sexual' </w:t>
      </w:r>
      <w:r w:rsidR="00922869">
        <w:rPr>
          <w:rFonts w:asciiTheme="minorHAnsi" w:hAnsiTheme="minorHAnsi" w:cstheme="minorHAnsi"/>
          <w:bCs/>
          <w:sz w:val="24"/>
          <w:szCs w:val="24"/>
        </w:rPr>
        <w:t>or</w:t>
      </w:r>
      <w:r w:rsidR="00080A79" w:rsidRPr="00F106BB">
        <w:rPr>
          <w:rFonts w:asciiTheme="minorHAnsi" w:hAnsiTheme="minorHAnsi" w:cstheme="minorHAnsi"/>
          <w:bCs/>
          <w:sz w:val="24"/>
          <w:szCs w:val="24"/>
        </w:rPr>
        <w:t xml:space="preserve"> 'physical' abuse.</w:t>
      </w:r>
    </w:p>
    <w:p w14:paraId="13F8EE20" w14:textId="0A1ED97A" w:rsidR="00940636" w:rsidRPr="00F106BB" w:rsidRDefault="00546E56" w:rsidP="001A32A5">
      <w:pPr>
        <w:tabs>
          <w:tab w:val="left" w:pos="425"/>
        </w:tabs>
        <w:spacing w:before="240"/>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This will allow </w:t>
      </w:r>
      <w:r w:rsidR="00AE7F10" w:rsidRPr="00F106BB">
        <w:rPr>
          <w:rFonts w:asciiTheme="minorHAnsi" w:hAnsiTheme="minorHAnsi" w:cstheme="minorHAnsi"/>
          <w:bCs/>
          <w:sz w:val="24"/>
          <w:szCs w:val="24"/>
        </w:rPr>
        <w:t xml:space="preserve">all survivors of child abuse in the ACT the opportunity to receive equal treatment before the law, by enabling those who suffered abuse as children to </w:t>
      </w:r>
      <w:r w:rsidRPr="00F106BB">
        <w:rPr>
          <w:rFonts w:asciiTheme="minorHAnsi" w:hAnsiTheme="minorHAnsi" w:cstheme="minorHAnsi"/>
          <w:bCs/>
          <w:sz w:val="24"/>
          <w:szCs w:val="24"/>
        </w:rPr>
        <w:t>bring claims</w:t>
      </w:r>
      <w:r w:rsidR="00AE7F10" w:rsidRPr="00F106BB">
        <w:rPr>
          <w:rFonts w:asciiTheme="minorHAnsi" w:hAnsiTheme="minorHAnsi" w:cstheme="minorHAnsi"/>
          <w:bCs/>
          <w:sz w:val="24"/>
          <w:szCs w:val="24"/>
        </w:rPr>
        <w:t xml:space="preserve"> for damages</w:t>
      </w:r>
      <w:r w:rsidRPr="00F106BB">
        <w:rPr>
          <w:rFonts w:asciiTheme="minorHAnsi" w:hAnsiTheme="minorHAnsi" w:cstheme="minorHAnsi"/>
          <w:bCs/>
          <w:sz w:val="24"/>
          <w:szCs w:val="24"/>
        </w:rPr>
        <w:t xml:space="preserve"> </w:t>
      </w:r>
      <w:r w:rsidR="001E7524" w:rsidRPr="00F106BB">
        <w:rPr>
          <w:rFonts w:asciiTheme="minorHAnsi" w:hAnsiTheme="minorHAnsi" w:cstheme="minorHAnsi"/>
          <w:bCs/>
          <w:sz w:val="24"/>
          <w:szCs w:val="24"/>
        </w:rPr>
        <w:t>regardless of</w:t>
      </w:r>
      <w:r w:rsidRPr="00F106BB">
        <w:rPr>
          <w:rFonts w:asciiTheme="minorHAnsi" w:hAnsiTheme="minorHAnsi" w:cstheme="minorHAnsi"/>
          <w:bCs/>
          <w:sz w:val="24"/>
          <w:szCs w:val="24"/>
        </w:rPr>
        <w:t xml:space="preserve"> when the abuse occurre</w:t>
      </w:r>
      <w:r w:rsidR="00AE7F10" w:rsidRPr="00F106BB">
        <w:rPr>
          <w:rFonts w:asciiTheme="minorHAnsi" w:hAnsiTheme="minorHAnsi" w:cstheme="minorHAnsi"/>
          <w:bCs/>
          <w:sz w:val="24"/>
          <w:szCs w:val="24"/>
        </w:rPr>
        <w:t xml:space="preserve">d and </w:t>
      </w:r>
      <w:r w:rsidR="00972CBE" w:rsidRPr="00F106BB">
        <w:rPr>
          <w:rFonts w:asciiTheme="minorHAnsi" w:hAnsiTheme="minorHAnsi" w:cstheme="minorHAnsi"/>
          <w:bCs/>
          <w:sz w:val="24"/>
          <w:szCs w:val="24"/>
        </w:rPr>
        <w:t xml:space="preserve">type of abuse experienced. It will also ensure national consistency given the majority of jurisdictions including NSW have adopted a similarly broad definition of child abuse. </w:t>
      </w:r>
    </w:p>
    <w:p w14:paraId="1A2BA5E1" w14:textId="6E3769AB" w:rsidR="00790FE4" w:rsidRPr="00F106BB" w:rsidRDefault="00503AAB" w:rsidP="001A32A5">
      <w:pPr>
        <w:pStyle w:val="Heading2"/>
        <w:jc w:val="both"/>
        <w:rPr>
          <w:rFonts w:asciiTheme="minorHAnsi" w:hAnsiTheme="minorHAnsi" w:cstheme="minorHAnsi"/>
          <w:szCs w:val="24"/>
        </w:rPr>
      </w:pPr>
      <w:r w:rsidRPr="00F106BB">
        <w:rPr>
          <w:rFonts w:asciiTheme="minorHAnsi" w:hAnsiTheme="minorHAnsi" w:cstheme="minorHAnsi"/>
          <w:szCs w:val="24"/>
        </w:rPr>
        <w:t xml:space="preserve">CONSISTENCY WITH </w:t>
      </w:r>
      <w:r w:rsidR="00790FE4" w:rsidRPr="00F106BB">
        <w:rPr>
          <w:rFonts w:asciiTheme="minorHAnsi" w:hAnsiTheme="minorHAnsi" w:cstheme="minorHAnsi"/>
          <w:szCs w:val="24"/>
        </w:rPr>
        <w:t>HUMAN RIGHTS</w:t>
      </w:r>
    </w:p>
    <w:p w14:paraId="3A858893" w14:textId="5B916DC9" w:rsidR="006D1407" w:rsidRPr="001A32A5" w:rsidRDefault="006D1407" w:rsidP="001A32A5">
      <w:pPr>
        <w:tabs>
          <w:tab w:val="left" w:pos="425"/>
        </w:tabs>
        <w:spacing w:before="240"/>
        <w:jc w:val="both"/>
        <w:rPr>
          <w:rFonts w:asciiTheme="minorHAnsi" w:hAnsiTheme="minorHAnsi" w:cstheme="minorHAnsi"/>
          <w:bCs/>
          <w:sz w:val="24"/>
          <w:szCs w:val="24"/>
        </w:rPr>
      </w:pPr>
      <w:r w:rsidRPr="001A32A5">
        <w:rPr>
          <w:rFonts w:asciiTheme="minorHAnsi" w:hAnsiTheme="minorHAnsi" w:cstheme="minorHAnsi"/>
          <w:bCs/>
          <w:sz w:val="24"/>
          <w:szCs w:val="24"/>
        </w:rPr>
        <w:t>The Royal Commission was established in January 2013 to investigate institutions that have failed to protect children or respond to allegations of child sexual abuse. </w:t>
      </w:r>
      <w:r w:rsidR="00CF0136" w:rsidRPr="001A32A5" w:rsidDel="00CF0136">
        <w:rPr>
          <w:rFonts w:asciiTheme="minorHAnsi" w:hAnsiTheme="minorHAnsi" w:cstheme="minorHAnsi"/>
          <w:bCs/>
          <w:sz w:val="24"/>
          <w:szCs w:val="24"/>
        </w:rPr>
        <w:t xml:space="preserve"> </w:t>
      </w:r>
      <w:r w:rsidRPr="001A32A5">
        <w:rPr>
          <w:rFonts w:asciiTheme="minorHAnsi" w:hAnsiTheme="minorHAnsi" w:cstheme="minorHAnsi"/>
          <w:bCs/>
          <w:sz w:val="24"/>
          <w:szCs w:val="24"/>
        </w:rPr>
        <w:t>The Royal Commission found that:</w:t>
      </w:r>
    </w:p>
    <w:p w14:paraId="2FD54A71" w14:textId="77777777" w:rsidR="006D1407" w:rsidRPr="00F106BB" w:rsidRDefault="006D1407" w:rsidP="001A32A5">
      <w:pPr>
        <w:pStyle w:val="NormalWeb"/>
        <w:shd w:val="clear" w:color="auto" w:fill="FFFFFF"/>
        <w:spacing w:before="0" w:beforeAutospacing="0" w:after="200" w:afterAutospacing="0"/>
        <w:ind w:left="720"/>
        <w:jc w:val="both"/>
        <w:rPr>
          <w:rFonts w:asciiTheme="minorHAnsi" w:eastAsia="Calibri" w:hAnsiTheme="minorHAnsi" w:cstheme="minorHAnsi"/>
          <w:i/>
          <w:iCs/>
          <w:lang w:eastAsia="en-US"/>
        </w:rPr>
      </w:pPr>
      <w:r w:rsidRPr="00F106BB">
        <w:rPr>
          <w:rFonts w:asciiTheme="minorHAnsi" w:eastAsia="Calibri" w:hAnsiTheme="minorHAnsi" w:cstheme="minorHAnsi"/>
          <w:i/>
          <w:iCs/>
          <w:lang w:eastAsia="en-US"/>
        </w:rPr>
        <w:t>The impacts of child sexual abuse are different for each victim.  For many victims, the abuse can have profound and lasting impacts.  They experience deep, complex trauma, which can pervade all aspects of their lives, and cause a range of effects across their lifespans.  Other victims do not perceive themselves to be profoundly harmed by the experience.</w:t>
      </w:r>
    </w:p>
    <w:p w14:paraId="477E6528" w14:textId="1B84E270" w:rsidR="006D1407" w:rsidRPr="00F106BB" w:rsidRDefault="006D1407" w:rsidP="001A32A5">
      <w:pPr>
        <w:pStyle w:val="NormalWeb"/>
        <w:shd w:val="clear" w:color="auto" w:fill="FFFFFF"/>
        <w:spacing w:before="0" w:beforeAutospacing="0" w:after="200" w:afterAutospacing="0"/>
        <w:ind w:left="720"/>
        <w:jc w:val="both"/>
        <w:rPr>
          <w:rFonts w:asciiTheme="minorHAnsi" w:eastAsia="Calibri" w:hAnsiTheme="minorHAnsi" w:cstheme="minorHAnsi"/>
          <w:i/>
          <w:iCs/>
          <w:lang w:eastAsia="en-US"/>
        </w:rPr>
      </w:pPr>
      <w:r w:rsidRPr="00F106BB">
        <w:rPr>
          <w:rFonts w:asciiTheme="minorHAnsi" w:eastAsia="Calibri" w:hAnsiTheme="minorHAnsi" w:cstheme="minorHAnsi"/>
          <w:i/>
          <w:iCs/>
          <w:lang w:eastAsia="en-US"/>
        </w:rPr>
        <w:t xml:space="preserve">Some impacts on victims are immediate and temporary, while others can last throughout adulthood.  Some emerge later in life; others abate only to re-emerge or manifest in response to triggers or events.  As victims have new experiences or enter </w:t>
      </w:r>
      <w:r w:rsidRPr="00F106BB">
        <w:rPr>
          <w:rFonts w:asciiTheme="minorHAnsi" w:eastAsia="Calibri" w:hAnsiTheme="minorHAnsi" w:cstheme="minorHAnsi"/>
          <w:i/>
          <w:iCs/>
          <w:lang w:eastAsia="en-US"/>
        </w:rPr>
        <w:lastRenderedPageBreak/>
        <w:t xml:space="preserve">new stages of development over their life courses, the consequences of abuse may manifest in different </w:t>
      </w:r>
      <w:r w:rsidR="00045B9E" w:rsidRPr="00F106BB">
        <w:rPr>
          <w:rFonts w:asciiTheme="minorHAnsi" w:eastAsia="Calibri" w:hAnsiTheme="minorHAnsi" w:cstheme="minorHAnsi"/>
          <w:i/>
          <w:iCs/>
          <w:lang w:eastAsia="en-US"/>
        </w:rPr>
        <w:t>ways.</w:t>
      </w:r>
      <w:r w:rsidRPr="00F106BB">
        <w:rPr>
          <w:rFonts w:asciiTheme="minorHAnsi" w:eastAsia="Calibri" w:hAnsiTheme="minorHAnsi" w:cstheme="minorHAnsi"/>
          <w:i/>
          <w:iCs/>
          <w:vertAlign w:val="superscript"/>
          <w:lang w:eastAsia="en-US"/>
        </w:rPr>
        <w:footnoteReference w:id="2"/>
      </w:r>
      <w:r w:rsidRPr="00F106BB">
        <w:rPr>
          <w:rFonts w:asciiTheme="minorHAnsi" w:eastAsia="Calibri" w:hAnsiTheme="minorHAnsi" w:cstheme="minorHAnsi"/>
          <w:i/>
          <w:iCs/>
          <w:lang w:eastAsia="en-US"/>
        </w:rPr>
        <w:t> </w:t>
      </w:r>
    </w:p>
    <w:p w14:paraId="100E7C94" w14:textId="6EDDC514" w:rsidR="00145BEE" w:rsidRPr="00F106BB" w:rsidRDefault="006D1407" w:rsidP="001A32A5">
      <w:pPr>
        <w:pStyle w:val="NormalWeb"/>
        <w:shd w:val="clear" w:color="auto" w:fill="FFFFFF"/>
        <w:spacing w:before="0" w:beforeAutospacing="0" w:after="200" w:afterAutospacing="0"/>
        <w:jc w:val="both"/>
        <w:rPr>
          <w:rFonts w:asciiTheme="minorHAnsi" w:eastAsia="Calibri" w:hAnsiTheme="minorHAnsi" w:cstheme="minorHAnsi"/>
          <w:lang w:eastAsia="en-US"/>
        </w:rPr>
      </w:pPr>
      <w:r w:rsidRPr="00F106BB">
        <w:rPr>
          <w:rFonts w:asciiTheme="minorHAnsi" w:eastAsia="Calibri" w:hAnsiTheme="minorHAnsi" w:cstheme="minorHAnsi"/>
          <w:lang w:eastAsia="en-US"/>
        </w:rPr>
        <w:t>The issue of child abuse raises important human rights issues</w:t>
      </w:r>
      <w:r w:rsidR="00A86C84" w:rsidRPr="00F106BB">
        <w:rPr>
          <w:rFonts w:asciiTheme="minorHAnsi" w:eastAsia="Calibri" w:hAnsiTheme="minorHAnsi" w:cstheme="minorHAnsi"/>
          <w:lang w:eastAsia="en-US"/>
        </w:rPr>
        <w:t xml:space="preserve"> </w:t>
      </w:r>
      <w:r w:rsidRPr="00F106BB">
        <w:rPr>
          <w:rFonts w:asciiTheme="minorHAnsi" w:eastAsia="Calibri" w:hAnsiTheme="minorHAnsi" w:cstheme="minorHAnsi"/>
          <w:lang w:eastAsia="en-US"/>
        </w:rPr>
        <w:t>and engages many rights under the </w:t>
      </w:r>
      <w:r w:rsidRPr="00922869">
        <w:rPr>
          <w:rFonts w:asciiTheme="minorHAnsi" w:eastAsia="Calibri" w:hAnsiTheme="minorHAnsi" w:cstheme="minorHAnsi"/>
          <w:i/>
          <w:iCs/>
          <w:lang w:eastAsia="en-US"/>
        </w:rPr>
        <w:t>Human Rights Act 2004</w:t>
      </w:r>
      <w:r w:rsidRPr="00F106BB">
        <w:rPr>
          <w:rFonts w:asciiTheme="minorHAnsi" w:eastAsia="Calibri" w:hAnsiTheme="minorHAnsi" w:cstheme="minorHAnsi"/>
          <w:lang w:eastAsia="en-US"/>
        </w:rPr>
        <w:t xml:space="preserve"> (HR Act). Child abuse violates children’s most basic rights including </w:t>
      </w:r>
      <w:bookmarkStart w:id="2" w:name="_Hlk102468785"/>
      <w:r w:rsidRPr="00F106BB">
        <w:rPr>
          <w:rFonts w:asciiTheme="minorHAnsi" w:eastAsia="Calibri" w:hAnsiTheme="minorHAnsi" w:cstheme="minorHAnsi"/>
          <w:lang w:eastAsia="en-US"/>
        </w:rPr>
        <w:t>the right to protection of family and children (s 11 HR Act</w:t>
      </w:r>
      <w:r w:rsidR="005C67AF" w:rsidRPr="00F106BB">
        <w:rPr>
          <w:rFonts w:asciiTheme="minorHAnsi" w:eastAsia="Calibri" w:hAnsiTheme="minorHAnsi" w:cstheme="minorHAnsi"/>
          <w:lang w:eastAsia="en-US"/>
        </w:rPr>
        <w:t>).</w:t>
      </w:r>
      <w:r w:rsidR="00120F65" w:rsidRPr="00F106BB">
        <w:rPr>
          <w:rFonts w:asciiTheme="minorHAnsi" w:eastAsia="Calibri" w:hAnsiTheme="minorHAnsi" w:cstheme="minorHAnsi"/>
          <w:lang w:eastAsia="en-US"/>
        </w:rPr>
        <w:t xml:space="preserve"> </w:t>
      </w:r>
      <w:bookmarkEnd w:id="2"/>
    </w:p>
    <w:p w14:paraId="0CF8A3E0" w14:textId="77777777" w:rsidR="00922869" w:rsidRDefault="00922869" w:rsidP="001A32A5">
      <w:pPr>
        <w:jc w:val="both"/>
        <w:rPr>
          <w:rFonts w:asciiTheme="minorHAnsi" w:eastAsia="Calibri" w:hAnsiTheme="minorHAnsi" w:cstheme="minorHAnsi"/>
          <w:b/>
          <w:bCs/>
          <w:sz w:val="24"/>
          <w:szCs w:val="24"/>
        </w:rPr>
      </w:pPr>
    </w:p>
    <w:p w14:paraId="2D04AAD7" w14:textId="0B77C621" w:rsidR="0077144C" w:rsidRPr="00CF0136" w:rsidRDefault="0077144C" w:rsidP="001A32A5">
      <w:pPr>
        <w:jc w:val="both"/>
        <w:rPr>
          <w:rFonts w:asciiTheme="minorHAnsi" w:eastAsia="Calibri" w:hAnsiTheme="minorHAnsi" w:cstheme="minorHAnsi"/>
          <w:b/>
          <w:bCs/>
          <w:sz w:val="24"/>
          <w:szCs w:val="24"/>
        </w:rPr>
      </w:pPr>
      <w:r w:rsidRPr="00F106BB">
        <w:rPr>
          <w:rFonts w:asciiTheme="minorHAnsi" w:eastAsia="Calibri" w:hAnsiTheme="minorHAnsi" w:cstheme="minorHAnsi"/>
          <w:b/>
          <w:bCs/>
          <w:sz w:val="24"/>
          <w:szCs w:val="24"/>
        </w:rPr>
        <w:t>Reforms to the</w:t>
      </w:r>
      <w:r w:rsidRPr="00F106BB">
        <w:rPr>
          <w:rFonts w:asciiTheme="minorHAnsi" w:eastAsia="Calibri" w:hAnsiTheme="minorHAnsi" w:cstheme="minorHAnsi"/>
          <w:b/>
          <w:bCs/>
          <w:i/>
          <w:iCs/>
          <w:sz w:val="24"/>
          <w:szCs w:val="24"/>
        </w:rPr>
        <w:t xml:space="preserve"> </w:t>
      </w:r>
      <w:r w:rsidRPr="002707D1">
        <w:rPr>
          <w:rFonts w:asciiTheme="minorHAnsi" w:eastAsia="Calibri" w:hAnsiTheme="minorHAnsi" w:cstheme="minorHAnsi"/>
          <w:b/>
          <w:bCs/>
          <w:sz w:val="24"/>
          <w:szCs w:val="24"/>
        </w:rPr>
        <w:t xml:space="preserve">Civil Law (Wrongs) Act </w:t>
      </w:r>
    </w:p>
    <w:p w14:paraId="31E2A8D8" w14:textId="4D963FC4" w:rsidR="00055A7C" w:rsidRPr="00F106BB" w:rsidRDefault="00055A7C" w:rsidP="001A32A5">
      <w:pPr>
        <w:jc w:val="both"/>
        <w:rPr>
          <w:rFonts w:asciiTheme="minorHAnsi" w:hAnsiTheme="minorHAnsi" w:cstheme="minorHAnsi"/>
          <w:b/>
          <w:sz w:val="24"/>
          <w:szCs w:val="24"/>
        </w:rPr>
      </w:pPr>
      <w:r w:rsidRPr="00F106BB">
        <w:rPr>
          <w:rFonts w:asciiTheme="minorHAnsi" w:hAnsiTheme="minorHAnsi" w:cstheme="minorHAnsi"/>
          <w:b/>
          <w:sz w:val="24"/>
          <w:szCs w:val="24"/>
        </w:rPr>
        <w:t xml:space="preserve">Rights engaged and supported </w:t>
      </w:r>
    </w:p>
    <w:p w14:paraId="7D9E5475" w14:textId="77777777" w:rsidR="004D769F" w:rsidRPr="00F106BB" w:rsidRDefault="004D769F" w:rsidP="001A32A5">
      <w:pPr>
        <w:jc w:val="both"/>
        <w:rPr>
          <w:rFonts w:asciiTheme="minorHAnsi" w:hAnsiTheme="minorHAnsi" w:cstheme="minorHAnsi"/>
          <w:bCs/>
          <w:sz w:val="24"/>
          <w:szCs w:val="24"/>
        </w:rPr>
      </w:pPr>
      <w:r w:rsidRPr="00F106BB">
        <w:rPr>
          <w:rFonts w:asciiTheme="minorHAnsi" w:hAnsiTheme="minorHAnsi" w:cstheme="minorHAnsi"/>
          <w:bCs/>
          <w:sz w:val="24"/>
          <w:szCs w:val="24"/>
        </w:rPr>
        <w:t>The reforms support the following HR Act rights:</w:t>
      </w:r>
    </w:p>
    <w:p w14:paraId="3E1B134D" w14:textId="77777777" w:rsidR="004D769F" w:rsidRPr="00F106BB" w:rsidRDefault="004D769F" w:rsidP="001A32A5">
      <w:pPr>
        <w:numPr>
          <w:ilvl w:val="0"/>
          <w:numId w:val="15"/>
        </w:numPr>
        <w:shd w:val="clear" w:color="auto" w:fill="FFFFFF"/>
        <w:spacing w:before="240" w:after="120" w:line="240" w:lineRule="auto"/>
        <w:jc w:val="both"/>
        <w:rPr>
          <w:rFonts w:asciiTheme="minorHAnsi" w:hAnsiTheme="minorHAnsi" w:cstheme="minorHAnsi"/>
          <w:bCs/>
          <w:sz w:val="24"/>
          <w:szCs w:val="24"/>
        </w:rPr>
      </w:pPr>
      <w:r w:rsidRPr="00F106BB">
        <w:rPr>
          <w:rFonts w:asciiTheme="minorHAnsi" w:hAnsiTheme="minorHAnsi" w:cstheme="minorHAnsi"/>
          <w:bCs/>
          <w:sz w:val="24"/>
          <w:szCs w:val="24"/>
        </w:rPr>
        <w:t xml:space="preserve">Section 11 – Protection of family and children; and </w:t>
      </w:r>
    </w:p>
    <w:p w14:paraId="2FC0421F" w14:textId="77777777" w:rsidR="004D769F" w:rsidRPr="00F106BB" w:rsidRDefault="004D769F" w:rsidP="001A32A5">
      <w:pPr>
        <w:numPr>
          <w:ilvl w:val="0"/>
          <w:numId w:val="15"/>
        </w:numPr>
        <w:shd w:val="clear" w:color="auto" w:fill="FFFFFF"/>
        <w:spacing w:before="240" w:after="120" w:line="240" w:lineRule="auto"/>
        <w:jc w:val="both"/>
        <w:rPr>
          <w:rFonts w:asciiTheme="minorHAnsi" w:hAnsiTheme="minorHAnsi" w:cstheme="minorHAnsi"/>
          <w:bCs/>
          <w:sz w:val="24"/>
          <w:szCs w:val="24"/>
        </w:rPr>
      </w:pPr>
      <w:r w:rsidRPr="00F106BB">
        <w:rPr>
          <w:rFonts w:asciiTheme="minorHAnsi" w:hAnsiTheme="minorHAnsi" w:cstheme="minorHAnsi"/>
          <w:bCs/>
          <w:sz w:val="24"/>
          <w:szCs w:val="24"/>
        </w:rPr>
        <w:t>Section 21 – Right to a fair trial.</w:t>
      </w:r>
    </w:p>
    <w:p w14:paraId="7DB56E3C" w14:textId="77777777" w:rsidR="004D769F" w:rsidRPr="00F106BB" w:rsidRDefault="004D769F" w:rsidP="001A32A5">
      <w:pPr>
        <w:pStyle w:val="CS-Paragraphnumbering"/>
        <w:ind w:left="0" w:firstLine="0"/>
        <w:jc w:val="both"/>
        <w:rPr>
          <w:rFonts w:asciiTheme="minorHAnsi" w:hAnsiTheme="minorHAnsi" w:cstheme="minorHAnsi"/>
          <w:i/>
          <w:iCs/>
        </w:rPr>
      </w:pPr>
      <w:r w:rsidRPr="00F106BB">
        <w:rPr>
          <w:rFonts w:asciiTheme="minorHAnsi" w:hAnsiTheme="minorHAnsi" w:cstheme="minorHAnsi"/>
          <w:i/>
          <w:iCs/>
        </w:rPr>
        <w:t xml:space="preserve">Section 21 – the right to a fair trial </w:t>
      </w:r>
    </w:p>
    <w:p w14:paraId="3452DEDF" w14:textId="1BF66FB0" w:rsidR="004D769F" w:rsidRPr="00F106BB" w:rsidRDefault="004D769F" w:rsidP="001A32A5">
      <w:pPr>
        <w:pStyle w:val="CS-Paragraphnumbering"/>
        <w:ind w:left="0" w:firstLine="0"/>
        <w:jc w:val="both"/>
        <w:rPr>
          <w:rFonts w:asciiTheme="minorHAnsi" w:hAnsiTheme="minorHAnsi" w:cstheme="minorHAnsi"/>
        </w:rPr>
      </w:pPr>
      <w:r w:rsidRPr="00F106BB">
        <w:rPr>
          <w:rFonts w:asciiTheme="minorHAnsi" w:hAnsiTheme="minorHAnsi" w:cstheme="minorHAnsi"/>
        </w:rPr>
        <w:t xml:space="preserve">This Bill reflects that many survivors were denied the right to fair compensation for the institutional sexual abuse they suffered as children. This Bill intends </w:t>
      </w:r>
      <w:r w:rsidRPr="00F106BB">
        <w:rPr>
          <w:rFonts w:asciiTheme="minorHAnsi" w:hAnsiTheme="minorHAnsi" w:cstheme="minorHAnsi"/>
          <w:bCs/>
        </w:rPr>
        <w:t xml:space="preserve">to provide an avenue for survivors to apply to the court to have their past settlement agreement set aside if at the time the agreement was made, there were legal barriers to the survivor being fully compensated through a legal cause of action that have since been removed, or when the agreement is sought to be set aside, the agreement is, in all the circumstances, not a just and reasonable agreement. </w:t>
      </w:r>
      <w:r w:rsidR="005F4396" w:rsidRPr="00F106BB">
        <w:rPr>
          <w:rFonts w:asciiTheme="minorHAnsi" w:hAnsiTheme="minorHAnsi" w:cstheme="minorHAnsi"/>
          <w:bCs/>
        </w:rPr>
        <w:t xml:space="preserve">It is intended to create access to equality for survivors by allowing them to receive </w:t>
      </w:r>
      <w:r w:rsidR="00275FE2" w:rsidRPr="00F106BB">
        <w:rPr>
          <w:rFonts w:asciiTheme="minorHAnsi" w:hAnsiTheme="minorHAnsi" w:cstheme="minorHAnsi"/>
          <w:bCs/>
        </w:rPr>
        <w:t xml:space="preserve">compensation that is appropriate by today’s standards. </w:t>
      </w:r>
    </w:p>
    <w:p w14:paraId="6A3CDA37" w14:textId="20486170" w:rsidR="004D769F" w:rsidRPr="00F106BB" w:rsidRDefault="004D769F" w:rsidP="001A32A5">
      <w:pPr>
        <w:tabs>
          <w:tab w:val="left" w:pos="425"/>
        </w:tabs>
        <w:spacing w:before="240"/>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The Bill ensures that survivors who entered into unjust or unreasonable settlement agreements can have those agreements set aside and bring a new claim for compensation that is adequate, just and equitable by contemporary expectations. </w:t>
      </w:r>
      <w:r w:rsidR="00275FE2" w:rsidRPr="00F106BB">
        <w:rPr>
          <w:rFonts w:asciiTheme="minorHAnsi" w:hAnsiTheme="minorHAnsi" w:cstheme="minorHAnsi"/>
          <w:bCs/>
          <w:sz w:val="24"/>
          <w:szCs w:val="24"/>
        </w:rPr>
        <w:t xml:space="preserve">It places on equal footing those survivors who entered into settlement agreements before the ACT’s earlier reforms, with those who benefited from the reforms. </w:t>
      </w:r>
    </w:p>
    <w:p w14:paraId="3B8C5B94" w14:textId="77777777" w:rsidR="004D769F" w:rsidRPr="00F106BB" w:rsidRDefault="004D769F" w:rsidP="001A32A5">
      <w:pPr>
        <w:tabs>
          <w:tab w:val="left" w:pos="425"/>
        </w:tabs>
        <w:spacing w:before="240"/>
        <w:jc w:val="both"/>
        <w:rPr>
          <w:rFonts w:asciiTheme="minorHAnsi" w:hAnsiTheme="minorHAnsi" w:cstheme="minorHAnsi"/>
          <w:bCs/>
          <w:i/>
          <w:iCs/>
          <w:sz w:val="24"/>
          <w:szCs w:val="24"/>
        </w:rPr>
      </w:pPr>
      <w:r w:rsidRPr="00F106BB">
        <w:rPr>
          <w:rFonts w:asciiTheme="minorHAnsi" w:hAnsiTheme="minorHAnsi" w:cstheme="minorHAnsi"/>
          <w:bCs/>
          <w:i/>
          <w:iCs/>
          <w:sz w:val="24"/>
          <w:szCs w:val="24"/>
        </w:rPr>
        <w:t>Section 11 – protection of family and children</w:t>
      </w:r>
    </w:p>
    <w:p w14:paraId="67C6DC15" w14:textId="03D229D2" w:rsidR="003555A0" w:rsidRPr="00F106BB" w:rsidRDefault="004D769F" w:rsidP="001A32A5">
      <w:pPr>
        <w:jc w:val="both"/>
        <w:rPr>
          <w:rFonts w:asciiTheme="minorHAnsi" w:hAnsiTheme="minorHAnsi" w:cstheme="minorHAnsi"/>
          <w:bCs/>
          <w:sz w:val="24"/>
          <w:szCs w:val="24"/>
        </w:rPr>
      </w:pPr>
      <w:r w:rsidRPr="00F106BB">
        <w:rPr>
          <w:rFonts w:asciiTheme="minorHAnsi" w:hAnsiTheme="minorHAnsi" w:cstheme="minorHAnsi"/>
          <w:bCs/>
          <w:sz w:val="24"/>
          <w:szCs w:val="24"/>
        </w:rPr>
        <w:t xml:space="preserve">Section 11 acknowledges that children have special rights by virtue of their particular vulnerabilities. The addition of Part 8A.3 goes beyond Royal Commission recommendations and supports the rights of children subjected to institutional child abuse. The purpose of these amendments is to ensure that justice can be sought for, and by, survivors of institutional child abuse. The applications to set aside past unjust settlements, and the ensuing new claims, will promote greater understanding of the circumstances that led to the abuse and circumstances around the settlement, greater community awareness of institutional child abuse and unjust </w:t>
      </w:r>
      <w:r w:rsidRPr="00F106BB">
        <w:rPr>
          <w:rFonts w:asciiTheme="minorHAnsi" w:hAnsiTheme="minorHAnsi" w:cstheme="minorHAnsi"/>
          <w:bCs/>
          <w:sz w:val="24"/>
          <w:szCs w:val="24"/>
        </w:rPr>
        <w:lastRenderedPageBreak/>
        <w:t xml:space="preserve">settlements as social, moral and justice issues, help remove the stigma and encourage survivors to come forward to seek the justice to which they were originally entitled. The imposition of appropriate penalties by the standards of today on those institutions with responsibility for the child abuse will signal the community’s strong repudiation of this abhorrent behaviour, act as general deterrent to this type of offending, and enable offending institutions to be appropriately sanctioned. </w:t>
      </w:r>
      <w:r w:rsidRPr="00F106BB">
        <w:rPr>
          <w:rFonts w:asciiTheme="minorHAnsi" w:hAnsiTheme="minorHAnsi" w:cstheme="minorHAnsi"/>
          <w:sz w:val="24"/>
          <w:szCs w:val="24"/>
        </w:rPr>
        <w:t xml:space="preserve"> </w:t>
      </w:r>
      <w:r w:rsidRPr="00F106BB">
        <w:rPr>
          <w:rFonts w:asciiTheme="minorHAnsi" w:hAnsiTheme="minorHAnsi" w:cstheme="minorHAnsi"/>
          <w:bCs/>
          <w:sz w:val="24"/>
          <w:szCs w:val="24"/>
        </w:rPr>
        <w:t>In these ways, the amendments are intended to protect the rights of children.</w:t>
      </w:r>
    </w:p>
    <w:p w14:paraId="35D4EBF1" w14:textId="1610A6C6" w:rsidR="00055A7C" w:rsidRPr="00F106BB" w:rsidRDefault="00055A7C" w:rsidP="001A32A5">
      <w:pPr>
        <w:shd w:val="clear" w:color="auto" w:fill="FFFFFF"/>
        <w:spacing w:before="240" w:after="120" w:line="240" w:lineRule="auto"/>
        <w:jc w:val="both"/>
        <w:rPr>
          <w:rFonts w:asciiTheme="minorHAnsi" w:hAnsiTheme="minorHAnsi" w:cstheme="minorHAnsi"/>
          <w:b/>
          <w:i/>
          <w:iCs/>
          <w:sz w:val="24"/>
          <w:szCs w:val="24"/>
        </w:rPr>
      </w:pPr>
      <w:r w:rsidRPr="00F106BB">
        <w:rPr>
          <w:rFonts w:asciiTheme="minorHAnsi" w:hAnsiTheme="minorHAnsi" w:cstheme="minorHAnsi"/>
          <w:b/>
          <w:sz w:val="24"/>
          <w:szCs w:val="24"/>
        </w:rPr>
        <w:t xml:space="preserve">Rights engaged and limited </w:t>
      </w:r>
    </w:p>
    <w:p w14:paraId="2F7B086A" w14:textId="56E86FD2" w:rsidR="00F853E7" w:rsidRPr="00F106BB" w:rsidRDefault="00F853E7" w:rsidP="001A32A5">
      <w:pPr>
        <w:shd w:val="clear" w:color="auto" w:fill="FFFFFF"/>
        <w:spacing w:before="240" w:after="120" w:line="240" w:lineRule="auto"/>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The reforms to </w:t>
      </w:r>
      <w:r w:rsidRPr="002707D1">
        <w:rPr>
          <w:rFonts w:asciiTheme="minorHAnsi" w:hAnsiTheme="minorHAnsi" w:cstheme="minorHAnsi"/>
          <w:bCs/>
          <w:i/>
          <w:iCs/>
          <w:sz w:val="24"/>
          <w:szCs w:val="24"/>
        </w:rPr>
        <w:t xml:space="preserve">the </w:t>
      </w:r>
      <w:r w:rsidRPr="00CF0136">
        <w:rPr>
          <w:rFonts w:asciiTheme="minorHAnsi" w:hAnsiTheme="minorHAnsi" w:cstheme="minorHAnsi"/>
          <w:bCs/>
          <w:i/>
          <w:iCs/>
          <w:sz w:val="24"/>
          <w:szCs w:val="24"/>
        </w:rPr>
        <w:t>Civil Law (Wrongs) Act</w:t>
      </w:r>
      <w:r w:rsidRPr="00F106BB">
        <w:rPr>
          <w:rFonts w:asciiTheme="minorHAnsi" w:hAnsiTheme="minorHAnsi" w:cstheme="minorHAnsi"/>
          <w:bCs/>
          <w:sz w:val="24"/>
          <w:szCs w:val="24"/>
        </w:rPr>
        <w:t xml:space="preserve"> relate to settlements entered into with institutions which do not have human rights. </w:t>
      </w:r>
    </w:p>
    <w:p w14:paraId="1DFE888D" w14:textId="40D0715F" w:rsidR="00F853E7" w:rsidRPr="001A32A5" w:rsidRDefault="00F853E7" w:rsidP="001A32A5">
      <w:pPr>
        <w:pStyle w:val="CS-Paragraphnumbering"/>
        <w:ind w:left="0" w:firstLine="0"/>
        <w:jc w:val="both"/>
        <w:rPr>
          <w:rFonts w:asciiTheme="minorHAnsi" w:hAnsiTheme="minorHAnsi" w:cstheme="minorHAnsi"/>
        </w:rPr>
      </w:pPr>
      <w:r w:rsidRPr="001A32A5">
        <w:rPr>
          <w:rFonts w:asciiTheme="minorHAnsi" w:hAnsiTheme="minorHAnsi" w:cstheme="minorHAnsi"/>
        </w:rPr>
        <w:t>However, it is foreseeable that as a result of an unjust settlement being set aside, there might be another judicial process, in which an individual from the offending institution could be named as a respondent, or otherwise be required to participate in the judicial process. Providing for the re</w:t>
      </w:r>
      <w:r w:rsidR="00145BEE" w:rsidRPr="001A32A5">
        <w:rPr>
          <w:rFonts w:asciiTheme="minorHAnsi" w:hAnsiTheme="minorHAnsi" w:cstheme="minorHAnsi"/>
        </w:rPr>
        <w:t>-</w:t>
      </w:r>
      <w:r w:rsidRPr="001A32A5">
        <w:rPr>
          <w:rFonts w:asciiTheme="minorHAnsi" w:hAnsiTheme="minorHAnsi" w:cstheme="minorHAnsi"/>
        </w:rPr>
        <w:t xml:space="preserve">litigation of previously settled disputes and disturbing the finality of those settlements, might engage their right to a fair trial. However, the amendment in the Bill is limited to setting aside a settlement. Any judicial process that flows from the court’s decision to set aside an agreement will ensure both parties will be equally entitled to the checks, balances and protections that already exist within the process, meaning this potential limitation is unlikely to be unreasonable or unjustified. </w:t>
      </w:r>
    </w:p>
    <w:p w14:paraId="48C94BFC" w14:textId="03E313EE" w:rsidR="00F853E7" w:rsidRPr="001A32A5" w:rsidRDefault="00F853E7" w:rsidP="001A32A5">
      <w:pPr>
        <w:pStyle w:val="CS-Paragraphnumbering"/>
        <w:ind w:left="0" w:firstLine="0"/>
        <w:jc w:val="both"/>
        <w:rPr>
          <w:rFonts w:asciiTheme="minorHAnsi" w:hAnsiTheme="minorHAnsi" w:cstheme="minorHAnsi"/>
        </w:rPr>
      </w:pPr>
      <w:r w:rsidRPr="001A32A5">
        <w:rPr>
          <w:rFonts w:asciiTheme="minorHAnsi" w:hAnsiTheme="minorHAnsi" w:cstheme="minorHAnsi"/>
        </w:rPr>
        <w:t>The voices of survivors have been closely considered and strongly influenced the Bill. The Bill does not allow an institution to bring an application to have an unjust settlement set aside – that right is expressly limited to the survivor. This is set out in the Objects section 114I – ‘The object of this part is to provide a way, for a person who is the subject of a child abuse claim because the person suffered child abuse, to seek to have an abuse settlement agreement set aside if –…’</w:t>
      </w:r>
      <w:r w:rsidR="0052666F" w:rsidRPr="001A32A5">
        <w:rPr>
          <w:rFonts w:asciiTheme="minorHAnsi" w:hAnsiTheme="minorHAnsi" w:cstheme="minorHAnsi"/>
        </w:rPr>
        <w:t xml:space="preserve">. This is further set out in section 114K(1) which implicitly limits this power to survivors by framing the court’s power to set aside an unjust child abuse settlement as conditional on a ‘person (the applicant) [being] prevented from exercising an action on a cause of action because of an abuse settlement agreement’. </w:t>
      </w:r>
    </w:p>
    <w:p w14:paraId="6D74D650" w14:textId="77777777" w:rsidR="00F853E7" w:rsidRPr="00F106BB" w:rsidRDefault="00F853E7" w:rsidP="001A32A5">
      <w:pPr>
        <w:pStyle w:val="CS-Paragraphnumbering"/>
        <w:ind w:left="0" w:firstLine="0"/>
        <w:jc w:val="both"/>
        <w:rPr>
          <w:rFonts w:asciiTheme="minorHAnsi" w:hAnsiTheme="minorHAnsi" w:cstheme="minorHAnsi"/>
        </w:rPr>
      </w:pPr>
      <w:r w:rsidRPr="001A32A5">
        <w:rPr>
          <w:rFonts w:asciiTheme="minorHAnsi" w:hAnsiTheme="minorHAnsi" w:cstheme="minorHAnsi"/>
        </w:rPr>
        <w:t>As such, it is not intended for there to be scope for any potential ‘benevolent’ institution to apply to the court to have an unjust settlement set aside. It is foreseeable that the act of doing so may have adverse and unintended consequences for survivors, particularly on their right to privacy, as they may be compelled to participate in further judicial processes without their consent, and with potentially re-traumatising effect.</w:t>
      </w:r>
      <w:r w:rsidRPr="00F106BB">
        <w:rPr>
          <w:rFonts w:asciiTheme="minorHAnsi" w:hAnsiTheme="minorHAnsi" w:cstheme="minorHAnsi"/>
        </w:rPr>
        <w:t xml:space="preserve"> </w:t>
      </w:r>
    </w:p>
    <w:p w14:paraId="5BD6E257" w14:textId="2E16B96F" w:rsidR="0077144C" w:rsidRPr="00F106BB" w:rsidRDefault="0077144C" w:rsidP="001A32A5">
      <w:pPr>
        <w:shd w:val="clear" w:color="auto" w:fill="FFFFFF"/>
        <w:spacing w:before="240" w:after="120" w:line="240" w:lineRule="auto"/>
        <w:jc w:val="both"/>
        <w:rPr>
          <w:rFonts w:asciiTheme="minorHAnsi" w:hAnsiTheme="minorHAnsi" w:cstheme="minorHAnsi"/>
          <w:b/>
          <w:i/>
          <w:iCs/>
          <w:sz w:val="24"/>
          <w:szCs w:val="24"/>
        </w:rPr>
      </w:pPr>
      <w:r w:rsidRPr="00CF0136">
        <w:rPr>
          <w:rFonts w:asciiTheme="minorHAnsi" w:hAnsiTheme="minorHAnsi" w:cstheme="minorHAnsi"/>
          <w:b/>
          <w:sz w:val="24"/>
          <w:szCs w:val="24"/>
        </w:rPr>
        <w:t xml:space="preserve">Reforms to the </w:t>
      </w:r>
      <w:r w:rsidRPr="002707D1">
        <w:rPr>
          <w:rFonts w:asciiTheme="minorHAnsi" w:hAnsiTheme="minorHAnsi" w:cstheme="minorHAnsi"/>
          <w:b/>
          <w:sz w:val="24"/>
          <w:szCs w:val="24"/>
        </w:rPr>
        <w:t>Limitation Act</w:t>
      </w:r>
      <w:r w:rsidRPr="00F106BB">
        <w:rPr>
          <w:rFonts w:asciiTheme="minorHAnsi" w:hAnsiTheme="minorHAnsi" w:cstheme="minorHAnsi"/>
          <w:b/>
          <w:i/>
          <w:iCs/>
          <w:sz w:val="24"/>
          <w:szCs w:val="24"/>
        </w:rPr>
        <w:t xml:space="preserve"> </w:t>
      </w:r>
    </w:p>
    <w:p w14:paraId="73581818" w14:textId="52AEA927" w:rsidR="003555A0" w:rsidRPr="00F106BB" w:rsidRDefault="003555A0" w:rsidP="001A32A5">
      <w:pPr>
        <w:jc w:val="both"/>
        <w:rPr>
          <w:rFonts w:asciiTheme="minorHAnsi" w:hAnsiTheme="minorHAnsi" w:cstheme="minorHAnsi"/>
          <w:bCs/>
          <w:sz w:val="24"/>
          <w:szCs w:val="24"/>
        </w:rPr>
      </w:pPr>
      <w:r w:rsidRPr="00F106BB">
        <w:rPr>
          <w:rFonts w:asciiTheme="minorHAnsi" w:hAnsiTheme="minorHAnsi" w:cstheme="minorHAnsi"/>
          <w:b/>
          <w:sz w:val="24"/>
          <w:szCs w:val="24"/>
        </w:rPr>
        <w:t xml:space="preserve">Rights engaged and supported </w:t>
      </w:r>
    </w:p>
    <w:p w14:paraId="45D2DBBC" w14:textId="77777777" w:rsidR="00A27622" w:rsidRPr="00F106BB" w:rsidRDefault="00A27622" w:rsidP="001A32A5">
      <w:pPr>
        <w:pStyle w:val="NormalWeb"/>
        <w:shd w:val="clear" w:color="auto" w:fill="FFFFFF"/>
        <w:spacing w:before="240" w:beforeAutospacing="0" w:after="120" w:afterAutospacing="0"/>
        <w:jc w:val="both"/>
        <w:rPr>
          <w:rFonts w:asciiTheme="minorHAnsi" w:hAnsiTheme="minorHAnsi" w:cstheme="minorHAnsi"/>
          <w:bCs/>
          <w:lang w:eastAsia="en-US"/>
        </w:rPr>
      </w:pPr>
      <w:r w:rsidRPr="00F106BB">
        <w:rPr>
          <w:rFonts w:asciiTheme="minorHAnsi" w:hAnsiTheme="minorHAnsi" w:cstheme="minorHAnsi"/>
          <w:bCs/>
          <w:lang w:eastAsia="en-US"/>
        </w:rPr>
        <w:t xml:space="preserve">The preamble to the HR Act notes that few rights are absolute and that they may be subject only to the reasonable limits in law that can be demonstrably justified in a free and democratic </w:t>
      </w:r>
      <w:r w:rsidRPr="00F106BB">
        <w:rPr>
          <w:rFonts w:asciiTheme="minorHAnsi" w:hAnsiTheme="minorHAnsi" w:cstheme="minorHAnsi"/>
          <w:bCs/>
          <w:lang w:eastAsia="en-US"/>
        </w:rPr>
        <w:lastRenderedPageBreak/>
        <w:t>society. Section 28 (2) of the HR Act contains the framework that is used to determine the acceptable limitations that may be placed on human rights.</w:t>
      </w:r>
    </w:p>
    <w:p w14:paraId="45448F37" w14:textId="77777777" w:rsidR="00A27622" w:rsidRPr="00F106BB" w:rsidRDefault="00A27622" w:rsidP="001A32A5">
      <w:pPr>
        <w:pStyle w:val="NormalWeb"/>
        <w:shd w:val="clear" w:color="auto" w:fill="FFFFFF"/>
        <w:spacing w:before="240" w:beforeAutospacing="0" w:after="120" w:afterAutospacing="0"/>
        <w:jc w:val="both"/>
        <w:rPr>
          <w:rFonts w:asciiTheme="minorHAnsi" w:hAnsiTheme="minorHAnsi" w:cstheme="minorHAnsi"/>
          <w:bCs/>
          <w:lang w:eastAsia="en-US"/>
        </w:rPr>
      </w:pPr>
      <w:r w:rsidRPr="00F106BB">
        <w:rPr>
          <w:rFonts w:asciiTheme="minorHAnsi" w:hAnsiTheme="minorHAnsi" w:cstheme="minorHAnsi"/>
          <w:bCs/>
          <w:lang w:eastAsia="en-US"/>
        </w:rPr>
        <w:t>International human rights law places obligations on governments to “respect, protect and fulfil” rights. The obligation to respect means a government must ensure its organs and agents do not commit violations themselves. The obligation to protect means governments must protect individuals and groups from having rights interfered with by third parties and punish perpetrators. The obligation to fulfil means governments must take positive action to facilitate the full enjoyment of rights.</w:t>
      </w:r>
    </w:p>
    <w:p w14:paraId="72371B9A" w14:textId="77777777" w:rsidR="00A27622" w:rsidRPr="00F106BB" w:rsidRDefault="00A27622" w:rsidP="001A32A5">
      <w:pPr>
        <w:pStyle w:val="NormalWeb"/>
        <w:shd w:val="clear" w:color="auto" w:fill="FFFFFF"/>
        <w:spacing w:before="240" w:beforeAutospacing="0" w:after="120" w:afterAutospacing="0"/>
        <w:jc w:val="both"/>
        <w:rPr>
          <w:rFonts w:asciiTheme="minorHAnsi" w:hAnsiTheme="minorHAnsi" w:cstheme="minorHAnsi"/>
          <w:bCs/>
          <w:lang w:eastAsia="en-US"/>
        </w:rPr>
      </w:pPr>
      <w:r w:rsidRPr="00F106BB">
        <w:rPr>
          <w:rFonts w:asciiTheme="minorHAnsi" w:hAnsiTheme="minorHAnsi" w:cstheme="minorHAnsi"/>
          <w:bCs/>
          <w:lang w:eastAsia="en-US"/>
        </w:rPr>
        <w:t>The European Court of Human Rights (ECHR) has considered, in depth, the positive obligation of governments to uphold rights, noting government must put in place legislative and administrative frameworks to deter conduct that infringes rights, and to undertake operational measures to protect an individual who is at risk of rights infringement.</w:t>
      </w:r>
      <w:r w:rsidRPr="00F106BB">
        <w:rPr>
          <w:rFonts w:asciiTheme="minorHAnsi" w:hAnsiTheme="minorHAnsi" w:cstheme="minorHAnsi"/>
          <w:bCs/>
          <w:vertAlign w:val="superscript"/>
          <w:lang w:eastAsia="en-US"/>
        </w:rPr>
        <w:footnoteRef/>
      </w:r>
    </w:p>
    <w:p w14:paraId="472ACEFE" w14:textId="77777777" w:rsidR="00A27622" w:rsidRPr="00F106BB" w:rsidRDefault="00A27622" w:rsidP="001A32A5">
      <w:pPr>
        <w:pStyle w:val="NormalWeb"/>
        <w:shd w:val="clear" w:color="auto" w:fill="FFFFFF"/>
        <w:spacing w:before="240" w:beforeAutospacing="0" w:after="120" w:afterAutospacing="0"/>
        <w:jc w:val="both"/>
        <w:rPr>
          <w:rFonts w:asciiTheme="minorHAnsi" w:hAnsiTheme="minorHAnsi" w:cstheme="minorHAnsi"/>
          <w:bCs/>
          <w:lang w:eastAsia="en-US"/>
        </w:rPr>
      </w:pPr>
      <w:r w:rsidRPr="00F106BB">
        <w:rPr>
          <w:rFonts w:asciiTheme="minorHAnsi" w:hAnsiTheme="minorHAnsi" w:cstheme="minorHAnsi"/>
          <w:bCs/>
          <w:lang w:eastAsia="en-US"/>
        </w:rPr>
        <w:t>The ECHR has held that the positive obligation on States extends to imposing a duty to protect children from sexual abuse under Article 3 of the European Convention on Human Rights (the Convention) (the right to protection from torture and cruel, inhuman or degrading treatment). In particular, in the case of </w:t>
      </w:r>
      <w:r w:rsidRPr="00F106BB">
        <w:rPr>
          <w:rFonts w:asciiTheme="minorHAnsi" w:hAnsiTheme="minorHAnsi" w:cstheme="minorHAnsi"/>
          <w:bCs/>
          <w:i/>
          <w:iCs/>
          <w:lang w:eastAsia="en-US"/>
        </w:rPr>
        <w:t>E and Others v. the United Kingdom</w:t>
      </w:r>
      <w:r w:rsidRPr="00F106BB">
        <w:rPr>
          <w:rFonts w:asciiTheme="minorHAnsi" w:hAnsiTheme="minorHAnsi" w:cstheme="minorHAnsi"/>
          <w:bCs/>
          <w:vertAlign w:val="superscript"/>
          <w:lang w:eastAsia="en-US"/>
        </w:rPr>
        <w:footnoteRef/>
      </w:r>
      <w:r w:rsidRPr="00F106BB">
        <w:rPr>
          <w:rFonts w:asciiTheme="minorHAnsi" w:hAnsiTheme="minorHAnsi" w:cstheme="minorHAnsi"/>
          <w:bCs/>
          <w:vertAlign w:val="superscript"/>
          <w:lang w:eastAsia="en-US"/>
        </w:rPr>
        <w:t>,</w:t>
      </w:r>
      <w:r w:rsidRPr="00F106BB">
        <w:rPr>
          <w:rFonts w:asciiTheme="minorHAnsi" w:hAnsiTheme="minorHAnsi" w:cstheme="minorHAnsi"/>
          <w:bCs/>
          <w:lang w:eastAsia="en-US"/>
        </w:rPr>
        <w:t xml:space="preserve"> the ECHR found that prolonged sexual abuse meets the threshold of an Article 3 violation, and that “a failure to take reasonably available measures which could have had a real prospect of altering the outcome or mitigating the harm is sufficient to engage the responsibility of the State”.</w:t>
      </w:r>
    </w:p>
    <w:p w14:paraId="5053BD6A" w14:textId="77777777" w:rsidR="00A27622" w:rsidRPr="00F106BB" w:rsidRDefault="00A27622" w:rsidP="001A32A5">
      <w:pPr>
        <w:pStyle w:val="NormalWeb"/>
        <w:shd w:val="clear" w:color="auto" w:fill="FFFFFF"/>
        <w:spacing w:before="240" w:beforeAutospacing="0" w:after="120" w:afterAutospacing="0"/>
        <w:jc w:val="both"/>
        <w:rPr>
          <w:rFonts w:asciiTheme="minorHAnsi" w:hAnsiTheme="minorHAnsi" w:cstheme="minorHAnsi"/>
          <w:bCs/>
          <w:lang w:eastAsia="en-US"/>
        </w:rPr>
      </w:pPr>
      <w:r w:rsidRPr="00F106BB">
        <w:rPr>
          <w:rFonts w:asciiTheme="minorHAnsi" w:hAnsiTheme="minorHAnsi" w:cstheme="minorHAnsi"/>
          <w:bCs/>
          <w:lang w:eastAsia="en-US"/>
        </w:rPr>
        <w:t>The Convention on the Rights of the Child (CRC), to which Australia is a signatory, further articulates States’ human rights obligations to protect children. Article 34 of the CRC states that:</w:t>
      </w:r>
    </w:p>
    <w:p w14:paraId="37966EDD" w14:textId="77777777" w:rsidR="00A27622" w:rsidRPr="00F106BB" w:rsidRDefault="00A27622" w:rsidP="001A32A5">
      <w:pPr>
        <w:pStyle w:val="NormalWeb"/>
        <w:shd w:val="clear" w:color="auto" w:fill="FFFFFF"/>
        <w:spacing w:before="240" w:beforeAutospacing="0" w:after="120" w:afterAutospacing="0"/>
        <w:ind w:left="720"/>
        <w:jc w:val="both"/>
        <w:rPr>
          <w:rFonts w:asciiTheme="minorHAnsi" w:hAnsiTheme="minorHAnsi" w:cstheme="minorHAnsi"/>
          <w:color w:val="000000"/>
        </w:rPr>
      </w:pPr>
      <w:r w:rsidRPr="00F106BB">
        <w:rPr>
          <w:rFonts w:asciiTheme="minorHAnsi" w:hAnsiTheme="minorHAnsi" w:cstheme="minorHAnsi"/>
          <w:i/>
          <w:iCs/>
          <w:color w:val="000000"/>
        </w:rPr>
        <w:t>States parties undertake to protect the child from all forms of sexual exploitation and sexual abuse.</w:t>
      </w:r>
    </w:p>
    <w:p w14:paraId="2127E895" w14:textId="77777777" w:rsidR="00A27622" w:rsidRPr="00F106BB" w:rsidRDefault="00A27622" w:rsidP="001A32A5">
      <w:pPr>
        <w:pStyle w:val="NormalWeb"/>
        <w:shd w:val="clear" w:color="auto" w:fill="FFFFFF"/>
        <w:spacing w:before="240" w:beforeAutospacing="0" w:after="120" w:afterAutospacing="0"/>
        <w:jc w:val="both"/>
        <w:rPr>
          <w:rFonts w:asciiTheme="minorHAnsi" w:hAnsiTheme="minorHAnsi" w:cstheme="minorHAnsi"/>
          <w:color w:val="000000"/>
        </w:rPr>
      </w:pPr>
      <w:r w:rsidRPr="00F106BB">
        <w:rPr>
          <w:rFonts w:asciiTheme="minorHAnsi" w:hAnsiTheme="minorHAnsi" w:cstheme="minorHAnsi"/>
          <w:color w:val="000000"/>
        </w:rPr>
        <w:t>Article 19 of the CRC further states that:</w:t>
      </w:r>
    </w:p>
    <w:p w14:paraId="13125CDF" w14:textId="77777777" w:rsidR="00A27622" w:rsidRPr="00F106BB" w:rsidRDefault="00A27622" w:rsidP="001A32A5">
      <w:pPr>
        <w:pStyle w:val="NormalWeb"/>
        <w:shd w:val="clear" w:color="auto" w:fill="FFFFFF"/>
        <w:spacing w:before="240" w:beforeAutospacing="0" w:after="120" w:afterAutospacing="0"/>
        <w:ind w:left="720"/>
        <w:jc w:val="both"/>
        <w:rPr>
          <w:rFonts w:asciiTheme="minorHAnsi" w:hAnsiTheme="minorHAnsi" w:cstheme="minorHAnsi"/>
          <w:color w:val="000000"/>
        </w:rPr>
      </w:pPr>
      <w:r w:rsidRPr="00F106BB">
        <w:rPr>
          <w:rFonts w:asciiTheme="minorHAnsi" w:hAnsiTheme="minorHAnsi" w:cstheme="minorHAnsi"/>
          <w:i/>
          <w:iCs/>
          <w:color w:val="000000"/>
        </w:rPr>
        <w:t>(1)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14:paraId="5071039C" w14:textId="715E1174" w:rsidR="00A27622" w:rsidRPr="00F106BB" w:rsidRDefault="00A27622" w:rsidP="001A32A5">
      <w:pPr>
        <w:pStyle w:val="NormalWeb"/>
        <w:shd w:val="clear" w:color="auto" w:fill="FFFFFF"/>
        <w:spacing w:before="240" w:beforeAutospacing="0" w:after="120" w:afterAutospacing="0"/>
        <w:ind w:left="720"/>
        <w:jc w:val="both"/>
        <w:rPr>
          <w:rFonts w:asciiTheme="minorHAnsi" w:hAnsiTheme="minorHAnsi" w:cstheme="minorHAnsi"/>
          <w:i/>
          <w:iCs/>
          <w:color w:val="000000"/>
        </w:rPr>
      </w:pPr>
      <w:r w:rsidRPr="00F106BB">
        <w:rPr>
          <w:rFonts w:asciiTheme="minorHAnsi" w:hAnsiTheme="minorHAnsi" w:cstheme="minorHAnsi"/>
          <w:i/>
          <w:iCs/>
          <w:color w:val="000000"/>
        </w:rPr>
        <w:t>(2)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p>
    <w:p w14:paraId="464A977D" w14:textId="2204E3F8" w:rsidR="00A9010D" w:rsidRPr="00F106BB" w:rsidRDefault="00A9010D" w:rsidP="001A32A5">
      <w:pPr>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The </w:t>
      </w:r>
      <w:r w:rsidR="0077144C" w:rsidRPr="002707D1">
        <w:rPr>
          <w:rFonts w:asciiTheme="minorHAnsi" w:hAnsiTheme="minorHAnsi" w:cstheme="minorHAnsi"/>
          <w:bCs/>
          <w:sz w:val="24"/>
          <w:szCs w:val="24"/>
        </w:rPr>
        <w:t>Limitation Act</w:t>
      </w:r>
      <w:r w:rsidR="0077144C" w:rsidRPr="00F106BB">
        <w:rPr>
          <w:rFonts w:asciiTheme="minorHAnsi" w:hAnsiTheme="minorHAnsi" w:cstheme="minorHAnsi"/>
          <w:bCs/>
          <w:sz w:val="24"/>
          <w:szCs w:val="24"/>
        </w:rPr>
        <w:t xml:space="preserve"> </w:t>
      </w:r>
      <w:r w:rsidRPr="00F106BB">
        <w:rPr>
          <w:rFonts w:asciiTheme="minorHAnsi" w:hAnsiTheme="minorHAnsi" w:cstheme="minorHAnsi"/>
          <w:bCs/>
          <w:sz w:val="24"/>
          <w:szCs w:val="24"/>
        </w:rPr>
        <w:t>supports the following HR Act rights:</w:t>
      </w:r>
    </w:p>
    <w:p w14:paraId="7A9571DC" w14:textId="098333B8" w:rsidR="00A9010D" w:rsidRPr="00F106BB" w:rsidRDefault="00A9010D" w:rsidP="001A32A5">
      <w:pPr>
        <w:numPr>
          <w:ilvl w:val="0"/>
          <w:numId w:val="15"/>
        </w:numPr>
        <w:shd w:val="clear" w:color="auto" w:fill="FFFFFF"/>
        <w:spacing w:before="240" w:after="120" w:line="240" w:lineRule="auto"/>
        <w:jc w:val="both"/>
        <w:rPr>
          <w:rFonts w:asciiTheme="minorHAnsi" w:hAnsiTheme="minorHAnsi" w:cstheme="minorHAnsi"/>
          <w:bCs/>
          <w:sz w:val="24"/>
          <w:szCs w:val="24"/>
        </w:rPr>
      </w:pPr>
      <w:r w:rsidRPr="00F106BB">
        <w:rPr>
          <w:rFonts w:asciiTheme="minorHAnsi" w:hAnsiTheme="minorHAnsi" w:cstheme="minorHAnsi"/>
          <w:bCs/>
          <w:sz w:val="24"/>
          <w:szCs w:val="24"/>
        </w:rPr>
        <w:t>Section 11 – Protection of family and children;</w:t>
      </w:r>
      <w:r w:rsidR="006277E9" w:rsidRPr="00F106BB">
        <w:rPr>
          <w:rFonts w:asciiTheme="minorHAnsi" w:hAnsiTheme="minorHAnsi" w:cstheme="minorHAnsi"/>
          <w:bCs/>
          <w:sz w:val="24"/>
          <w:szCs w:val="24"/>
        </w:rPr>
        <w:t xml:space="preserve"> and </w:t>
      </w:r>
    </w:p>
    <w:p w14:paraId="74FEC740" w14:textId="7B4BFA1D" w:rsidR="0077144C" w:rsidRPr="00F106BB" w:rsidRDefault="00A9010D" w:rsidP="001A32A5">
      <w:pPr>
        <w:numPr>
          <w:ilvl w:val="0"/>
          <w:numId w:val="15"/>
        </w:numPr>
        <w:shd w:val="clear" w:color="auto" w:fill="FFFFFF"/>
        <w:spacing w:before="240" w:after="120" w:line="240" w:lineRule="auto"/>
        <w:jc w:val="both"/>
        <w:rPr>
          <w:rFonts w:asciiTheme="minorHAnsi" w:hAnsiTheme="minorHAnsi" w:cstheme="minorHAnsi"/>
          <w:bCs/>
          <w:sz w:val="24"/>
          <w:szCs w:val="24"/>
        </w:rPr>
      </w:pPr>
      <w:r w:rsidRPr="00F106BB">
        <w:rPr>
          <w:rFonts w:asciiTheme="minorHAnsi" w:hAnsiTheme="minorHAnsi" w:cstheme="minorHAnsi"/>
          <w:bCs/>
          <w:sz w:val="24"/>
          <w:szCs w:val="24"/>
        </w:rPr>
        <w:t>Section 21 – Right to a fair trial.</w:t>
      </w:r>
    </w:p>
    <w:p w14:paraId="7421BA88" w14:textId="6985C2A6" w:rsidR="008C2D2D" w:rsidRPr="00F106BB" w:rsidRDefault="003555A0" w:rsidP="001A32A5">
      <w:pPr>
        <w:pStyle w:val="NormalWeb"/>
        <w:shd w:val="clear" w:color="auto" w:fill="FFFFFF"/>
        <w:spacing w:before="240" w:beforeAutospacing="0" w:after="120" w:afterAutospacing="0"/>
        <w:jc w:val="both"/>
        <w:rPr>
          <w:rFonts w:asciiTheme="minorHAnsi" w:hAnsiTheme="minorHAnsi" w:cstheme="minorHAnsi"/>
          <w:bCs/>
          <w:lang w:eastAsia="en-US"/>
        </w:rPr>
      </w:pPr>
      <w:r w:rsidRPr="00F106BB">
        <w:rPr>
          <w:rFonts w:asciiTheme="minorHAnsi" w:eastAsia="Calibri" w:hAnsiTheme="minorHAnsi" w:cstheme="minorHAnsi"/>
          <w:lang w:eastAsia="en-US"/>
        </w:rPr>
        <w:lastRenderedPageBreak/>
        <w:t xml:space="preserve">Child abuse violates children’s most basic rights including the right to protection of family and children (s 11 HR Act). Allowing survivors to bring a claim for personal injury relating to the physical abuse they suffered as children, recognises that </w:t>
      </w:r>
      <w:r w:rsidR="002B7A32" w:rsidRPr="00F106BB">
        <w:rPr>
          <w:rFonts w:asciiTheme="minorHAnsi" w:eastAsia="Calibri" w:hAnsiTheme="minorHAnsi" w:cstheme="minorHAnsi"/>
          <w:lang w:eastAsia="en-US"/>
        </w:rPr>
        <w:t xml:space="preserve">children should be protected from all types of abuse, not just sexual abuse. It provides those survivors with an avenue to seek justice. </w:t>
      </w:r>
    </w:p>
    <w:p w14:paraId="5B6A0635" w14:textId="30AA5ADD" w:rsidR="003555A0" w:rsidRPr="00F106BB" w:rsidRDefault="003555A0" w:rsidP="001A32A5">
      <w:pPr>
        <w:tabs>
          <w:tab w:val="left" w:pos="425"/>
        </w:tabs>
        <w:spacing w:before="240"/>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The reforms to the </w:t>
      </w:r>
      <w:r w:rsidRPr="002707D1">
        <w:rPr>
          <w:rFonts w:asciiTheme="minorHAnsi" w:hAnsiTheme="minorHAnsi" w:cstheme="minorHAnsi"/>
          <w:bCs/>
          <w:sz w:val="24"/>
          <w:szCs w:val="24"/>
        </w:rPr>
        <w:t>Limitation Act</w:t>
      </w:r>
      <w:r w:rsidRPr="00F106BB">
        <w:rPr>
          <w:rFonts w:asciiTheme="minorHAnsi" w:hAnsiTheme="minorHAnsi" w:cstheme="minorHAnsi"/>
          <w:bCs/>
          <w:sz w:val="24"/>
          <w:szCs w:val="24"/>
        </w:rPr>
        <w:t xml:space="preserve"> that remove limitation periods for physical child abuse also limits the right to a fair trial (s 21 HR Act). These limitations are appropriate having regard to the human rights of children to safety, protection and justice. This is discussed in detail below.</w:t>
      </w:r>
    </w:p>
    <w:p w14:paraId="54AB8463" w14:textId="6329F35C" w:rsidR="00C80DC1" w:rsidRPr="00F106BB" w:rsidRDefault="00A9010D" w:rsidP="001A32A5">
      <w:pPr>
        <w:pStyle w:val="NormalWeb"/>
        <w:shd w:val="clear" w:color="auto" w:fill="FFFFFF"/>
        <w:spacing w:before="240" w:beforeAutospacing="0" w:after="120" w:afterAutospacing="0"/>
        <w:jc w:val="both"/>
        <w:rPr>
          <w:rFonts w:asciiTheme="minorHAnsi" w:hAnsiTheme="minorHAnsi" w:cstheme="minorHAnsi"/>
          <w:b/>
          <w:bCs/>
          <w:color w:val="000000"/>
          <w:u w:val="single"/>
        </w:rPr>
      </w:pPr>
      <w:r w:rsidRPr="00F106BB">
        <w:rPr>
          <w:rFonts w:asciiTheme="minorHAnsi" w:hAnsiTheme="minorHAnsi" w:cstheme="minorHAnsi"/>
          <w:b/>
          <w:bCs/>
          <w:color w:val="000000"/>
          <w:u w:val="single"/>
        </w:rPr>
        <w:t>Detailed human rights discussion</w:t>
      </w:r>
      <w:r w:rsidR="0030715F" w:rsidRPr="00F106BB">
        <w:rPr>
          <w:rFonts w:asciiTheme="minorHAnsi" w:hAnsiTheme="minorHAnsi" w:cstheme="minorHAnsi"/>
          <w:b/>
          <w:bCs/>
          <w:color w:val="000000"/>
          <w:u w:val="single"/>
        </w:rPr>
        <w:t xml:space="preserve"> </w:t>
      </w:r>
    </w:p>
    <w:p w14:paraId="3A48A702" w14:textId="376CB977" w:rsidR="00C80DC1" w:rsidRPr="00F106BB" w:rsidRDefault="00A9010D" w:rsidP="001A32A5">
      <w:pPr>
        <w:pStyle w:val="NormalWeb"/>
        <w:shd w:val="clear" w:color="auto" w:fill="FFFFFF"/>
        <w:spacing w:before="240" w:beforeAutospacing="0" w:after="120" w:afterAutospacing="0"/>
        <w:jc w:val="both"/>
        <w:rPr>
          <w:rFonts w:asciiTheme="minorHAnsi" w:hAnsiTheme="minorHAnsi" w:cstheme="minorHAnsi"/>
          <w:color w:val="000000"/>
          <w:u w:val="single"/>
        </w:rPr>
      </w:pPr>
      <w:r w:rsidRPr="00F106BB">
        <w:rPr>
          <w:rFonts w:asciiTheme="minorHAnsi" w:hAnsiTheme="minorHAnsi" w:cstheme="minorHAnsi"/>
          <w:b/>
          <w:bCs/>
          <w:i/>
        </w:rPr>
        <w:t xml:space="preserve">Rights engaged and limited </w:t>
      </w:r>
      <w:r w:rsidR="00C80DC1" w:rsidRPr="00F106BB">
        <w:rPr>
          <w:rFonts w:asciiTheme="minorHAnsi" w:hAnsiTheme="minorHAnsi" w:cstheme="minorHAnsi"/>
          <w:b/>
          <w:bCs/>
          <w:i/>
        </w:rPr>
        <w:t xml:space="preserve">by the </w:t>
      </w:r>
      <w:r w:rsidR="007C6919" w:rsidRPr="002707D1">
        <w:rPr>
          <w:rFonts w:asciiTheme="minorHAnsi" w:hAnsiTheme="minorHAnsi" w:cstheme="minorHAnsi"/>
          <w:b/>
          <w:bCs/>
          <w:color w:val="000000"/>
        </w:rPr>
        <w:t>Limitation Act</w:t>
      </w:r>
      <w:r w:rsidR="007C6919" w:rsidRPr="00F106BB">
        <w:rPr>
          <w:rFonts w:asciiTheme="minorHAnsi" w:hAnsiTheme="minorHAnsi" w:cstheme="minorHAnsi"/>
          <w:b/>
          <w:bCs/>
          <w:i/>
          <w:iCs/>
          <w:color w:val="000000"/>
        </w:rPr>
        <w:t xml:space="preserve"> </w:t>
      </w:r>
    </w:p>
    <w:p w14:paraId="05BFF737" w14:textId="6856C85F" w:rsidR="00376166" w:rsidRPr="00F106BB" w:rsidRDefault="007C565D" w:rsidP="001A32A5">
      <w:pPr>
        <w:pStyle w:val="ListParagraph"/>
        <w:numPr>
          <w:ilvl w:val="0"/>
          <w:numId w:val="3"/>
        </w:numPr>
        <w:jc w:val="both"/>
        <w:rPr>
          <w:rFonts w:asciiTheme="minorHAnsi" w:hAnsiTheme="minorHAnsi" w:cstheme="minorHAnsi"/>
          <w:b/>
          <w:bCs/>
          <w:i/>
          <w:sz w:val="24"/>
          <w:szCs w:val="24"/>
        </w:rPr>
      </w:pPr>
      <w:r w:rsidRPr="00F106BB">
        <w:rPr>
          <w:rFonts w:asciiTheme="minorHAnsi" w:hAnsiTheme="minorHAnsi" w:cstheme="minorHAnsi"/>
          <w:b/>
          <w:bCs/>
          <w:i/>
          <w:sz w:val="24"/>
          <w:szCs w:val="24"/>
        </w:rPr>
        <w:t>Nature of the right and the limitation (s28(a) and</w:t>
      </w:r>
      <w:r w:rsidR="00414921" w:rsidRPr="00F106BB">
        <w:rPr>
          <w:rFonts w:asciiTheme="minorHAnsi" w:hAnsiTheme="minorHAnsi" w:cstheme="minorHAnsi"/>
          <w:b/>
          <w:bCs/>
          <w:i/>
          <w:sz w:val="24"/>
          <w:szCs w:val="24"/>
        </w:rPr>
        <w:t xml:space="preserve"> </w:t>
      </w:r>
      <w:r w:rsidRPr="00F106BB">
        <w:rPr>
          <w:rFonts w:asciiTheme="minorHAnsi" w:hAnsiTheme="minorHAnsi" w:cstheme="minorHAnsi"/>
          <w:b/>
          <w:bCs/>
          <w:i/>
          <w:sz w:val="24"/>
          <w:szCs w:val="24"/>
        </w:rPr>
        <w:t>(c))</w:t>
      </w:r>
    </w:p>
    <w:p w14:paraId="4E59EDBA" w14:textId="77777777" w:rsidR="007C565D" w:rsidRPr="00F106BB" w:rsidRDefault="007C565D" w:rsidP="001A32A5">
      <w:pPr>
        <w:pStyle w:val="ListParagraph"/>
        <w:ind w:left="360"/>
        <w:jc w:val="both"/>
        <w:rPr>
          <w:rFonts w:asciiTheme="minorHAnsi" w:hAnsiTheme="minorHAnsi" w:cstheme="minorHAnsi"/>
          <w:i/>
          <w:color w:val="FF0000"/>
          <w:sz w:val="24"/>
          <w:szCs w:val="24"/>
        </w:rPr>
      </w:pPr>
    </w:p>
    <w:p w14:paraId="638D8934" w14:textId="4D4A2D60" w:rsidR="007C6919" w:rsidRPr="00F106BB" w:rsidRDefault="00D4525F" w:rsidP="001A32A5">
      <w:pPr>
        <w:jc w:val="both"/>
        <w:rPr>
          <w:rFonts w:asciiTheme="minorHAnsi" w:hAnsiTheme="minorHAnsi" w:cstheme="minorHAnsi"/>
          <w:i/>
          <w:iCs/>
          <w:sz w:val="24"/>
          <w:szCs w:val="24"/>
        </w:rPr>
      </w:pPr>
      <w:r w:rsidRPr="00F106BB">
        <w:rPr>
          <w:rFonts w:asciiTheme="minorHAnsi" w:hAnsiTheme="minorHAnsi" w:cstheme="minorHAnsi"/>
          <w:sz w:val="24"/>
          <w:szCs w:val="24"/>
        </w:rPr>
        <w:t xml:space="preserve">Previous legislative reform in the ACT </w:t>
      </w:r>
      <w:r w:rsidR="00271E30" w:rsidRPr="00F106BB">
        <w:rPr>
          <w:rFonts w:asciiTheme="minorHAnsi" w:hAnsiTheme="minorHAnsi" w:cstheme="minorHAnsi"/>
          <w:sz w:val="24"/>
          <w:szCs w:val="24"/>
        </w:rPr>
        <w:t xml:space="preserve">removed the limitation period for survivors of </w:t>
      </w:r>
      <w:r w:rsidRPr="00F106BB">
        <w:rPr>
          <w:rFonts w:asciiTheme="minorHAnsi" w:hAnsiTheme="minorHAnsi" w:cstheme="minorHAnsi"/>
          <w:sz w:val="24"/>
          <w:szCs w:val="24"/>
        </w:rPr>
        <w:t>child sexual abuse to bring personal injury claims.</w:t>
      </w:r>
      <w:r w:rsidRPr="00F106BB">
        <w:rPr>
          <w:rFonts w:asciiTheme="minorHAnsi" w:hAnsiTheme="minorHAnsi" w:cstheme="minorHAnsi"/>
          <w:i/>
          <w:iCs/>
          <w:sz w:val="24"/>
          <w:szCs w:val="24"/>
        </w:rPr>
        <w:t xml:space="preserve"> </w:t>
      </w:r>
      <w:r w:rsidR="007C6919" w:rsidRPr="00F106BB">
        <w:rPr>
          <w:rFonts w:asciiTheme="minorHAnsi" w:hAnsiTheme="minorHAnsi" w:cstheme="minorHAnsi"/>
          <w:sz w:val="24"/>
          <w:szCs w:val="24"/>
        </w:rPr>
        <w:t>Th</w:t>
      </w:r>
      <w:r w:rsidR="00271E30" w:rsidRPr="00F106BB">
        <w:rPr>
          <w:rFonts w:asciiTheme="minorHAnsi" w:hAnsiTheme="minorHAnsi" w:cstheme="minorHAnsi"/>
          <w:sz w:val="24"/>
          <w:szCs w:val="24"/>
        </w:rPr>
        <w:t xml:space="preserve">is </w:t>
      </w:r>
      <w:r w:rsidR="007C6919" w:rsidRPr="00F106BB">
        <w:rPr>
          <w:rFonts w:asciiTheme="minorHAnsi" w:hAnsiTheme="minorHAnsi" w:cstheme="minorHAnsi"/>
          <w:sz w:val="24"/>
          <w:szCs w:val="24"/>
        </w:rPr>
        <w:t xml:space="preserve">Bill expands on </w:t>
      </w:r>
      <w:r w:rsidRPr="00F106BB">
        <w:rPr>
          <w:rFonts w:asciiTheme="minorHAnsi" w:hAnsiTheme="minorHAnsi" w:cstheme="minorHAnsi"/>
          <w:sz w:val="24"/>
          <w:szCs w:val="24"/>
        </w:rPr>
        <w:t>these reforms</w:t>
      </w:r>
      <w:r w:rsidR="007C6919" w:rsidRPr="00F106BB">
        <w:rPr>
          <w:rFonts w:asciiTheme="minorHAnsi" w:hAnsiTheme="minorHAnsi" w:cstheme="minorHAnsi"/>
          <w:sz w:val="24"/>
          <w:szCs w:val="24"/>
        </w:rPr>
        <w:t xml:space="preserve"> by removing limitation periods on causes of action for personal injury resulting from child physical abuse. Limitation periods are often a significant barrier to survivors pursuing civil litigation.</w:t>
      </w:r>
    </w:p>
    <w:p w14:paraId="47D57AE3" w14:textId="71599C91" w:rsidR="007C6919" w:rsidRPr="00F106BB" w:rsidRDefault="007C6919" w:rsidP="001A32A5">
      <w:pPr>
        <w:pStyle w:val="NormalWeb"/>
        <w:shd w:val="clear" w:color="auto" w:fill="FFFFFF"/>
        <w:spacing w:before="0" w:beforeAutospacing="0" w:after="0" w:afterAutospacing="0"/>
        <w:jc w:val="both"/>
        <w:rPr>
          <w:rFonts w:asciiTheme="minorHAnsi" w:hAnsiTheme="minorHAnsi" w:cstheme="minorHAnsi"/>
          <w:iCs/>
          <w:lang w:eastAsia="en-US"/>
        </w:rPr>
      </w:pPr>
      <w:r w:rsidRPr="00F106BB">
        <w:rPr>
          <w:rFonts w:asciiTheme="minorHAnsi" w:hAnsiTheme="minorHAnsi" w:cstheme="minorHAnsi"/>
          <w:iCs/>
          <w:lang w:eastAsia="en-US"/>
        </w:rPr>
        <w:t xml:space="preserve">The Bill engages the right to fair trial before a competent, independent and impartial court or tribunal under section 21 of the </w:t>
      </w:r>
      <w:r w:rsidR="00CE617E">
        <w:rPr>
          <w:rFonts w:asciiTheme="minorHAnsi" w:hAnsiTheme="minorHAnsi" w:cstheme="minorHAnsi"/>
          <w:iCs/>
          <w:lang w:eastAsia="en-US"/>
        </w:rPr>
        <w:t>HR</w:t>
      </w:r>
      <w:r w:rsidRPr="00F106BB">
        <w:rPr>
          <w:rFonts w:asciiTheme="minorHAnsi" w:hAnsiTheme="minorHAnsi" w:cstheme="minorHAnsi"/>
          <w:iCs/>
          <w:lang w:eastAsia="en-US"/>
        </w:rPr>
        <w:t xml:space="preserve"> Act. The right to a fair trial is a basic human right. Article 10 of the Universal Declaration of Human Rights states:</w:t>
      </w:r>
    </w:p>
    <w:p w14:paraId="63D83EFD" w14:textId="77777777" w:rsidR="007C6919" w:rsidRPr="00F106BB" w:rsidRDefault="007C6919" w:rsidP="001A32A5">
      <w:pPr>
        <w:pStyle w:val="NormalWeb"/>
        <w:shd w:val="clear" w:color="auto" w:fill="FFFFFF"/>
        <w:spacing w:before="0" w:beforeAutospacing="0" w:after="0" w:afterAutospacing="0"/>
        <w:jc w:val="both"/>
        <w:rPr>
          <w:rFonts w:asciiTheme="minorHAnsi" w:hAnsiTheme="minorHAnsi" w:cstheme="minorHAnsi"/>
          <w:iCs/>
          <w:lang w:eastAsia="en-US"/>
        </w:rPr>
      </w:pPr>
      <w:r w:rsidRPr="00F106BB">
        <w:rPr>
          <w:rFonts w:asciiTheme="minorHAnsi" w:hAnsiTheme="minorHAnsi" w:cstheme="minorHAnsi"/>
          <w:iCs/>
          <w:lang w:eastAsia="en-US"/>
        </w:rPr>
        <w:t> </w:t>
      </w:r>
    </w:p>
    <w:p w14:paraId="79F558A8" w14:textId="77777777" w:rsidR="007C6919" w:rsidRPr="00F106BB" w:rsidRDefault="007C6919" w:rsidP="001A32A5">
      <w:pPr>
        <w:pStyle w:val="NormalWeb"/>
        <w:shd w:val="clear" w:color="auto" w:fill="FFFFFF"/>
        <w:spacing w:before="0" w:beforeAutospacing="0" w:after="0" w:afterAutospacing="0"/>
        <w:ind w:left="720"/>
        <w:jc w:val="both"/>
        <w:rPr>
          <w:rFonts w:asciiTheme="minorHAnsi" w:hAnsiTheme="minorHAnsi" w:cstheme="minorHAnsi"/>
          <w:iCs/>
          <w:lang w:eastAsia="en-US"/>
        </w:rPr>
      </w:pPr>
      <w:r w:rsidRPr="00F106BB">
        <w:rPr>
          <w:rFonts w:asciiTheme="minorHAnsi" w:hAnsiTheme="minorHAnsi" w:cstheme="minorHAnsi"/>
          <w:iCs/>
          <w:lang w:eastAsia="en-US"/>
        </w:rPr>
        <w:t>“Everyone is entitled in full equality to a fair and public hearing by an independent and impartial tribunal, in the determination of his rights and obligations and of any criminal charge against him”.</w:t>
      </w:r>
    </w:p>
    <w:p w14:paraId="545722AF" w14:textId="77777777" w:rsidR="007C6919" w:rsidRPr="00F106BB" w:rsidRDefault="007C6919" w:rsidP="001A32A5">
      <w:pPr>
        <w:pStyle w:val="NormalWeb"/>
        <w:shd w:val="clear" w:color="auto" w:fill="FFFFFF"/>
        <w:spacing w:before="0" w:beforeAutospacing="0" w:after="0" w:afterAutospacing="0"/>
        <w:jc w:val="both"/>
        <w:rPr>
          <w:rFonts w:asciiTheme="minorHAnsi" w:hAnsiTheme="minorHAnsi" w:cstheme="minorHAnsi"/>
          <w:iCs/>
          <w:lang w:eastAsia="en-US"/>
        </w:rPr>
      </w:pPr>
      <w:r w:rsidRPr="00F106BB">
        <w:rPr>
          <w:rFonts w:asciiTheme="minorHAnsi" w:hAnsiTheme="minorHAnsi" w:cstheme="minorHAnsi"/>
          <w:iCs/>
          <w:lang w:eastAsia="en-US"/>
        </w:rPr>
        <w:t> </w:t>
      </w:r>
    </w:p>
    <w:p w14:paraId="2DDA84F1" w14:textId="77777777" w:rsidR="007C6919" w:rsidRPr="00F106BB" w:rsidRDefault="007C6919" w:rsidP="001A32A5">
      <w:pPr>
        <w:pStyle w:val="NormalWeb"/>
        <w:shd w:val="clear" w:color="auto" w:fill="FFFFFF"/>
        <w:spacing w:before="0" w:beforeAutospacing="0" w:after="0" w:afterAutospacing="0"/>
        <w:jc w:val="both"/>
        <w:rPr>
          <w:rFonts w:asciiTheme="minorHAnsi" w:hAnsiTheme="minorHAnsi" w:cstheme="minorHAnsi"/>
          <w:iCs/>
          <w:lang w:eastAsia="en-US"/>
        </w:rPr>
      </w:pPr>
      <w:r w:rsidRPr="00F106BB">
        <w:rPr>
          <w:rFonts w:asciiTheme="minorHAnsi" w:hAnsiTheme="minorHAnsi" w:cstheme="minorHAnsi"/>
          <w:iCs/>
          <w:lang w:eastAsia="en-US"/>
        </w:rPr>
        <w:t>This right is also captured in the International Covenant on Civil and Political Rights which states at Article 14.1:</w:t>
      </w:r>
    </w:p>
    <w:p w14:paraId="332AE493" w14:textId="77777777" w:rsidR="007C6919" w:rsidRPr="00F106BB" w:rsidRDefault="007C6919" w:rsidP="001A32A5">
      <w:pPr>
        <w:pStyle w:val="NormalWeb"/>
        <w:shd w:val="clear" w:color="auto" w:fill="FFFFFF"/>
        <w:spacing w:before="0" w:beforeAutospacing="0" w:after="0" w:afterAutospacing="0"/>
        <w:jc w:val="both"/>
        <w:rPr>
          <w:rFonts w:asciiTheme="minorHAnsi" w:hAnsiTheme="minorHAnsi" w:cstheme="minorHAnsi"/>
          <w:iCs/>
          <w:lang w:eastAsia="en-US"/>
        </w:rPr>
      </w:pPr>
      <w:r w:rsidRPr="00F106BB">
        <w:rPr>
          <w:rFonts w:asciiTheme="minorHAnsi" w:hAnsiTheme="minorHAnsi" w:cstheme="minorHAnsi"/>
          <w:iCs/>
          <w:lang w:eastAsia="en-US"/>
        </w:rPr>
        <w:t> </w:t>
      </w:r>
    </w:p>
    <w:p w14:paraId="0F8F98C6" w14:textId="77777777" w:rsidR="007C6919" w:rsidRPr="00F106BB" w:rsidRDefault="007C6919" w:rsidP="001A32A5">
      <w:pPr>
        <w:pStyle w:val="NormalWeb"/>
        <w:shd w:val="clear" w:color="auto" w:fill="FFFFFF"/>
        <w:spacing w:before="0" w:beforeAutospacing="0" w:after="0" w:afterAutospacing="0"/>
        <w:ind w:left="720"/>
        <w:jc w:val="both"/>
        <w:rPr>
          <w:rFonts w:asciiTheme="minorHAnsi" w:hAnsiTheme="minorHAnsi" w:cstheme="minorHAnsi"/>
          <w:iCs/>
          <w:lang w:eastAsia="en-US"/>
        </w:rPr>
      </w:pPr>
      <w:r w:rsidRPr="00F106BB">
        <w:rPr>
          <w:rFonts w:asciiTheme="minorHAnsi" w:hAnsiTheme="minorHAnsi" w:cstheme="minorHAnsi"/>
          <w:iCs/>
          <w:lang w:eastAsia="en-US"/>
        </w:rPr>
        <w:t>“All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w:t>
      </w:r>
    </w:p>
    <w:p w14:paraId="12E48E58" w14:textId="77777777" w:rsidR="007C6919" w:rsidRPr="00F106BB" w:rsidRDefault="007C6919" w:rsidP="001A32A5">
      <w:pPr>
        <w:jc w:val="both"/>
        <w:rPr>
          <w:rFonts w:asciiTheme="minorHAnsi" w:hAnsiTheme="minorHAnsi" w:cstheme="minorHAnsi"/>
          <w:iCs/>
          <w:sz w:val="24"/>
          <w:szCs w:val="24"/>
        </w:rPr>
      </w:pPr>
    </w:p>
    <w:p w14:paraId="65357219" w14:textId="77777777" w:rsidR="007C6919" w:rsidRPr="00F106BB" w:rsidRDefault="007C6919" w:rsidP="001A32A5">
      <w:pPr>
        <w:pStyle w:val="NormalWeb"/>
        <w:shd w:val="clear" w:color="auto" w:fill="FFFFFF"/>
        <w:spacing w:before="0" w:beforeAutospacing="0" w:after="0" w:afterAutospacing="0"/>
        <w:jc w:val="both"/>
        <w:rPr>
          <w:rFonts w:asciiTheme="minorHAnsi" w:hAnsiTheme="minorHAnsi" w:cstheme="minorHAnsi"/>
          <w:iCs/>
          <w:lang w:eastAsia="en-US"/>
        </w:rPr>
      </w:pPr>
      <w:r w:rsidRPr="00F106BB">
        <w:rPr>
          <w:rFonts w:asciiTheme="minorHAnsi" w:hAnsiTheme="minorHAnsi" w:cstheme="minorHAnsi"/>
          <w:iCs/>
          <w:lang w:eastAsia="en-US"/>
        </w:rPr>
        <w:t xml:space="preserve">This right includes the obligation that a matter be heard expeditiously within a reasonable period and without undue delay. What constitutes an unreasonable delay will depend on the circumstances of the case, including the nature, complexity and conduct of the parties. </w:t>
      </w:r>
    </w:p>
    <w:p w14:paraId="4E6728C2" w14:textId="77777777" w:rsidR="007C6919" w:rsidRPr="00F106BB" w:rsidRDefault="007C6919" w:rsidP="001A32A5">
      <w:pPr>
        <w:pStyle w:val="NormalWeb"/>
        <w:shd w:val="clear" w:color="auto" w:fill="FFFFFF"/>
        <w:spacing w:before="0" w:beforeAutospacing="0" w:after="0" w:afterAutospacing="0"/>
        <w:jc w:val="both"/>
        <w:rPr>
          <w:rFonts w:asciiTheme="minorHAnsi" w:hAnsiTheme="minorHAnsi" w:cstheme="minorHAnsi"/>
          <w:iCs/>
          <w:lang w:eastAsia="en-US"/>
        </w:rPr>
      </w:pPr>
    </w:p>
    <w:p w14:paraId="430DB381" w14:textId="77777777" w:rsidR="00F853E7" w:rsidRPr="00F106BB" w:rsidRDefault="00F853E7" w:rsidP="001A32A5">
      <w:pPr>
        <w:jc w:val="both"/>
        <w:rPr>
          <w:rFonts w:asciiTheme="minorHAnsi" w:hAnsiTheme="minorHAnsi" w:cstheme="minorHAnsi"/>
          <w:iCs/>
          <w:sz w:val="24"/>
          <w:szCs w:val="24"/>
        </w:rPr>
      </w:pPr>
      <w:r w:rsidRPr="00F106BB">
        <w:rPr>
          <w:rFonts w:asciiTheme="minorHAnsi" w:hAnsiTheme="minorHAnsi" w:cstheme="minorHAnsi"/>
          <w:iCs/>
          <w:sz w:val="24"/>
          <w:szCs w:val="24"/>
        </w:rPr>
        <w:t xml:space="preserve">The Bill may engage and limit this right primarily due to the delay in proceedings which might result for a respondent from the removal of limitation periods for causes of action relating to personal injury resulting from physical abuse of a child. Delay has a burdensome effect on respondents and can constitute prejudice to a respondent given the potential for a loss of records and unavailability of relevant witnesses, or other detractions from the efficient </w:t>
      </w:r>
      <w:r w:rsidRPr="00F106BB">
        <w:rPr>
          <w:rFonts w:asciiTheme="minorHAnsi" w:hAnsiTheme="minorHAnsi" w:cstheme="minorHAnsi"/>
          <w:iCs/>
          <w:sz w:val="24"/>
          <w:szCs w:val="24"/>
        </w:rPr>
        <w:lastRenderedPageBreak/>
        <w:t xml:space="preserve">administration of justice caused by a significant passage of time between the alleged offending behaviour, and the brining of a personal injury claim. </w:t>
      </w:r>
    </w:p>
    <w:p w14:paraId="25462FA6" w14:textId="1B52C33A" w:rsidR="0037295B" w:rsidRPr="00F106BB" w:rsidRDefault="007C6919" w:rsidP="001A32A5">
      <w:pPr>
        <w:jc w:val="both"/>
        <w:rPr>
          <w:rFonts w:asciiTheme="minorHAnsi" w:hAnsiTheme="minorHAnsi" w:cstheme="minorHAnsi"/>
          <w:iCs/>
          <w:sz w:val="24"/>
          <w:szCs w:val="24"/>
        </w:rPr>
      </w:pPr>
      <w:r w:rsidRPr="00F106BB">
        <w:rPr>
          <w:rFonts w:asciiTheme="minorHAnsi" w:hAnsiTheme="minorHAnsi" w:cstheme="minorHAnsi"/>
          <w:iCs/>
          <w:sz w:val="24"/>
          <w:szCs w:val="24"/>
        </w:rPr>
        <w:t>However, section 28 of the HR</w:t>
      </w:r>
      <w:r w:rsidR="00CE617E">
        <w:rPr>
          <w:rFonts w:asciiTheme="minorHAnsi" w:hAnsiTheme="minorHAnsi" w:cstheme="minorHAnsi"/>
          <w:iCs/>
          <w:sz w:val="24"/>
          <w:szCs w:val="24"/>
        </w:rPr>
        <w:t xml:space="preserve"> </w:t>
      </w:r>
      <w:r w:rsidRPr="00F106BB">
        <w:rPr>
          <w:rFonts w:asciiTheme="minorHAnsi" w:hAnsiTheme="minorHAnsi" w:cstheme="minorHAnsi"/>
          <w:iCs/>
          <w:sz w:val="24"/>
          <w:szCs w:val="24"/>
        </w:rPr>
        <w:t>A</w:t>
      </w:r>
      <w:r w:rsidR="00CE617E">
        <w:rPr>
          <w:rFonts w:asciiTheme="minorHAnsi" w:hAnsiTheme="minorHAnsi" w:cstheme="minorHAnsi"/>
          <w:iCs/>
          <w:sz w:val="24"/>
          <w:szCs w:val="24"/>
        </w:rPr>
        <w:t>ct</w:t>
      </w:r>
      <w:r w:rsidRPr="00F106BB">
        <w:rPr>
          <w:rFonts w:asciiTheme="minorHAnsi" w:hAnsiTheme="minorHAnsi" w:cstheme="minorHAnsi"/>
          <w:iCs/>
          <w:sz w:val="24"/>
          <w:szCs w:val="24"/>
        </w:rPr>
        <w:t xml:space="preserve"> provides that human rights may be subject to reasonable limits that can be demonstrably justified in a free and democratic society. In deciding whether a limit is reasonable, section 28 provides relevant factors to be considered including the importance of the purpose of the limitation and the nature and extent of the limitation. </w:t>
      </w:r>
    </w:p>
    <w:p w14:paraId="4C31D8E5" w14:textId="7ED1D899" w:rsidR="007C565D" w:rsidRPr="00F106BB" w:rsidRDefault="007C565D" w:rsidP="001A32A5">
      <w:pPr>
        <w:pStyle w:val="ListParagraph"/>
        <w:numPr>
          <w:ilvl w:val="0"/>
          <w:numId w:val="3"/>
        </w:numPr>
        <w:jc w:val="both"/>
        <w:rPr>
          <w:rFonts w:asciiTheme="minorHAnsi" w:hAnsiTheme="minorHAnsi" w:cstheme="minorHAnsi"/>
          <w:b/>
          <w:bCs/>
          <w:i/>
          <w:sz w:val="24"/>
          <w:szCs w:val="24"/>
        </w:rPr>
      </w:pPr>
      <w:r w:rsidRPr="00F106BB">
        <w:rPr>
          <w:rFonts w:asciiTheme="minorHAnsi" w:hAnsiTheme="minorHAnsi" w:cstheme="minorHAnsi"/>
          <w:b/>
          <w:bCs/>
          <w:i/>
          <w:sz w:val="24"/>
          <w:szCs w:val="24"/>
        </w:rPr>
        <w:t>Legitimate purpose (s28(b))</w:t>
      </w:r>
    </w:p>
    <w:p w14:paraId="66D48279" w14:textId="77777777" w:rsidR="007C565D" w:rsidRPr="00F106BB" w:rsidRDefault="007C565D" w:rsidP="001A32A5">
      <w:pPr>
        <w:pStyle w:val="ListParagraph"/>
        <w:ind w:left="360"/>
        <w:jc w:val="both"/>
        <w:rPr>
          <w:rFonts w:asciiTheme="minorHAnsi" w:hAnsiTheme="minorHAnsi" w:cstheme="minorHAnsi"/>
          <w:i/>
          <w:color w:val="FF0000"/>
          <w:sz w:val="24"/>
          <w:szCs w:val="24"/>
        </w:rPr>
      </w:pPr>
    </w:p>
    <w:p w14:paraId="17A7EBE0" w14:textId="1A591B35" w:rsidR="00A00C51" w:rsidRPr="00F106BB" w:rsidRDefault="003C2267" w:rsidP="001A32A5">
      <w:pPr>
        <w:jc w:val="both"/>
        <w:rPr>
          <w:rFonts w:asciiTheme="minorHAnsi" w:hAnsiTheme="minorHAnsi" w:cstheme="minorHAnsi"/>
          <w:iCs/>
          <w:sz w:val="24"/>
          <w:szCs w:val="24"/>
        </w:rPr>
      </w:pPr>
      <w:r w:rsidRPr="00F106BB">
        <w:rPr>
          <w:rFonts w:asciiTheme="minorHAnsi" w:hAnsiTheme="minorHAnsi" w:cstheme="minorHAnsi"/>
          <w:iCs/>
          <w:sz w:val="24"/>
          <w:szCs w:val="24"/>
        </w:rPr>
        <w:t xml:space="preserve">The Bill intends to remove the limitation period on personal injury causes of action caused by </w:t>
      </w:r>
      <w:r w:rsidR="006F7918" w:rsidRPr="00F106BB">
        <w:rPr>
          <w:rFonts w:asciiTheme="minorHAnsi" w:hAnsiTheme="minorHAnsi" w:cstheme="minorHAnsi"/>
          <w:iCs/>
          <w:sz w:val="24"/>
          <w:szCs w:val="24"/>
        </w:rPr>
        <w:t xml:space="preserve">physical </w:t>
      </w:r>
      <w:r w:rsidRPr="00F106BB">
        <w:rPr>
          <w:rFonts w:asciiTheme="minorHAnsi" w:hAnsiTheme="minorHAnsi" w:cstheme="minorHAnsi"/>
          <w:iCs/>
          <w:sz w:val="24"/>
          <w:szCs w:val="24"/>
        </w:rPr>
        <w:t>abuse</w:t>
      </w:r>
      <w:r w:rsidR="006F7918" w:rsidRPr="00F106BB">
        <w:rPr>
          <w:rFonts w:asciiTheme="minorHAnsi" w:hAnsiTheme="minorHAnsi" w:cstheme="minorHAnsi"/>
          <w:iCs/>
          <w:sz w:val="24"/>
          <w:szCs w:val="24"/>
        </w:rPr>
        <w:t xml:space="preserve"> as a child</w:t>
      </w:r>
      <w:r w:rsidRPr="00F106BB">
        <w:rPr>
          <w:rFonts w:asciiTheme="minorHAnsi" w:hAnsiTheme="minorHAnsi" w:cstheme="minorHAnsi"/>
          <w:iCs/>
          <w:sz w:val="24"/>
          <w:szCs w:val="24"/>
        </w:rPr>
        <w:t xml:space="preserve">. </w:t>
      </w:r>
      <w:r w:rsidR="001F5FE9" w:rsidRPr="00F106BB">
        <w:rPr>
          <w:rFonts w:asciiTheme="minorHAnsi" w:hAnsiTheme="minorHAnsi" w:cstheme="minorHAnsi"/>
          <w:iCs/>
          <w:sz w:val="24"/>
          <w:szCs w:val="24"/>
        </w:rPr>
        <w:t xml:space="preserve">The </w:t>
      </w:r>
      <w:r w:rsidR="006F7918" w:rsidRPr="00F106BB">
        <w:rPr>
          <w:rFonts w:asciiTheme="minorHAnsi" w:hAnsiTheme="minorHAnsi" w:cstheme="minorHAnsi"/>
          <w:iCs/>
          <w:sz w:val="24"/>
          <w:szCs w:val="24"/>
        </w:rPr>
        <w:t>Bill</w:t>
      </w:r>
      <w:r w:rsidR="001F5FE9" w:rsidRPr="00F106BB">
        <w:rPr>
          <w:rFonts w:asciiTheme="minorHAnsi" w:hAnsiTheme="minorHAnsi" w:cstheme="minorHAnsi"/>
          <w:iCs/>
          <w:sz w:val="24"/>
          <w:szCs w:val="24"/>
        </w:rPr>
        <w:t xml:space="preserve"> recognise that </w:t>
      </w:r>
      <w:r w:rsidR="000E194C" w:rsidRPr="00F106BB">
        <w:rPr>
          <w:rFonts w:asciiTheme="minorHAnsi" w:hAnsiTheme="minorHAnsi" w:cstheme="minorHAnsi"/>
          <w:iCs/>
          <w:sz w:val="24"/>
          <w:szCs w:val="24"/>
        </w:rPr>
        <w:t xml:space="preserve">all forms of abuse experienced by a child are deserving of appropriate access to justice and compensation through the legal system. The </w:t>
      </w:r>
      <w:r w:rsidR="006F7918" w:rsidRPr="00F106BB">
        <w:rPr>
          <w:rFonts w:asciiTheme="minorHAnsi" w:hAnsiTheme="minorHAnsi" w:cstheme="minorHAnsi"/>
          <w:iCs/>
          <w:sz w:val="24"/>
          <w:szCs w:val="24"/>
        </w:rPr>
        <w:t>Bill</w:t>
      </w:r>
      <w:r w:rsidR="000E194C" w:rsidRPr="00F106BB">
        <w:rPr>
          <w:rFonts w:asciiTheme="minorHAnsi" w:hAnsiTheme="minorHAnsi" w:cstheme="minorHAnsi"/>
          <w:iCs/>
          <w:sz w:val="24"/>
          <w:szCs w:val="24"/>
        </w:rPr>
        <w:t xml:space="preserve"> further recognise</w:t>
      </w:r>
      <w:r w:rsidR="000511B3" w:rsidRPr="00F106BB">
        <w:rPr>
          <w:rFonts w:asciiTheme="minorHAnsi" w:hAnsiTheme="minorHAnsi" w:cstheme="minorHAnsi"/>
          <w:iCs/>
          <w:sz w:val="24"/>
          <w:szCs w:val="24"/>
        </w:rPr>
        <w:t>s</w:t>
      </w:r>
      <w:r w:rsidR="000E194C" w:rsidRPr="00F106BB">
        <w:rPr>
          <w:rFonts w:asciiTheme="minorHAnsi" w:hAnsiTheme="minorHAnsi" w:cstheme="minorHAnsi"/>
          <w:iCs/>
          <w:sz w:val="24"/>
          <w:szCs w:val="24"/>
        </w:rPr>
        <w:t xml:space="preserve"> that s</w:t>
      </w:r>
      <w:r w:rsidR="001F5FE9" w:rsidRPr="00F106BB">
        <w:rPr>
          <w:rFonts w:asciiTheme="minorHAnsi" w:hAnsiTheme="minorHAnsi" w:cstheme="minorHAnsi"/>
          <w:iCs/>
          <w:sz w:val="24"/>
          <w:szCs w:val="24"/>
        </w:rPr>
        <w:t xml:space="preserve">urvivors of </w:t>
      </w:r>
      <w:r w:rsidR="00733E23" w:rsidRPr="00F106BB">
        <w:rPr>
          <w:rFonts w:asciiTheme="minorHAnsi" w:hAnsiTheme="minorHAnsi" w:cstheme="minorHAnsi"/>
          <w:iCs/>
          <w:sz w:val="24"/>
          <w:szCs w:val="24"/>
        </w:rPr>
        <w:t xml:space="preserve">all forms of </w:t>
      </w:r>
      <w:r w:rsidR="001F5FE9" w:rsidRPr="00F106BB">
        <w:rPr>
          <w:rFonts w:asciiTheme="minorHAnsi" w:hAnsiTheme="minorHAnsi" w:cstheme="minorHAnsi"/>
          <w:iCs/>
          <w:sz w:val="24"/>
          <w:szCs w:val="24"/>
        </w:rPr>
        <w:t xml:space="preserve">child abuse may take significant periods of time </w:t>
      </w:r>
      <w:r w:rsidR="000511B3" w:rsidRPr="00F106BB">
        <w:rPr>
          <w:rFonts w:asciiTheme="minorHAnsi" w:hAnsiTheme="minorHAnsi" w:cstheme="minorHAnsi"/>
          <w:iCs/>
          <w:sz w:val="24"/>
          <w:szCs w:val="24"/>
        </w:rPr>
        <w:t>to understand, process and act upon the harm caused by their abuse,</w:t>
      </w:r>
      <w:r w:rsidR="001F5FE9" w:rsidRPr="00F106BB">
        <w:rPr>
          <w:rFonts w:asciiTheme="minorHAnsi" w:hAnsiTheme="minorHAnsi" w:cstheme="minorHAnsi"/>
          <w:iCs/>
          <w:sz w:val="24"/>
          <w:szCs w:val="24"/>
        </w:rPr>
        <w:t xml:space="preserve"> and that limitation periods have the practical effect of denying a survivor the opportunity to </w:t>
      </w:r>
      <w:r w:rsidR="006F7918" w:rsidRPr="00F106BB">
        <w:rPr>
          <w:rFonts w:asciiTheme="minorHAnsi" w:hAnsiTheme="minorHAnsi" w:cstheme="minorHAnsi"/>
          <w:iCs/>
          <w:sz w:val="24"/>
          <w:szCs w:val="24"/>
        </w:rPr>
        <w:t>access the legal system</w:t>
      </w:r>
      <w:r w:rsidR="001F5FE9" w:rsidRPr="00F106BB">
        <w:rPr>
          <w:rFonts w:asciiTheme="minorHAnsi" w:hAnsiTheme="minorHAnsi" w:cstheme="minorHAnsi"/>
          <w:iCs/>
          <w:sz w:val="24"/>
          <w:szCs w:val="24"/>
        </w:rPr>
        <w:t>.</w:t>
      </w:r>
      <w:r w:rsidR="000E194C" w:rsidRPr="00F106BB">
        <w:rPr>
          <w:rFonts w:asciiTheme="minorHAnsi" w:hAnsiTheme="minorHAnsi" w:cstheme="minorHAnsi"/>
          <w:iCs/>
          <w:sz w:val="24"/>
          <w:szCs w:val="24"/>
        </w:rPr>
        <w:t xml:space="preserve"> </w:t>
      </w:r>
      <w:r w:rsidR="001F5FE9" w:rsidRPr="00F106BB">
        <w:rPr>
          <w:rFonts w:asciiTheme="minorHAnsi" w:hAnsiTheme="minorHAnsi" w:cstheme="minorHAnsi"/>
          <w:iCs/>
          <w:sz w:val="24"/>
          <w:szCs w:val="24"/>
        </w:rPr>
        <w:t xml:space="preserve">The amendments promote equity between survivors of child abuse by recognising that child physical abuse can, equally to child sexual abuse, cause significant personal injury and ongoing trauma for survivors of such abuse. </w:t>
      </w:r>
    </w:p>
    <w:p w14:paraId="6AFBB77C" w14:textId="4D4CEAA4" w:rsidR="00F853E7" w:rsidRPr="00F106BB" w:rsidRDefault="00F853E7" w:rsidP="001A32A5">
      <w:pPr>
        <w:jc w:val="both"/>
        <w:rPr>
          <w:rFonts w:asciiTheme="minorHAnsi" w:hAnsiTheme="minorHAnsi" w:cstheme="minorHAnsi"/>
          <w:iCs/>
          <w:sz w:val="24"/>
          <w:szCs w:val="24"/>
        </w:rPr>
      </w:pPr>
      <w:r w:rsidRPr="00F106BB">
        <w:rPr>
          <w:rFonts w:asciiTheme="minorHAnsi" w:hAnsiTheme="minorHAnsi" w:cstheme="minorHAnsi"/>
          <w:iCs/>
          <w:sz w:val="24"/>
          <w:szCs w:val="24"/>
        </w:rPr>
        <w:t xml:space="preserve">Survivors of all forms of child abuse should have equal access to civil litigation regardless of when such abuse occurred. The purpose of the Bill in this respect is sufficient to warrant the limitation of a right to a fair trial of a respondent, particularly where there are adequate safeguards to ensure that respondents do not face unfair prejudice in such matters arising from the removal of the limitation period. </w:t>
      </w:r>
    </w:p>
    <w:p w14:paraId="4C51CABB" w14:textId="54AC245C" w:rsidR="007C565D" w:rsidRPr="00F106BB" w:rsidRDefault="00376166" w:rsidP="001A32A5">
      <w:pPr>
        <w:pStyle w:val="ListParagraph"/>
        <w:numPr>
          <w:ilvl w:val="0"/>
          <w:numId w:val="3"/>
        </w:numPr>
        <w:jc w:val="both"/>
        <w:rPr>
          <w:rFonts w:asciiTheme="minorHAnsi" w:hAnsiTheme="minorHAnsi" w:cstheme="minorHAnsi"/>
          <w:b/>
          <w:bCs/>
          <w:i/>
          <w:sz w:val="24"/>
          <w:szCs w:val="24"/>
        </w:rPr>
      </w:pPr>
      <w:r w:rsidRPr="00F106BB">
        <w:rPr>
          <w:rFonts w:asciiTheme="minorHAnsi" w:hAnsiTheme="minorHAnsi" w:cstheme="minorHAnsi"/>
          <w:b/>
          <w:bCs/>
          <w:i/>
          <w:sz w:val="24"/>
          <w:szCs w:val="24"/>
        </w:rPr>
        <w:t xml:space="preserve">Rational connection </w:t>
      </w:r>
      <w:r w:rsidR="007C565D" w:rsidRPr="00F106BB">
        <w:rPr>
          <w:rFonts w:asciiTheme="minorHAnsi" w:hAnsiTheme="minorHAnsi" w:cstheme="minorHAnsi"/>
          <w:b/>
          <w:bCs/>
          <w:i/>
          <w:sz w:val="24"/>
          <w:szCs w:val="24"/>
        </w:rPr>
        <w:t>between the limitation and the purpose (s28(d))</w:t>
      </w:r>
    </w:p>
    <w:p w14:paraId="3ECD484E" w14:textId="77777777" w:rsidR="000E194C" w:rsidRPr="00F106BB" w:rsidRDefault="000E194C" w:rsidP="001A32A5">
      <w:pPr>
        <w:pStyle w:val="ListParagraph"/>
        <w:ind w:left="360"/>
        <w:jc w:val="both"/>
        <w:rPr>
          <w:rFonts w:asciiTheme="minorHAnsi" w:hAnsiTheme="minorHAnsi" w:cstheme="minorHAnsi"/>
          <w:b/>
          <w:bCs/>
          <w:i/>
          <w:sz w:val="24"/>
          <w:szCs w:val="24"/>
        </w:rPr>
      </w:pPr>
    </w:p>
    <w:p w14:paraId="5AC0F8AC" w14:textId="00BE4A49" w:rsidR="00F853E7" w:rsidRPr="00F106BB" w:rsidRDefault="00F853E7" w:rsidP="001A32A5">
      <w:pPr>
        <w:jc w:val="both"/>
        <w:rPr>
          <w:rFonts w:asciiTheme="minorHAnsi" w:hAnsiTheme="minorHAnsi" w:cstheme="minorHAnsi"/>
          <w:iCs/>
          <w:sz w:val="24"/>
          <w:szCs w:val="24"/>
        </w:rPr>
      </w:pPr>
      <w:r w:rsidRPr="00F106BB">
        <w:rPr>
          <w:rFonts w:asciiTheme="minorHAnsi" w:hAnsiTheme="minorHAnsi" w:cstheme="minorHAnsi"/>
          <w:iCs/>
          <w:sz w:val="24"/>
          <w:szCs w:val="24"/>
        </w:rPr>
        <w:t>The Bill will improve access to justice for survivors of child physical abuse by removing limitation periods to bring a cause of action for personal injury caused by such abuse. The Bill acknowledges that long-last</w:t>
      </w:r>
      <w:r w:rsidR="00CE617E">
        <w:rPr>
          <w:rFonts w:asciiTheme="minorHAnsi" w:hAnsiTheme="minorHAnsi" w:cstheme="minorHAnsi"/>
          <w:iCs/>
          <w:sz w:val="24"/>
          <w:szCs w:val="24"/>
        </w:rPr>
        <w:t>ing</w:t>
      </w:r>
      <w:r w:rsidRPr="00F106BB">
        <w:rPr>
          <w:rFonts w:asciiTheme="minorHAnsi" w:hAnsiTheme="minorHAnsi" w:cstheme="minorHAnsi"/>
          <w:iCs/>
          <w:sz w:val="24"/>
          <w:szCs w:val="24"/>
        </w:rPr>
        <w:t xml:space="preserve"> trauma is experienced by children who suffered physical abuse as well as sexual abuse, regardless of when the abuse occurred. The Bill recognises that survivors of all child abuse may take very long periods of time to understand, process and act upon the harm caused by the abuse. By removing the limitation period for personal injury claims, survivors of child physical abuse will no longer be prevented from bringing an action because a prescribed period of time has passed. </w:t>
      </w:r>
    </w:p>
    <w:p w14:paraId="29C39D87" w14:textId="6C1E3077" w:rsidR="007D660F" w:rsidRPr="00F106BB" w:rsidRDefault="007C565D" w:rsidP="001A32A5">
      <w:pPr>
        <w:pStyle w:val="ListParagraph"/>
        <w:numPr>
          <w:ilvl w:val="0"/>
          <w:numId w:val="3"/>
        </w:numPr>
        <w:jc w:val="both"/>
        <w:rPr>
          <w:rFonts w:asciiTheme="minorHAnsi" w:hAnsiTheme="minorHAnsi" w:cstheme="minorHAnsi"/>
          <w:b/>
          <w:bCs/>
          <w:i/>
          <w:sz w:val="24"/>
          <w:szCs w:val="24"/>
        </w:rPr>
      </w:pPr>
      <w:r w:rsidRPr="00F106BB">
        <w:rPr>
          <w:rFonts w:asciiTheme="minorHAnsi" w:hAnsiTheme="minorHAnsi" w:cstheme="minorHAnsi"/>
          <w:b/>
          <w:bCs/>
          <w:i/>
          <w:sz w:val="24"/>
          <w:szCs w:val="24"/>
        </w:rPr>
        <w:t>Proportionality</w:t>
      </w:r>
      <w:r w:rsidR="003F68EE" w:rsidRPr="00F106BB">
        <w:rPr>
          <w:rFonts w:asciiTheme="minorHAnsi" w:hAnsiTheme="minorHAnsi" w:cstheme="minorHAnsi"/>
          <w:b/>
          <w:bCs/>
          <w:i/>
          <w:sz w:val="24"/>
          <w:szCs w:val="24"/>
        </w:rPr>
        <w:t xml:space="preserve"> (s28</w:t>
      </w:r>
      <w:r w:rsidR="007D6581" w:rsidRPr="00F106BB">
        <w:rPr>
          <w:rFonts w:asciiTheme="minorHAnsi" w:hAnsiTheme="minorHAnsi" w:cstheme="minorHAnsi"/>
          <w:b/>
          <w:bCs/>
          <w:i/>
          <w:sz w:val="24"/>
          <w:szCs w:val="24"/>
        </w:rPr>
        <w:t xml:space="preserve"> </w:t>
      </w:r>
      <w:r w:rsidR="003F68EE" w:rsidRPr="00F106BB">
        <w:rPr>
          <w:rFonts w:asciiTheme="minorHAnsi" w:hAnsiTheme="minorHAnsi" w:cstheme="minorHAnsi"/>
          <w:b/>
          <w:bCs/>
          <w:i/>
          <w:sz w:val="24"/>
          <w:szCs w:val="24"/>
        </w:rPr>
        <w:t>(e))</w:t>
      </w:r>
    </w:p>
    <w:p w14:paraId="5D362703" w14:textId="4E63AC79" w:rsidR="006555E3" w:rsidRPr="00F106BB" w:rsidRDefault="006555E3" w:rsidP="001A32A5">
      <w:pPr>
        <w:pStyle w:val="ListParagraph"/>
        <w:ind w:left="360"/>
        <w:jc w:val="both"/>
        <w:rPr>
          <w:rFonts w:asciiTheme="minorHAnsi" w:hAnsiTheme="minorHAnsi" w:cstheme="minorHAnsi"/>
          <w:b/>
          <w:bCs/>
          <w:i/>
          <w:sz w:val="24"/>
          <w:szCs w:val="24"/>
        </w:rPr>
      </w:pPr>
    </w:p>
    <w:p w14:paraId="6C7FEE63" w14:textId="6113E292" w:rsidR="00F853E7" w:rsidRPr="00F106BB" w:rsidRDefault="00F853E7" w:rsidP="002339EC">
      <w:pPr>
        <w:jc w:val="both"/>
        <w:rPr>
          <w:rFonts w:asciiTheme="minorHAnsi" w:hAnsiTheme="minorHAnsi" w:cstheme="minorHAnsi"/>
          <w:iCs/>
          <w:sz w:val="24"/>
          <w:szCs w:val="24"/>
        </w:rPr>
      </w:pPr>
      <w:bookmarkStart w:id="3" w:name="OLE_LINK1"/>
      <w:r w:rsidRPr="00F106BB">
        <w:rPr>
          <w:rFonts w:asciiTheme="minorHAnsi" w:hAnsiTheme="minorHAnsi" w:cstheme="minorHAnsi"/>
          <w:iCs/>
          <w:sz w:val="24"/>
          <w:szCs w:val="24"/>
        </w:rPr>
        <w:t xml:space="preserve">Limitation periods operate to bar a survivor from brining a claim against a </w:t>
      </w:r>
      <w:r w:rsidR="00CF0136" w:rsidRPr="00F106BB">
        <w:rPr>
          <w:rFonts w:asciiTheme="minorHAnsi" w:hAnsiTheme="minorHAnsi" w:cstheme="minorHAnsi"/>
          <w:iCs/>
          <w:sz w:val="24"/>
          <w:szCs w:val="24"/>
        </w:rPr>
        <w:t>respondent if</w:t>
      </w:r>
      <w:r w:rsidRPr="00F106BB">
        <w:rPr>
          <w:rFonts w:asciiTheme="minorHAnsi" w:hAnsiTheme="minorHAnsi" w:cstheme="minorHAnsi"/>
          <w:iCs/>
          <w:sz w:val="24"/>
          <w:szCs w:val="24"/>
        </w:rPr>
        <w:t xml:space="preserve"> the limitation period has expired. In order to achieve the purpose of allowing survivors of child physical abuse to bring personal injury claims at any point after their abuse is suffered, the limitation period must be removed. Therefore, there are no other avenues by which the purpose may be achieved which are less restrictive. </w:t>
      </w:r>
    </w:p>
    <w:p w14:paraId="3856F8E0" w14:textId="0CD38AD3" w:rsidR="006F7918" w:rsidRPr="002339EC" w:rsidRDefault="00F853E7" w:rsidP="002339EC">
      <w:pPr>
        <w:jc w:val="both"/>
        <w:rPr>
          <w:rFonts w:asciiTheme="minorHAnsi" w:hAnsiTheme="minorHAnsi" w:cstheme="minorHAnsi"/>
          <w:iCs/>
          <w:sz w:val="24"/>
          <w:szCs w:val="24"/>
        </w:rPr>
      </w:pPr>
      <w:r w:rsidRPr="00F106BB">
        <w:rPr>
          <w:rFonts w:asciiTheme="minorHAnsi" w:hAnsiTheme="minorHAnsi" w:cstheme="minorHAnsi"/>
          <w:iCs/>
          <w:sz w:val="24"/>
          <w:szCs w:val="24"/>
        </w:rPr>
        <w:lastRenderedPageBreak/>
        <w:t xml:space="preserve">The amendments represent a reasonable and justifiable limitation on the right to a fair trial, which needs to be balanced against the importance of improving access to civil litigation for all survivors of child abuse, regardless of the nature of the abuse. The right to a fair trial, whilst limited, is still protected by the preservation of the courts’ jurisdiction and powers to stay proceedings where the passage of time has a prejudicial effect on the </w:t>
      </w:r>
      <w:r w:rsidR="00275FE2" w:rsidRPr="00F106BB">
        <w:rPr>
          <w:rFonts w:asciiTheme="minorHAnsi" w:hAnsiTheme="minorHAnsi" w:cstheme="minorHAnsi"/>
          <w:iCs/>
          <w:sz w:val="24"/>
          <w:szCs w:val="24"/>
        </w:rPr>
        <w:t xml:space="preserve">respondent </w:t>
      </w:r>
      <w:r w:rsidRPr="00F106BB">
        <w:rPr>
          <w:rFonts w:asciiTheme="minorHAnsi" w:hAnsiTheme="minorHAnsi" w:cstheme="minorHAnsi"/>
          <w:iCs/>
          <w:sz w:val="24"/>
          <w:szCs w:val="24"/>
        </w:rPr>
        <w:t xml:space="preserve">that is so serious that a fair trial is not possible, and that any survivor will still be required to establish their cause of action through admissible evidence. </w:t>
      </w:r>
    </w:p>
    <w:p w14:paraId="62B3CE85" w14:textId="1F34760A" w:rsidR="00190EBA" w:rsidRDefault="00190EBA" w:rsidP="001A32A5">
      <w:pPr>
        <w:pStyle w:val="Heading2"/>
        <w:ind w:left="-108"/>
        <w:jc w:val="both"/>
        <w:rPr>
          <w:rFonts w:asciiTheme="minorHAnsi" w:hAnsiTheme="minorHAnsi" w:cstheme="minorHAnsi"/>
          <w:b w:val="0"/>
          <w:szCs w:val="24"/>
          <w:lang w:eastAsia="en-AU"/>
        </w:rPr>
      </w:pPr>
    </w:p>
    <w:p w14:paraId="3AA114DB" w14:textId="50A9F5E1" w:rsidR="00CE617E" w:rsidRDefault="00CE617E" w:rsidP="00CE617E">
      <w:pPr>
        <w:rPr>
          <w:lang w:eastAsia="en-AU"/>
        </w:rPr>
      </w:pPr>
    </w:p>
    <w:p w14:paraId="234A9281" w14:textId="7EE32990" w:rsidR="00CE617E" w:rsidRDefault="00CE617E" w:rsidP="00CE617E">
      <w:pPr>
        <w:rPr>
          <w:lang w:eastAsia="en-AU"/>
        </w:rPr>
      </w:pPr>
    </w:p>
    <w:p w14:paraId="6BBE7D2F" w14:textId="05D5684B" w:rsidR="00CE617E" w:rsidRDefault="00CE617E" w:rsidP="00CE617E">
      <w:pPr>
        <w:rPr>
          <w:lang w:eastAsia="en-AU"/>
        </w:rPr>
      </w:pPr>
    </w:p>
    <w:p w14:paraId="670EAE3B" w14:textId="393EF4FC" w:rsidR="00CE617E" w:rsidRDefault="00CE617E" w:rsidP="00CE617E">
      <w:pPr>
        <w:rPr>
          <w:lang w:eastAsia="en-AU"/>
        </w:rPr>
      </w:pPr>
    </w:p>
    <w:p w14:paraId="3F49426F" w14:textId="788682D3" w:rsidR="00CE617E" w:rsidRDefault="00CE617E" w:rsidP="00CE617E">
      <w:pPr>
        <w:rPr>
          <w:lang w:eastAsia="en-AU"/>
        </w:rPr>
      </w:pPr>
    </w:p>
    <w:p w14:paraId="5B55C512" w14:textId="04763D74" w:rsidR="00CE617E" w:rsidRDefault="00CE617E" w:rsidP="00CE617E">
      <w:pPr>
        <w:rPr>
          <w:lang w:eastAsia="en-AU"/>
        </w:rPr>
      </w:pPr>
    </w:p>
    <w:p w14:paraId="47202C8F" w14:textId="385A443D" w:rsidR="00CE617E" w:rsidRDefault="00CE617E" w:rsidP="00CE617E">
      <w:pPr>
        <w:rPr>
          <w:lang w:eastAsia="en-AU"/>
        </w:rPr>
      </w:pPr>
    </w:p>
    <w:p w14:paraId="79F8AD47" w14:textId="541C63D2" w:rsidR="00CE617E" w:rsidRDefault="00CE617E" w:rsidP="00CE617E">
      <w:pPr>
        <w:rPr>
          <w:lang w:eastAsia="en-AU"/>
        </w:rPr>
      </w:pPr>
    </w:p>
    <w:p w14:paraId="602E3FD6" w14:textId="6953D8B2" w:rsidR="00CE617E" w:rsidRDefault="00CE617E" w:rsidP="00CE617E">
      <w:pPr>
        <w:rPr>
          <w:lang w:eastAsia="en-AU"/>
        </w:rPr>
      </w:pPr>
    </w:p>
    <w:p w14:paraId="50AD0A57" w14:textId="1972981B" w:rsidR="00CE617E" w:rsidRDefault="00CE617E" w:rsidP="00CE617E">
      <w:pPr>
        <w:rPr>
          <w:lang w:eastAsia="en-AU"/>
        </w:rPr>
      </w:pPr>
    </w:p>
    <w:p w14:paraId="5C41F7E2" w14:textId="69CF7C28" w:rsidR="00CE617E" w:rsidRDefault="00CE617E" w:rsidP="00CE617E">
      <w:pPr>
        <w:rPr>
          <w:lang w:eastAsia="en-AU"/>
        </w:rPr>
      </w:pPr>
    </w:p>
    <w:p w14:paraId="57DAE950" w14:textId="043599A7" w:rsidR="00CE617E" w:rsidRDefault="00CE617E" w:rsidP="00CE617E">
      <w:pPr>
        <w:rPr>
          <w:lang w:eastAsia="en-AU"/>
        </w:rPr>
      </w:pPr>
    </w:p>
    <w:p w14:paraId="17544B40" w14:textId="17D796D7" w:rsidR="00CE617E" w:rsidRDefault="00CE617E" w:rsidP="00CE617E">
      <w:pPr>
        <w:rPr>
          <w:lang w:eastAsia="en-AU"/>
        </w:rPr>
      </w:pPr>
    </w:p>
    <w:p w14:paraId="44C27F9C" w14:textId="74A664C7" w:rsidR="00CE617E" w:rsidRDefault="00CE617E" w:rsidP="00CE617E">
      <w:pPr>
        <w:rPr>
          <w:lang w:eastAsia="en-AU"/>
        </w:rPr>
      </w:pPr>
    </w:p>
    <w:p w14:paraId="2E750FB8" w14:textId="5BE8CF32" w:rsidR="00CE617E" w:rsidRDefault="00CE617E" w:rsidP="00CE617E">
      <w:pPr>
        <w:rPr>
          <w:lang w:eastAsia="en-AU"/>
        </w:rPr>
      </w:pPr>
    </w:p>
    <w:p w14:paraId="0D61AAB3" w14:textId="76DE6054" w:rsidR="00CE617E" w:rsidRDefault="00CE617E" w:rsidP="00CE617E">
      <w:pPr>
        <w:rPr>
          <w:lang w:eastAsia="en-AU"/>
        </w:rPr>
      </w:pPr>
    </w:p>
    <w:p w14:paraId="4C226569" w14:textId="5E994063" w:rsidR="00CE617E" w:rsidRDefault="00CE617E" w:rsidP="00CE617E">
      <w:pPr>
        <w:rPr>
          <w:lang w:eastAsia="en-AU"/>
        </w:rPr>
      </w:pPr>
    </w:p>
    <w:p w14:paraId="38480E9A" w14:textId="3F64EE5B" w:rsidR="00CE617E" w:rsidRDefault="00CE617E" w:rsidP="00CE617E">
      <w:pPr>
        <w:rPr>
          <w:lang w:eastAsia="en-AU"/>
        </w:rPr>
      </w:pPr>
    </w:p>
    <w:p w14:paraId="1E18ECAE" w14:textId="3D3C9DF6" w:rsidR="00CE617E" w:rsidRDefault="00CE617E" w:rsidP="00CE617E">
      <w:pPr>
        <w:rPr>
          <w:lang w:eastAsia="en-AU"/>
        </w:rPr>
      </w:pPr>
    </w:p>
    <w:p w14:paraId="5984BC89" w14:textId="5441A943" w:rsidR="00CE617E" w:rsidRDefault="00CE617E" w:rsidP="00CE617E">
      <w:pPr>
        <w:rPr>
          <w:lang w:eastAsia="en-AU"/>
        </w:rPr>
      </w:pPr>
    </w:p>
    <w:p w14:paraId="760752D7" w14:textId="77777777" w:rsidR="00CE617E" w:rsidRPr="00CE617E" w:rsidRDefault="00CE617E" w:rsidP="00CE617E">
      <w:pPr>
        <w:rPr>
          <w:lang w:eastAsia="en-AU"/>
        </w:rPr>
      </w:pPr>
    </w:p>
    <w:p w14:paraId="572D9357" w14:textId="77777777" w:rsidR="00190EBA" w:rsidRDefault="00190EBA" w:rsidP="001A32A5">
      <w:pPr>
        <w:pStyle w:val="Heading2"/>
        <w:ind w:left="-108"/>
        <w:jc w:val="both"/>
        <w:rPr>
          <w:rFonts w:asciiTheme="minorHAnsi" w:hAnsiTheme="minorHAnsi" w:cstheme="minorHAnsi"/>
          <w:b w:val="0"/>
          <w:szCs w:val="24"/>
          <w:lang w:eastAsia="en-AU"/>
        </w:rPr>
      </w:pPr>
    </w:p>
    <w:p w14:paraId="79AD90A2" w14:textId="64326A99" w:rsidR="00E574DD" w:rsidRPr="00F106BB" w:rsidRDefault="008849B9" w:rsidP="002707D1">
      <w:pPr>
        <w:pStyle w:val="Heading2"/>
        <w:ind w:left="-108"/>
        <w:jc w:val="center"/>
        <w:rPr>
          <w:rFonts w:asciiTheme="minorHAnsi" w:hAnsiTheme="minorHAnsi" w:cstheme="minorHAnsi"/>
          <w:b w:val="0"/>
          <w:bCs/>
          <w:i/>
          <w:iCs/>
          <w:szCs w:val="24"/>
        </w:rPr>
      </w:pPr>
      <w:r>
        <w:rPr>
          <w:rFonts w:asciiTheme="minorHAnsi" w:hAnsiTheme="minorHAnsi" w:cstheme="minorHAnsi"/>
          <w:b w:val="0"/>
          <w:szCs w:val="24"/>
          <w:lang w:eastAsia="en-AU"/>
        </w:rPr>
        <w:t>Justice and Community Safety Legislation</w:t>
      </w:r>
      <w:r w:rsidRPr="00F106BB">
        <w:rPr>
          <w:rFonts w:asciiTheme="minorHAnsi" w:hAnsiTheme="minorHAnsi" w:cstheme="minorHAnsi"/>
          <w:b w:val="0"/>
          <w:szCs w:val="24"/>
          <w:lang w:eastAsia="en-AU"/>
        </w:rPr>
        <w:t xml:space="preserve"> </w:t>
      </w:r>
      <w:r w:rsidR="00E574DD" w:rsidRPr="00F106BB">
        <w:rPr>
          <w:rFonts w:asciiTheme="minorHAnsi" w:hAnsiTheme="minorHAnsi" w:cstheme="minorHAnsi"/>
          <w:b w:val="0"/>
          <w:szCs w:val="24"/>
          <w:lang w:eastAsia="en-AU"/>
        </w:rPr>
        <w:t>Amendment Bill 20</w:t>
      </w:r>
      <w:r w:rsidR="00774277" w:rsidRPr="00F106BB">
        <w:rPr>
          <w:rFonts w:asciiTheme="minorHAnsi" w:hAnsiTheme="minorHAnsi" w:cstheme="minorHAnsi"/>
          <w:b w:val="0"/>
          <w:szCs w:val="24"/>
          <w:lang w:eastAsia="en-AU"/>
        </w:rPr>
        <w:t>2</w:t>
      </w:r>
      <w:r w:rsidR="00DF40CD" w:rsidRPr="00F106BB">
        <w:rPr>
          <w:rFonts w:asciiTheme="minorHAnsi" w:hAnsiTheme="minorHAnsi" w:cstheme="minorHAnsi"/>
          <w:b w:val="0"/>
          <w:szCs w:val="24"/>
          <w:lang w:eastAsia="en-AU"/>
        </w:rPr>
        <w:t>2</w:t>
      </w:r>
    </w:p>
    <w:bookmarkEnd w:id="3"/>
    <w:p w14:paraId="12928F7D" w14:textId="50D63A93" w:rsidR="00E574DD" w:rsidRPr="00F106BB" w:rsidRDefault="00E574DD" w:rsidP="002707D1">
      <w:pPr>
        <w:pStyle w:val="Heading4"/>
        <w:ind w:left="-108"/>
        <w:jc w:val="center"/>
        <w:rPr>
          <w:rFonts w:asciiTheme="minorHAnsi" w:hAnsiTheme="minorHAnsi" w:cstheme="minorHAnsi"/>
          <w:sz w:val="24"/>
          <w:szCs w:val="24"/>
        </w:rPr>
      </w:pPr>
      <w:r w:rsidRPr="00F106BB">
        <w:rPr>
          <w:rFonts w:asciiTheme="minorHAnsi" w:hAnsiTheme="minorHAnsi" w:cstheme="minorHAnsi"/>
          <w:sz w:val="24"/>
          <w:szCs w:val="24"/>
        </w:rPr>
        <w:t>Human Rights Act 2004 - Compatibility Statement</w:t>
      </w:r>
    </w:p>
    <w:p w14:paraId="1B9772F9" w14:textId="4591EBAC" w:rsidR="00E574DD" w:rsidRPr="00F106BB" w:rsidRDefault="00E574DD" w:rsidP="001A32A5">
      <w:pPr>
        <w:jc w:val="both"/>
        <w:rPr>
          <w:rFonts w:asciiTheme="minorHAnsi" w:hAnsiTheme="minorHAnsi" w:cstheme="minorHAnsi"/>
          <w:sz w:val="24"/>
          <w:szCs w:val="24"/>
        </w:rPr>
      </w:pPr>
    </w:p>
    <w:p w14:paraId="1C2275A7" w14:textId="0A0B1043" w:rsidR="00E574DD" w:rsidRPr="00F106BB" w:rsidRDefault="00E574DD" w:rsidP="001A32A5">
      <w:pPr>
        <w:jc w:val="both"/>
        <w:rPr>
          <w:rFonts w:asciiTheme="minorHAnsi" w:hAnsiTheme="minorHAnsi" w:cstheme="minorHAnsi"/>
          <w:sz w:val="24"/>
          <w:szCs w:val="24"/>
        </w:rPr>
      </w:pPr>
    </w:p>
    <w:p w14:paraId="71084E2C" w14:textId="36A7F36D" w:rsidR="00E574DD" w:rsidRPr="00F106BB" w:rsidRDefault="00E574DD" w:rsidP="002707D1">
      <w:pPr>
        <w:rPr>
          <w:rFonts w:asciiTheme="minorHAnsi" w:hAnsiTheme="minorHAnsi" w:cstheme="minorHAnsi"/>
          <w:sz w:val="24"/>
          <w:szCs w:val="24"/>
        </w:rPr>
      </w:pPr>
      <w:r w:rsidRPr="00F106BB">
        <w:rPr>
          <w:rFonts w:asciiTheme="minorHAnsi" w:hAnsiTheme="minorHAnsi" w:cstheme="minorHAnsi"/>
          <w:sz w:val="24"/>
          <w:szCs w:val="24"/>
        </w:rPr>
        <w:t xml:space="preserve">In accordance with section 37 of the </w:t>
      </w:r>
      <w:r w:rsidRPr="00F106BB">
        <w:rPr>
          <w:rFonts w:asciiTheme="minorHAnsi" w:hAnsiTheme="minorHAnsi" w:cstheme="minorHAnsi"/>
          <w:i/>
          <w:iCs/>
          <w:sz w:val="24"/>
          <w:szCs w:val="24"/>
        </w:rPr>
        <w:t>Human Rights Act 2004</w:t>
      </w:r>
      <w:r w:rsidRPr="00F106BB">
        <w:rPr>
          <w:rFonts w:asciiTheme="minorHAnsi" w:hAnsiTheme="minorHAnsi" w:cstheme="minorHAnsi"/>
          <w:sz w:val="24"/>
          <w:szCs w:val="24"/>
        </w:rPr>
        <w:t xml:space="preserve"> I have examined the</w:t>
      </w:r>
      <w:r w:rsidRPr="00F106BB">
        <w:rPr>
          <w:rFonts w:asciiTheme="minorHAnsi" w:hAnsiTheme="minorHAnsi" w:cstheme="minorHAnsi"/>
          <w:b/>
          <w:sz w:val="24"/>
          <w:szCs w:val="24"/>
        </w:rPr>
        <w:t xml:space="preserve"> </w:t>
      </w:r>
      <w:r w:rsidR="008849B9">
        <w:rPr>
          <w:rFonts w:asciiTheme="minorHAnsi" w:hAnsiTheme="minorHAnsi" w:cstheme="minorHAnsi"/>
          <w:b/>
          <w:sz w:val="24"/>
          <w:szCs w:val="24"/>
        </w:rPr>
        <w:t xml:space="preserve">Justice and Community Safety Legislation </w:t>
      </w:r>
      <w:r w:rsidRPr="00F106BB">
        <w:rPr>
          <w:rFonts w:asciiTheme="minorHAnsi" w:hAnsiTheme="minorHAnsi" w:cstheme="minorHAnsi"/>
          <w:b/>
          <w:sz w:val="24"/>
          <w:szCs w:val="24"/>
        </w:rPr>
        <w:t>Amendment Bill</w:t>
      </w:r>
      <w:r w:rsidR="00A5201D" w:rsidRPr="00F106BB">
        <w:rPr>
          <w:rFonts w:asciiTheme="minorHAnsi" w:hAnsiTheme="minorHAnsi" w:cstheme="minorHAnsi"/>
          <w:b/>
          <w:sz w:val="24"/>
          <w:szCs w:val="24"/>
        </w:rPr>
        <w:t xml:space="preserve"> </w:t>
      </w:r>
      <w:r w:rsidRPr="00F106BB">
        <w:rPr>
          <w:rFonts w:asciiTheme="minorHAnsi" w:hAnsiTheme="minorHAnsi" w:cstheme="minorHAnsi"/>
          <w:b/>
          <w:sz w:val="24"/>
          <w:szCs w:val="24"/>
        </w:rPr>
        <w:t>20</w:t>
      </w:r>
      <w:r w:rsidR="00774277" w:rsidRPr="00F106BB">
        <w:rPr>
          <w:rFonts w:asciiTheme="minorHAnsi" w:hAnsiTheme="minorHAnsi" w:cstheme="minorHAnsi"/>
          <w:b/>
          <w:sz w:val="24"/>
          <w:szCs w:val="24"/>
        </w:rPr>
        <w:t>2</w:t>
      </w:r>
      <w:r w:rsidR="00DF40CD" w:rsidRPr="00F106BB">
        <w:rPr>
          <w:rFonts w:asciiTheme="minorHAnsi" w:hAnsiTheme="minorHAnsi" w:cstheme="minorHAnsi"/>
          <w:b/>
          <w:sz w:val="24"/>
          <w:szCs w:val="24"/>
        </w:rPr>
        <w:t>2</w:t>
      </w:r>
      <w:r w:rsidRPr="00F106BB">
        <w:rPr>
          <w:rFonts w:asciiTheme="minorHAnsi" w:hAnsiTheme="minorHAnsi" w:cstheme="minorHAnsi"/>
          <w:sz w:val="24"/>
          <w:szCs w:val="24"/>
        </w:rPr>
        <w:t>.  In my opinion,</w:t>
      </w:r>
      <w:r w:rsidR="000D758B" w:rsidRPr="00F106BB">
        <w:rPr>
          <w:rFonts w:asciiTheme="minorHAnsi" w:hAnsiTheme="minorHAnsi" w:cstheme="minorHAnsi"/>
          <w:sz w:val="24"/>
          <w:szCs w:val="24"/>
        </w:rPr>
        <w:t xml:space="preserve"> having regard to the </w:t>
      </w:r>
      <w:r w:rsidR="00774277" w:rsidRPr="00F106BB">
        <w:rPr>
          <w:rFonts w:asciiTheme="minorHAnsi" w:hAnsiTheme="minorHAnsi" w:cstheme="minorHAnsi"/>
          <w:sz w:val="24"/>
          <w:szCs w:val="24"/>
        </w:rPr>
        <w:t xml:space="preserve">Bill and the </w:t>
      </w:r>
      <w:r w:rsidR="00A0291C" w:rsidRPr="00F106BB">
        <w:rPr>
          <w:rFonts w:asciiTheme="minorHAnsi" w:hAnsiTheme="minorHAnsi" w:cstheme="minorHAnsi"/>
          <w:sz w:val="24"/>
          <w:szCs w:val="24"/>
        </w:rPr>
        <w:t>outline</w:t>
      </w:r>
      <w:r w:rsidR="000D758B" w:rsidRPr="00F106BB">
        <w:rPr>
          <w:rFonts w:asciiTheme="minorHAnsi" w:hAnsiTheme="minorHAnsi" w:cstheme="minorHAnsi"/>
          <w:sz w:val="24"/>
          <w:szCs w:val="24"/>
        </w:rPr>
        <w:t xml:space="preserve"> of the policy </w:t>
      </w:r>
      <w:r w:rsidR="00040382" w:rsidRPr="00F106BB">
        <w:rPr>
          <w:rFonts w:asciiTheme="minorHAnsi" w:hAnsiTheme="minorHAnsi" w:cstheme="minorHAnsi"/>
          <w:sz w:val="24"/>
          <w:szCs w:val="24"/>
        </w:rPr>
        <w:t>considerati</w:t>
      </w:r>
      <w:r w:rsidR="00E61614" w:rsidRPr="00F106BB">
        <w:rPr>
          <w:rFonts w:asciiTheme="minorHAnsi" w:hAnsiTheme="minorHAnsi" w:cstheme="minorHAnsi"/>
          <w:sz w:val="24"/>
          <w:szCs w:val="24"/>
        </w:rPr>
        <w:t>ons</w:t>
      </w:r>
      <w:r w:rsidR="005162FA" w:rsidRPr="00F106BB">
        <w:rPr>
          <w:rFonts w:asciiTheme="minorHAnsi" w:hAnsiTheme="minorHAnsi" w:cstheme="minorHAnsi"/>
          <w:sz w:val="24"/>
          <w:szCs w:val="24"/>
        </w:rPr>
        <w:t xml:space="preserve"> and </w:t>
      </w:r>
      <w:r w:rsidR="00424FBB" w:rsidRPr="00F106BB">
        <w:rPr>
          <w:rFonts w:asciiTheme="minorHAnsi" w:hAnsiTheme="minorHAnsi" w:cstheme="minorHAnsi"/>
          <w:sz w:val="24"/>
          <w:szCs w:val="24"/>
        </w:rPr>
        <w:t xml:space="preserve">justification of </w:t>
      </w:r>
      <w:r w:rsidR="00741C4A" w:rsidRPr="00F106BB">
        <w:rPr>
          <w:rFonts w:asciiTheme="minorHAnsi" w:hAnsiTheme="minorHAnsi" w:cstheme="minorHAnsi"/>
          <w:sz w:val="24"/>
          <w:szCs w:val="24"/>
        </w:rPr>
        <w:t>any</w:t>
      </w:r>
      <w:r w:rsidR="005162FA" w:rsidRPr="00F106BB">
        <w:rPr>
          <w:rFonts w:asciiTheme="minorHAnsi" w:hAnsiTheme="minorHAnsi" w:cstheme="minorHAnsi"/>
          <w:sz w:val="24"/>
          <w:szCs w:val="24"/>
        </w:rPr>
        <w:t xml:space="preserve"> </w:t>
      </w:r>
      <w:r w:rsidR="00424FBB" w:rsidRPr="00F106BB">
        <w:rPr>
          <w:rFonts w:asciiTheme="minorHAnsi" w:hAnsiTheme="minorHAnsi" w:cstheme="minorHAnsi"/>
          <w:sz w:val="24"/>
          <w:szCs w:val="24"/>
        </w:rPr>
        <w:t>limitations</w:t>
      </w:r>
      <w:r w:rsidR="005162FA" w:rsidRPr="00F106BB">
        <w:rPr>
          <w:rFonts w:asciiTheme="minorHAnsi" w:hAnsiTheme="minorHAnsi" w:cstheme="minorHAnsi"/>
          <w:sz w:val="24"/>
          <w:szCs w:val="24"/>
        </w:rPr>
        <w:t xml:space="preserve"> on rights</w:t>
      </w:r>
      <w:r w:rsidR="00424FBB" w:rsidRPr="00F106BB">
        <w:rPr>
          <w:rFonts w:asciiTheme="minorHAnsi" w:hAnsiTheme="minorHAnsi" w:cstheme="minorHAnsi"/>
          <w:sz w:val="24"/>
          <w:szCs w:val="24"/>
        </w:rPr>
        <w:t xml:space="preserve"> </w:t>
      </w:r>
      <w:r w:rsidR="00E61614" w:rsidRPr="00F106BB">
        <w:rPr>
          <w:rFonts w:asciiTheme="minorHAnsi" w:hAnsiTheme="minorHAnsi" w:cstheme="minorHAnsi"/>
          <w:sz w:val="24"/>
          <w:szCs w:val="24"/>
        </w:rPr>
        <w:t xml:space="preserve">outlined </w:t>
      </w:r>
      <w:r w:rsidR="00424FBB" w:rsidRPr="00F106BB">
        <w:rPr>
          <w:rFonts w:asciiTheme="minorHAnsi" w:hAnsiTheme="minorHAnsi" w:cstheme="minorHAnsi"/>
          <w:sz w:val="24"/>
          <w:szCs w:val="24"/>
        </w:rPr>
        <w:t>in this explanatory statement, the Bill as presented to the Legislative Assembly</w:t>
      </w:r>
      <w:r w:rsidR="0038696A">
        <w:rPr>
          <w:rFonts w:asciiTheme="minorHAnsi" w:hAnsiTheme="minorHAnsi" w:cstheme="minorHAnsi"/>
          <w:b/>
          <w:sz w:val="24"/>
          <w:szCs w:val="24"/>
        </w:rPr>
        <w:t xml:space="preserve"> is</w:t>
      </w:r>
      <w:r w:rsidRPr="00F106BB">
        <w:rPr>
          <w:rFonts w:asciiTheme="minorHAnsi" w:hAnsiTheme="minorHAnsi" w:cstheme="minorHAnsi"/>
          <w:sz w:val="24"/>
          <w:szCs w:val="24"/>
        </w:rPr>
        <w:t xml:space="preserve"> consistent with the </w:t>
      </w:r>
      <w:r w:rsidRPr="00F106BB">
        <w:rPr>
          <w:rFonts w:asciiTheme="minorHAnsi" w:hAnsiTheme="minorHAnsi" w:cstheme="minorHAnsi"/>
          <w:i/>
          <w:iCs/>
          <w:sz w:val="24"/>
          <w:szCs w:val="24"/>
        </w:rPr>
        <w:t>Human Rights Act 2004</w:t>
      </w:r>
      <w:r w:rsidR="000D758B" w:rsidRPr="00F106BB">
        <w:rPr>
          <w:rFonts w:asciiTheme="minorHAnsi" w:hAnsiTheme="minorHAnsi" w:cstheme="minorHAnsi"/>
          <w:i/>
          <w:iCs/>
          <w:sz w:val="24"/>
          <w:szCs w:val="24"/>
        </w:rPr>
        <w:t>.</w:t>
      </w:r>
    </w:p>
    <w:p w14:paraId="66ABEB43" w14:textId="1BCD182F" w:rsidR="00E574DD" w:rsidRPr="00F106BB" w:rsidRDefault="00E574DD" w:rsidP="001A32A5">
      <w:pPr>
        <w:jc w:val="both"/>
        <w:rPr>
          <w:rFonts w:asciiTheme="minorHAnsi" w:hAnsiTheme="minorHAnsi" w:cstheme="minorHAnsi"/>
          <w:sz w:val="24"/>
          <w:szCs w:val="24"/>
        </w:rPr>
      </w:pPr>
    </w:p>
    <w:p w14:paraId="6C6D5E27" w14:textId="262573A1" w:rsidR="00E574DD" w:rsidRPr="00F106BB" w:rsidRDefault="00E574DD" w:rsidP="001A32A5">
      <w:pPr>
        <w:jc w:val="both"/>
        <w:rPr>
          <w:rFonts w:asciiTheme="minorHAnsi" w:hAnsiTheme="minorHAnsi" w:cstheme="minorHAnsi"/>
          <w:sz w:val="24"/>
          <w:szCs w:val="24"/>
        </w:rPr>
      </w:pPr>
    </w:p>
    <w:p w14:paraId="3AC1DED3" w14:textId="593D98D8" w:rsidR="00E574DD" w:rsidRPr="00F106BB" w:rsidRDefault="00E574DD" w:rsidP="001A32A5">
      <w:pPr>
        <w:jc w:val="both"/>
        <w:rPr>
          <w:rFonts w:asciiTheme="minorHAnsi" w:hAnsiTheme="minorHAnsi" w:cstheme="minorHAnsi"/>
          <w:sz w:val="24"/>
          <w:szCs w:val="24"/>
        </w:rPr>
      </w:pPr>
      <w:r w:rsidRPr="00F106BB">
        <w:rPr>
          <w:rFonts w:asciiTheme="minorHAnsi" w:hAnsiTheme="minorHAnsi" w:cstheme="minorHAnsi"/>
          <w:sz w:val="24"/>
          <w:szCs w:val="24"/>
        </w:rPr>
        <w:t>………………………………………………….</w:t>
      </w:r>
    </w:p>
    <w:p w14:paraId="3A8E2AC8" w14:textId="0A5C1031" w:rsidR="00E574DD" w:rsidRPr="00F106BB" w:rsidRDefault="00E708AC" w:rsidP="002707D1">
      <w:pPr>
        <w:rPr>
          <w:rFonts w:asciiTheme="minorHAnsi" w:hAnsiTheme="minorHAnsi" w:cstheme="minorHAnsi"/>
          <w:sz w:val="24"/>
          <w:szCs w:val="24"/>
        </w:rPr>
      </w:pPr>
      <w:r w:rsidRPr="00F106BB">
        <w:rPr>
          <w:rFonts w:asciiTheme="minorHAnsi" w:hAnsiTheme="minorHAnsi" w:cstheme="minorHAnsi"/>
          <w:sz w:val="24"/>
          <w:szCs w:val="24"/>
        </w:rPr>
        <w:t>Shane Rattenbury</w:t>
      </w:r>
      <w:r w:rsidR="00E574DD" w:rsidRPr="00F106BB">
        <w:rPr>
          <w:rFonts w:asciiTheme="minorHAnsi" w:hAnsiTheme="minorHAnsi" w:cstheme="minorHAnsi"/>
          <w:sz w:val="24"/>
          <w:szCs w:val="24"/>
        </w:rPr>
        <w:t xml:space="preserve"> MLA</w:t>
      </w:r>
      <w:r w:rsidR="00E574DD" w:rsidRPr="00F106BB">
        <w:rPr>
          <w:rFonts w:asciiTheme="minorHAnsi" w:hAnsiTheme="minorHAnsi" w:cstheme="minorHAnsi"/>
          <w:sz w:val="24"/>
          <w:szCs w:val="24"/>
        </w:rPr>
        <w:br/>
        <w:t>Attorney-General</w:t>
      </w:r>
    </w:p>
    <w:p w14:paraId="1578DA22" w14:textId="77777777" w:rsidR="006D53B2" w:rsidRPr="00F106BB" w:rsidRDefault="006D53B2" w:rsidP="001A32A5">
      <w:pPr>
        <w:spacing w:before="200"/>
        <w:jc w:val="both"/>
        <w:rPr>
          <w:rFonts w:asciiTheme="minorHAnsi" w:hAnsiTheme="minorHAnsi" w:cstheme="minorHAnsi"/>
          <w:sz w:val="24"/>
          <w:szCs w:val="24"/>
        </w:rPr>
      </w:pPr>
    </w:p>
    <w:p w14:paraId="6173867E" w14:textId="11ABFDA6" w:rsidR="008C76C4" w:rsidRPr="00F106BB" w:rsidRDefault="008C76C4" w:rsidP="001A32A5">
      <w:pPr>
        <w:pStyle w:val="Heading2"/>
        <w:pageBreakBefore/>
        <w:spacing w:before="240" w:after="240"/>
        <w:jc w:val="both"/>
        <w:rPr>
          <w:rFonts w:asciiTheme="minorHAnsi" w:hAnsiTheme="minorHAnsi" w:cstheme="minorHAnsi"/>
          <w:szCs w:val="24"/>
        </w:rPr>
      </w:pPr>
      <w:r w:rsidRPr="00F106BB">
        <w:rPr>
          <w:rFonts w:asciiTheme="minorHAnsi" w:hAnsiTheme="minorHAnsi" w:cstheme="minorHAnsi"/>
          <w:szCs w:val="24"/>
        </w:rPr>
        <w:lastRenderedPageBreak/>
        <w:t>CLAUSE NOTES</w:t>
      </w:r>
    </w:p>
    <w:p w14:paraId="0E2E8CBE" w14:textId="103B9D9A" w:rsidR="00E76504" w:rsidRPr="00F106BB" w:rsidRDefault="00E76504" w:rsidP="001A32A5">
      <w:pPr>
        <w:jc w:val="both"/>
        <w:rPr>
          <w:rFonts w:asciiTheme="minorHAnsi" w:hAnsiTheme="minorHAnsi" w:cstheme="minorHAnsi"/>
          <w:sz w:val="24"/>
          <w:szCs w:val="24"/>
        </w:rPr>
      </w:pPr>
    </w:p>
    <w:p w14:paraId="5A19C45B" w14:textId="59D28DCD" w:rsidR="00783A1B" w:rsidRPr="00F106BB" w:rsidRDefault="00783A1B"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 xml:space="preserve">Part 1 </w:t>
      </w: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t xml:space="preserve">Preliminary </w:t>
      </w:r>
    </w:p>
    <w:p w14:paraId="27FB735B" w14:textId="3BE1CD91" w:rsidR="00C61B07" w:rsidRPr="00F106BB" w:rsidRDefault="00C61B07" w:rsidP="001A32A5">
      <w:pPr>
        <w:pStyle w:val="Heading3"/>
        <w:jc w:val="both"/>
        <w:rPr>
          <w:rFonts w:asciiTheme="minorHAnsi" w:hAnsiTheme="minorHAnsi" w:cstheme="minorHAnsi"/>
        </w:rPr>
      </w:pPr>
      <w:r w:rsidRPr="00F106BB">
        <w:rPr>
          <w:rFonts w:asciiTheme="minorHAnsi" w:hAnsiTheme="minorHAnsi" w:cstheme="minorHAnsi"/>
        </w:rPr>
        <w:t>Clause 1</w:t>
      </w:r>
      <w:r w:rsidRPr="00F106BB">
        <w:rPr>
          <w:rFonts w:asciiTheme="minorHAnsi" w:hAnsiTheme="minorHAnsi" w:cstheme="minorHAnsi"/>
        </w:rPr>
        <w:tab/>
        <w:t>Name of Act</w:t>
      </w:r>
    </w:p>
    <w:p w14:paraId="60981A53" w14:textId="3454DCD0" w:rsidR="00AA2E09" w:rsidRPr="00F106BB" w:rsidRDefault="00AA2E09"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provides that the name of the Act is the </w:t>
      </w:r>
      <w:r w:rsidRPr="00F106BB">
        <w:rPr>
          <w:rFonts w:asciiTheme="minorHAnsi" w:hAnsiTheme="minorHAnsi" w:cstheme="minorHAnsi"/>
          <w:i/>
          <w:iCs/>
          <w:sz w:val="24"/>
          <w:szCs w:val="24"/>
        </w:rPr>
        <w:t>Justice and Community Safety Legislation Amendment Act 2022</w:t>
      </w:r>
      <w:r w:rsidRPr="00F106BB">
        <w:rPr>
          <w:rFonts w:asciiTheme="minorHAnsi" w:hAnsiTheme="minorHAnsi" w:cstheme="minorHAnsi"/>
          <w:sz w:val="24"/>
          <w:szCs w:val="24"/>
        </w:rPr>
        <w:t xml:space="preserve">. </w:t>
      </w:r>
    </w:p>
    <w:p w14:paraId="341827EE" w14:textId="77BC8DE2" w:rsidR="00C61B07" w:rsidRPr="00F106BB" w:rsidRDefault="00C61B07" w:rsidP="001A32A5">
      <w:pPr>
        <w:pStyle w:val="Heading3"/>
        <w:jc w:val="both"/>
        <w:rPr>
          <w:rFonts w:asciiTheme="minorHAnsi" w:hAnsiTheme="minorHAnsi" w:cstheme="minorHAnsi"/>
        </w:rPr>
      </w:pPr>
      <w:r w:rsidRPr="00F106BB">
        <w:rPr>
          <w:rFonts w:asciiTheme="minorHAnsi" w:hAnsiTheme="minorHAnsi" w:cstheme="minorHAnsi"/>
        </w:rPr>
        <w:t>Clause 2</w:t>
      </w:r>
      <w:r w:rsidRPr="00F106BB">
        <w:rPr>
          <w:rFonts w:asciiTheme="minorHAnsi" w:hAnsiTheme="minorHAnsi" w:cstheme="minorHAnsi"/>
        </w:rPr>
        <w:tab/>
        <w:t>Commencement</w:t>
      </w:r>
    </w:p>
    <w:p w14:paraId="179C2013" w14:textId="0179BBDF" w:rsidR="00AA2E09" w:rsidRPr="00F106BB" w:rsidRDefault="00AA2E09"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provides for the commencement of the Act. The Act commences on the day after its notification day. </w:t>
      </w:r>
    </w:p>
    <w:p w14:paraId="347641B6" w14:textId="37C3B610" w:rsidR="00AA2E09" w:rsidRPr="00F106BB" w:rsidRDefault="00C61B07" w:rsidP="001A32A5">
      <w:pPr>
        <w:pStyle w:val="Heading3"/>
        <w:jc w:val="both"/>
        <w:rPr>
          <w:rFonts w:asciiTheme="minorHAnsi" w:hAnsiTheme="minorHAnsi" w:cstheme="minorHAnsi"/>
        </w:rPr>
      </w:pPr>
      <w:r w:rsidRPr="00F106BB">
        <w:rPr>
          <w:rFonts w:asciiTheme="minorHAnsi" w:hAnsiTheme="minorHAnsi" w:cstheme="minorHAnsi"/>
        </w:rPr>
        <w:t>Clause 3</w:t>
      </w:r>
      <w:r w:rsidRPr="00F106BB">
        <w:rPr>
          <w:rFonts w:asciiTheme="minorHAnsi" w:hAnsiTheme="minorHAnsi" w:cstheme="minorHAnsi"/>
        </w:rPr>
        <w:tab/>
        <w:t>Legislation amended</w:t>
      </w:r>
    </w:p>
    <w:p w14:paraId="134B682B" w14:textId="65F6438A" w:rsidR="00AA2E09" w:rsidRPr="00F106BB" w:rsidRDefault="00AA2E09" w:rsidP="001A32A5">
      <w:pPr>
        <w:jc w:val="both"/>
        <w:rPr>
          <w:rFonts w:asciiTheme="minorHAnsi" w:hAnsiTheme="minorHAnsi" w:cstheme="minorHAnsi"/>
          <w:sz w:val="24"/>
          <w:szCs w:val="24"/>
        </w:rPr>
      </w:pPr>
      <w:r w:rsidRPr="00F106BB">
        <w:rPr>
          <w:rFonts w:asciiTheme="minorHAnsi" w:hAnsiTheme="minorHAnsi" w:cstheme="minorHAnsi"/>
          <w:sz w:val="24"/>
          <w:szCs w:val="24"/>
        </w:rPr>
        <w:t>This clause identifie</w:t>
      </w:r>
      <w:r w:rsidR="00A22D43" w:rsidRPr="00F106BB">
        <w:rPr>
          <w:rFonts w:asciiTheme="minorHAnsi" w:hAnsiTheme="minorHAnsi" w:cstheme="minorHAnsi"/>
          <w:sz w:val="24"/>
          <w:szCs w:val="24"/>
        </w:rPr>
        <w:t>s</w:t>
      </w:r>
      <w:r w:rsidRPr="00F106BB">
        <w:rPr>
          <w:rFonts w:asciiTheme="minorHAnsi" w:hAnsiTheme="minorHAnsi" w:cstheme="minorHAnsi"/>
          <w:sz w:val="24"/>
          <w:szCs w:val="24"/>
        </w:rPr>
        <w:t xml:space="preserve"> the legislation that will be amended </w:t>
      </w:r>
      <w:r w:rsidR="00CE617E">
        <w:rPr>
          <w:rFonts w:asciiTheme="minorHAnsi" w:hAnsiTheme="minorHAnsi" w:cstheme="minorHAnsi"/>
          <w:sz w:val="24"/>
          <w:szCs w:val="24"/>
        </w:rPr>
        <w:t>is</w:t>
      </w:r>
      <w:r w:rsidR="00D00937" w:rsidRPr="00F106BB">
        <w:rPr>
          <w:rFonts w:asciiTheme="minorHAnsi" w:hAnsiTheme="minorHAnsi" w:cstheme="minorHAnsi"/>
          <w:sz w:val="24"/>
          <w:szCs w:val="24"/>
        </w:rPr>
        <w:t xml:space="preserve"> the:</w:t>
      </w:r>
      <w:r w:rsidRPr="00F106BB">
        <w:rPr>
          <w:rFonts w:asciiTheme="minorHAnsi" w:hAnsiTheme="minorHAnsi" w:cstheme="minorHAnsi"/>
          <w:sz w:val="24"/>
          <w:szCs w:val="24"/>
        </w:rPr>
        <w:t xml:space="preserve"> </w:t>
      </w:r>
    </w:p>
    <w:p w14:paraId="04BD1B9C" w14:textId="2DBF03DF" w:rsidR="00AA2E09" w:rsidRPr="00F106BB" w:rsidRDefault="00AA2E09" w:rsidP="001A32A5">
      <w:pPr>
        <w:pStyle w:val="ListParagraph"/>
        <w:numPr>
          <w:ilvl w:val="0"/>
          <w:numId w:val="6"/>
        </w:numPr>
        <w:jc w:val="both"/>
        <w:rPr>
          <w:rFonts w:asciiTheme="minorHAnsi" w:hAnsiTheme="minorHAnsi" w:cstheme="minorHAnsi"/>
          <w:i/>
          <w:iCs/>
          <w:sz w:val="24"/>
          <w:szCs w:val="24"/>
        </w:rPr>
      </w:pPr>
      <w:r w:rsidRPr="00F106BB">
        <w:rPr>
          <w:rFonts w:asciiTheme="minorHAnsi" w:hAnsiTheme="minorHAnsi" w:cstheme="minorHAnsi"/>
          <w:i/>
          <w:iCs/>
          <w:sz w:val="24"/>
          <w:szCs w:val="24"/>
        </w:rPr>
        <w:t>Agents Act 2003</w:t>
      </w:r>
    </w:p>
    <w:p w14:paraId="14044719" w14:textId="2B89E347" w:rsidR="00AA2E09" w:rsidRPr="00F106BB" w:rsidRDefault="00AA2E09" w:rsidP="001A32A5">
      <w:pPr>
        <w:pStyle w:val="ListParagraph"/>
        <w:numPr>
          <w:ilvl w:val="0"/>
          <w:numId w:val="6"/>
        </w:numPr>
        <w:jc w:val="both"/>
        <w:rPr>
          <w:rFonts w:asciiTheme="minorHAnsi" w:hAnsiTheme="minorHAnsi" w:cstheme="minorHAnsi"/>
          <w:i/>
          <w:iCs/>
          <w:sz w:val="24"/>
          <w:szCs w:val="24"/>
        </w:rPr>
      </w:pPr>
      <w:r w:rsidRPr="00F106BB">
        <w:rPr>
          <w:rFonts w:asciiTheme="minorHAnsi" w:hAnsiTheme="minorHAnsi" w:cstheme="minorHAnsi"/>
          <w:i/>
          <w:iCs/>
          <w:sz w:val="24"/>
          <w:szCs w:val="24"/>
        </w:rPr>
        <w:t>Civil Law (Wrongs) Act 2002</w:t>
      </w:r>
    </w:p>
    <w:p w14:paraId="63E0D396" w14:textId="0CAF1F35" w:rsidR="00AA2E09" w:rsidRPr="00F106BB" w:rsidRDefault="00AA2E09" w:rsidP="001A32A5">
      <w:pPr>
        <w:pStyle w:val="ListParagraph"/>
        <w:numPr>
          <w:ilvl w:val="0"/>
          <w:numId w:val="6"/>
        </w:numPr>
        <w:jc w:val="both"/>
        <w:rPr>
          <w:rFonts w:asciiTheme="minorHAnsi" w:hAnsiTheme="minorHAnsi" w:cstheme="minorHAnsi"/>
          <w:i/>
          <w:iCs/>
          <w:sz w:val="24"/>
          <w:szCs w:val="24"/>
        </w:rPr>
      </w:pPr>
      <w:r w:rsidRPr="00F106BB">
        <w:rPr>
          <w:rFonts w:asciiTheme="minorHAnsi" w:hAnsiTheme="minorHAnsi" w:cstheme="minorHAnsi"/>
          <w:i/>
          <w:iCs/>
          <w:sz w:val="24"/>
          <w:szCs w:val="24"/>
        </w:rPr>
        <w:t>COVID-19 Emergency Response Act 2020</w:t>
      </w:r>
    </w:p>
    <w:p w14:paraId="166A3557" w14:textId="189A60C4" w:rsidR="00AA2E09" w:rsidRPr="00F106BB" w:rsidRDefault="00AA2E09" w:rsidP="001A32A5">
      <w:pPr>
        <w:pStyle w:val="ListParagraph"/>
        <w:numPr>
          <w:ilvl w:val="0"/>
          <w:numId w:val="6"/>
        </w:numPr>
        <w:jc w:val="both"/>
        <w:rPr>
          <w:rFonts w:asciiTheme="minorHAnsi" w:hAnsiTheme="minorHAnsi" w:cstheme="minorHAnsi"/>
          <w:i/>
          <w:iCs/>
          <w:sz w:val="24"/>
          <w:szCs w:val="24"/>
        </w:rPr>
      </w:pPr>
      <w:r w:rsidRPr="00F106BB">
        <w:rPr>
          <w:rFonts w:asciiTheme="minorHAnsi" w:hAnsiTheme="minorHAnsi" w:cstheme="minorHAnsi"/>
          <w:i/>
          <w:iCs/>
          <w:sz w:val="24"/>
          <w:szCs w:val="24"/>
        </w:rPr>
        <w:t>Gaming Machine Act 2004</w:t>
      </w:r>
    </w:p>
    <w:p w14:paraId="757F0DCD" w14:textId="45E125B1" w:rsidR="00AA2E09" w:rsidRPr="00F106BB" w:rsidRDefault="00AA2E09" w:rsidP="001A32A5">
      <w:pPr>
        <w:pStyle w:val="ListParagraph"/>
        <w:numPr>
          <w:ilvl w:val="0"/>
          <w:numId w:val="6"/>
        </w:numPr>
        <w:jc w:val="both"/>
        <w:rPr>
          <w:rFonts w:asciiTheme="minorHAnsi" w:hAnsiTheme="minorHAnsi" w:cstheme="minorHAnsi"/>
          <w:i/>
          <w:iCs/>
          <w:sz w:val="24"/>
          <w:szCs w:val="24"/>
        </w:rPr>
      </w:pPr>
      <w:r w:rsidRPr="00F106BB">
        <w:rPr>
          <w:rFonts w:asciiTheme="minorHAnsi" w:hAnsiTheme="minorHAnsi" w:cstheme="minorHAnsi"/>
          <w:i/>
          <w:iCs/>
          <w:sz w:val="24"/>
          <w:szCs w:val="24"/>
        </w:rPr>
        <w:t>Land Titles Act 1925</w:t>
      </w:r>
    </w:p>
    <w:p w14:paraId="696FCF31" w14:textId="079B7764" w:rsidR="00AA2E09" w:rsidRPr="00F106BB" w:rsidRDefault="00AA2E09" w:rsidP="001A32A5">
      <w:pPr>
        <w:pStyle w:val="ListParagraph"/>
        <w:numPr>
          <w:ilvl w:val="0"/>
          <w:numId w:val="6"/>
        </w:numPr>
        <w:jc w:val="both"/>
        <w:rPr>
          <w:rFonts w:asciiTheme="minorHAnsi" w:hAnsiTheme="minorHAnsi" w:cstheme="minorHAnsi"/>
          <w:i/>
          <w:iCs/>
          <w:sz w:val="24"/>
          <w:szCs w:val="24"/>
        </w:rPr>
      </w:pPr>
      <w:r w:rsidRPr="00F106BB">
        <w:rPr>
          <w:rFonts w:asciiTheme="minorHAnsi" w:hAnsiTheme="minorHAnsi" w:cstheme="minorHAnsi"/>
          <w:i/>
          <w:iCs/>
          <w:sz w:val="24"/>
          <w:szCs w:val="24"/>
        </w:rPr>
        <w:t>Limitation Act 1985</w:t>
      </w:r>
    </w:p>
    <w:p w14:paraId="441CB292" w14:textId="693CB2BE" w:rsidR="00AA2E09" w:rsidRPr="00F106BB" w:rsidRDefault="00AA2E09" w:rsidP="001A32A5">
      <w:pPr>
        <w:pStyle w:val="ListParagraph"/>
        <w:numPr>
          <w:ilvl w:val="0"/>
          <w:numId w:val="6"/>
        </w:numPr>
        <w:jc w:val="both"/>
        <w:rPr>
          <w:rFonts w:asciiTheme="minorHAnsi" w:hAnsiTheme="minorHAnsi" w:cstheme="minorHAnsi"/>
          <w:i/>
          <w:iCs/>
          <w:sz w:val="24"/>
          <w:szCs w:val="24"/>
        </w:rPr>
      </w:pPr>
      <w:r w:rsidRPr="00F106BB">
        <w:rPr>
          <w:rFonts w:asciiTheme="minorHAnsi" w:hAnsiTheme="minorHAnsi" w:cstheme="minorHAnsi"/>
          <w:i/>
          <w:iCs/>
          <w:sz w:val="24"/>
          <w:szCs w:val="24"/>
        </w:rPr>
        <w:t xml:space="preserve">Residential Tenancies Act 1997 </w:t>
      </w:r>
    </w:p>
    <w:p w14:paraId="58A20B2C" w14:textId="4064A754" w:rsidR="00C80DC1" w:rsidRPr="00F106BB" w:rsidRDefault="00C80DC1" w:rsidP="001A32A5">
      <w:pPr>
        <w:jc w:val="both"/>
        <w:rPr>
          <w:rFonts w:asciiTheme="minorHAnsi" w:hAnsiTheme="minorHAnsi" w:cstheme="minorHAnsi"/>
          <w:i/>
          <w:iCs/>
          <w:sz w:val="24"/>
          <w:szCs w:val="24"/>
        </w:rPr>
      </w:pPr>
    </w:p>
    <w:p w14:paraId="707422D8" w14:textId="691E5DB1" w:rsidR="00C80DC1" w:rsidRPr="00F106BB" w:rsidRDefault="00C80DC1"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 xml:space="preserve">Part 2 </w:t>
      </w: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t xml:space="preserve">Agents Act 2003 </w:t>
      </w:r>
    </w:p>
    <w:p w14:paraId="10EA170F" w14:textId="77777777" w:rsidR="00AA2E09" w:rsidRPr="00F106BB" w:rsidRDefault="00AA2E09" w:rsidP="001A32A5">
      <w:pPr>
        <w:pStyle w:val="Heading3"/>
        <w:jc w:val="both"/>
        <w:rPr>
          <w:rFonts w:asciiTheme="minorHAnsi" w:hAnsiTheme="minorHAnsi" w:cstheme="minorHAnsi"/>
        </w:rPr>
      </w:pPr>
      <w:r w:rsidRPr="00F106BB">
        <w:rPr>
          <w:rFonts w:asciiTheme="minorHAnsi" w:hAnsiTheme="minorHAnsi" w:cstheme="minorHAnsi"/>
        </w:rPr>
        <w:t xml:space="preserve">Clause 4 </w:t>
      </w:r>
      <w:r w:rsidRPr="00F106BB">
        <w:rPr>
          <w:rFonts w:asciiTheme="minorHAnsi" w:hAnsiTheme="minorHAnsi" w:cstheme="minorHAnsi"/>
        </w:rPr>
        <w:tab/>
        <w:t xml:space="preserve">Application of pt 6 </w:t>
      </w:r>
    </w:p>
    <w:p w14:paraId="7C0CDAC8" w14:textId="70CD595C" w:rsidR="00AA2E09" w:rsidRPr="00F106BB" w:rsidRDefault="00AA2E09" w:rsidP="001A32A5">
      <w:pPr>
        <w:pStyle w:val="Heading3"/>
        <w:ind w:left="720" w:firstLine="720"/>
        <w:jc w:val="both"/>
        <w:rPr>
          <w:rFonts w:asciiTheme="minorHAnsi" w:hAnsiTheme="minorHAnsi" w:cstheme="minorHAnsi"/>
        </w:rPr>
      </w:pPr>
      <w:r w:rsidRPr="00F106BB">
        <w:rPr>
          <w:rFonts w:asciiTheme="minorHAnsi" w:hAnsiTheme="minorHAnsi" w:cstheme="minorHAnsi"/>
        </w:rPr>
        <w:t xml:space="preserve">New section 99(c)  </w:t>
      </w:r>
    </w:p>
    <w:p w14:paraId="548344A4" w14:textId="6F2ABE2F" w:rsidR="00AA2E09" w:rsidRPr="00F106BB" w:rsidRDefault="00AA2E09"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inserts a new section </w:t>
      </w:r>
      <w:r w:rsidR="00A22D43" w:rsidRPr="00F106BB">
        <w:rPr>
          <w:rFonts w:asciiTheme="minorHAnsi" w:hAnsiTheme="minorHAnsi" w:cstheme="minorHAnsi"/>
          <w:sz w:val="24"/>
          <w:szCs w:val="24"/>
        </w:rPr>
        <w:t xml:space="preserve">99(c) </w:t>
      </w:r>
      <w:r w:rsidRPr="00F106BB">
        <w:rPr>
          <w:rFonts w:asciiTheme="minorHAnsi" w:hAnsiTheme="minorHAnsi" w:cstheme="minorHAnsi"/>
          <w:sz w:val="24"/>
          <w:szCs w:val="24"/>
        </w:rPr>
        <w:t xml:space="preserve">which </w:t>
      </w:r>
      <w:r w:rsidR="00C80DC1" w:rsidRPr="00F106BB">
        <w:rPr>
          <w:rFonts w:asciiTheme="minorHAnsi" w:hAnsiTheme="minorHAnsi" w:cstheme="minorHAnsi"/>
          <w:sz w:val="24"/>
          <w:szCs w:val="24"/>
        </w:rPr>
        <w:t>inserts ‘</w:t>
      </w:r>
      <w:r w:rsidRPr="00F106BB">
        <w:rPr>
          <w:rFonts w:asciiTheme="minorHAnsi" w:hAnsiTheme="minorHAnsi" w:cstheme="minorHAnsi"/>
          <w:sz w:val="24"/>
          <w:szCs w:val="24"/>
        </w:rPr>
        <w:t>a business or professional practice</w:t>
      </w:r>
      <w:r w:rsidR="00C80DC1" w:rsidRPr="00F106BB">
        <w:rPr>
          <w:rFonts w:asciiTheme="minorHAnsi" w:hAnsiTheme="minorHAnsi" w:cstheme="minorHAnsi"/>
          <w:sz w:val="24"/>
          <w:szCs w:val="24"/>
        </w:rPr>
        <w:t>’</w:t>
      </w:r>
      <w:r w:rsidRPr="00F106BB">
        <w:rPr>
          <w:rFonts w:asciiTheme="minorHAnsi" w:hAnsiTheme="minorHAnsi" w:cstheme="minorHAnsi"/>
          <w:sz w:val="24"/>
          <w:szCs w:val="24"/>
        </w:rPr>
        <w:t xml:space="preserve"> in provisions relating to requirements of agency agreements. </w:t>
      </w:r>
    </w:p>
    <w:p w14:paraId="503742D9" w14:textId="18E88B0F" w:rsidR="003D0C88" w:rsidRPr="00F106BB" w:rsidRDefault="003D0C88" w:rsidP="001A32A5">
      <w:pPr>
        <w:pStyle w:val="Heading3"/>
        <w:jc w:val="both"/>
        <w:rPr>
          <w:rFonts w:asciiTheme="minorHAnsi" w:hAnsiTheme="minorHAnsi" w:cstheme="minorHAnsi"/>
        </w:rPr>
      </w:pPr>
      <w:r w:rsidRPr="00F106BB">
        <w:rPr>
          <w:rFonts w:asciiTheme="minorHAnsi" w:hAnsiTheme="minorHAnsi" w:cstheme="minorHAnsi"/>
        </w:rPr>
        <w:t xml:space="preserve">Part 3 </w:t>
      </w:r>
      <w:r w:rsidRPr="00F106BB">
        <w:rPr>
          <w:rFonts w:asciiTheme="minorHAnsi" w:hAnsiTheme="minorHAnsi" w:cstheme="minorHAnsi"/>
        </w:rPr>
        <w:tab/>
      </w:r>
      <w:r w:rsidRPr="00F106BB">
        <w:rPr>
          <w:rFonts w:asciiTheme="minorHAnsi" w:hAnsiTheme="minorHAnsi" w:cstheme="minorHAnsi"/>
        </w:rPr>
        <w:tab/>
        <w:t xml:space="preserve">Civil Law (Wrongs) Act 2002 </w:t>
      </w:r>
    </w:p>
    <w:p w14:paraId="4BDF1250" w14:textId="323FAF5D" w:rsidR="00AA2E09" w:rsidRPr="00F106BB" w:rsidRDefault="00AA2E09" w:rsidP="001A32A5">
      <w:pPr>
        <w:pStyle w:val="Heading3"/>
        <w:jc w:val="both"/>
        <w:rPr>
          <w:rFonts w:asciiTheme="minorHAnsi" w:hAnsiTheme="minorHAnsi" w:cstheme="minorHAnsi"/>
        </w:rPr>
      </w:pPr>
      <w:r w:rsidRPr="00F106BB">
        <w:rPr>
          <w:rFonts w:asciiTheme="minorHAnsi" w:hAnsiTheme="minorHAnsi" w:cstheme="minorHAnsi"/>
        </w:rPr>
        <w:t xml:space="preserve">Clause 5 </w:t>
      </w:r>
      <w:r w:rsidRPr="00F106BB">
        <w:rPr>
          <w:rFonts w:asciiTheme="minorHAnsi" w:hAnsiTheme="minorHAnsi" w:cstheme="minorHAnsi"/>
        </w:rPr>
        <w:tab/>
        <w:t xml:space="preserve">Notice of claim </w:t>
      </w:r>
    </w:p>
    <w:p w14:paraId="7E20FA38" w14:textId="534B7DF6" w:rsidR="00D7062D" w:rsidRPr="00F106BB" w:rsidRDefault="00AA2E09" w:rsidP="001A32A5">
      <w:pPr>
        <w:pStyle w:val="Heading3"/>
        <w:jc w:val="both"/>
        <w:rPr>
          <w:rFonts w:asciiTheme="minorHAnsi" w:hAnsiTheme="minorHAnsi" w:cstheme="minorHAnsi"/>
        </w:rPr>
      </w:pPr>
      <w:r w:rsidRPr="00F106BB">
        <w:rPr>
          <w:rFonts w:asciiTheme="minorHAnsi" w:hAnsiTheme="minorHAnsi" w:cstheme="minorHAnsi"/>
        </w:rPr>
        <w:tab/>
      </w:r>
      <w:r w:rsidRPr="00F106BB">
        <w:rPr>
          <w:rFonts w:asciiTheme="minorHAnsi" w:hAnsiTheme="minorHAnsi" w:cstheme="minorHAnsi"/>
        </w:rPr>
        <w:tab/>
        <w:t xml:space="preserve">Section 51 (11)  </w:t>
      </w:r>
    </w:p>
    <w:p w14:paraId="7F67358C" w14:textId="4682178A" w:rsidR="00A22D43" w:rsidRPr="00F106BB" w:rsidRDefault="00A22D43"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omits section 51(11) which defines ‘child abuse claim’, ‘sexual abuse’ and ‘subjected’. These terms are re-defined in other parts of the Bill to give effect to the amendments relating to setting aside unjust institutional child abuse settlements. </w:t>
      </w:r>
    </w:p>
    <w:p w14:paraId="47DF661D" w14:textId="07CDEAEB" w:rsidR="00DF6D2E" w:rsidRPr="00F106BB" w:rsidRDefault="00DF6D2E" w:rsidP="001A32A5">
      <w:pPr>
        <w:jc w:val="both"/>
        <w:rPr>
          <w:rFonts w:asciiTheme="minorHAnsi" w:eastAsiaTheme="majorEastAsia" w:hAnsiTheme="minorHAnsi" w:cstheme="minorHAnsi"/>
          <w:b/>
          <w:sz w:val="24"/>
          <w:szCs w:val="24"/>
        </w:rPr>
      </w:pPr>
      <w:r w:rsidRPr="00F106BB">
        <w:rPr>
          <w:rFonts w:asciiTheme="minorHAnsi" w:eastAsiaTheme="majorEastAsia" w:hAnsiTheme="minorHAnsi" w:cstheme="minorHAnsi"/>
          <w:b/>
          <w:sz w:val="24"/>
          <w:szCs w:val="24"/>
        </w:rPr>
        <w:t xml:space="preserve">Clause 6 </w:t>
      </w:r>
      <w:r w:rsidRPr="00F106BB">
        <w:rPr>
          <w:rFonts w:asciiTheme="minorHAnsi" w:eastAsiaTheme="majorEastAsia" w:hAnsiTheme="minorHAnsi" w:cstheme="minorHAnsi"/>
          <w:b/>
          <w:sz w:val="24"/>
          <w:szCs w:val="24"/>
        </w:rPr>
        <w:tab/>
      </w:r>
      <w:r w:rsidR="0083614B" w:rsidRPr="00F106BB">
        <w:rPr>
          <w:rFonts w:asciiTheme="minorHAnsi" w:eastAsiaTheme="majorEastAsia" w:hAnsiTheme="minorHAnsi" w:cstheme="minorHAnsi"/>
          <w:b/>
          <w:sz w:val="24"/>
          <w:szCs w:val="24"/>
        </w:rPr>
        <w:t xml:space="preserve">Section 114A </w:t>
      </w:r>
    </w:p>
    <w:p w14:paraId="7F84DE60" w14:textId="4D49D076" w:rsidR="00DF6D2E" w:rsidRPr="00CE617E" w:rsidRDefault="00DF6D2E" w:rsidP="001A32A5">
      <w:pPr>
        <w:jc w:val="both"/>
        <w:rPr>
          <w:rFonts w:asciiTheme="minorHAnsi" w:hAnsiTheme="minorHAnsi" w:cstheme="minorHAnsi"/>
          <w:sz w:val="24"/>
          <w:szCs w:val="24"/>
        </w:rPr>
      </w:pPr>
      <w:r w:rsidRPr="00F106BB">
        <w:rPr>
          <w:rFonts w:asciiTheme="minorHAnsi" w:hAnsiTheme="minorHAnsi" w:cstheme="minorHAnsi"/>
          <w:sz w:val="24"/>
          <w:szCs w:val="24"/>
        </w:rPr>
        <w:lastRenderedPageBreak/>
        <w:t xml:space="preserve">This clause inserts part 8A.1 and heading reflecting the definition and application of </w:t>
      </w:r>
      <w:r w:rsidR="00C80DC1" w:rsidRPr="00F106BB">
        <w:rPr>
          <w:rFonts w:asciiTheme="minorHAnsi" w:hAnsiTheme="minorHAnsi" w:cstheme="minorHAnsi"/>
          <w:sz w:val="24"/>
          <w:szCs w:val="24"/>
        </w:rPr>
        <w:t xml:space="preserve">chapter 8A. </w:t>
      </w:r>
      <w:r w:rsidRPr="00F106BB">
        <w:rPr>
          <w:rFonts w:asciiTheme="minorHAnsi" w:hAnsiTheme="minorHAnsi" w:cstheme="minorHAnsi"/>
          <w:sz w:val="24"/>
          <w:szCs w:val="24"/>
        </w:rPr>
        <w:t xml:space="preserve"> </w:t>
      </w:r>
    </w:p>
    <w:p w14:paraId="4E2528E9" w14:textId="7CC5332E" w:rsidR="00DF6D2E" w:rsidRPr="00F106BB" w:rsidRDefault="00DF6D2E"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substitutes new sections 114A and 114AA. </w:t>
      </w:r>
    </w:p>
    <w:p w14:paraId="343AF185" w14:textId="78A67AD3" w:rsidR="00A22D43" w:rsidRPr="00F106BB" w:rsidRDefault="00A22D43"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Section 114A defines ‘child abuse claim’ for the purposes of the entire </w:t>
      </w:r>
      <w:r w:rsidRPr="00F106BB">
        <w:rPr>
          <w:rFonts w:asciiTheme="minorHAnsi" w:hAnsiTheme="minorHAnsi" w:cstheme="minorHAnsi"/>
          <w:i/>
          <w:iCs/>
          <w:sz w:val="24"/>
          <w:szCs w:val="24"/>
        </w:rPr>
        <w:t>Civil Law (Wrongs) Act</w:t>
      </w:r>
      <w:r w:rsidRPr="00F106BB">
        <w:rPr>
          <w:rFonts w:asciiTheme="minorHAnsi" w:hAnsiTheme="minorHAnsi" w:cstheme="minorHAnsi"/>
          <w:sz w:val="24"/>
          <w:szCs w:val="24"/>
        </w:rPr>
        <w:t xml:space="preserve">. ‘Child abuse claim’ is defined as a claim by or on behalf of a person, means a claim in relation to a personal injury that arises from child abuse to which the person was subjected when the person was a child. </w:t>
      </w:r>
    </w:p>
    <w:p w14:paraId="37A7CBA6" w14:textId="34D6299A" w:rsidR="00A22D43" w:rsidRPr="00F106BB" w:rsidRDefault="00A22D43"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Section 114AA defines ‘child abuse’ for the purposes of chapter 8A of the </w:t>
      </w:r>
      <w:r w:rsidRPr="00F106BB">
        <w:rPr>
          <w:rFonts w:asciiTheme="minorHAnsi" w:hAnsiTheme="minorHAnsi" w:cstheme="minorHAnsi"/>
          <w:i/>
          <w:iCs/>
          <w:sz w:val="24"/>
          <w:szCs w:val="24"/>
        </w:rPr>
        <w:t>Civil Law (Wrongs) Act</w:t>
      </w:r>
      <w:r w:rsidRPr="00F106BB">
        <w:rPr>
          <w:rFonts w:asciiTheme="minorHAnsi" w:hAnsiTheme="minorHAnsi" w:cstheme="minorHAnsi"/>
          <w:sz w:val="24"/>
          <w:szCs w:val="24"/>
        </w:rPr>
        <w:t xml:space="preserve">. ‘Child abuse’ is defined as physical abuse or sexual abuse of a child. The provision provides a caveat that physical abuse does not include conduct that is justified or excused under a law applying in the Territory. The provision defines ‘sexual abuse’ of a child as including an offence or misconduct of a sexual nature involving the child. </w:t>
      </w:r>
    </w:p>
    <w:p w14:paraId="79167715" w14:textId="43BE0F5E" w:rsidR="00246DCA" w:rsidRPr="00F106BB" w:rsidRDefault="00246DCA" w:rsidP="001A32A5">
      <w:pPr>
        <w:jc w:val="both"/>
        <w:rPr>
          <w:rFonts w:asciiTheme="minorHAnsi" w:eastAsiaTheme="majorEastAsia" w:hAnsiTheme="minorHAnsi" w:cstheme="minorHAnsi"/>
          <w:b/>
          <w:sz w:val="24"/>
          <w:szCs w:val="24"/>
        </w:rPr>
      </w:pPr>
      <w:r w:rsidRPr="00F106BB">
        <w:rPr>
          <w:rFonts w:asciiTheme="minorHAnsi" w:eastAsiaTheme="majorEastAsia" w:hAnsiTheme="minorHAnsi" w:cstheme="minorHAnsi"/>
          <w:b/>
          <w:sz w:val="24"/>
          <w:szCs w:val="24"/>
        </w:rPr>
        <w:t xml:space="preserve">Clause </w:t>
      </w:r>
      <w:r w:rsidR="0083614B">
        <w:rPr>
          <w:rFonts w:asciiTheme="minorHAnsi" w:eastAsiaTheme="majorEastAsia" w:hAnsiTheme="minorHAnsi" w:cstheme="minorHAnsi"/>
          <w:b/>
          <w:sz w:val="24"/>
          <w:szCs w:val="24"/>
        </w:rPr>
        <w:t>7</w:t>
      </w:r>
      <w:r w:rsidRPr="00F106BB">
        <w:rPr>
          <w:rFonts w:asciiTheme="minorHAnsi" w:eastAsiaTheme="majorEastAsia" w:hAnsiTheme="minorHAnsi" w:cstheme="minorHAnsi"/>
          <w:b/>
          <w:sz w:val="24"/>
          <w:szCs w:val="24"/>
        </w:rPr>
        <w:t xml:space="preserve"> </w:t>
      </w:r>
      <w:r w:rsidRPr="00F106BB">
        <w:rPr>
          <w:rFonts w:asciiTheme="minorHAnsi" w:eastAsiaTheme="majorEastAsia" w:hAnsiTheme="minorHAnsi" w:cstheme="minorHAnsi"/>
          <w:b/>
          <w:sz w:val="24"/>
          <w:szCs w:val="24"/>
        </w:rPr>
        <w:tab/>
        <w:t xml:space="preserve">New section 114BA </w:t>
      </w:r>
      <w:r w:rsidR="0083614B">
        <w:rPr>
          <w:rFonts w:asciiTheme="minorHAnsi" w:eastAsiaTheme="majorEastAsia" w:hAnsiTheme="minorHAnsi" w:cstheme="minorHAnsi"/>
          <w:b/>
          <w:sz w:val="24"/>
          <w:szCs w:val="24"/>
        </w:rPr>
        <w:t>and part 8A.2 heading</w:t>
      </w:r>
    </w:p>
    <w:p w14:paraId="2E9B59BE" w14:textId="77777777" w:rsidR="00A22D43" w:rsidRPr="00F106BB" w:rsidRDefault="00A22D43"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inserts a new section 114BA – Time when child abuse etc happens. The clause inserts a new Part 8A.2 following new section 114BA.  </w:t>
      </w:r>
    </w:p>
    <w:p w14:paraId="7EAEA5EF" w14:textId="344598E2" w:rsidR="00192176" w:rsidRPr="00F106BB" w:rsidRDefault="00192176" w:rsidP="001A32A5">
      <w:pPr>
        <w:jc w:val="both"/>
        <w:rPr>
          <w:rFonts w:asciiTheme="minorHAnsi" w:hAnsiTheme="minorHAnsi" w:cstheme="minorHAnsi"/>
          <w:sz w:val="24"/>
          <w:szCs w:val="24"/>
        </w:rPr>
      </w:pPr>
      <w:r w:rsidRPr="00F106BB">
        <w:rPr>
          <w:rFonts w:asciiTheme="minorHAnsi" w:hAnsiTheme="minorHAnsi" w:cstheme="minorHAnsi"/>
          <w:sz w:val="24"/>
          <w:szCs w:val="24"/>
        </w:rPr>
        <w:t>Section 114BA applies</w:t>
      </w:r>
      <w:r w:rsidR="00630615" w:rsidRPr="00F106BB">
        <w:rPr>
          <w:rFonts w:asciiTheme="minorHAnsi" w:hAnsiTheme="minorHAnsi" w:cstheme="minorHAnsi"/>
          <w:sz w:val="24"/>
          <w:szCs w:val="24"/>
        </w:rPr>
        <w:t xml:space="preserve"> Chapter 8A</w:t>
      </w:r>
      <w:r w:rsidRPr="00F106BB">
        <w:rPr>
          <w:rFonts w:asciiTheme="minorHAnsi" w:hAnsiTheme="minorHAnsi" w:cstheme="minorHAnsi"/>
          <w:sz w:val="24"/>
          <w:szCs w:val="24"/>
        </w:rPr>
        <w:t xml:space="preserve"> in relation to child abuse or alleged children abuse of a person who is subject of a child abuse claim, regardless of when the abuse or alleged abuse happened. </w:t>
      </w:r>
    </w:p>
    <w:p w14:paraId="0984E7E7" w14:textId="05D131BD" w:rsidR="00192176" w:rsidRPr="00F106BB" w:rsidRDefault="00BB6959" w:rsidP="001A32A5">
      <w:pPr>
        <w:jc w:val="both"/>
        <w:rPr>
          <w:rFonts w:asciiTheme="minorHAnsi" w:hAnsiTheme="minorHAnsi" w:cstheme="minorHAnsi"/>
          <w:sz w:val="24"/>
          <w:szCs w:val="24"/>
        </w:rPr>
      </w:pPr>
      <w:r w:rsidRPr="00F106BB">
        <w:rPr>
          <w:rFonts w:asciiTheme="minorHAnsi" w:hAnsiTheme="minorHAnsi" w:cstheme="minorHAnsi"/>
          <w:sz w:val="24"/>
          <w:szCs w:val="24"/>
        </w:rPr>
        <w:t>Following section 114BA, a new</w:t>
      </w:r>
      <w:r w:rsidR="00192176" w:rsidRPr="00F106BB">
        <w:rPr>
          <w:rFonts w:asciiTheme="minorHAnsi" w:hAnsiTheme="minorHAnsi" w:cstheme="minorHAnsi"/>
          <w:sz w:val="24"/>
          <w:szCs w:val="24"/>
        </w:rPr>
        <w:t xml:space="preserve"> Part 8A.2 </w:t>
      </w:r>
      <w:r w:rsidRPr="00F106BB">
        <w:rPr>
          <w:rFonts w:asciiTheme="minorHAnsi" w:hAnsiTheme="minorHAnsi" w:cstheme="minorHAnsi"/>
          <w:sz w:val="24"/>
          <w:szCs w:val="24"/>
        </w:rPr>
        <w:t xml:space="preserve">is inserted with the heading </w:t>
      </w:r>
      <w:r w:rsidR="00192176" w:rsidRPr="00F106BB">
        <w:rPr>
          <w:rFonts w:asciiTheme="minorHAnsi" w:hAnsiTheme="minorHAnsi" w:cstheme="minorHAnsi"/>
          <w:sz w:val="24"/>
          <w:szCs w:val="24"/>
        </w:rPr>
        <w:t xml:space="preserve">Institutional child abuse – proceedings against unincorporated bodies. </w:t>
      </w:r>
    </w:p>
    <w:p w14:paraId="456DD0E3" w14:textId="6D606AED" w:rsidR="005806FF" w:rsidRPr="00F106BB" w:rsidRDefault="005806FF" w:rsidP="001A32A5">
      <w:pPr>
        <w:jc w:val="both"/>
        <w:rPr>
          <w:rFonts w:asciiTheme="minorHAnsi" w:eastAsiaTheme="majorEastAsia" w:hAnsiTheme="minorHAnsi" w:cstheme="minorHAnsi"/>
          <w:b/>
          <w:sz w:val="24"/>
          <w:szCs w:val="24"/>
        </w:rPr>
      </w:pPr>
      <w:r w:rsidRPr="00F106BB">
        <w:rPr>
          <w:rFonts w:asciiTheme="minorHAnsi" w:eastAsiaTheme="majorEastAsia" w:hAnsiTheme="minorHAnsi" w:cstheme="minorHAnsi"/>
          <w:b/>
          <w:sz w:val="24"/>
          <w:szCs w:val="24"/>
        </w:rPr>
        <w:t xml:space="preserve">Clause </w:t>
      </w:r>
      <w:r w:rsidR="0083614B">
        <w:rPr>
          <w:rFonts w:asciiTheme="minorHAnsi" w:eastAsiaTheme="majorEastAsia" w:hAnsiTheme="minorHAnsi" w:cstheme="minorHAnsi"/>
          <w:b/>
          <w:sz w:val="24"/>
          <w:szCs w:val="24"/>
        </w:rPr>
        <w:t>8</w:t>
      </w:r>
      <w:r w:rsidRPr="00F106BB">
        <w:rPr>
          <w:rFonts w:asciiTheme="minorHAnsi" w:eastAsiaTheme="majorEastAsia" w:hAnsiTheme="minorHAnsi" w:cstheme="minorHAnsi"/>
          <w:b/>
          <w:sz w:val="24"/>
          <w:szCs w:val="24"/>
        </w:rPr>
        <w:t xml:space="preserve"> </w:t>
      </w:r>
      <w:r w:rsidRPr="00F106BB">
        <w:rPr>
          <w:rFonts w:asciiTheme="minorHAnsi" w:eastAsiaTheme="majorEastAsia" w:hAnsiTheme="minorHAnsi" w:cstheme="minorHAnsi"/>
          <w:b/>
          <w:sz w:val="24"/>
          <w:szCs w:val="24"/>
        </w:rPr>
        <w:tab/>
        <w:t xml:space="preserve">Sections 114C and 114G </w:t>
      </w:r>
    </w:p>
    <w:p w14:paraId="692149EC" w14:textId="26AC55C2" w:rsidR="005806FF" w:rsidRPr="00F106BB" w:rsidRDefault="005806FF" w:rsidP="001A32A5">
      <w:pPr>
        <w:jc w:val="both"/>
        <w:rPr>
          <w:rFonts w:asciiTheme="minorHAnsi" w:hAnsiTheme="minorHAnsi" w:cstheme="minorHAnsi"/>
          <w:sz w:val="24"/>
          <w:szCs w:val="24"/>
        </w:rPr>
      </w:pPr>
      <w:r w:rsidRPr="00F106BB">
        <w:rPr>
          <w:rFonts w:asciiTheme="minorHAnsi" w:hAnsiTheme="minorHAnsi" w:cstheme="minorHAnsi"/>
          <w:sz w:val="24"/>
          <w:szCs w:val="24"/>
        </w:rPr>
        <w:t>This clause omits ‘chapter’ and replaces with ‘part’ in sections 114C and 114G</w:t>
      </w:r>
      <w:r w:rsidR="00CE617E">
        <w:rPr>
          <w:rFonts w:asciiTheme="minorHAnsi" w:hAnsiTheme="minorHAnsi" w:cstheme="minorHAnsi"/>
          <w:sz w:val="24"/>
          <w:szCs w:val="24"/>
        </w:rPr>
        <w:t xml:space="preserve">. </w:t>
      </w:r>
      <w:r w:rsidRPr="00F106BB">
        <w:rPr>
          <w:rFonts w:asciiTheme="minorHAnsi" w:hAnsiTheme="minorHAnsi" w:cstheme="minorHAnsi"/>
          <w:sz w:val="24"/>
          <w:szCs w:val="24"/>
        </w:rPr>
        <w:t xml:space="preserve"> </w:t>
      </w:r>
    </w:p>
    <w:p w14:paraId="3449670B" w14:textId="26F307E0" w:rsidR="00DF6D2E" w:rsidRPr="00F106BB" w:rsidRDefault="00DF6D2E"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 </w:t>
      </w:r>
      <w:r w:rsidR="006A3D31" w:rsidRPr="00F106BB">
        <w:rPr>
          <w:rFonts w:asciiTheme="minorHAnsi" w:eastAsiaTheme="majorEastAsia" w:hAnsiTheme="minorHAnsi" w:cstheme="minorHAnsi"/>
          <w:b/>
          <w:sz w:val="24"/>
          <w:szCs w:val="24"/>
        </w:rPr>
        <w:t xml:space="preserve">Clause </w:t>
      </w:r>
      <w:r w:rsidR="0083614B">
        <w:rPr>
          <w:rFonts w:asciiTheme="minorHAnsi" w:eastAsiaTheme="majorEastAsia" w:hAnsiTheme="minorHAnsi" w:cstheme="minorHAnsi"/>
          <w:b/>
          <w:sz w:val="24"/>
          <w:szCs w:val="24"/>
        </w:rPr>
        <w:t>9</w:t>
      </w:r>
      <w:r w:rsidR="006A3D31" w:rsidRPr="00F106BB">
        <w:rPr>
          <w:rFonts w:asciiTheme="minorHAnsi" w:eastAsiaTheme="majorEastAsia" w:hAnsiTheme="minorHAnsi" w:cstheme="minorHAnsi"/>
          <w:b/>
          <w:sz w:val="24"/>
          <w:szCs w:val="24"/>
        </w:rPr>
        <w:t xml:space="preserve"> </w:t>
      </w:r>
      <w:r w:rsidR="006A3D31" w:rsidRPr="00F106BB">
        <w:rPr>
          <w:rFonts w:asciiTheme="minorHAnsi" w:eastAsiaTheme="majorEastAsia" w:hAnsiTheme="minorHAnsi" w:cstheme="minorHAnsi"/>
          <w:b/>
          <w:sz w:val="24"/>
          <w:szCs w:val="24"/>
        </w:rPr>
        <w:tab/>
        <w:t>New part 8A.3</w:t>
      </w:r>
      <w:r w:rsidR="006A3D31" w:rsidRPr="00F106BB">
        <w:rPr>
          <w:rFonts w:asciiTheme="minorHAnsi" w:hAnsiTheme="minorHAnsi" w:cstheme="minorHAnsi"/>
          <w:sz w:val="24"/>
          <w:szCs w:val="24"/>
        </w:rPr>
        <w:t xml:space="preserve"> </w:t>
      </w:r>
    </w:p>
    <w:p w14:paraId="641AF0D0" w14:textId="5B6DBDA2" w:rsidR="006A3D31" w:rsidRPr="00F106BB" w:rsidRDefault="006A3D31"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inserts a new Part 8A.3 – Institutional child abuse – setting aside abuse settlement agreements. </w:t>
      </w:r>
    </w:p>
    <w:p w14:paraId="661EF89F" w14:textId="29A9BCA1" w:rsidR="0050523C" w:rsidRPr="00F106BB" w:rsidRDefault="00FF0BB6" w:rsidP="001A32A5">
      <w:pPr>
        <w:jc w:val="both"/>
        <w:rPr>
          <w:rFonts w:asciiTheme="minorHAnsi" w:hAnsiTheme="minorHAnsi" w:cstheme="minorHAnsi"/>
          <w:sz w:val="24"/>
          <w:szCs w:val="24"/>
        </w:rPr>
      </w:pPr>
      <w:r w:rsidRPr="00F106BB">
        <w:rPr>
          <w:rFonts w:asciiTheme="minorHAnsi" w:hAnsiTheme="minorHAnsi" w:cstheme="minorHAnsi"/>
          <w:sz w:val="24"/>
          <w:szCs w:val="24"/>
        </w:rPr>
        <w:t>This clause inserts n</w:t>
      </w:r>
      <w:r w:rsidR="00C80DC1" w:rsidRPr="00F106BB">
        <w:rPr>
          <w:rFonts w:asciiTheme="minorHAnsi" w:hAnsiTheme="minorHAnsi" w:cstheme="minorHAnsi"/>
          <w:sz w:val="24"/>
          <w:szCs w:val="24"/>
        </w:rPr>
        <w:t xml:space="preserve">ew section 114I </w:t>
      </w:r>
      <w:r w:rsidR="0050523C" w:rsidRPr="00F106BB">
        <w:rPr>
          <w:rFonts w:asciiTheme="minorHAnsi" w:hAnsiTheme="minorHAnsi" w:cstheme="minorHAnsi"/>
          <w:sz w:val="24"/>
          <w:szCs w:val="24"/>
        </w:rPr>
        <w:t xml:space="preserve">which </w:t>
      </w:r>
      <w:r w:rsidR="00C80DC1" w:rsidRPr="00F106BB">
        <w:rPr>
          <w:rFonts w:asciiTheme="minorHAnsi" w:hAnsiTheme="minorHAnsi" w:cstheme="minorHAnsi"/>
          <w:sz w:val="24"/>
          <w:szCs w:val="24"/>
        </w:rPr>
        <w:t>defines the objects of part 8A.3 as providing a way, for a person who is the subject of a child abuse claim because the person suffered child abuse, to seek to have an abuse</w:t>
      </w:r>
      <w:r w:rsidR="004975BB">
        <w:rPr>
          <w:rFonts w:asciiTheme="minorHAnsi" w:hAnsiTheme="minorHAnsi" w:cstheme="minorHAnsi"/>
          <w:sz w:val="24"/>
          <w:szCs w:val="24"/>
        </w:rPr>
        <w:t xml:space="preserve"> settlement</w:t>
      </w:r>
      <w:r w:rsidR="00C80DC1" w:rsidRPr="00F106BB">
        <w:rPr>
          <w:rFonts w:asciiTheme="minorHAnsi" w:hAnsiTheme="minorHAnsi" w:cstheme="minorHAnsi"/>
          <w:sz w:val="24"/>
          <w:szCs w:val="24"/>
        </w:rPr>
        <w:t xml:space="preserve"> agreement set aside</w:t>
      </w:r>
      <w:r w:rsidR="0050523C" w:rsidRPr="00F106BB">
        <w:rPr>
          <w:rFonts w:asciiTheme="minorHAnsi" w:hAnsiTheme="minorHAnsi" w:cstheme="minorHAnsi"/>
          <w:sz w:val="24"/>
          <w:szCs w:val="24"/>
        </w:rPr>
        <w:t xml:space="preserve"> if:</w:t>
      </w:r>
    </w:p>
    <w:p w14:paraId="530AC047" w14:textId="77777777" w:rsidR="0050523C" w:rsidRPr="00F106BB" w:rsidRDefault="0050523C" w:rsidP="001A32A5">
      <w:pPr>
        <w:pStyle w:val="ListParagraph"/>
        <w:numPr>
          <w:ilvl w:val="0"/>
          <w:numId w:val="15"/>
        </w:numPr>
        <w:jc w:val="both"/>
        <w:rPr>
          <w:rFonts w:asciiTheme="minorHAnsi" w:hAnsiTheme="minorHAnsi" w:cstheme="minorHAnsi"/>
          <w:sz w:val="24"/>
          <w:szCs w:val="24"/>
        </w:rPr>
      </w:pPr>
      <w:r w:rsidRPr="00F106BB">
        <w:rPr>
          <w:rFonts w:asciiTheme="minorHAnsi" w:hAnsiTheme="minorHAnsi" w:cstheme="minorHAnsi"/>
          <w:sz w:val="24"/>
          <w:szCs w:val="24"/>
        </w:rPr>
        <w:t>When the agreement was made there were legal barriers to the person being fully compensated through a legal cause of action; or</w:t>
      </w:r>
    </w:p>
    <w:p w14:paraId="36020F58" w14:textId="7FE670FD" w:rsidR="00C80DC1" w:rsidRPr="00F106BB" w:rsidRDefault="0050523C" w:rsidP="001A32A5">
      <w:pPr>
        <w:pStyle w:val="ListParagraph"/>
        <w:numPr>
          <w:ilvl w:val="0"/>
          <w:numId w:val="15"/>
        </w:numPr>
        <w:jc w:val="both"/>
        <w:rPr>
          <w:rFonts w:asciiTheme="minorHAnsi" w:hAnsiTheme="minorHAnsi" w:cstheme="minorHAnsi"/>
          <w:sz w:val="24"/>
          <w:szCs w:val="24"/>
        </w:rPr>
      </w:pPr>
      <w:r w:rsidRPr="00F106BB">
        <w:rPr>
          <w:rFonts w:asciiTheme="minorHAnsi" w:hAnsiTheme="minorHAnsi" w:cstheme="minorHAnsi"/>
          <w:sz w:val="24"/>
          <w:szCs w:val="24"/>
        </w:rPr>
        <w:t>When the agreement is sought to be set aside the agreement is, in all the circumstances, not a just and reasonable agreement.</w:t>
      </w:r>
      <w:r w:rsidR="00C80DC1" w:rsidRPr="00F106BB">
        <w:rPr>
          <w:rFonts w:asciiTheme="minorHAnsi" w:hAnsiTheme="minorHAnsi" w:cstheme="minorHAnsi"/>
          <w:sz w:val="24"/>
          <w:szCs w:val="24"/>
        </w:rPr>
        <w:t xml:space="preserve"> </w:t>
      </w:r>
    </w:p>
    <w:p w14:paraId="41EFC90D" w14:textId="46898FFF" w:rsidR="00C80DC1" w:rsidRPr="00F106BB" w:rsidRDefault="00C80DC1" w:rsidP="001A32A5">
      <w:pPr>
        <w:jc w:val="both"/>
        <w:rPr>
          <w:rFonts w:asciiTheme="minorHAnsi" w:hAnsiTheme="minorHAnsi" w:cstheme="minorHAnsi"/>
          <w:sz w:val="24"/>
          <w:szCs w:val="24"/>
        </w:rPr>
      </w:pPr>
    </w:p>
    <w:p w14:paraId="7A077AC3" w14:textId="6B59D58C" w:rsidR="00FF0BB6" w:rsidRPr="00F106BB" w:rsidRDefault="00C80DC1" w:rsidP="001A32A5">
      <w:pPr>
        <w:jc w:val="both"/>
        <w:rPr>
          <w:rFonts w:asciiTheme="minorHAnsi" w:hAnsiTheme="minorHAnsi" w:cstheme="minorHAnsi"/>
          <w:sz w:val="24"/>
          <w:szCs w:val="24"/>
        </w:rPr>
      </w:pPr>
      <w:r w:rsidRPr="00F106BB">
        <w:rPr>
          <w:rFonts w:asciiTheme="minorHAnsi" w:hAnsiTheme="minorHAnsi" w:cstheme="minorHAnsi"/>
          <w:sz w:val="24"/>
          <w:szCs w:val="24"/>
        </w:rPr>
        <w:lastRenderedPageBreak/>
        <w:t>New section 114J provides defin</w:t>
      </w:r>
      <w:r w:rsidR="00CF429D" w:rsidRPr="00F106BB">
        <w:rPr>
          <w:rFonts w:asciiTheme="minorHAnsi" w:hAnsiTheme="minorHAnsi" w:cstheme="minorHAnsi"/>
          <w:sz w:val="24"/>
          <w:szCs w:val="24"/>
        </w:rPr>
        <w:t>itions</w:t>
      </w:r>
      <w:r w:rsidRPr="00F106BB">
        <w:rPr>
          <w:rFonts w:asciiTheme="minorHAnsi" w:hAnsiTheme="minorHAnsi" w:cstheme="minorHAnsi"/>
          <w:sz w:val="24"/>
          <w:szCs w:val="24"/>
        </w:rPr>
        <w:t xml:space="preserve"> for the purposes of new part 8A.3. This section defines abuse settlement agreement</w:t>
      </w:r>
      <w:r w:rsidR="00FF0BB6" w:rsidRPr="00F106BB">
        <w:rPr>
          <w:rFonts w:asciiTheme="minorHAnsi" w:hAnsiTheme="minorHAnsi" w:cstheme="minorHAnsi"/>
          <w:sz w:val="24"/>
          <w:szCs w:val="24"/>
        </w:rPr>
        <w:t xml:space="preserve"> as an agreement that settle</w:t>
      </w:r>
      <w:r w:rsidR="00CF429D" w:rsidRPr="00F106BB">
        <w:rPr>
          <w:rFonts w:asciiTheme="minorHAnsi" w:hAnsiTheme="minorHAnsi" w:cstheme="minorHAnsi"/>
          <w:sz w:val="24"/>
          <w:szCs w:val="24"/>
        </w:rPr>
        <w:t>s</w:t>
      </w:r>
      <w:r w:rsidR="00FF0BB6" w:rsidRPr="00F106BB">
        <w:rPr>
          <w:rFonts w:asciiTheme="minorHAnsi" w:hAnsiTheme="minorHAnsi" w:cstheme="minorHAnsi"/>
          <w:sz w:val="24"/>
          <w:szCs w:val="24"/>
        </w:rPr>
        <w:t xml:space="preserve"> a child abuse claim and prevents the exercise of an action on a cause of action to which the Limitation Act, section 21C (Personal injury resulting from child abuse) applies and that happened before the commencement of the Limitation Act, section 21C, and at a time when a limitation period applying to the cause of action had ended, or happened before the commencement of this part, and the agreement is not just and reasonable in the circumstances. This section defines applicant as per section 114K(1)</w:t>
      </w:r>
      <w:r w:rsidR="00B60BEA" w:rsidRPr="00F106BB">
        <w:rPr>
          <w:rFonts w:asciiTheme="minorHAnsi" w:hAnsiTheme="minorHAnsi" w:cstheme="minorHAnsi"/>
          <w:sz w:val="24"/>
          <w:szCs w:val="24"/>
        </w:rPr>
        <w:t xml:space="preserve">, which defines a person as an applicant if a person is prevented from exercising an action on a cause of action because of an abuse settlement agreement. </w:t>
      </w:r>
    </w:p>
    <w:p w14:paraId="1A50055D" w14:textId="1EFB3890" w:rsidR="00FF0BB6" w:rsidRPr="00F106BB" w:rsidRDefault="00FF0BB6"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inserts new section 114K. This section gives the power to a court with jurisdiction to hear the proceeding the power to set aside abuse settlement agreements. </w:t>
      </w:r>
    </w:p>
    <w:p w14:paraId="3D475B73" w14:textId="5E760582" w:rsidR="00FF0BB6" w:rsidRPr="00F106BB" w:rsidRDefault="00F84CBA" w:rsidP="001A32A5">
      <w:pPr>
        <w:jc w:val="both"/>
        <w:rPr>
          <w:rFonts w:asciiTheme="minorHAnsi" w:hAnsiTheme="minorHAnsi" w:cstheme="minorHAnsi"/>
          <w:sz w:val="24"/>
          <w:szCs w:val="24"/>
        </w:rPr>
      </w:pPr>
      <w:r w:rsidRPr="00F106BB">
        <w:rPr>
          <w:rFonts w:asciiTheme="minorHAnsi" w:hAnsiTheme="minorHAnsi" w:cstheme="minorHAnsi"/>
          <w:sz w:val="24"/>
          <w:szCs w:val="24"/>
        </w:rPr>
        <w:t>This clause inserts new s</w:t>
      </w:r>
      <w:r w:rsidR="00FF0BB6" w:rsidRPr="00F106BB">
        <w:rPr>
          <w:rFonts w:asciiTheme="minorHAnsi" w:hAnsiTheme="minorHAnsi" w:cstheme="minorHAnsi"/>
          <w:sz w:val="24"/>
          <w:szCs w:val="24"/>
        </w:rPr>
        <w:t>ection 114K(1)</w:t>
      </w:r>
      <w:r w:rsidRPr="00F106BB">
        <w:rPr>
          <w:rFonts w:asciiTheme="minorHAnsi" w:hAnsiTheme="minorHAnsi" w:cstheme="minorHAnsi"/>
          <w:sz w:val="24"/>
          <w:szCs w:val="24"/>
        </w:rPr>
        <w:t xml:space="preserve"> which</w:t>
      </w:r>
      <w:r w:rsidR="00FF0BB6" w:rsidRPr="00F106BB">
        <w:rPr>
          <w:rFonts w:asciiTheme="minorHAnsi" w:hAnsiTheme="minorHAnsi" w:cstheme="minorHAnsi"/>
          <w:sz w:val="24"/>
          <w:szCs w:val="24"/>
        </w:rPr>
        <w:t xml:space="preserve"> </w:t>
      </w:r>
      <w:r w:rsidRPr="00F106BB">
        <w:rPr>
          <w:rFonts w:asciiTheme="minorHAnsi" w:hAnsiTheme="minorHAnsi" w:cstheme="minorHAnsi"/>
          <w:sz w:val="24"/>
          <w:szCs w:val="24"/>
        </w:rPr>
        <w:t>outlines persons section 114K(1) applies to. Section 114K(1) applies</w:t>
      </w:r>
      <w:r w:rsidR="00FF0BB6" w:rsidRPr="00F106BB">
        <w:rPr>
          <w:rFonts w:asciiTheme="minorHAnsi" w:hAnsiTheme="minorHAnsi" w:cstheme="minorHAnsi"/>
          <w:sz w:val="24"/>
          <w:szCs w:val="24"/>
        </w:rPr>
        <w:t xml:space="preserve"> if a person (the applicant) is prevented from exercising an action on a cause of action because of an abuse settlement agreement. </w:t>
      </w:r>
    </w:p>
    <w:p w14:paraId="065A1ADA" w14:textId="6339318C" w:rsidR="00FF0BB6" w:rsidRPr="00F106BB" w:rsidRDefault="00F84CBA"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inserts new section </w:t>
      </w:r>
      <w:r w:rsidR="00FF0BB6" w:rsidRPr="00F106BB">
        <w:rPr>
          <w:rFonts w:asciiTheme="minorHAnsi" w:hAnsiTheme="minorHAnsi" w:cstheme="minorHAnsi"/>
          <w:sz w:val="24"/>
          <w:szCs w:val="24"/>
        </w:rPr>
        <w:t>114</w:t>
      </w:r>
      <w:r w:rsidRPr="00F106BB">
        <w:rPr>
          <w:rFonts w:asciiTheme="minorHAnsi" w:hAnsiTheme="minorHAnsi" w:cstheme="minorHAnsi"/>
          <w:sz w:val="24"/>
          <w:szCs w:val="24"/>
        </w:rPr>
        <w:t>K</w:t>
      </w:r>
      <w:r w:rsidR="00FF0BB6" w:rsidRPr="00F106BB">
        <w:rPr>
          <w:rFonts w:asciiTheme="minorHAnsi" w:hAnsiTheme="minorHAnsi" w:cstheme="minorHAnsi"/>
          <w:sz w:val="24"/>
          <w:szCs w:val="24"/>
        </w:rPr>
        <w:t xml:space="preserve">(2) </w:t>
      </w:r>
      <w:r w:rsidRPr="00F106BB">
        <w:rPr>
          <w:rFonts w:asciiTheme="minorHAnsi" w:hAnsiTheme="minorHAnsi" w:cstheme="minorHAnsi"/>
          <w:sz w:val="24"/>
          <w:szCs w:val="24"/>
        </w:rPr>
        <w:t xml:space="preserve">which </w:t>
      </w:r>
      <w:r w:rsidR="00FF0BB6" w:rsidRPr="00F106BB">
        <w:rPr>
          <w:rFonts w:asciiTheme="minorHAnsi" w:hAnsiTheme="minorHAnsi" w:cstheme="minorHAnsi"/>
          <w:sz w:val="24"/>
          <w:szCs w:val="24"/>
        </w:rPr>
        <w:t>enables the applicant to b</w:t>
      </w:r>
      <w:r w:rsidR="00CC77BB">
        <w:rPr>
          <w:rFonts w:asciiTheme="minorHAnsi" w:hAnsiTheme="minorHAnsi" w:cstheme="minorHAnsi"/>
          <w:sz w:val="24"/>
          <w:szCs w:val="24"/>
        </w:rPr>
        <w:t>r</w:t>
      </w:r>
      <w:r w:rsidR="00FF0BB6" w:rsidRPr="00F106BB">
        <w:rPr>
          <w:rFonts w:asciiTheme="minorHAnsi" w:hAnsiTheme="minorHAnsi" w:cstheme="minorHAnsi"/>
          <w:sz w:val="24"/>
          <w:szCs w:val="24"/>
        </w:rPr>
        <w:t xml:space="preserve">ing a proceeding on a cause of action in a court with jurisdictions to hear the proceeding, and apply to the court to set aside the agreement. </w:t>
      </w:r>
    </w:p>
    <w:p w14:paraId="69DD9E78" w14:textId="601CF560" w:rsidR="00FF0BB6" w:rsidRPr="00F106BB" w:rsidRDefault="00F84CBA"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inserts new section </w:t>
      </w:r>
      <w:r w:rsidR="00FF0BB6" w:rsidRPr="00F106BB">
        <w:rPr>
          <w:rFonts w:asciiTheme="minorHAnsi" w:hAnsiTheme="minorHAnsi" w:cstheme="minorHAnsi"/>
          <w:sz w:val="24"/>
          <w:szCs w:val="24"/>
        </w:rPr>
        <w:t>114K(3)</w:t>
      </w:r>
      <w:r w:rsidRPr="00F106BB">
        <w:rPr>
          <w:rFonts w:asciiTheme="minorHAnsi" w:hAnsiTheme="minorHAnsi" w:cstheme="minorHAnsi"/>
          <w:sz w:val="24"/>
          <w:szCs w:val="24"/>
        </w:rPr>
        <w:t xml:space="preserve"> which</w:t>
      </w:r>
      <w:r w:rsidR="00FF0BB6" w:rsidRPr="00F106BB">
        <w:rPr>
          <w:rFonts w:asciiTheme="minorHAnsi" w:hAnsiTheme="minorHAnsi" w:cstheme="minorHAnsi"/>
          <w:sz w:val="24"/>
          <w:szCs w:val="24"/>
        </w:rPr>
        <w:t xml:space="preserve"> gives the court the power to set aside the agreement if the court is satisfied that when the agreement was made there were legal barriers to the person being fully compensated through a legal cause of action, or when the application is made to set aside the agreement, the agreement is, in all the circumstances, not a just and reasonable agreement. </w:t>
      </w:r>
    </w:p>
    <w:p w14:paraId="287A091F" w14:textId="58C5AE23" w:rsidR="00FF0BB6" w:rsidRPr="00F106BB" w:rsidRDefault="00F84CBA"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inserts new section </w:t>
      </w:r>
      <w:r w:rsidR="00FF0BB6" w:rsidRPr="00F106BB">
        <w:rPr>
          <w:rFonts w:asciiTheme="minorHAnsi" w:hAnsiTheme="minorHAnsi" w:cstheme="minorHAnsi"/>
          <w:sz w:val="24"/>
          <w:szCs w:val="24"/>
        </w:rPr>
        <w:t xml:space="preserve">114K(4) </w:t>
      </w:r>
      <w:r w:rsidRPr="00F106BB">
        <w:rPr>
          <w:rFonts w:asciiTheme="minorHAnsi" w:hAnsiTheme="minorHAnsi" w:cstheme="minorHAnsi"/>
          <w:sz w:val="24"/>
          <w:szCs w:val="24"/>
        </w:rPr>
        <w:t xml:space="preserve">which </w:t>
      </w:r>
      <w:r w:rsidR="00FF0BB6" w:rsidRPr="00F106BB">
        <w:rPr>
          <w:rFonts w:asciiTheme="minorHAnsi" w:hAnsiTheme="minorHAnsi" w:cstheme="minorHAnsi"/>
          <w:sz w:val="24"/>
          <w:szCs w:val="24"/>
        </w:rPr>
        <w:t xml:space="preserve">outlines what the court may consider when deciding whether the set aside the agreement. These include; </w:t>
      </w:r>
    </w:p>
    <w:p w14:paraId="295DAB48" w14:textId="69546DCE" w:rsidR="00FF0BB6" w:rsidRPr="00F106BB" w:rsidRDefault="00FF0BB6" w:rsidP="001A32A5">
      <w:pPr>
        <w:pStyle w:val="ListParagraph"/>
        <w:numPr>
          <w:ilvl w:val="0"/>
          <w:numId w:val="18"/>
        </w:numPr>
        <w:jc w:val="both"/>
        <w:rPr>
          <w:rFonts w:asciiTheme="minorHAnsi" w:hAnsiTheme="minorHAnsi" w:cstheme="minorHAnsi"/>
          <w:sz w:val="24"/>
          <w:szCs w:val="24"/>
        </w:rPr>
      </w:pPr>
      <w:r w:rsidRPr="00F106BB">
        <w:rPr>
          <w:rFonts w:asciiTheme="minorHAnsi" w:hAnsiTheme="minorHAnsi" w:cstheme="minorHAnsi"/>
          <w:sz w:val="24"/>
          <w:szCs w:val="24"/>
        </w:rPr>
        <w:t xml:space="preserve">The amount paid to the applicant under the agreement </w:t>
      </w:r>
    </w:p>
    <w:p w14:paraId="67055BA3" w14:textId="6E85027C" w:rsidR="00FF0BB6" w:rsidRPr="00F106BB" w:rsidRDefault="00FF0BB6" w:rsidP="001A32A5">
      <w:pPr>
        <w:pStyle w:val="ListParagraph"/>
        <w:numPr>
          <w:ilvl w:val="0"/>
          <w:numId w:val="18"/>
        </w:numPr>
        <w:jc w:val="both"/>
        <w:rPr>
          <w:rFonts w:asciiTheme="minorHAnsi" w:hAnsiTheme="minorHAnsi" w:cstheme="minorHAnsi"/>
          <w:sz w:val="24"/>
          <w:szCs w:val="24"/>
        </w:rPr>
      </w:pPr>
      <w:r w:rsidRPr="00F106BB">
        <w:rPr>
          <w:rFonts w:asciiTheme="minorHAnsi" w:hAnsiTheme="minorHAnsi" w:cstheme="minorHAnsi"/>
          <w:sz w:val="24"/>
          <w:szCs w:val="24"/>
        </w:rPr>
        <w:t xml:space="preserve">The bargaining position of the parties to the agreement </w:t>
      </w:r>
    </w:p>
    <w:p w14:paraId="7FBD3C5D" w14:textId="109E2BAE" w:rsidR="00FF0BB6" w:rsidRPr="00F106BB" w:rsidRDefault="00FF0BB6" w:rsidP="001A32A5">
      <w:pPr>
        <w:pStyle w:val="ListParagraph"/>
        <w:numPr>
          <w:ilvl w:val="0"/>
          <w:numId w:val="18"/>
        </w:numPr>
        <w:jc w:val="both"/>
        <w:rPr>
          <w:rFonts w:asciiTheme="minorHAnsi" w:hAnsiTheme="minorHAnsi" w:cstheme="minorHAnsi"/>
          <w:sz w:val="24"/>
          <w:szCs w:val="24"/>
        </w:rPr>
      </w:pPr>
      <w:r w:rsidRPr="00F106BB">
        <w:rPr>
          <w:rFonts w:asciiTheme="minorHAnsi" w:hAnsiTheme="minorHAnsi" w:cstheme="minorHAnsi"/>
          <w:sz w:val="24"/>
          <w:szCs w:val="24"/>
        </w:rPr>
        <w:t xml:space="preserve">The conduct of the following people in relation to the agreement; </w:t>
      </w:r>
    </w:p>
    <w:p w14:paraId="1EFE7533" w14:textId="2DE341AF" w:rsidR="00FF0BB6" w:rsidRPr="00F106BB" w:rsidRDefault="00FF0BB6" w:rsidP="001A32A5">
      <w:pPr>
        <w:pStyle w:val="ListParagraph"/>
        <w:numPr>
          <w:ilvl w:val="1"/>
          <w:numId w:val="18"/>
        </w:numPr>
        <w:jc w:val="both"/>
        <w:rPr>
          <w:rFonts w:asciiTheme="minorHAnsi" w:hAnsiTheme="minorHAnsi" w:cstheme="minorHAnsi"/>
          <w:sz w:val="24"/>
          <w:szCs w:val="24"/>
        </w:rPr>
      </w:pPr>
      <w:r w:rsidRPr="00F106BB">
        <w:rPr>
          <w:rFonts w:asciiTheme="minorHAnsi" w:hAnsiTheme="minorHAnsi" w:cstheme="minorHAnsi"/>
          <w:sz w:val="24"/>
          <w:szCs w:val="24"/>
        </w:rPr>
        <w:t xml:space="preserve">A party other than the applicant; </w:t>
      </w:r>
    </w:p>
    <w:p w14:paraId="025BA807" w14:textId="4D1DD3B5" w:rsidR="00FF0BB6" w:rsidRPr="00F106BB" w:rsidRDefault="00FF0BB6" w:rsidP="001A32A5">
      <w:pPr>
        <w:pStyle w:val="ListParagraph"/>
        <w:numPr>
          <w:ilvl w:val="1"/>
          <w:numId w:val="18"/>
        </w:numPr>
        <w:jc w:val="both"/>
        <w:rPr>
          <w:rFonts w:asciiTheme="minorHAnsi" w:hAnsiTheme="minorHAnsi" w:cstheme="minorHAnsi"/>
          <w:sz w:val="24"/>
          <w:szCs w:val="24"/>
        </w:rPr>
      </w:pPr>
      <w:r w:rsidRPr="00F106BB">
        <w:rPr>
          <w:rFonts w:asciiTheme="minorHAnsi" w:hAnsiTheme="minorHAnsi" w:cstheme="minorHAnsi"/>
          <w:sz w:val="24"/>
          <w:szCs w:val="24"/>
        </w:rPr>
        <w:t xml:space="preserve">A legal representative of a party other than the applicant </w:t>
      </w:r>
    </w:p>
    <w:p w14:paraId="6EA2A2FC" w14:textId="4CE44AFD" w:rsidR="00FF0BB6" w:rsidRPr="00F106BB" w:rsidRDefault="00FF0BB6" w:rsidP="001A32A5">
      <w:pPr>
        <w:pStyle w:val="ListParagraph"/>
        <w:numPr>
          <w:ilvl w:val="0"/>
          <w:numId w:val="18"/>
        </w:numPr>
        <w:jc w:val="both"/>
        <w:rPr>
          <w:rFonts w:asciiTheme="minorHAnsi" w:hAnsiTheme="minorHAnsi" w:cstheme="minorHAnsi"/>
          <w:sz w:val="24"/>
          <w:szCs w:val="24"/>
        </w:rPr>
      </w:pPr>
      <w:r w:rsidRPr="00F106BB">
        <w:rPr>
          <w:rFonts w:asciiTheme="minorHAnsi" w:hAnsiTheme="minorHAnsi" w:cstheme="minorHAnsi"/>
          <w:sz w:val="24"/>
          <w:szCs w:val="24"/>
        </w:rPr>
        <w:t>Any other matter the court considers relevant</w:t>
      </w:r>
      <w:r w:rsidR="006D2455">
        <w:rPr>
          <w:rFonts w:asciiTheme="minorHAnsi" w:hAnsiTheme="minorHAnsi" w:cstheme="minorHAnsi"/>
          <w:sz w:val="24"/>
          <w:szCs w:val="24"/>
        </w:rPr>
        <w:t>.</w:t>
      </w:r>
    </w:p>
    <w:p w14:paraId="22D6D84A" w14:textId="77777777" w:rsidR="00F84CBA" w:rsidRPr="00F106BB" w:rsidRDefault="00F84CBA" w:rsidP="001A32A5">
      <w:pPr>
        <w:pStyle w:val="ListParagraph"/>
        <w:jc w:val="both"/>
        <w:rPr>
          <w:rFonts w:asciiTheme="minorHAnsi" w:hAnsiTheme="minorHAnsi" w:cstheme="minorHAnsi"/>
          <w:sz w:val="24"/>
          <w:szCs w:val="24"/>
        </w:rPr>
      </w:pPr>
    </w:p>
    <w:p w14:paraId="0075FBC9" w14:textId="606076BE" w:rsidR="00FF0BB6" w:rsidRPr="00F106BB" w:rsidRDefault="00F84CBA"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inserts new section 114K(5) which provides that the </w:t>
      </w:r>
      <w:r w:rsidRPr="00F106BB">
        <w:rPr>
          <w:rFonts w:asciiTheme="minorHAnsi" w:hAnsiTheme="minorHAnsi" w:cstheme="minorHAnsi"/>
          <w:i/>
          <w:iCs/>
          <w:sz w:val="24"/>
          <w:szCs w:val="24"/>
        </w:rPr>
        <w:t>Evidence Act 2011</w:t>
      </w:r>
      <w:r w:rsidRPr="00F106BB">
        <w:rPr>
          <w:rFonts w:asciiTheme="minorHAnsi" w:hAnsiTheme="minorHAnsi" w:cstheme="minorHAnsi"/>
          <w:sz w:val="24"/>
          <w:szCs w:val="24"/>
        </w:rPr>
        <w:t xml:space="preserve">, section 131(1) (Exclusion of evidence of settlement negotiations) does not prevent such evidence being adduced in a proceeding under this section, even if the evidence would constitute evidence under section 131(1) of the Evidence Act, namely, evidence of a communication made, or a document prepared, in connection with an attempt to negotiate a settlement of the dispute to which the agreement relates. </w:t>
      </w:r>
    </w:p>
    <w:p w14:paraId="585FB65C" w14:textId="4D9C1C47" w:rsidR="00C80DC1" w:rsidRPr="00F106BB" w:rsidRDefault="00F84CBA" w:rsidP="001A32A5">
      <w:pPr>
        <w:jc w:val="both"/>
        <w:rPr>
          <w:rFonts w:asciiTheme="minorHAnsi" w:hAnsiTheme="minorHAnsi" w:cstheme="minorHAnsi"/>
          <w:sz w:val="24"/>
          <w:szCs w:val="24"/>
        </w:rPr>
      </w:pPr>
      <w:r w:rsidRPr="00F106BB">
        <w:rPr>
          <w:rFonts w:asciiTheme="minorHAnsi" w:hAnsiTheme="minorHAnsi" w:cstheme="minorHAnsi"/>
          <w:sz w:val="24"/>
          <w:szCs w:val="24"/>
        </w:rPr>
        <w:lastRenderedPageBreak/>
        <w:t xml:space="preserve">This clause inserts </w:t>
      </w:r>
      <w:r w:rsidR="00610EEA" w:rsidRPr="00F106BB">
        <w:rPr>
          <w:rFonts w:asciiTheme="minorHAnsi" w:hAnsiTheme="minorHAnsi" w:cstheme="minorHAnsi"/>
          <w:sz w:val="24"/>
          <w:szCs w:val="24"/>
        </w:rPr>
        <w:t>new section 114L.</w:t>
      </w:r>
      <w:r w:rsidR="00B60BEA" w:rsidRPr="00F106BB">
        <w:rPr>
          <w:rFonts w:asciiTheme="minorHAnsi" w:hAnsiTheme="minorHAnsi" w:cstheme="minorHAnsi"/>
          <w:sz w:val="24"/>
          <w:szCs w:val="24"/>
        </w:rPr>
        <w:t xml:space="preserve"> Section 114L(1) provides that if the court decides to set aside an abuse settlement agreement, the court also has the power to also set aside any of the following that give effect to the agreement; </w:t>
      </w:r>
    </w:p>
    <w:p w14:paraId="54F9BFE8" w14:textId="3A8377CE" w:rsidR="00B60BEA" w:rsidRPr="00F106BB" w:rsidRDefault="00B60BEA" w:rsidP="001A32A5">
      <w:pPr>
        <w:pStyle w:val="ListParagraph"/>
        <w:numPr>
          <w:ilvl w:val="0"/>
          <w:numId w:val="19"/>
        </w:numPr>
        <w:jc w:val="both"/>
        <w:rPr>
          <w:rFonts w:asciiTheme="minorHAnsi" w:hAnsiTheme="minorHAnsi" w:cstheme="minorHAnsi"/>
          <w:sz w:val="24"/>
          <w:szCs w:val="24"/>
        </w:rPr>
      </w:pPr>
      <w:r w:rsidRPr="00F106BB">
        <w:rPr>
          <w:rFonts w:asciiTheme="minorHAnsi" w:hAnsiTheme="minorHAnsi" w:cstheme="minorHAnsi"/>
          <w:sz w:val="24"/>
          <w:szCs w:val="24"/>
        </w:rPr>
        <w:t xml:space="preserve">A contract, deed or other agreement; </w:t>
      </w:r>
    </w:p>
    <w:p w14:paraId="7E45A235" w14:textId="3A238A8F" w:rsidR="00B60BEA" w:rsidRPr="00F106BB" w:rsidRDefault="00B60BEA" w:rsidP="001A32A5">
      <w:pPr>
        <w:pStyle w:val="ListParagraph"/>
        <w:numPr>
          <w:ilvl w:val="0"/>
          <w:numId w:val="19"/>
        </w:numPr>
        <w:jc w:val="both"/>
        <w:rPr>
          <w:rFonts w:asciiTheme="minorHAnsi" w:hAnsiTheme="minorHAnsi" w:cstheme="minorHAnsi"/>
          <w:sz w:val="24"/>
          <w:szCs w:val="24"/>
        </w:rPr>
      </w:pPr>
      <w:r w:rsidRPr="00F106BB">
        <w:rPr>
          <w:rFonts w:asciiTheme="minorHAnsi" w:hAnsiTheme="minorHAnsi" w:cstheme="minorHAnsi"/>
          <w:sz w:val="24"/>
          <w:szCs w:val="24"/>
        </w:rPr>
        <w:t xml:space="preserve">An order or judgment of the court or of a lower court. </w:t>
      </w:r>
    </w:p>
    <w:p w14:paraId="0087649F" w14:textId="77777777" w:rsidR="00B60BEA" w:rsidRPr="00F106BB" w:rsidRDefault="00B60BEA" w:rsidP="001A32A5">
      <w:pPr>
        <w:pStyle w:val="ListParagraph"/>
        <w:jc w:val="both"/>
        <w:rPr>
          <w:rFonts w:asciiTheme="minorHAnsi" w:hAnsiTheme="minorHAnsi" w:cstheme="minorHAnsi"/>
          <w:sz w:val="24"/>
          <w:szCs w:val="24"/>
        </w:rPr>
      </w:pPr>
    </w:p>
    <w:p w14:paraId="01E9EF81" w14:textId="2CBD2D5A" w:rsidR="00B60BEA" w:rsidRPr="00F106BB" w:rsidRDefault="00B60BEA"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Section 114L(2) limits this power by preventing the court from setting aside the following; </w:t>
      </w:r>
    </w:p>
    <w:p w14:paraId="70818FC3" w14:textId="0892175E" w:rsidR="00B60BEA" w:rsidRPr="00F106BB" w:rsidRDefault="00B60BEA" w:rsidP="001A32A5">
      <w:pPr>
        <w:pStyle w:val="ListParagraph"/>
        <w:numPr>
          <w:ilvl w:val="0"/>
          <w:numId w:val="20"/>
        </w:numPr>
        <w:jc w:val="both"/>
        <w:rPr>
          <w:rFonts w:asciiTheme="minorHAnsi" w:hAnsiTheme="minorHAnsi" w:cstheme="minorHAnsi"/>
          <w:sz w:val="24"/>
          <w:szCs w:val="24"/>
        </w:rPr>
      </w:pPr>
      <w:r w:rsidRPr="00F106BB">
        <w:rPr>
          <w:rFonts w:asciiTheme="minorHAnsi" w:hAnsiTheme="minorHAnsi" w:cstheme="minorHAnsi"/>
          <w:sz w:val="24"/>
          <w:szCs w:val="24"/>
        </w:rPr>
        <w:t xml:space="preserve">A deed of release signed by or on behalf of the applicant in acceptance of an offer under the national redress scheme and an agreement relating to a relevant prior payment that has been </w:t>
      </w:r>
      <w:r w:rsidR="006D2455" w:rsidRPr="00F106BB">
        <w:rPr>
          <w:rFonts w:asciiTheme="minorHAnsi" w:hAnsiTheme="minorHAnsi" w:cstheme="minorHAnsi"/>
          <w:sz w:val="24"/>
          <w:szCs w:val="24"/>
        </w:rPr>
        <w:t>considered</w:t>
      </w:r>
      <w:r w:rsidRPr="00F106BB">
        <w:rPr>
          <w:rFonts w:asciiTheme="minorHAnsi" w:hAnsiTheme="minorHAnsi" w:cstheme="minorHAnsi"/>
          <w:sz w:val="24"/>
          <w:szCs w:val="24"/>
        </w:rPr>
        <w:t xml:space="preserve"> in the offer; </w:t>
      </w:r>
    </w:p>
    <w:p w14:paraId="0D04C212" w14:textId="34186AD2" w:rsidR="00B60BEA" w:rsidRPr="00F106BB" w:rsidRDefault="00B60BEA" w:rsidP="001A32A5">
      <w:pPr>
        <w:pStyle w:val="ListParagraph"/>
        <w:numPr>
          <w:ilvl w:val="0"/>
          <w:numId w:val="20"/>
        </w:numPr>
        <w:jc w:val="both"/>
        <w:rPr>
          <w:rFonts w:asciiTheme="minorHAnsi" w:hAnsiTheme="minorHAnsi" w:cstheme="minorHAnsi"/>
          <w:sz w:val="24"/>
          <w:szCs w:val="24"/>
        </w:rPr>
      </w:pPr>
      <w:r w:rsidRPr="00F106BB">
        <w:rPr>
          <w:rFonts w:asciiTheme="minorHAnsi" w:hAnsiTheme="minorHAnsi" w:cstheme="minorHAnsi"/>
          <w:sz w:val="24"/>
          <w:szCs w:val="24"/>
        </w:rPr>
        <w:t xml:space="preserve">An agreement to the extent to which; </w:t>
      </w:r>
    </w:p>
    <w:p w14:paraId="27C6DBD9" w14:textId="1C238DA4" w:rsidR="00B60BEA" w:rsidRPr="00F106BB" w:rsidRDefault="00B60BEA" w:rsidP="001A32A5">
      <w:pPr>
        <w:pStyle w:val="ListParagraph"/>
        <w:numPr>
          <w:ilvl w:val="1"/>
          <w:numId w:val="20"/>
        </w:numPr>
        <w:jc w:val="both"/>
        <w:rPr>
          <w:rFonts w:asciiTheme="minorHAnsi" w:hAnsiTheme="minorHAnsi" w:cstheme="minorHAnsi"/>
          <w:sz w:val="24"/>
          <w:szCs w:val="24"/>
        </w:rPr>
      </w:pPr>
      <w:r w:rsidRPr="00F106BB">
        <w:rPr>
          <w:rFonts w:asciiTheme="minorHAnsi" w:hAnsiTheme="minorHAnsi" w:cstheme="minorHAnsi"/>
          <w:sz w:val="24"/>
          <w:szCs w:val="24"/>
        </w:rPr>
        <w:t xml:space="preserve">The agreement settled a cross-claim between 2 or more defendants; or </w:t>
      </w:r>
    </w:p>
    <w:p w14:paraId="1432C896" w14:textId="1AFD97BC" w:rsidR="00B60BEA" w:rsidRPr="00F106BB" w:rsidRDefault="00B60BEA" w:rsidP="001A32A5">
      <w:pPr>
        <w:pStyle w:val="ListParagraph"/>
        <w:numPr>
          <w:ilvl w:val="1"/>
          <w:numId w:val="20"/>
        </w:numPr>
        <w:jc w:val="both"/>
        <w:rPr>
          <w:rFonts w:asciiTheme="minorHAnsi" w:hAnsiTheme="minorHAnsi" w:cstheme="minorHAnsi"/>
          <w:sz w:val="24"/>
          <w:szCs w:val="24"/>
        </w:rPr>
      </w:pPr>
      <w:r w:rsidRPr="00F106BB">
        <w:rPr>
          <w:rFonts w:asciiTheme="minorHAnsi" w:hAnsiTheme="minorHAnsi" w:cstheme="minorHAnsi"/>
          <w:sz w:val="24"/>
          <w:szCs w:val="24"/>
        </w:rPr>
        <w:t xml:space="preserve">One defendant indemnified another; </w:t>
      </w:r>
    </w:p>
    <w:p w14:paraId="76FC9A48" w14:textId="77777777" w:rsidR="006D2455" w:rsidRDefault="00B60BEA" w:rsidP="001A32A5">
      <w:pPr>
        <w:pStyle w:val="ListParagraph"/>
        <w:numPr>
          <w:ilvl w:val="1"/>
          <w:numId w:val="20"/>
        </w:numPr>
        <w:jc w:val="both"/>
        <w:rPr>
          <w:rFonts w:asciiTheme="minorHAnsi" w:hAnsiTheme="minorHAnsi" w:cstheme="minorHAnsi"/>
          <w:sz w:val="24"/>
          <w:szCs w:val="24"/>
        </w:rPr>
      </w:pPr>
      <w:r w:rsidRPr="00F106BB">
        <w:rPr>
          <w:rFonts w:asciiTheme="minorHAnsi" w:hAnsiTheme="minorHAnsi" w:cstheme="minorHAnsi"/>
          <w:sz w:val="24"/>
          <w:szCs w:val="24"/>
        </w:rPr>
        <w:t>A contract of insurance</w:t>
      </w:r>
      <w:r w:rsidR="006D2455">
        <w:rPr>
          <w:rFonts w:asciiTheme="minorHAnsi" w:hAnsiTheme="minorHAnsi" w:cstheme="minorHAnsi"/>
          <w:sz w:val="24"/>
          <w:szCs w:val="24"/>
        </w:rPr>
        <w:t>.</w:t>
      </w:r>
    </w:p>
    <w:p w14:paraId="10060049" w14:textId="13D895EE" w:rsidR="00B60BEA" w:rsidRPr="00F106BB" w:rsidRDefault="00B60BEA" w:rsidP="002707D1">
      <w:pPr>
        <w:pStyle w:val="ListParagraph"/>
        <w:ind w:left="1440"/>
        <w:jc w:val="both"/>
        <w:rPr>
          <w:rFonts w:asciiTheme="minorHAnsi" w:hAnsiTheme="minorHAnsi" w:cstheme="minorHAnsi"/>
          <w:sz w:val="24"/>
          <w:szCs w:val="24"/>
        </w:rPr>
      </w:pPr>
      <w:r w:rsidRPr="00F106BB">
        <w:rPr>
          <w:rFonts w:asciiTheme="minorHAnsi" w:hAnsiTheme="minorHAnsi" w:cstheme="minorHAnsi"/>
          <w:sz w:val="24"/>
          <w:szCs w:val="24"/>
        </w:rPr>
        <w:t xml:space="preserve"> </w:t>
      </w:r>
    </w:p>
    <w:p w14:paraId="4DEA32F7" w14:textId="7237EA58" w:rsidR="00B60BEA" w:rsidRPr="00F106BB" w:rsidRDefault="00B60BEA"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The section defines the national redress scheme to mean the National Redress Scheme for institutional Child Sexual Abuse established under the National Redress Scheme for </w:t>
      </w:r>
      <w:r w:rsidRPr="002707D1">
        <w:rPr>
          <w:rFonts w:asciiTheme="minorHAnsi" w:hAnsiTheme="minorHAnsi" w:cstheme="minorHAnsi"/>
          <w:i/>
          <w:iCs/>
          <w:sz w:val="24"/>
          <w:szCs w:val="24"/>
        </w:rPr>
        <w:t>Institutional Child Sexual Abuse Act 2018</w:t>
      </w:r>
      <w:r w:rsidRPr="00F106BB">
        <w:rPr>
          <w:rFonts w:asciiTheme="minorHAnsi" w:hAnsiTheme="minorHAnsi" w:cstheme="minorHAnsi"/>
          <w:sz w:val="24"/>
          <w:szCs w:val="24"/>
        </w:rPr>
        <w:t xml:space="preserve"> (Cwlth), section 8. </w:t>
      </w:r>
    </w:p>
    <w:p w14:paraId="561D591C" w14:textId="77777777" w:rsidR="00B60BEA" w:rsidRPr="00F106BB" w:rsidRDefault="00B60BEA"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inserts new section 114M which outlines the effect of setting aside abuse settlement agreements. </w:t>
      </w:r>
    </w:p>
    <w:p w14:paraId="0D0FB481" w14:textId="77777777" w:rsidR="006D2455" w:rsidRDefault="00B60BEA"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Section 114M(1) provides that a court may set aside an abuse settlement agreement or anything else in accordance with this part only to the extent that it relates to the applicant. Section 114M(2) provides that an agreement and anything else set aside in accordance with this part is void only to the extent that it relates to the applicant. </w:t>
      </w:r>
    </w:p>
    <w:p w14:paraId="28EA2B14" w14:textId="6797194F" w:rsidR="00B60BEA" w:rsidRPr="00F106BB" w:rsidRDefault="00B60BEA"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Finally, section 114M(3) provides that an amount paid, including legal costs or disbursements, or other consideration given under the agreement is not recoverable despite an agreement being void, and may be taken into account by a court in deciding damages in a proceeding on a cause of action to which the agreement relates. </w:t>
      </w:r>
    </w:p>
    <w:p w14:paraId="6D080E84" w14:textId="70625E88" w:rsidR="006A3D31" w:rsidRPr="00F106BB" w:rsidRDefault="003E1738" w:rsidP="001A32A5">
      <w:pPr>
        <w:jc w:val="both"/>
        <w:rPr>
          <w:rFonts w:asciiTheme="minorHAnsi" w:eastAsiaTheme="majorEastAsia" w:hAnsiTheme="minorHAnsi" w:cstheme="minorHAnsi"/>
          <w:b/>
          <w:sz w:val="24"/>
          <w:szCs w:val="24"/>
        </w:rPr>
      </w:pPr>
      <w:r w:rsidRPr="00F106BB">
        <w:rPr>
          <w:rFonts w:asciiTheme="minorHAnsi" w:eastAsiaTheme="majorEastAsia" w:hAnsiTheme="minorHAnsi" w:cstheme="minorHAnsi"/>
          <w:b/>
          <w:sz w:val="24"/>
          <w:szCs w:val="24"/>
        </w:rPr>
        <w:t>Clause 1</w:t>
      </w:r>
      <w:r w:rsidR="0083614B">
        <w:rPr>
          <w:rFonts w:asciiTheme="minorHAnsi" w:eastAsiaTheme="majorEastAsia" w:hAnsiTheme="minorHAnsi" w:cstheme="minorHAnsi"/>
          <w:b/>
          <w:sz w:val="24"/>
          <w:szCs w:val="24"/>
        </w:rPr>
        <w:t>0</w:t>
      </w:r>
      <w:r w:rsidRPr="00F106BB">
        <w:rPr>
          <w:rFonts w:asciiTheme="minorHAnsi" w:eastAsiaTheme="majorEastAsia" w:hAnsiTheme="minorHAnsi" w:cstheme="minorHAnsi"/>
          <w:b/>
          <w:sz w:val="24"/>
          <w:szCs w:val="24"/>
        </w:rPr>
        <w:t xml:space="preserve"> </w:t>
      </w:r>
      <w:r w:rsidRPr="00F106BB">
        <w:rPr>
          <w:rFonts w:asciiTheme="minorHAnsi" w:eastAsiaTheme="majorEastAsia" w:hAnsiTheme="minorHAnsi" w:cstheme="minorHAnsi"/>
          <w:b/>
          <w:sz w:val="24"/>
          <w:szCs w:val="24"/>
        </w:rPr>
        <w:tab/>
        <w:t>Dictionary, new definition</w:t>
      </w:r>
      <w:r w:rsidR="004975BB">
        <w:rPr>
          <w:rFonts w:asciiTheme="minorHAnsi" w:eastAsiaTheme="majorEastAsia" w:hAnsiTheme="minorHAnsi" w:cstheme="minorHAnsi"/>
          <w:b/>
          <w:sz w:val="24"/>
          <w:szCs w:val="24"/>
        </w:rPr>
        <w:t>s</w:t>
      </w:r>
      <w:r w:rsidRPr="00F106BB">
        <w:rPr>
          <w:rFonts w:asciiTheme="minorHAnsi" w:eastAsiaTheme="majorEastAsia" w:hAnsiTheme="minorHAnsi" w:cstheme="minorHAnsi"/>
          <w:b/>
          <w:sz w:val="24"/>
          <w:szCs w:val="24"/>
        </w:rPr>
        <w:t xml:space="preserve"> </w:t>
      </w:r>
    </w:p>
    <w:p w14:paraId="5DCB478D" w14:textId="2E9AA41C" w:rsidR="00A22D43" w:rsidRPr="00F106BB" w:rsidRDefault="00A22D43"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inserts the new definitions of ‘abuse settlement agreement’ as per section 114J and ‘applicant’, as per section 114K(1). ‘Abuse settlement agreement’ is defined in section 114J as an agreement that settles a child abuse claim and prevents the exercise of an action on a cause of action to which the Limitation Act, section 21C (Personal injury resulting from child abuse) applies and that happened before the commencement of the Limitation Act , section 21C, and at a time when a limitation period applying to the cause of action had ended, or happened before the commencement of this part, and the agreement is not just and reasonable in the circumstances. </w:t>
      </w:r>
    </w:p>
    <w:p w14:paraId="5A84DCFD" w14:textId="77777777" w:rsidR="00A22D43" w:rsidRPr="00F106BB" w:rsidRDefault="00A22D43" w:rsidP="001A32A5">
      <w:pPr>
        <w:jc w:val="both"/>
        <w:rPr>
          <w:rFonts w:asciiTheme="minorHAnsi" w:hAnsiTheme="minorHAnsi" w:cstheme="minorHAnsi"/>
          <w:sz w:val="24"/>
          <w:szCs w:val="24"/>
        </w:rPr>
      </w:pPr>
      <w:r w:rsidRPr="00F106BB">
        <w:rPr>
          <w:rFonts w:asciiTheme="minorHAnsi" w:hAnsiTheme="minorHAnsi" w:cstheme="minorHAnsi"/>
          <w:sz w:val="24"/>
          <w:szCs w:val="24"/>
        </w:rPr>
        <w:lastRenderedPageBreak/>
        <w:t xml:space="preserve">‘Applicant’ is defined in section 114K(1) - a person is an applicant if a person is prevented from exercising an action on a cause of action because of an abuse settlement agreement. </w:t>
      </w:r>
    </w:p>
    <w:p w14:paraId="4FDC3E50" w14:textId="7D968C9A" w:rsidR="006A3D31" w:rsidRPr="00F106BB" w:rsidRDefault="003E1738" w:rsidP="001A32A5">
      <w:pPr>
        <w:jc w:val="both"/>
        <w:rPr>
          <w:rFonts w:asciiTheme="minorHAnsi" w:eastAsiaTheme="majorEastAsia" w:hAnsiTheme="minorHAnsi" w:cstheme="minorHAnsi"/>
          <w:b/>
          <w:sz w:val="24"/>
          <w:szCs w:val="24"/>
        </w:rPr>
      </w:pPr>
      <w:r w:rsidRPr="00F106BB">
        <w:rPr>
          <w:rFonts w:asciiTheme="minorHAnsi" w:eastAsiaTheme="majorEastAsia" w:hAnsiTheme="minorHAnsi" w:cstheme="minorHAnsi"/>
          <w:b/>
          <w:sz w:val="24"/>
          <w:szCs w:val="24"/>
        </w:rPr>
        <w:t xml:space="preserve"> Clause 1</w:t>
      </w:r>
      <w:r w:rsidR="0083614B">
        <w:rPr>
          <w:rFonts w:asciiTheme="minorHAnsi" w:eastAsiaTheme="majorEastAsia" w:hAnsiTheme="minorHAnsi" w:cstheme="minorHAnsi"/>
          <w:b/>
          <w:sz w:val="24"/>
          <w:szCs w:val="24"/>
        </w:rPr>
        <w:t>1</w:t>
      </w:r>
      <w:r w:rsidRPr="00F106BB">
        <w:rPr>
          <w:rFonts w:asciiTheme="minorHAnsi" w:eastAsiaTheme="majorEastAsia" w:hAnsiTheme="minorHAnsi" w:cstheme="minorHAnsi"/>
          <w:b/>
          <w:sz w:val="24"/>
          <w:szCs w:val="24"/>
        </w:rPr>
        <w:t xml:space="preserve"> </w:t>
      </w:r>
      <w:r w:rsidRPr="00F106BB">
        <w:rPr>
          <w:rFonts w:asciiTheme="minorHAnsi" w:eastAsiaTheme="majorEastAsia" w:hAnsiTheme="minorHAnsi" w:cstheme="minorHAnsi"/>
          <w:b/>
          <w:sz w:val="24"/>
          <w:szCs w:val="24"/>
        </w:rPr>
        <w:tab/>
        <w:t xml:space="preserve">Dictionary, definition of </w:t>
      </w:r>
      <w:r w:rsidRPr="002707D1">
        <w:rPr>
          <w:rFonts w:asciiTheme="minorHAnsi" w:eastAsiaTheme="majorEastAsia" w:hAnsiTheme="minorHAnsi" w:cstheme="minorHAnsi"/>
          <w:b/>
          <w:i/>
          <w:iCs/>
          <w:sz w:val="24"/>
          <w:szCs w:val="24"/>
        </w:rPr>
        <w:t>child abuse</w:t>
      </w:r>
      <w:r w:rsidRPr="00F106BB">
        <w:rPr>
          <w:rFonts w:asciiTheme="minorHAnsi" w:eastAsiaTheme="majorEastAsia" w:hAnsiTheme="minorHAnsi" w:cstheme="minorHAnsi"/>
          <w:b/>
          <w:sz w:val="24"/>
          <w:szCs w:val="24"/>
        </w:rPr>
        <w:t xml:space="preserve"> and </w:t>
      </w:r>
      <w:r w:rsidRPr="002707D1">
        <w:rPr>
          <w:rFonts w:asciiTheme="minorHAnsi" w:eastAsiaTheme="majorEastAsia" w:hAnsiTheme="minorHAnsi" w:cstheme="minorHAnsi"/>
          <w:b/>
          <w:i/>
          <w:iCs/>
          <w:sz w:val="24"/>
          <w:szCs w:val="24"/>
        </w:rPr>
        <w:t>child abuse claim</w:t>
      </w:r>
      <w:r w:rsidRPr="00F106BB">
        <w:rPr>
          <w:rFonts w:asciiTheme="minorHAnsi" w:eastAsiaTheme="majorEastAsia" w:hAnsiTheme="minorHAnsi" w:cstheme="minorHAnsi"/>
          <w:b/>
          <w:sz w:val="24"/>
          <w:szCs w:val="24"/>
        </w:rPr>
        <w:t xml:space="preserve"> </w:t>
      </w:r>
    </w:p>
    <w:p w14:paraId="316F437C" w14:textId="27676F04" w:rsidR="003E1738" w:rsidRPr="00F106BB" w:rsidRDefault="003E1738"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w:t>
      </w:r>
      <w:r w:rsidR="002653B7" w:rsidRPr="00F106BB">
        <w:rPr>
          <w:rFonts w:asciiTheme="minorHAnsi" w:hAnsiTheme="minorHAnsi" w:cstheme="minorHAnsi"/>
          <w:sz w:val="24"/>
          <w:szCs w:val="24"/>
        </w:rPr>
        <w:t>clause</w:t>
      </w:r>
      <w:r w:rsidRPr="00F106BB">
        <w:rPr>
          <w:rFonts w:asciiTheme="minorHAnsi" w:hAnsiTheme="minorHAnsi" w:cstheme="minorHAnsi"/>
          <w:sz w:val="24"/>
          <w:szCs w:val="24"/>
        </w:rPr>
        <w:t xml:space="preserve"> </w:t>
      </w:r>
      <w:r w:rsidR="002653B7" w:rsidRPr="00F106BB">
        <w:rPr>
          <w:rFonts w:asciiTheme="minorHAnsi" w:hAnsiTheme="minorHAnsi" w:cstheme="minorHAnsi"/>
          <w:sz w:val="24"/>
          <w:szCs w:val="24"/>
        </w:rPr>
        <w:t xml:space="preserve">substitutes definitions of </w:t>
      </w:r>
      <w:r w:rsidR="00783A1B" w:rsidRPr="00F106BB">
        <w:rPr>
          <w:rFonts w:asciiTheme="minorHAnsi" w:hAnsiTheme="minorHAnsi" w:cstheme="minorHAnsi"/>
          <w:sz w:val="24"/>
          <w:szCs w:val="24"/>
        </w:rPr>
        <w:t>‘</w:t>
      </w:r>
      <w:r w:rsidR="002653B7" w:rsidRPr="00F106BB">
        <w:rPr>
          <w:rFonts w:asciiTheme="minorHAnsi" w:hAnsiTheme="minorHAnsi" w:cstheme="minorHAnsi"/>
          <w:sz w:val="24"/>
          <w:szCs w:val="24"/>
        </w:rPr>
        <w:t>child abuse</w:t>
      </w:r>
      <w:r w:rsidR="00783A1B" w:rsidRPr="00F106BB">
        <w:rPr>
          <w:rFonts w:asciiTheme="minorHAnsi" w:hAnsiTheme="minorHAnsi" w:cstheme="minorHAnsi"/>
          <w:sz w:val="24"/>
          <w:szCs w:val="24"/>
        </w:rPr>
        <w:t>’</w:t>
      </w:r>
      <w:r w:rsidR="002653B7" w:rsidRPr="00F106BB">
        <w:rPr>
          <w:rFonts w:asciiTheme="minorHAnsi" w:hAnsiTheme="minorHAnsi" w:cstheme="minorHAnsi"/>
          <w:sz w:val="24"/>
          <w:szCs w:val="24"/>
        </w:rPr>
        <w:t xml:space="preserve"> and </w:t>
      </w:r>
      <w:r w:rsidR="00783A1B" w:rsidRPr="00F106BB">
        <w:rPr>
          <w:rFonts w:asciiTheme="minorHAnsi" w:hAnsiTheme="minorHAnsi" w:cstheme="minorHAnsi"/>
          <w:sz w:val="24"/>
          <w:szCs w:val="24"/>
        </w:rPr>
        <w:t>‘</w:t>
      </w:r>
      <w:r w:rsidR="002653B7" w:rsidRPr="00F106BB">
        <w:rPr>
          <w:rFonts w:asciiTheme="minorHAnsi" w:hAnsiTheme="minorHAnsi" w:cstheme="minorHAnsi"/>
          <w:sz w:val="24"/>
          <w:szCs w:val="24"/>
        </w:rPr>
        <w:t>child abuse claim</w:t>
      </w:r>
      <w:r w:rsidR="00783A1B" w:rsidRPr="00F106BB">
        <w:rPr>
          <w:rFonts w:asciiTheme="minorHAnsi" w:hAnsiTheme="minorHAnsi" w:cstheme="minorHAnsi"/>
          <w:sz w:val="24"/>
          <w:szCs w:val="24"/>
        </w:rPr>
        <w:t>’</w:t>
      </w:r>
      <w:r w:rsidR="002653B7" w:rsidRPr="00F106BB">
        <w:rPr>
          <w:rFonts w:asciiTheme="minorHAnsi" w:hAnsiTheme="minorHAnsi" w:cstheme="minorHAnsi"/>
          <w:sz w:val="24"/>
          <w:szCs w:val="24"/>
        </w:rPr>
        <w:t xml:space="preserve"> to reflect the new definitions</w:t>
      </w:r>
      <w:r w:rsidR="00CF429D" w:rsidRPr="00F106BB">
        <w:rPr>
          <w:rFonts w:asciiTheme="minorHAnsi" w:hAnsiTheme="minorHAnsi" w:cstheme="minorHAnsi"/>
          <w:sz w:val="24"/>
          <w:szCs w:val="24"/>
        </w:rPr>
        <w:t>. ‘Child abuse’ for chapter 8A (Institutional child abuse) is defined as per section 114AA. Section 1</w:t>
      </w:r>
      <w:r w:rsidR="00783A1B" w:rsidRPr="00F106BB">
        <w:rPr>
          <w:rFonts w:asciiTheme="minorHAnsi" w:hAnsiTheme="minorHAnsi" w:cstheme="minorHAnsi"/>
          <w:sz w:val="24"/>
          <w:szCs w:val="24"/>
        </w:rPr>
        <w:t>1</w:t>
      </w:r>
      <w:r w:rsidR="00CF429D" w:rsidRPr="00F106BB">
        <w:rPr>
          <w:rFonts w:asciiTheme="minorHAnsi" w:hAnsiTheme="minorHAnsi" w:cstheme="minorHAnsi"/>
          <w:sz w:val="24"/>
          <w:szCs w:val="24"/>
        </w:rPr>
        <w:t xml:space="preserve">4AA defines child abuse as physical abuse or sexual abuse of a child. Physical abuse does not include conduct that is justified or excused under a law applying in the Territory. </w:t>
      </w:r>
      <w:r w:rsidR="00783A1B" w:rsidRPr="00F106BB">
        <w:rPr>
          <w:rFonts w:asciiTheme="minorHAnsi" w:hAnsiTheme="minorHAnsi" w:cstheme="minorHAnsi"/>
          <w:sz w:val="24"/>
          <w:szCs w:val="24"/>
        </w:rPr>
        <w:t xml:space="preserve">‘Child abuse claim’ is defined as per section 114A. Section 114A defines a ‘child abuse claim’, by or on behalf of a person, to mean a claim in relation to a personal injury that arises from child abuse to which the person was subjected when the person was a child. </w:t>
      </w:r>
    </w:p>
    <w:p w14:paraId="53BCE21F" w14:textId="0C275929" w:rsidR="00783A1B" w:rsidRPr="00F106BB" w:rsidRDefault="00783A1B" w:rsidP="001A32A5">
      <w:pPr>
        <w:jc w:val="both"/>
        <w:rPr>
          <w:rFonts w:asciiTheme="minorHAnsi" w:hAnsiTheme="minorHAnsi" w:cstheme="minorHAnsi"/>
          <w:sz w:val="24"/>
          <w:szCs w:val="24"/>
        </w:rPr>
      </w:pPr>
    </w:p>
    <w:p w14:paraId="32F9DF3A" w14:textId="5A203D7B" w:rsidR="00783A1B" w:rsidRPr="00F106BB" w:rsidRDefault="00783A1B"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 xml:space="preserve">Part 4 </w:t>
      </w: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t xml:space="preserve">COVID-19 Emergency Response Act 2020 </w:t>
      </w:r>
    </w:p>
    <w:p w14:paraId="21E37C2A" w14:textId="461AAB78" w:rsidR="00783A1B" w:rsidRPr="00F106BB" w:rsidRDefault="00783A1B"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Clause 1</w:t>
      </w:r>
      <w:r w:rsidR="00D6178B">
        <w:rPr>
          <w:rFonts w:asciiTheme="minorHAnsi" w:hAnsiTheme="minorHAnsi" w:cstheme="minorHAnsi"/>
          <w:b/>
          <w:bCs/>
          <w:sz w:val="24"/>
          <w:szCs w:val="24"/>
        </w:rPr>
        <w:t>2</w:t>
      </w:r>
      <w:r w:rsidRPr="00F106BB">
        <w:rPr>
          <w:rFonts w:asciiTheme="minorHAnsi" w:hAnsiTheme="minorHAnsi" w:cstheme="minorHAnsi"/>
          <w:b/>
          <w:bCs/>
          <w:sz w:val="24"/>
          <w:szCs w:val="24"/>
        </w:rPr>
        <w:t xml:space="preserve"> </w:t>
      </w:r>
      <w:r w:rsidRPr="00F106BB">
        <w:rPr>
          <w:rFonts w:asciiTheme="minorHAnsi" w:hAnsiTheme="minorHAnsi" w:cstheme="minorHAnsi"/>
          <w:b/>
          <w:bCs/>
          <w:sz w:val="24"/>
          <w:szCs w:val="24"/>
        </w:rPr>
        <w:tab/>
        <w:t>Reports for Legislative Assembly</w:t>
      </w:r>
    </w:p>
    <w:p w14:paraId="791CAE39" w14:textId="098F1136" w:rsidR="00783A1B" w:rsidRPr="00F106BB" w:rsidRDefault="00783A1B"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t>New section 3 (1A) and (1B)</w:t>
      </w:r>
    </w:p>
    <w:p w14:paraId="509409B3" w14:textId="5A3FDF4E" w:rsidR="00783A1B" w:rsidRPr="00F106BB" w:rsidRDefault="00783A1B"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inserts a new section 3(1A) and (1B) into the </w:t>
      </w:r>
      <w:r w:rsidRPr="004975BB">
        <w:rPr>
          <w:rFonts w:asciiTheme="minorHAnsi" w:hAnsiTheme="minorHAnsi" w:cstheme="minorHAnsi"/>
          <w:sz w:val="24"/>
          <w:szCs w:val="24"/>
        </w:rPr>
        <w:t>COVID-19 Emergency Response Act</w:t>
      </w:r>
      <w:r w:rsidRPr="00F106BB">
        <w:rPr>
          <w:rFonts w:asciiTheme="minorHAnsi" w:hAnsiTheme="minorHAnsi" w:cstheme="minorHAnsi"/>
          <w:sz w:val="24"/>
          <w:szCs w:val="24"/>
        </w:rPr>
        <w:t xml:space="preserve">. Section 3 of the </w:t>
      </w:r>
      <w:r w:rsidRPr="004975BB">
        <w:rPr>
          <w:rFonts w:asciiTheme="minorHAnsi" w:hAnsiTheme="minorHAnsi" w:cstheme="minorHAnsi"/>
          <w:sz w:val="24"/>
          <w:szCs w:val="24"/>
        </w:rPr>
        <w:t>COVID-19 Emergency Response Act</w:t>
      </w:r>
      <w:r w:rsidRPr="00F106BB">
        <w:rPr>
          <w:rFonts w:asciiTheme="minorHAnsi" w:hAnsiTheme="minorHAnsi" w:cstheme="minorHAnsi"/>
          <w:sz w:val="24"/>
          <w:szCs w:val="24"/>
        </w:rPr>
        <w:t xml:space="preserve"> provides that, for each reporting period that a COVID-19 declaration is in force, the respons</w:t>
      </w:r>
      <w:r w:rsidR="006D2455">
        <w:rPr>
          <w:rFonts w:asciiTheme="minorHAnsi" w:hAnsiTheme="minorHAnsi" w:cstheme="minorHAnsi"/>
          <w:sz w:val="24"/>
          <w:szCs w:val="24"/>
        </w:rPr>
        <w:t>ibl</w:t>
      </w:r>
      <w:r w:rsidRPr="00F106BB">
        <w:rPr>
          <w:rFonts w:asciiTheme="minorHAnsi" w:hAnsiTheme="minorHAnsi" w:cstheme="minorHAnsi"/>
          <w:sz w:val="24"/>
          <w:szCs w:val="24"/>
        </w:rPr>
        <w:t xml:space="preserve">e Minister for a COVID-19 measure must prepare a report for the Legislative Assembly on the application of the measure. New section 3(1A) provides that section 3(1) does not apply in relation to a COVID-19 measure if the provisions or an ACT or regulation inserted or amended by the measure has been subsequently amended by another Act or regulation, and the effect of the subsequent amendment is to continue the operation of the measure to a time when a COVID-19 declaration is no longer in force. </w:t>
      </w:r>
    </w:p>
    <w:p w14:paraId="62EA1692" w14:textId="6F290089" w:rsidR="00783A1B" w:rsidRPr="00F106BB" w:rsidRDefault="00783A1B"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New section 3(1B) provides that section 3(1) does not apply in relation to a COVID-19 measure if the provision of an Act or regulation inserted or amended by the measure has been repealed and not remade, the same in substance, in the Act or regulation or another law. </w:t>
      </w:r>
    </w:p>
    <w:p w14:paraId="13068C19" w14:textId="7D39462A" w:rsidR="00783A1B" w:rsidRPr="00F106BB" w:rsidRDefault="00783A1B" w:rsidP="001A32A5">
      <w:pPr>
        <w:jc w:val="both"/>
        <w:rPr>
          <w:rFonts w:asciiTheme="minorHAnsi" w:hAnsiTheme="minorHAnsi" w:cstheme="minorHAnsi"/>
          <w:sz w:val="24"/>
          <w:szCs w:val="24"/>
        </w:rPr>
      </w:pPr>
    </w:p>
    <w:p w14:paraId="1945A41C" w14:textId="0830EB38" w:rsidR="00783A1B" w:rsidRPr="00F106BB" w:rsidRDefault="00783A1B"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Clause 1</w:t>
      </w:r>
      <w:r w:rsidR="00D6178B">
        <w:rPr>
          <w:rFonts w:asciiTheme="minorHAnsi" w:hAnsiTheme="minorHAnsi" w:cstheme="minorHAnsi"/>
          <w:b/>
          <w:bCs/>
          <w:sz w:val="24"/>
          <w:szCs w:val="24"/>
        </w:rPr>
        <w:t>3</w:t>
      </w:r>
      <w:r w:rsidRPr="00F106BB">
        <w:rPr>
          <w:rFonts w:asciiTheme="minorHAnsi" w:hAnsiTheme="minorHAnsi" w:cstheme="minorHAnsi"/>
          <w:b/>
          <w:bCs/>
          <w:sz w:val="24"/>
          <w:szCs w:val="24"/>
        </w:rPr>
        <w:t xml:space="preserve"> </w:t>
      </w:r>
      <w:r w:rsidRPr="00F106BB">
        <w:rPr>
          <w:rFonts w:asciiTheme="minorHAnsi" w:hAnsiTheme="minorHAnsi" w:cstheme="minorHAnsi"/>
          <w:b/>
          <w:bCs/>
          <w:sz w:val="24"/>
          <w:szCs w:val="24"/>
        </w:rPr>
        <w:tab/>
        <w:t xml:space="preserve">Section 3 (4) </w:t>
      </w:r>
    </w:p>
    <w:p w14:paraId="5AAF5CD2" w14:textId="5F1EAD41" w:rsidR="00783A1B" w:rsidRPr="00F106BB" w:rsidRDefault="00783A1B" w:rsidP="001A32A5">
      <w:pPr>
        <w:jc w:val="both"/>
        <w:rPr>
          <w:rFonts w:asciiTheme="minorHAnsi" w:hAnsiTheme="minorHAnsi" w:cstheme="minorHAnsi"/>
          <w:b/>
          <w:bCs/>
          <w:i/>
          <w:iCs/>
          <w:sz w:val="24"/>
          <w:szCs w:val="24"/>
        </w:rPr>
      </w:pP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t xml:space="preserve">New definition of </w:t>
      </w:r>
      <w:r w:rsidRPr="00F106BB">
        <w:rPr>
          <w:rFonts w:asciiTheme="minorHAnsi" w:hAnsiTheme="minorHAnsi" w:cstheme="minorHAnsi"/>
          <w:b/>
          <w:bCs/>
          <w:i/>
          <w:iCs/>
          <w:sz w:val="24"/>
          <w:szCs w:val="24"/>
        </w:rPr>
        <w:t xml:space="preserve">remade </w:t>
      </w:r>
    </w:p>
    <w:p w14:paraId="1346C343" w14:textId="138AE14D" w:rsidR="00A22D43" w:rsidRPr="00F106BB" w:rsidRDefault="00A22D43"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inserts a new definition of remade into section 3(4) of the </w:t>
      </w:r>
      <w:r w:rsidRPr="004975BB">
        <w:rPr>
          <w:rFonts w:asciiTheme="minorHAnsi" w:hAnsiTheme="minorHAnsi" w:cstheme="minorHAnsi"/>
          <w:sz w:val="24"/>
          <w:szCs w:val="24"/>
        </w:rPr>
        <w:t>COVID-19 Emergency Response Act.</w:t>
      </w:r>
      <w:r w:rsidRPr="00F106BB">
        <w:rPr>
          <w:rFonts w:asciiTheme="minorHAnsi" w:hAnsiTheme="minorHAnsi" w:cstheme="minorHAnsi"/>
          <w:sz w:val="24"/>
          <w:szCs w:val="24"/>
        </w:rPr>
        <w:t xml:space="preserve"> ‘Remade’ is defined to include re-enacted. </w:t>
      </w:r>
    </w:p>
    <w:p w14:paraId="3B806F6C" w14:textId="493F569A" w:rsidR="002E58A0" w:rsidRPr="00F106BB" w:rsidRDefault="002E58A0" w:rsidP="001A32A5">
      <w:pPr>
        <w:jc w:val="both"/>
        <w:rPr>
          <w:rFonts w:asciiTheme="minorHAnsi" w:hAnsiTheme="minorHAnsi" w:cstheme="minorHAnsi"/>
          <w:sz w:val="24"/>
          <w:szCs w:val="24"/>
        </w:rPr>
      </w:pPr>
    </w:p>
    <w:p w14:paraId="1DEA4004" w14:textId="726AF355" w:rsidR="002E58A0" w:rsidRPr="00F106BB" w:rsidRDefault="002E58A0"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 xml:space="preserve">Part 5 </w:t>
      </w: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t xml:space="preserve">Gaming Machine Act 2004 </w:t>
      </w:r>
    </w:p>
    <w:p w14:paraId="0C05F9F8" w14:textId="57BC87E7" w:rsidR="002E58A0" w:rsidRPr="00F106BB" w:rsidRDefault="002E58A0"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lastRenderedPageBreak/>
        <w:t>Clause 1</w:t>
      </w:r>
      <w:r w:rsidR="00D6178B">
        <w:rPr>
          <w:rFonts w:asciiTheme="minorHAnsi" w:hAnsiTheme="minorHAnsi" w:cstheme="minorHAnsi"/>
          <w:b/>
          <w:bCs/>
          <w:sz w:val="24"/>
          <w:szCs w:val="24"/>
        </w:rPr>
        <w:t>4</w:t>
      </w:r>
      <w:r w:rsidRPr="00F106BB">
        <w:rPr>
          <w:rFonts w:asciiTheme="minorHAnsi" w:hAnsiTheme="minorHAnsi" w:cstheme="minorHAnsi"/>
          <w:b/>
          <w:bCs/>
          <w:sz w:val="24"/>
          <w:szCs w:val="24"/>
        </w:rPr>
        <w:t xml:space="preserve"> </w:t>
      </w:r>
      <w:r w:rsidRPr="00F106BB">
        <w:rPr>
          <w:rFonts w:asciiTheme="minorHAnsi" w:hAnsiTheme="minorHAnsi" w:cstheme="minorHAnsi"/>
          <w:b/>
          <w:bCs/>
          <w:sz w:val="24"/>
          <w:szCs w:val="24"/>
        </w:rPr>
        <w:tab/>
        <w:t xml:space="preserve">Review of gaming machine tax rebate </w:t>
      </w:r>
    </w:p>
    <w:p w14:paraId="514B39B2" w14:textId="3B538C39" w:rsidR="002E58A0" w:rsidRPr="00F106BB" w:rsidRDefault="002E58A0"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t xml:space="preserve">Section 179A (1) </w:t>
      </w:r>
    </w:p>
    <w:p w14:paraId="7150C4DB" w14:textId="00BD0C03" w:rsidR="00A22D43" w:rsidRPr="00F106BB" w:rsidRDefault="00A22D43" w:rsidP="001A32A5">
      <w:pPr>
        <w:jc w:val="both"/>
        <w:rPr>
          <w:rFonts w:asciiTheme="minorHAnsi" w:hAnsiTheme="minorHAnsi" w:cstheme="minorHAnsi"/>
          <w:sz w:val="24"/>
          <w:szCs w:val="24"/>
        </w:rPr>
      </w:pPr>
      <w:r w:rsidRPr="00F106BB">
        <w:rPr>
          <w:rFonts w:asciiTheme="minorHAnsi" w:hAnsiTheme="minorHAnsi" w:cstheme="minorHAnsi"/>
          <w:sz w:val="24"/>
          <w:szCs w:val="24"/>
        </w:rPr>
        <w:t>This clause omits ‘2022’ and substitutes this with ‘2023’ in section 179A(1)</w:t>
      </w:r>
      <w:r w:rsidR="006D2455">
        <w:rPr>
          <w:rFonts w:asciiTheme="minorHAnsi" w:hAnsiTheme="minorHAnsi" w:cstheme="minorHAnsi"/>
          <w:sz w:val="24"/>
          <w:szCs w:val="24"/>
        </w:rPr>
        <w:t>.</w:t>
      </w:r>
      <w:r w:rsidRPr="00F106BB">
        <w:rPr>
          <w:rFonts w:asciiTheme="minorHAnsi" w:hAnsiTheme="minorHAnsi" w:cstheme="minorHAnsi"/>
          <w:sz w:val="24"/>
          <w:szCs w:val="24"/>
        </w:rPr>
        <w:t xml:space="preserve"> This allows the Minister an additional year to present and table a report to the Legislative Assembly on the review of the operation of section 162A (Gaming machine tax rebate – financial year). </w:t>
      </w:r>
    </w:p>
    <w:p w14:paraId="181FACB9" w14:textId="6F827E24" w:rsidR="002E58A0" w:rsidRPr="00F106BB" w:rsidRDefault="002E58A0"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Clause 1</w:t>
      </w:r>
      <w:r w:rsidR="00D6178B">
        <w:rPr>
          <w:rFonts w:asciiTheme="minorHAnsi" w:hAnsiTheme="minorHAnsi" w:cstheme="minorHAnsi"/>
          <w:b/>
          <w:bCs/>
          <w:sz w:val="24"/>
          <w:szCs w:val="24"/>
        </w:rPr>
        <w:t>5</w:t>
      </w:r>
      <w:r w:rsidRPr="00F106BB">
        <w:rPr>
          <w:rFonts w:asciiTheme="minorHAnsi" w:hAnsiTheme="minorHAnsi" w:cstheme="minorHAnsi"/>
          <w:b/>
          <w:bCs/>
          <w:sz w:val="24"/>
          <w:szCs w:val="24"/>
        </w:rPr>
        <w:t xml:space="preserve"> </w:t>
      </w:r>
      <w:r w:rsidRPr="00F106BB">
        <w:rPr>
          <w:rFonts w:asciiTheme="minorHAnsi" w:hAnsiTheme="minorHAnsi" w:cstheme="minorHAnsi"/>
          <w:b/>
          <w:bCs/>
          <w:sz w:val="24"/>
          <w:szCs w:val="24"/>
        </w:rPr>
        <w:tab/>
        <w:t xml:space="preserve">Section 179A (2) </w:t>
      </w:r>
    </w:p>
    <w:p w14:paraId="7C51FC9C" w14:textId="2296D009" w:rsidR="002E58A0" w:rsidRPr="00F106BB" w:rsidRDefault="00A22D43"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substitutes section 179A(2) to insert that section 179 expires on 8 April 2024. </w:t>
      </w:r>
    </w:p>
    <w:p w14:paraId="0EB7C0CA" w14:textId="77777777" w:rsidR="00A22D43" w:rsidRPr="00F106BB" w:rsidRDefault="00A22D43" w:rsidP="001A32A5">
      <w:pPr>
        <w:jc w:val="both"/>
        <w:rPr>
          <w:rFonts w:asciiTheme="minorHAnsi" w:hAnsiTheme="minorHAnsi" w:cstheme="minorHAnsi"/>
          <w:sz w:val="24"/>
          <w:szCs w:val="24"/>
        </w:rPr>
      </w:pPr>
    </w:p>
    <w:p w14:paraId="05CDD697" w14:textId="3310E4E5" w:rsidR="002E58A0" w:rsidRPr="00F106BB" w:rsidRDefault="002E58A0"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 xml:space="preserve">Part 6 </w:t>
      </w: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t xml:space="preserve">Land Titles Act 1925 </w:t>
      </w:r>
    </w:p>
    <w:p w14:paraId="0D218A07" w14:textId="7C2E2DFA" w:rsidR="002E58A0" w:rsidRPr="00F106BB" w:rsidRDefault="002E58A0"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Clause 1</w:t>
      </w:r>
      <w:r w:rsidR="00D6178B">
        <w:rPr>
          <w:rFonts w:asciiTheme="minorHAnsi" w:hAnsiTheme="minorHAnsi" w:cstheme="minorHAnsi"/>
          <w:b/>
          <w:bCs/>
          <w:sz w:val="24"/>
          <w:szCs w:val="24"/>
        </w:rPr>
        <w:t>6</w:t>
      </w:r>
      <w:r w:rsidRPr="00F106BB">
        <w:rPr>
          <w:rFonts w:asciiTheme="minorHAnsi" w:hAnsiTheme="minorHAnsi" w:cstheme="minorHAnsi"/>
          <w:b/>
          <w:bCs/>
          <w:sz w:val="24"/>
          <w:szCs w:val="24"/>
        </w:rPr>
        <w:t xml:space="preserve"> </w:t>
      </w:r>
      <w:r w:rsidRPr="00F106BB">
        <w:rPr>
          <w:rFonts w:asciiTheme="minorHAnsi" w:hAnsiTheme="minorHAnsi" w:cstheme="minorHAnsi"/>
          <w:b/>
          <w:bCs/>
          <w:sz w:val="24"/>
          <w:szCs w:val="24"/>
        </w:rPr>
        <w:tab/>
        <w:t xml:space="preserve">Signature and witnessing requirements–legal </w:t>
      </w:r>
    </w:p>
    <w:p w14:paraId="2A29F7FD" w14:textId="61290960" w:rsidR="002E58A0" w:rsidRPr="00F106BB" w:rsidRDefault="002E58A0"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t>practitioners and mort</w:t>
      </w:r>
      <w:r w:rsidR="00603AC3">
        <w:rPr>
          <w:rFonts w:asciiTheme="minorHAnsi" w:hAnsiTheme="minorHAnsi" w:cstheme="minorHAnsi"/>
          <w:b/>
          <w:bCs/>
          <w:sz w:val="24"/>
          <w:szCs w:val="24"/>
        </w:rPr>
        <w:t>g</w:t>
      </w:r>
      <w:r w:rsidRPr="00F106BB">
        <w:rPr>
          <w:rFonts w:asciiTheme="minorHAnsi" w:hAnsiTheme="minorHAnsi" w:cstheme="minorHAnsi"/>
          <w:b/>
          <w:bCs/>
          <w:sz w:val="24"/>
          <w:szCs w:val="24"/>
        </w:rPr>
        <w:t xml:space="preserve">agee corporations </w:t>
      </w:r>
      <w:r w:rsidRPr="00F106BB">
        <w:rPr>
          <w:rFonts w:asciiTheme="minorHAnsi" w:hAnsiTheme="minorHAnsi" w:cstheme="minorHAnsi"/>
          <w:b/>
          <w:bCs/>
          <w:sz w:val="24"/>
          <w:szCs w:val="24"/>
        </w:rPr>
        <w:tab/>
      </w:r>
    </w:p>
    <w:p w14:paraId="020D1E6B" w14:textId="11EDAE63" w:rsidR="002E58A0" w:rsidRPr="00F106BB" w:rsidRDefault="002E58A0"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t xml:space="preserve">Section 48BD (1), note </w:t>
      </w:r>
    </w:p>
    <w:p w14:paraId="6647C416" w14:textId="18ADC005" w:rsidR="002E58A0" w:rsidRPr="00F106BB" w:rsidRDefault="002E58A0"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omits ‘div 2’ and substitutes this with ‘div 1’. This clause corrects an incorrect reference to part 2, div 2 of the E-Conveyancing Law. </w:t>
      </w:r>
    </w:p>
    <w:p w14:paraId="3D31AF3E" w14:textId="361CA7B4" w:rsidR="002E58A0" w:rsidRPr="00F106BB" w:rsidRDefault="002E58A0" w:rsidP="001A32A5">
      <w:pPr>
        <w:jc w:val="both"/>
        <w:rPr>
          <w:rFonts w:asciiTheme="minorHAnsi" w:hAnsiTheme="minorHAnsi" w:cstheme="minorHAnsi"/>
          <w:sz w:val="24"/>
          <w:szCs w:val="24"/>
        </w:rPr>
      </w:pPr>
    </w:p>
    <w:p w14:paraId="045A777D" w14:textId="5F19D36B" w:rsidR="002E58A0" w:rsidRPr="00F106BB" w:rsidRDefault="002E58A0"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 xml:space="preserve">Part 7 </w:t>
      </w: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t xml:space="preserve">Limitation Act 1985 </w:t>
      </w:r>
    </w:p>
    <w:p w14:paraId="7CD097CB" w14:textId="0BA56390" w:rsidR="002E58A0" w:rsidRPr="00F106BB" w:rsidRDefault="002E58A0"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Clause 1</w:t>
      </w:r>
      <w:r w:rsidR="00D6178B">
        <w:rPr>
          <w:rFonts w:asciiTheme="minorHAnsi" w:hAnsiTheme="minorHAnsi" w:cstheme="minorHAnsi"/>
          <w:b/>
          <w:bCs/>
          <w:sz w:val="24"/>
          <w:szCs w:val="24"/>
        </w:rPr>
        <w:t>7</w:t>
      </w:r>
      <w:r w:rsidRPr="00F106BB">
        <w:rPr>
          <w:rFonts w:asciiTheme="minorHAnsi" w:hAnsiTheme="minorHAnsi" w:cstheme="minorHAnsi"/>
          <w:b/>
          <w:bCs/>
          <w:sz w:val="24"/>
          <w:szCs w:val="24"/>
        </w:rPr>
        <w:t xml:space="preserve"> </w:t>
      </w:r>
      <w:r w:rsidRPr="00F106BB">
        <w:rPr>
          <w:rFonts w:asciiTheme="minorHAnsi" w:hAnsiTheme="minorHAnsi" w:cstheme="minorHAnsi"/>
          <w:b/>
          <w:bCs/>
          <w:sz w:val="24"/>
          <w:szCs w:val="24"/>
        </w:rPr>
        <w:tab/>
        <w:t xml:space="preserve">Section 21C heading </w:t>
      </w:r>
    </w:p>
    <w:p w14:paraId="33FCA7CC" w14:textId="26E176AA" w:rsidR="00A22D43" w:rsidRPr="00F106BB" w:rsidRDefault="00A22D43"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substitutes the heading of section 21C of the </w:t>
      </w:r>
      <w:r w:rsidRPr="00AB6A02">
        <w:rPr>
          <w:rFonts w:asciiTheme="minorHAnsi" w:hAnsiTheme="minorHAnsi" w:cstheme="minorHAnsi"/>
          <w:sz w:val="24"/>
          <w:szCs w:val="24"/>
        </w:rPr>
        <w:t>Limitation Act</w:t>
      </w:r>
      <w:r w:rsidRPr="00F106BB">
        <w:rPr>
          <w:rFonts w:asciiTheme="minorHAnsi" w:hAnsiTheme="minorHAnsi" w:cstheme="minorHAnsi"/>
          <w:i/>
          <w:iCs/>
          <w:sz w:val="24"/>
          <w:szCs w:val="24"/>
        </w:rPr>
        <w:t xml:space="preserve"> </w:t>
      </w:r>
      <w:r w:rsidRPr="00F106BB">
        <w:rPr>
          <w:rFonts w:asciiTheme="minorHAnsi" w:hAnsiTheme="minorHAnsi" w:cstheme="minorHAnsi"/>
          <w:sz w:val="24"/>
          <w:szCs w:val="24"/>
        </w:rPr>
        <w:t xml:space="preserve">with ‘Personal injury resulting from child abuse’. </w:t>
      </w:r>
    </w:p>
    <w:p w14:paraId="7AC7604F" w14:textId="32921520" w:rsidR="00DA5D7F" w:rsidRPr="00F106BB" w:rsidRDefault="00DA5D7F"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Clause 1</w:t>
      </w:r>
      <w:r w:rsidR="00D6178B">
        <w:rPr>
          <w:rFonts w:asciiTheme="minorHAnsi" w:hAnsiTheme="minorHAnsi" w:cstheme="minorHAnsi"/>
          <w:b/>
          <w:bCs/>
          <w:sz w:val="24"/>
          <w:szCs w:val="24"/>
        </w:rPr>
        <w:t>8</w:t>
      </w:r>
      <w:r w:rsidRPr="00F106BB">
        <w:rPr>
          <w:rFonts w:asciiTheme="minorHAnsi" w:hAnsiTheme="minorHAnsi" w:cstheme="minorHAnsi"/>
          <w:b/>
          <w:bCs/>
          <w:sz w:val="24"/>
          <w:szCs w:val="24"/>
        </w:rPr>
        <w:t xml:space="preserve"> </w:t>
      </w:r>
      <w:r w:rsidRPr="00F106BB">
        <w:rPr>
          <w:rFonts w:asciiTheme="minorHAnsi" w:hAnsiTheme="minorHAnsi" w:cstheme="minorHAnsi"/>
          <w:b/>
          <w:bCs/>
          <w:sz w:val="24"/>
          <w:szCs w:val="24"/>
        </w:rPr>
        <w:tab/>
        <w:t xml:space="preserve">Section 21C (1) (a) </w:t>
      </w:r>
    </w:p>
    <w:p w14:paraId="7C82C629" w14:textId="4A265132" w:rsidR="00DA5D7F" w:rsidRPr="00F106BB" w:rsidRDefault="00DA5D7F"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omits ‘sexual abuse’ and substitutes with ‘child abuse’. This clause gives effect to the new definition of child abuse to encompass physical </w:t>
      </w:r>
      <w:r w:rsidR="004975BB">
        <w:rPr>
          <w:rFonts w:asciiTheme="minorHAnsi" w:hAnsiTheme="minorHAnsi" w:cstheme="minorHAnsi"/>
          <w:sz w:val="24"/>
          <w:szCs w:val="24"/>
        </w:rPr>
        <w:t>or</w:t>
      </w:r>
      <w:r w:rsidRPr="00F106BB">
        <w:rPr>
          <w:rFonts w:asciiTheme="minorHAnsi" w:hAnsiTheme="minorHAnsi" w:cstheme="minorHAnsi"/>
          <w:sz w:val="24"/>
          <w:szCs w:val="24"/>
        </w:rPr>
        <w:t xml:space="preserve"> sexual abuse. </w:t>
      </w:r>
      <w:r w:rsidR="00293D5B" w:rsidRPr="00F106BB">
        <w:rPr>
          <w:rFonts w:asciiTheme="minorHAnsi" w:hAnsiTheme="minorHAnsi" w:cstheme="minorHAnsi"/>
          <w:sz w:val="24"/>
          <w:szCs w:val="24"/>
        </w:rPr>
        <w:t xml:space="preserve">This clause further has the effect (by virtue of section 21C(2)) of removing the limitation period for causes of action arising from physical abuse as a child.  </w:t>
      </w:r>
    </w:p>
    <w:p w14:paraId="205374F9" w14:textId="29413D66" w:rsidR="00DA5D7F" w:rsidRPr="00F106BB" w:rsidRDefault="00DA5D7F"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 xml:space="preserve">Clause </w:t>
      </w:r>
      <w:r w:rsidR="00D6178B">
        <w:rPr>
          <w:rFonts w:asciiTheme="minorHAnsi" w:hAnsiTheme="minorHAnsi" w:cstheme="minorHAnsi"/>
          <w:b/>
          <w:bCs/>
          <w:sz w:val="24"/>
          <w:szCs w:val="24"/>
        </w:rPr>
        <w:t>19</w:t>
      </w:r>
      <w:r w:rsidRPr="00F106BB">
        <w:rPr>
          <w:rFonts w:asciiTheme="minorHAnsi" w:hAnsiTheme="minorHAnsi" w:cstheme="minorHAnsi"/>
          <w:b/>
          <w:bCs/>
          <w:sz w:val="24"/>
          <w:szCs w:val="24"/>
        </w:rPr>
        <w:t xml:space="preserve"> </w:t>
      </w:r>
      <w:r w:rsidRPr="00F106BB">
        <w:rPr>
          <w:rFonts w:asciiTheme="minorHAnsi" w:hAnsiTheme="minorHAnsi" w:cstheme="minorHAnsi"/>
          <w:b/>
          <w:bCs/>
          <w:sz w:val="24"/>
          <w:szCs w:val="24"/>
        </w:rPr>
        <w:tab/>
        <w:t xml:space="preserve">Section 21C (4) </w:t>
      </w:r>
    </w:p>
    <w:p w14:paraId="652530C9" w14:textId="3B05BEA3" w:rsidR="00293D5B" w:rsidRPr="00F106BB" w:rsidRDefault="00DA5D7F"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substitutes </w:t>
      </w:r>
      <w:r w:rsidR="00293D5B" w:rsidRPr="00F106BB">
        <w:rPr>
          <w:rFonts w:asciiTheme="minorHAnsi" w:hAnsiTheme="minorHAnsi" w:cstheme="minorHAnsi"/>
          <w:sz w:val="24"/>
          <w:szCs w:val="24"/>
        </w:rPr>
        <w:t xml:space="preserve">a new </w:t>
      </w:r>
      <w:r w:rsidRPr="00F106BB">
        <w:rPr>
          <w:rFonts w:asciiTheme="minorHAnsi" w:hAnsiTheme="minorHAnsi" w:cstheme="minorHAnsi"/>
          <w:sz w:val="24"/>
          <w:szCs w:val="24"/>
        </w:rPr>
        <w:t xml:space="preserve">section 21C(4) </w:t>
      </w:r>
      <w:r w:rsidR="00293D5B" w:rsidRPr="00F106BB">
        <w:rPr>
          <w:rFonts w:asciiTheme="minorHAnsi" w:hAnsiTheme="minorHAnsi" w:cstheme="minorHAnsi"/>
          <w:sz w:val="24"/>
          <w:szCs w:val="24"/>
        </w:rPr>
        <w:t>which</w:t>
      </w:r>
      <w:r w:rsidRPr="00F106BB">
        <w:rPr>
          <w:rFonts w:asciiTheme="minorHAnsi" w:hAnsiTheme="minorHAnsi" w:cstheme="minorHAnsi"/>
          <w:sz w:val="24"/>
          <w:szCs w:val="24"/>
        </w:rPr>
        <w:t xml:space="preserve"> provide</w:t>
      </w:r>
      <w:r w:rsidR="00293D5B" w:rsidRPr="00F106BB">
        <w:rPr>
          <w:rFonts w:asciiTheme="minorHAnsi" w:hAnsiTheme="minorHAnsi" w:cstheme="minorHAnsi"/>
          <w:sz w:val="24"/>
          <w:szCs w:val="24"/>
        </w:rPr>
        <w:t>s</w:t>
      </w:r>
      <w:r w:rsidRPr="00F106BB">
        <w:rPr>
          <w:rFonts w:asciiTheme="minorHAnsi" w:hAnsiTheme="minorHAnsi" w:cstheme="minorHAnsi"/>
          <w:sz w:val="24"/>
          <w:szCs w:val="24"/>
        </w:rPr>
        <w:t xml:space="preserve"> that in t</w:t>
      </w:r>
      <w:r w:rsidR="00077470" w:rsidRPr="00F106BB">
        <w:rPr>
          <w:rFonts w:asciiTheme="minorHAnsi" w:hAnsiTheme="minorHAnsi" w:cstheme="minorHAnsi"/>
          <w:sz w:val="24"/>
          <w:szCs w:val="24"/>
        </w:rPr>
        <w:t xml:space="preserve">he </w:t>
      </w:r>
      <w:r w:rsidRPr="00F106BB">
        <w:rPr>
          <w:rFonts w:asciiTheme="minorHAnsi" w:hAnsiTheme="minorHAnsi" w:cstheme="minorHAnsi"/>
          <w:sz w:val="24"/>
          <w:szCs w:val="24"/>
        </w:rPr>
        <w:t xml:space="preserve">section (section 21C) </w:t>
      </w:r>
      <w:r w:rsidR="00077470" w:rsidRPr="00F106BB">
        <w:rPr>
          <w:rFonts w:asciiTheme="minorHAnsi" w:hAnsiTheme="minorHAnsi" w:cstheme="minorHAnsi"/>
          <w:sz w:val="24"/>
          <w:szCs w:val="24"/>
        </w:rPr>
        <w:t>‘</w:t>
      </w:r>
      <w:r w:rsidRPr="00F106BB">
        <w:rPr>
          <w:rFonts w:asciiTheme="minorHAnsi" w:hAnsiTheme="minorHAnsi" w:cstheme="minorHAnsi"/>
          <w:sz w:val="24"/>
          <w:szCs w:val="24"/>
        </w:rPr>
        <w:t>child abuse</w:t>
      </w:r>
      <w:r w:rsidR="00077470" w:rsidRPr="00F106BB">
        <w:rPr>
          <w:rFonts w:asciiTheme="minorHAnsi" w:hAnsiTheme="minorHAnsi" w:cstheme="minorHAnsi"/>
          <w:sz w:val="24"/>
          <w:szCs w:val="24"/>
        </w:rPr>
        <w:t>’</w:t>
      </w:r>
      <w:r w:rsidRPr="00F106BB">
        <w:rPr>
          <w:rFonts w:asciiTheme="minorHAnsi" w:hAnsiTheme="minorHAnsi" w:cstheme="minorHAnsi"/>
          <w:sz w:val="24"/>
          <w:szCs w:val="24"/>
        </w:rPr>
        <w:t xml:space="preserve"> is defined as per the </w:t>
      </w:r>
      <w:r w:rsidRPr="00AB6A02">
        <w:rPr>
          <w:rFonts w:asciiTheme="minorHAnsi" w:hAnsiTheme="minorHAnsi" w:cstheme="minorHAnsi"/>
          <w:sz w:val="24"/>
          <w:szCs w:val="24"/>
        </w:rPr>
        <w:t>Civil Law (Wrongs) Act</w:t>
      </w:r>
      <w:r w:rsidRPr="00F106BB">
        <w:rPr>
          <w:rFonts w:asciiTheme="minorHAnsi" w:hAnsiTheme="minorHAnsi" w:cstheme="minorHAnsi"/>
          <w:i/>
          <w:iCs/>
          <w:sz w:val="24"/>
          <w:szCs w:val="24"/>
        </w:rPr>
        <w:t xml:space="preserve"> </w:t>
      </w:r>
      <w:r w:rsidRPr="00F106BB">
        <w:rPr>
          <w:rFonts w:asciiTheme="minorHAnsi" w:hAnsiTheme="minorHAnsi" w:cstheme="minorHAnsi"/>
          <w:sz w:val="24"/>
          <w:szCs w:val="24"/>
        </w:rPr>
        <w:t>section 114AA(1), and</w:t>
      </w:r>
      <w:r w:rsidR="00293D5B" w:rsidRPr="00F106BB">
        <w:rPr>
          <w:rFonts w:asciiTheme="minorHAnsi" w:hAnsiTheme="minorHAnsi" w:cstheme="minorHAnsi"/>
          <w:sz w:val="24"/>
          <w:szCs w:val="24"/>
        </w:rPr>
        <w:t xml:space="preserve"> defines</w:t>
      </w:r>
      <w:r w:rsidRPr="00F106BB">
        <w:rPr>
          <w:rFonts w:asciiTheme="minorHAnsi" w:hAnsiTheme="minorHAnsi" w:cstheme="minorHAnsi"/>
          <w:sz w:val="24"/>
          <w:szCs w:val="24"/>
        </w:rPr>
        <w:t xml:space="preserve"> ‘subjected’ in relation to child abuse,</w:t>
      </w:r>
      <w:r w:rsidR="00293D5B" w:rsidRPr="00F106BB">
        <w:rPr>
          <w:rFonts w:asciiTheme="minorHAnsi" w:hAnsiTheme="minorHAnsi" w:cstheme="minorHAnsi"/>
          <w:sz w:val="24"/>
          <w:szCs w:val="24"/>
        </w:rPr>
        <w:t xml:space="preserve"> to</w:t>
      </w:r>
      <w:r w:rsidRPr="00F106BB">
        <w:rPr>
          <w:rFonts w:asciiTheme="minorHAnsi" w:hAnsiTheme="minorHAnsi" w:cstheme="minorHAnsi"/>
          <w:sz w:val="24"/>
          <w:szCs w:val="24"/>
        </w:rPr>
        <w:t xml:space="preserve"> include witness. </w:t>
      </w:r>
      <w:r w:rsidR="00077470" w:rsidRPr="00F106BB">
        <w:rPr>
          <w:rFonts w:asciiTheme="minorHAnsi" w:hAnsiTheme="minorHAnsi" w:cstheme="minorHAnsi"/>
          <w:sz w:val="24"/>
          <w:szCs w:val="24"/>
        </w:rPr>
        <w:t xml:space="preserve">Section 114AA(1) of the </w:t>
      </w:r>
      <w:r w:rsidR="00077470" w:rsidRPr="004975BB">
        <w:rPr>
          <w:rFonts w:asciiTheme="minorHAnsi" w:hAnsiTheme="minorHAnsi" w:cstheme="minorHAnsi"/>
          <w:sz w:val="24"/>
          <w:szCs w:val="24"/>
        </w:rPr>
        <w:t>Civil Law (Wrongs) Act</w:t>
      </w:r>
      <w:r w:rsidR="00077470" w:rsidRPr="00F106BB">
        <w:rPr>
          <w:rFonts w:asciiTheme="minorHAnsi" w:hAnsiTheme="minorHAnsi" w:cstheme="minorHAnsi"/>
          <w:i/>
          <w:iCs/>
          <w:sz w:val="24"/>
          <w:szCs w:val="24"/>
        </w:rPr>
        <w:t xml:space="preserve"> </w:t>
      </w:r>
      <w:r w:rsidR="00077470" w:rsidRPr="00F106BB">
        <w:rPr>
          <w:rFonts w:asciiTheme="minorHAnsi" w:hAnsiTheme="minorHAnsi" w:cstheme="minorHAnsi"/>
          <w:sz w:val="24"/>
          <w:szCs w:val="24"/>
        </w:rPr>
        <w:t xml:space="preserve">defines ‘child abuse’ as physical abuse or sexual abuse of a child. Physical abuse does not include conduct that is justified or excused under a law applying in the Territory. </w:t>
      </w:r>
    </w:p>
    <w:p w14:paraId="05C2765D" w14:textId="050DE918" w:rsidR="00DA5D7F" w:rsidRPr="00F106BB" w:rsidRDefault="00293D5B" w:rsidP="001A32A5">
      <w:pPr>
        <w:jc w:val="both"/>
        <w:rPr>
          <w:rFonts w:asciiTheme="minorHAnsi" w:hAnsiTheme="minorHAnsi" w:cstheme="minorHAnsi"/>
          <w:sz w:val="24"/>
          <w:szCs w:val="24"/>
        </w:rPr>
      </w:pPr>
      <w:r w:rsidRPr="00F106BB">
        <w:rPr>
          <w:rFonts w:asciiTheme="minorHAnsi" w:hAnsiTheme="minorHAnsi" w:cstheme="minorHAnsi"/>
          <w:sz w:val="24"/>
          <w:szCs w:val="24"/>
        </w:rPr>
        <w:lastRenderedPageBreak/>
        <w:t xml:space="preserve">This clause has the effect of removing limitation periods on causes of action arising from physical abuse as a child. </w:t>
      </w:r>
    </w:p>
    <w:p w14:paraId="37509267" w14:textId="6215F57E" w:rsidR="008B2D08" w:rsidRPr="00F106BB" w:rsidRDefault="008B2D08"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Clause 2</w:t>
      </w:r>
      <w:r w:rsidR="00D6178B">
        <w:rPr>
          <w:rFonts w:asciiTheme="minorHAnsi" w:hAnsiTheme="minorHAnsi" w:cstheme="minorHAnsi"/>
          <w:b/>
          <w:bCs/>
          <w:sz w:val="24"/>
          <w:szCs w:val="24"/>
        </w:rPr>
        <w:t>0</w:t>
      </w:r>
      <w:r w:rsidRPr="00F106BB">
        <w:rPr>
          <w:rFonts w:asciiTheme="minorHAnsi" w:hAnsiTheme="minorHAnsi" w:cstheme="minorHAnsi"/>
          <w:b/>
          <w:bCs/>
          <w:sz w:val="24"/>
          <w:szCs w:val="24"/>
        </w:rPr>
        <w:t xml:space="preserve"> </w:t>
      </w:r>
      <w:r w:rsidRPr="00F106BB">
        <w:rPr>
          <w:rFonts w:asciiTheme="minorHAnsi" w:hAnsiTheme="minorHAnsi" w:cstheme="minorHAnsi"/>
          <w:b/>
          <w:bCs/>
          <w:sz w:val="24"/>
          <w:szCs w:val="24"/>
        </w:rPr>
        <w:tab/>
        <w:t xml:space="preserve">Special provision in relation to child–claims relating </w:t>
      </w:r>
    </w:p>
    <w:p w14:paraId="4F109854" w14:textId="2AD01B89" w:rsidR="008B2D08" w:rsidRPr="00F106BB" w:rsidRDefault="008B2D08"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t xml:space="preserve">to health services </w:t>
      </w:r>
    </w:p>
    <w:p w14:paraId="0CBD1EC7" w14:textId="28D7DBD7" w:rsidR="008B2D08" w:rsidRPr="00F106BB" w:rsidRDefault="008B2D08"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t>Section 30B (1) (b) (ii)</w:t>
      </w:r>
    </w:p>
    <w:p w14:paraId="7C1986B7" w14:textId="6058175D" w:rsidR="008B2D08" w:rsidRPr="00F106BB" w:rsidRDefault="008B2D08"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omits ‘(Personal injury resulting from sexual abuse of a child’ and substitutes this with ‘(Personal injury resulting from child abuse)’ to give effect to the new definition of child abuse to include physical </w:t>
      </w:r>
      <w:r w:rsidR="004975BB">
        <w:rPr>
          <w:rFonts w:asciiTheme="minorHAnsi" w:hAnsiTheme="minorHAnsi" w:cstheme="minorHAnsi"/>
          <w:sz w:val="24"/>
          <w:szCs w:val="24"/>
        </w:rPr>
        <w:t>or</w:t>
      </w:r>
      <w:r w:rsidRPr="00F106BB">
        <w:rPr>
          <w:rFonts w:asciiTheme="minorHAnsi" w:hAnsiTheme="minorHAnsi" w:cstheme="minorHAnsi"/>
          <w:sz w:val="24"/>
          <w:szCs w:val="24"/>
        </w:rPr>
        <w:t xml:space="preserve"> sexual abuse. </w:t>
      </w:r>
    </w:p>
    <w:p w14:paraId="2FAF272B" w14:textId="6D7E7A6E" w:rsidR="008B2D08" w:rsidRPr="00F106BB" w:rsidRDefault="008B2D08" w:rsidP="001A32A5">
      <w:pPr>
        <w:jc w:val="both"/>
        <w:rPr>
          <w:rFonts w:asciiTheme="minorHAnsi" w:hAnsiTheme="minorHAnsi" w:cstheme="minorHAnsi"/>
          <w:sz w:val="24"/>
          <w:szCs w:val="24"/>
        </w:rPr>
      </w:pPr>
    </w:p>
    <w:p w14:paraId="282BB7B0" w14:textId="1EB8A4BD" w:rsidR="008B2D08" w:rsidRPr="00F106BB" w:rsidRDefault="008B2D08"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 xml:space="preserve">Part 8 </w:t>
      </w: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t xml:space="preserve">Residential Tenancies Act 1997 </w:t>
      </w:r>
    </w:p>
    <w:p w14:paraId="2C94ADC5" w14:textId="7F77C72C" w:rsidR="008B2D08" w:rsidRPr="00F106BB" w:rsidRDefault="008B2D08"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Clause 2</w:t>
      </w:r>
      <w:r w:rsidR="00D6178B">
        <w:rPr>
          <w:rFonts w:asciiTheme="minorHAnsi" w:hAnsiTheme="minorHAnsi" w:cstheme="minorHAnsi"/>
          <w:b/>
          <w:bCs/>
          <w:sz w:val="24"/>
          <w:szCs w:val="24"/>
        </w:rPr>
        <w:t>1</w:t>
      </w:r>
      <w:r w:rsidRPr="00F106BB">
        <w:rPr>
          <w:rFonts w:asciiTheme="minorHAnsi" w:hAnsiTheme="minorHAnsi" w:cstheme="minorHAnsi"/>
          <w:b/>
          <w:bCs/>
          <w:sz w:val="24"/>
          <w:szCs w:val="24"/>
        </w:rPr>
        <w:t xml:space="preserve"> </w:t>
      </w:r>
      <w:r w:rsidRPr="00F106BB">
        <w:rPr>
          <w:rFonts w:asciiTheme="minorHAnsi" w:hAnsiTheme="minorHAnsi" w:cstheme="minorHAnsi"/>
          <w:b/>
          <w:bCs/>
          <w:sz w:val="24"/>
          <w:szCs w:val="24"/>
        </w:rPr>
        <w:tab/>
        <w:t xml:space="preserve">Lessor’s obligations </w:t>
      </w:r>
    </w:p>
    <w:p w14:paraId="348F3AD2" w14:textId="1B22174B" w:rsidR="008B2D08" w:rsidRPr="00F106BB" w:rsidRDefault="008B2D08"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t xml:space="preserve">Section 12 (4), definition of asbestos advice </w:t>
      </w:r>
    </w:p>
    <w:p w14:paraId="05E450E5" w14:textId="0CF57ECC" w:rsidR="008B2D08" w:rsidRPr="00F106BB" w:rsidRDefault="008B2D08"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substitutes the definition of asbestos advice to mean an advice notified under the </w:t>
      </w:r>
      <w:r w:rsidRPr="00F106BB">
        <w:rPr>
          <w:rFonts w:asciiTheme="minorHAnsi" w:hAnsiTheme="minorHAnsi" w:cstheme="minorHAnsi"/>
          <w:i/>
          <w:iCs/>
          <w:sz w:val="24"/>
          <w:szCs w:val="24"/>
        </w:rPr>
        <w:t>Dangerous Substances Act 2004</w:t>
      </w:r>
      <w:r w:rsidRPr="00F106BB">
        <w:rPr>
          <w:rFonts w:asciiTheme="minorHAnsi" w:hAnsiTheme="minorHAnsi" w:cstheme="minorHAnsi"/>
          <w:sz w:val="24"/>
          <w:szCs w:val="24"/>
        </w:rPr>
        <w:t xml:space="preserve">, section 47M. This clause corrects an error in the legislation that incorrectly referred to section 42J of the </w:t>
      </w:r>
      <w:r w:rsidRPr="00AB6A02">
        <w:rPr>
          <w:rFonts w:asciiTheme="minorHAnsi" w:hAnsiTheme="minorHAnsi" w:cstheme="minorHAnsi"/>
          <w:sz w:val="24"/>
          <w:szCs w:val="24"/>
        </w:rPr>
        <w:t>Dangerous Substances Act</w:t>
      </w:r>
      <w:r w:rsidRPr="00F106BB">
        <w:rPr>
          <w:rFonts w:asciiTheme="minorHAnsi" w:hAnsiTheme="minorHAnsi" w:cstheme="minorHAnsi"/>
          <w:sz w:val="24"/>
          <w:szCs w:val="24"/>
        </w:rPr>
        <w:t xml:space="preserve">. </w:t>
      </w:r>
    </w:p>
    <w:p w14:paraId="68574E09" w14:textId="5802DFCD" w:rsidR="004C35CB" w:rsidRPr="00F106BB" w:rsidRDefault="004C35CB"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Clause 2</w:t>
      </w:r>
      <w:r w:rsidR="00D6178B">
        <w:rPr>
          <w:rFonts w:asciiTheme="minorHAnsi" w:hAnsiTheme="minorHAnsi" w:cstheme="minorHAnsi"/>
          <w:b/>
          <w:bCs/>
          <w:sz w:val="24"/>
          <w:szCs w:val="24"/>
        </w:rPr>
        <w:t>2</w:t>
      </w:r>
      <w:r w:rsidRPr="00F106BB">
        <w:rPr>
          <w:rFonts w:asciiTheme="minorHAnsi" w:hAnsiTheme="minorHAnsi" w:cstheme="minorHAnsi"/>
          <w:b/>
          <w:bCs/>
          <w:sz w:val="24"/>
          <w:szCs w:val="24"/>
        </w:rPr>
        <w:t xml:space="preserve"> </w:t>
      </w:r>
      <w:r w:rsidRPr="00F106BB">
        <w:rPr>
          <w:rFonts w:asciiTheme="minorHAnsi" w:hAnsiTheme="minorHAnsi" w:cstheme="minorHAnsi"/>
          <w:b/>
          <w:bCs/>
          <w:sz w:val="24"/>
          <w:szCs w:val="24"/>
        </w:rPr>
        <w:tab/>
        <w:t xml:space="preserve">Co-tenant may leave residential tenancy agreement </w:t>
      </w:r>
      <w:r w:rsidRPr="00F106BB">
        <w:rPr>
          <w:rFonts w:asciiTheme="minorHAnsi" w:hAnsiTheme="minorHAnsi" w:cstheme="minorHAnsi"/>
          <w:b/>
          <w:bCs/>
          <w:sz w:val="24"/>
          <w:szCs w:val="24"/>
        </w:rPr>
        <w:tab/>
      </w:r>
    </w:p>
    <w:p w14:paraId="10C07A54" w14:textId="3A020D15" w:rsidR="004C35CB" w:rsidRPr="00F106BB" w:rsidRDefault="004C35CB"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t xml:space="preserve">Section 35A (4) (b) </w:t>
      </w:r>
    </w:p>
    <w:p w14:paraId="4C9F8CAA" w14:textId="234299DA" w:rsidR="004C35CB" w:rsidRPr="00F106BB" w:rsidRDefault="00A22D43" w:rsidP="001A32A5">
      <w:pPr>
        <w:jc w:val="both"/>
        <w:rPr>
          <w:rFonts w:asciiTheme="minorHAnsi" w:hAnsiTheme="minorHAnsi" w:cstheme="minorHAnsi"/>
          <w:sz w:val="24"/>
          <w:szCs w:val="24"/>
        </w:rPr>
      </w:pPr>
      <w:r w:rsidRPr="00F106BB">
        <w:rPr>
          <w:rFonts w:asciiTheme="minorHAnsi" w:hAnsiTheme="minorHAnsi" w:cstheme="minorHAnsi"/>
          <w:sz w:val="24"/>
          <w:szCs w:val="24"/>
        </w:rPr>
        <w:t>This clause omits ‘(2)(a)’ and substitutes this with ‘(2)’</w:t>
      </w:r>
      <w:r w:rsidR="001C7868" w:rsidRPr="00F106BB">
        <w:rPr>
          <w:rFonts w:asciiTheme="minorHAnsi" w:hAnsiTheme="minorHAnsi" w:cstheme="minorHAnsi"/>
          <w:sz w:val="24"/>
          <w:szCs w:val="24"/>
        </w:rPr>
        <w:t xml:space="preserve"> </w:t>
      </w:r>
      <w:r w:rsidR="00BB5034" w:rsidRPr="00F106BB">
        <w:rPr>
          <w:rFonts w:asciiTheme="minorHAnsi" w:hAnsiTheme="minorHAnsi" w:cstheme="minorHAnsi"/>
          <w:sz w:val="24"/>
          <w:szCs w:val="24"/>
        </w:rPr>
        <w:t xml:space="preserve">to reference section 35G(2) (rather than 35G(2)(a) which does not exist) </w:t>
      </w:r>
      <w:r w:rsidR="001C7868" w:rsidRPr="00F106BB">
        <w:rPr>
          <w:rFonts w:asciiTheme="minorHAnsi" w:hAnsiTheme="minorHAnsi" w:cstheme="minorHAnsi"/>
          <w:sz w:val="24"/>
          <w:szCs w:val="24"/>
        </w:rPr>
        <w:t>in section 35A(4)(b).</w:t>
      </w:r>
      <w:r w:rsidR="00BB5034" w:rsidRPr="00F106BB">
        <w:rPr>
          <w:rFonts w:asciiTheme="minorHAnsi" w:hAnsiTheme="minorHAnsi" w:cstheme="minorHAnsi"/>
          <w:sz w:val="24"/>
          <w:szCs w:val="24"/>
        </w:rPr>
        <w:t xml:space="preserve"> Section 35A relates to co-tenants leaving residential tenancy agreements, and section 35A(4) relates to when a lessor and remaining co-tenant consent to a co-tenant leaving a residential tenancy agreement. Section 35G(2) outlines that the ACAT may order that the lessor may refuse consent for a co-tenant to stop being a party to an agreement under section 35A(4)(b). </w:t>
      </w:r>
    </w:p>
    <w:p w14:paraId="0F75F898" w14:textId="01509F22" w:rsidR="004C35CB" w:rsidRPr="00F106BB" w:rsidRDefault="004C35CB"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Clause 2</w:t>
      </w:r>
      <w:r w:rsidR="00D6178B">
        <w:rPr>
          <w:rFonts w:asciiTheme="minorHAnsi" w:hAnsiTheme="minorHAnsi" w:cstheme="minorHAnsi"/>
          <w:b/>
          <w:bCs/>
          <w:sz w:val="24"/>
          <w:szCs w:val="24"/>
        </w:rPr>
        <w:t>3</w:t>
      </w:r>
      <w:r w:rsidRPr="00F106BB">
        <w:rPr>
          <w:rFonts w:asciiTheme="minorHAnsi" w:hAnsiTheme="minorHAnsi" w:cstheme="minorHAnsi"/>
          <w:b/>
          <w:bCs/>
          <w:sz w:val="24"/>
          <w:szCs w:val="24"/>
        </w:rPr>
        <w:t xml:space="preserve"> </w:t>
      </w:r>
      <w:r w:rsidRPr="00F106BB">
        <w:rPr>
          <w:rFonts w:asciiTheme="minorHAnsi" w:hAnsiTheme="minorHAnsi" w:cstheme="minorHAnsi"/>
          <w:b/>
          <w:bCs/>
          <w:sz w:val="24"/>
          <w:szCs w:val="24"/>
        </w:rPr>
        <w:tab/>
        <w:t xml:space="preserve">Repayment of bond to leaving co-tenant </w:t>
      </w:r>
      <w:r w:rsidRPr="00F106BB">
        <w:rPr>
          <w:rFonts w:asciiTheme="minorHAnsi" w:hAnsiTheme="minorHAnsi" w:cstheme="minorHAnsi"/>
          <w:b/>
          <w:bCs/>
          <w:sz w:val="24"/>
          <w:szCs w:val="24"/>
        </w:rPr>
        <w:tab/>
      </w:r>
    </w:p>
    <w:p w14:paraId="2C27CB33" w14:textId="186F73FB" w:rsidR="004C35CB" w:rsidRPr="00F106BB" w:rsidRDefault="004C35CB"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t>Section 35</w:t>
      </w:r>
      <w:r w:rsidR="00745F3B" w:rsidRPr="00F106BB">
        <w:rPr>
          <w:rFonts w:asciiTheme="minorHAnsi" w:hAnsiTheme="minorHAnsi" w:cstheme="minorHAnsi"/>
          <w:b/>
          <w:bCs/>
          <w:sz w:val="24"/>
          <w:szCs w:val="24"/>
        </w:rPr>
        <w:t xml:space="preserve">B (6), note </w:t>
      </w:r>
    </w:p>
    <w:p w14:paraId="08819996" w14:textId="3E6BD71F" w:rsidR="00A22D43" w:rsidRPr="00F106BB" w:rsidRDefault="00A22D43"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omits ‘s 83(c)’ and substitutes with ‘s 83(1)(c)’ in the note at 35B(6), which relates to the ability for a leaving co-tenant to apply to the ACAT for resolution of certain tenancy disputes even if the co-tenant has stopped being a party to the residential tenancy agreement. This clause corrects an error in the legislation which incorrectly references s 83(c), a provision which does not exist in the </w:t>
      </w:r>
      <w:r w:rsidRPr="004975BB">
        <w:rPr>
          <w:rFonts w:asciiTheme="minorHAnsi" w:hAnsiTheme="minorHAnsi" w:cstheme="minorHAnsi"/>
          <w:sz w:val="24"/>
          <w:szCs w:val="24"/>
        </w:rPr>
        <w:t>Residential Tenancies Act</w:t>
      </w:r>
      <w:r w:rsidRPr="00F106BB">
        <w:rPr>
          <w:rFonts w:asciiTheme="minorHAnsi" w:hAnsiTheme="minorHAnsi" w:cstheme="minorHAnsi"/>
          <w:sz w:val="24"/>
          <w:szCs w:val="24"/>
        </w:rPr>
        <w:t xml:space="preserve">. The correct reference is section 83(1)(c) which outlines the orders the ACAT may make in relation to an application about a tenancy dispute or occupancy dispute, including an order requiring the payment of an amount to the Territory or a person. </w:t>
      </w:r>
    </w:p>
    <w:p w14:paraId="13ABBD51" w14:textId="410E085D" w:rsidR="00745F3B" w:rsidRPr="00F106BB" w:rsidRDefault="00745F3B"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lastRenderedPageBreak/>
        <w:t>Clause 2</w:t>
      </w:r>
      <w:r w:rsidR="00D6178B">
        <w:rPr>
          <w:rFonts w:asciiTheme="minorHAnsi" w:hAnsiTheme="minorHAnsi" w:cstheme="minorHAnsi"/>
          <w:b/>
          <w:bCs/>
          <w:sz w:val="24"/>
          <w:szCs w:val="24"/>
        </w:rPr>
        <w:t>4</w:t>
      </w:r>
      <w:r w:rsidRPr="00F106BB">
        <w:rPr>
          <w:rFonts w:asciiTheme="minorHAnsi" w:hAnsiTheme="minorHAnsi" w:cstheme="minorHAnsi"/>
          <w:b/>
          <w:bCs/>
          <w:sz w:val="24"/>
          <w:szCs w:val="24"/>
        </w:rPr>
        <w:t xml:space="preserve"> </w:t>
      </w:r>
      <w:r w:rsidRPr="00F106BB">
        <w:rPr>
          <w:rFonts w:asciiTheme="minorHAnsi" w:hAnsiTheme="minorHAnsi" w:cstheme="minorHAnsi"/>
          <w:b/>
          <w:bCs/>
          <w:sz w:val="24"/>
          <w:szCs w:val="24"/>
        </w:rPr>
        <w:tab/>
        <w:t xml:space="preserve">Standard residential tenancy terms </w:t>
      </w:r>
      <w:r w:rsidRPr="00F106BB">
        <w:rPr>
          <w:rFonts w:asciiTheme="minorHAnsi" w:hAnsiTheme="minorHAnsi" w:cstheme="minorHAnsi"/>
          <w:b/>
          <w:bCs/>
          <w:sz w:val="24"/>
          <w:szCs w:val="24"/>
        </w:rPr>
        <w:tab/>
      </w:r>
    </w:p>
    <w:p w14:paraId="4CE26955" w14:textId="77777777" w:rsidR="00745F3B" w:rsidRPr="00F106BB" w:rsidRDefault="00745F3B"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t xml:space="preserve">Schedule 1, clause 100 </w:t>
      </w:r>
    </w:p>
    <w:p w14:paraId="7FF49AFD" w14:textId="098AC3E5" w:rsidR="00353314" w:rsidRPr="00F106BB" w:rsidRDefault="00745F3B" w:rsidP="001A32A5">
      <w:pPr>
        <w:jc w:val="both"/>
        <w:rPr>
          <w:rFonts w:asciiTheme="minorHAnsi" w:hAnsiTheme="minorHAnsi" w:cstheme="minorHAnsi"/>
          <w:sz w:val="24"/>
          <w:szCs w:val="24"/>
        </w:rPr>
      </w:pPr>
      <w:r w:rsidRPr="00F106BB">
        <w:rPr>
          <w:rFonts w:asciiTheme="minorHAnsi" w:hAnsiTheme="minorHAnsi" w:cstheme="minorHAnsi"/>
          <w:sz w:val="24"/>
          <w:szCs w:val="24"/>
        </w:rPr>
        <w:t>This clause omits ‘joint tenants’ and substitutes this with ‘</w:t>
      </w:r>
      <w:r w:rsidR="006A1407">
        <w:rPr>
          <w:rFonts w:asciiTheme="minorHAnsi" w:hAnsiTheme="minorHAnsi" w:cstheme="minorHAnsi"/>
          <w:sz w:val="24"/>
          <w:szCs w:val="24"/>
        </w:rPr>
        <w:t>co-tenants</w:t>
      </w:r>
      <w:r w:rsidRPr="00F106BB">
        <w:rPr>
          <w:rFonts w:asciiTheme="minorHAnsi" w:hAnsiTheme="minorHAnsi" w:cstheme="minorHAnsi"/>
          <w:sz w:val="24"/>
          <w:szCs w:val="24"/>
        </w:rPr>
        <w:t>’. This clause</w:t>
      </w:r>
      <w:r w:rsidR="00353314" w:rsidRPr="00F106BB">
        <w:rPr>
          <w:rFonts w:asciiTheme="minorHAnsi" w:hAnsiTheme="minorHAnsi" w:cstheme="minorHAnsi"/>
          <w:sz w:val="24"/>
          <w:szCs w:val="24"/>
        </w:rPr>
        <w:t xml:space="preserve"> reflects the changed wording usage when 2 or more tenants live in a tenancy at the same time, which was introduced by the </w:t>
      </w:r>
      <w:r w:rsidR="00353314" w:rsidRPr="00F106BB">
        <w:rPr>
          <w:rFonts w:asciiTheme="minorHAnsi" w:hAnsiTheme="minorHAnsi" w:cstheme="minorHAnsi"/>
          <w:i/>
          <w:iCs/>
          <w:sz w:val="24"/>
          <w:szCs w:val="24"/>
        </w:rPr>
        <w:t xml:space="preserve">Residential Tenancies Amendment Act 2020 (No 2). </w:t>
      </w:r>
    </w:p>
    <w:sectPr w:rsidR="00353314" w:rsidRPr="00F106BB"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35EB" w14:textId="77777777" w:rsidR="00103204" w:rsidRDefault="00103204">
      <w:pPr>
        <w:spacing w:after="0" w:line="240" w:lineRule="auto"/>
      </w:pPr>
      <w:r>
        <w:separator/>
      </w:r>
    </w:p>
  </w:endnote>
  <w:endnote w:type="continuationSeparator" w:id="0">
    <w:p w14:paraId="3EBA751A" w14:textId="77777777" w:rsidR="00103204" w:rsidRDefault="00103204">
      <w:pPr>
        <w:spacing w:after="0" w:line="240" w:lineRule="auto"/>
      </w:pPr>
      <w:r>
        <w:continuationSeparator/>
      </w:r>
    </w:p>
  </w:endnote>
  <w:endnote w:type="continuationNotice" w:id="1">
    <w:p w14:paraId="1D62A3D2" w14:textId="77777777" w:rsidR="00103204" w:rsidRDefault="001032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9847" w14:textId="77777777" w:rsidR="008C71BC" w:rsidRDefault="008C7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B86B" w14:textId="6735A714" w:rsidR="008C71BC" w:rsidRPr="008C71BC" w:rsidRDefault="008C71BC" w:rsidP="008C71BC">
    <w:pPr>
      <w:pStyle w:val="Footer"/>
      <w:jc w:val="center"/>
      <w:rPr>
        <w:rFonts w:cs="Arial"/>
        <w:sz w:val="14"/>
      </w:rPr>
    </w:pPr>
    <w:r w:rsidRPr="008C71B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7A748C9B"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6442FE02" w14:textId="79177B8C" w:rsidR="008C71BC" w:rsidRPr="008C71BC" w:rsidRDefault="008C71BC" w:rsidP="008C71BC">
    <w:pPr>
      <w:pStyle w:val="Footer"/>
      <w:spacing w:before="60" w:line="240" w:lineRule="auto"/>
      <w:jc w:val="center"/>
      <w:rPr>
        <w:rFonts w:cs="Arial"/>
        <w:sz w:val="14"/>
      </w:rPr>
    </w:pPr>
    <w:r w:rsidRPr="008C71BC">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10578BAD"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0996246C" w14:textId="5FFFFC07" w:rsidR="008C71BC" w:rsidRPr="008C71BC" w:rsidRDefault="008C71BC" w:rsidP="008C71BC">
    <w:pPr>
      <w:pStyle w:val="Footer"/>
      <w:jc w:val="center"/>
      <w:rPr>
        <w:rFonts w:cs="Arial"/>
        <w:sz w:val="14"/>
      </w:rPr>
    </w:pPr>
    <w:r w:rsidRPr="008C71BC">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1227" w14:textId="77777777" w:rsidR="00103204" w:rsidRDefault="00103204">
      <w:pPr>
        <w:spacing w:after="0" w:line="240" w:lineRule="auto"/>
      </w:pPr>
      <w:r>
        <w:separator/>
      </w:r>
    </w:p>
  </w:footnote>
  <w:footnote w:type="continuationSeparator" w:id="0">
    <w:p w14:paraId="232D9556" w14:textId="77777777" w:rsidR="00103204" w:rsidRDefault="00103204">
      <w:pPr>
        <w:spacing w:after="0" w:line="240" w:lineRule="auto"/>
      </w:pPr>
      <w:r>
        <w:continuationSeparator/>
      </w:r>
    </w:p>
  </w:footnote>
  <w:footnote w:type="continuationNotice" w:id="1">
    <w:p w14:paraId="3442F452" w14:textId="77777777" w:rsidR="00103204" w:rsidRDefault="00103204">
      <w:pPr>
        <w:spacing w:after="0" w:line="240" w:lineRule="auto"/>
      </w:pPr>
    </w:p>
  </w:footnote>
  <w:footnote w:id="2">
    <w:p w14:paraId="286DAF19" w14:textId="75DA0DE4" w:rsidR="006D1407" w:rsidRPr="00DA10B3" w:rsidRDefault="006D1407">
      <w:pPr>
        <w:pStyle w:val="FootnoteText"/>
        <w:rPr>
          <w:lang w:val="en-AU"/>
        </w:rPr>
      </w:pPr>
      <w:r>
        <w:rPr>
          <w:rStyle w:val="FootnoteReference"/>
        </w:rPr>
        <w:footnoteRef/>
      </w:r>
      <w:r>
        <w:t xml:space="preserve"> </w:t>
      </w:r>
      <w:r>
        <w:rPr>
          <w:i/>
          <w:iCs/>
          <w:color w:val="000000"/>
          <w:sz w:val="18"/>
          <w:szCs w:val="18"/>
          <w:shd w:val="clear" w:color="auto" w:fill="FFFFFF"/>
        </w:rPr>
        <w:t>Commonwealth, Royal Commission into Institutional Responses to Child Sexual Abuse, </w:t>
      </w:r>
      <w:r>
        <w:rPr>
          <w:rFonts w:ascii="Arial" w:hAnsi="Arial" w:cs="Arial"/>
          <w:i/>
          <w:iCs/>
          <w:color w:val="000000"/>
          <w:sz w:val="18"/>
          <w:szCs w:val="18"/>
          <w:shd w:val="clear" w:color="auto" w:fill="FFFFFF"/>
        </w:rPr>
        <w:t>Final Report</w:t>
      </w:r>
      <w:r>
        <w:rPr>
          <w:i/>
          <w:iCs/>
          <w:color w:val="000000"/>
          <w:sz w:val="18"/>
          <w:szCs w:val="18"/>
          <w:shd w:val="clear" w:color="auto" w:fill="FFFFFF"/>
        </w:rPr>
        <w:t>, </w:t>
      </w:r>
      <w:r>
        <w:rPr>
          <w:rFonts w:ascii="Arial" w:hAnsi="Arial" w:cs="Arial"/>
          <w:color w:val="000000"/>
          <w:sz w:val="18"/>
          <w:szCs w:val="18"/>
          <w:shd w:val="clear" w:color="auto" w:fill="FFFFFF"/>
        </w:rPr>
        <w:t>Volume 3, Impacts</w:t>
      </w:r>
      <w:r>
        <w:rPr>
          <w:color w:val="000000"/>
          <w:sz w:val="18"/>
          <w:szCs w:val="18"/>
          <w:shd w:val="clear" w:color="auto" w:fill="FFFFFF"/>
        </w:rPr>
        <w:t>, p. </w:t>
      </w:r>
      <w:r>
        <w:rPr>
          <w:rFonts w:ascii="Arial" w:hAnsi="Arial" w:cs="Arial"/>
          <w:color w:val="000000"/>
          <w:sz w:val="18"/>
          <w:szCs w:val="18"/>
          <w:shd w:val="clear" w:color="auto" w:fill="FFFFFF"/>
        </w:rPr>
        <w:t>9-11</w:t>
      </w:r>
      <w:r>
        <w:rPr>
          <w:color w:val="000000"/>
          <w:sz w:val="18"/>
          <w:szCs w:val="18"/>
          <w:shd w:val="clear" w:color="auto" w:fill="FFFFFF"/>
        </w:rPr>
        <w:t>. Available at: </w:t>
      </w:r>
      <w:hyperlink r:id="rId1" w:history="1">
        <w:r>
          <w:rPr>
            <w:rStyle w:val="Hyperlink1"/>
            <w:rFonts w:ascii="Arial" w:hAnsi="Arial" w:cs="Arial"/>
            <w:color w:val="0000FF"/>
            <w:sz w:val="18"/>
            <w:szCs w:val="18"/>
            <w:u w:val="single"/>
            <w:shd w:val="clear" w:color="auto" w:fill="FFFFFF"/>
          </w:rPr>
          <w:t>https://www.childabuseroyalcommission.gov.au/impacts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7483" w14:textId="77777777" w:rsidR="008C71BC" w:rsidRDefault="008C7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1F9A" w14:textId="58B61CF5" w:rsidR="0011623A" w:rsidRPr="0011623A" w:rsidRDefault="0011623A" w:rsidP="0011623A">
    <w:pPr>
      <w:pStyle w:val="Header"/>
      <w:jc w:val="center"/>
      <w:rPr>
        <w:color w:val="FF0000"/>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35B2" w14:textId="5D81C6E2" w:rsidR="0011623A" w:rsidRPr="0011623A" w:rsidRDefault="0011623A" w:rsidP="0011623A">
    <w:pPr>
      <w:pStyle w:val="Header"/>
      <w:jc w:val="center"/>
      <w:rPr>
        <w:color w:val="FF000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136C99"/>
    <w:multiLevelType w:val="hybridMultilevel"/>
    <w:tmpl w:val="CAC0D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3285E"/>
    <w:multiLevelType w:val="hybridMultilevel"/>
    <w:tmpl w:val="B05C3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93274"/>
    <w:multiLevelType w:val="hybridMultilevel"/>
    <w:tmpl w:val="724E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433C9"/>
    <w:multiLevelType w:val="hybridMultilevel"/>
    <w:tmpl w:val="83385B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51031D"/>
    <w:multiLevelType w:val="multilevel"/>
    <w:tmpl w:val="4D72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5872B8"/>
    <w:multiLevelType w:val="hybridMultilevel"/>
    <w:tmpl w:val="7F42682C"/>
    <w:lvl w:ilvl="0" w:tplc="F2124B2E">
      <w:start w:val="1"/>
      <w:numFmt w:val="decimal"/>
      <w:lvlText w:val="%1."/>
      <w:lvlJc w:val="left"/>
      <w:pPr>
        <w:ind w:left="720" w:hanging="360"/>
      </w:pPr>
      <w:rPr>
        <w:b w:val="0"/>
        <w:bCs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7469D6"/>
    <w:multiLevelType w:val="hybridMultilevel"/>
    <w:tmpl w:val="FAC62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72712B"/>
    <w:multiLevelType w:val="multilevel"/>
    <w:tmpl w:val="89A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FE741E"/>
    <w:multiLevelType w:val="multilevel"/>
    <w:tmpl w:val="F218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6D6B00"/>
    <w:multiLevelType w:val="hybridMultilevel"/>
    <w:tmpl w:val="3DF67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F37B7C"/>
    <w:multiLevelType w:val="hybridMultilevel"/>
    <w:tmpl w:val="FB520EEC"/>
    <w:lvl w:ilvl="0" w:tplc="15D26BCC">
      <w:start w:val="3"/>
      <w:numFmt w:val="bullet"/>
      <w:lvlText w:val="-"/>
      <w:lvlJc w:val="left"/>
      <w:pPr>
        <w:ind w:left="720" w:hanging="360"/>
      </w:pPr>
      <w:rPr>
        <w:rFonts w:ascii="Calibri" w:eastAsia="Times New Roman" w:hAnsi="Calibri" w:cs="Calibri" w:hint="default"/>
        <w:b w:val="0"/>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C94EDA"/>
    <w:multiLevelType w:val="hybridMultilevel"/>
    <w:tmpl w:val="84DA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AC3169"/>
    <w:multiLevelType w:val="hybridMultilevel"/>
    <w:tmpl w:val="78F824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15:restartNumberingAfterBreak="0">
    <w:nsid w:val="62EC37EB"/>
    <w:multiLevelType w:val="hybridMultilevel"/>
    <w:tmpl w:val="61D46F5E"/>
    <w:lvl w:ilvl="0" w:tplc="09FA152A">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D84BED"/>
    <w:multiLevelType w:val="hybridMultilevel"/>
    <w:tmpl w:val="09881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9C5957"/>
    <w:multiLevelType w:val="hybridMultilevel"/>
    <w:tmpl w:val="ED662500"/>
    <w:lvl w:ilvl="0" w:tplc="DF44F830">
      <w:start w:val="1"/>
      <w:numFmt w:val="bullet"/>
      <w:lvlText w:val=""/>
      <w:lvlJc w:val="left"/>
      <w:pPr>
        <w:ind w:left="774"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8"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8"/>
  </w:num>
  <w:num w:numId="3">
    <w:abstractNumId w:val="0"/>
  </w:num>
  <w:num w:numId="4">
    <w:abstractNumId w:val="10"/>
  </w:num>
  <w:num w:numId="5">
    <w:abstractNumId w:val="17"/>
  </w:num>
  <w:num w:numId="6">
    <w:abstractNumId w:val="16"/>
  </w:num>
  <w:num w:numId="7">
    <w:abstractNumId w:val="12"/>
  </w:num>
  <w:num w:numId="8">
    <w:abstractNumId w:val="6"/>
  </w:num>
  <w:num w:numId="9">
    <w:abstractNumId w:val="19"/>
  </w:num>
  <w:num w:numId="10">
    <w:abstractNumId w:val="3"/>
  </w:num>
  <w:num w:numId="11">
    <w:abstractNumId w:val="15"/>
  </w:num>
  <w:num w:numId="12">
    <w:abstractNumId w:val="4"/>
  </w:num>
  <w:num w:numId="13">
    <w:abstractNumId w:val="9"/>
  </w:num>
  <w:num w:numId="14">
    <w:abstractNumId w:val="8"/>
  </w:num>
  <w:num w:numId="15">
    <w:abstractNumId w:val="11"/>
  </w:num>
  <w:num w:numId="16">
    <w:abstractNumId w:val="5"/>
  </w:num>
  <w:num w:numId="17">
    <w:abstractNumId w:val="1"/>
  </w:num>
  <w:num w:numId="18">
    <w:abstractNumId w:val="13"/>
  </w:num>
  <w:num w:numId="19">
    <w:abstractNumId w:val="2"/>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6F51"/>
    <w:rsid w:val="00007947"/>
    <w:rsid w:val="00007B87"/>
    <w:rsid w:val="00007EB9"/>
    <w:rsid w:val="00010E45"/>
    <w:rsid w:val="00010F19"/>
    <w:rsid w:val="000119D8"/>
    <w:rsid w:val="00011F35"/>
    <w:rsid w:val="00012074"/>
    <w:rsid w:val="000122F3"/>
    <w:rsid w:val="00012F60"/>
    <w:rsid w:val="00013402"/>
    <w:rsid w:val="00013431"/>
    <w:rsid w:val="00013A9C"/>
    <w:rsid w:val="00013E25"/>
    <w:rsid w:val="0001486E"/>
    <w:rsid w:val="0001535A"/>
    <w:rsid w:val="0001570F"/>
    <w:rsid w:val="0001581E"/>
    <w:rsid w:val="00016330"/>
    <w:rsid w:val="0001665A"/>
    <w:rsid w:val="00016A3A"/>
    <w:rsid w:val="00017B43"/>
    <w:rsid w:val="00017E9E"/>
    <w:rsid w:val="00017F39"/>
    <w:rsid w:val="00020A0B"/>
    <w:rsid w:val="00020FD5"/>
    <w:rsid w:val="0002177B"/>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B9E"/>
    <w:rsid w:val="00045C05"/>
    <w:rsid w:val="00045FC1"/>
    <w:rsid w:val="00046070"/>
    <w:rsid w:val="0004697F"/>
    <w:rsid w:val="00046E05"/>
    <w:rsid w:val="00047D5D"/>
    <w:rsid w:val="00050021"/>
    <w:rsid w:val="0005013E"/>
    <w:rsid w:val="000503A9"/>
    <w:rsid w:val="00050B04"/>
    <w:rsid w:val="000511B3"/>
    <w:rsid w:val="00051B48"/>
    <w:rsid w:val="000520A6"/>
    <w:rsid w:val="0005382B"/>
    <w:rsid w:val="00054677"/>
    <w:rsid w:val="0005467E"/>
    <w:rsid w:val="000554D5"/>
    <w:rsid w:val="000557CF"/>
    <w:rsid w:val="00055A7C"/>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4EFC"/>
    <w:rsid w:val="0006545C"/>
    <w:rsid w:val="00065468"/>
    <w:rsid w:val="00066031"/>
    <w:rsid w:val="00066731"/>
    <w:rsid w:val="0006694B"/>
    <w:rsid w:val="00066C61"/>
    <w:rsid w:val="00067A2E"/>
    <w:rsid w:val="00067CD2"/>
    <w:rsid w:val="00067E87"/>
    <w:rsid w:val="00070095"/>
    <w:rsid w:val="00071883"/>
    <w:rsid w:val="00072D58"/>
    <w:rsid w:val="00072EA8"/>
    <w:rsid w:val="0007375C"/>
    <w:rsid w:val="00073760"/>
    <w:rsid w:val="00073A1C"/>
    <w:rsid w:val="00074ACD"/>
    <w:rsid w:val="00076249"/>
    <w:rsid w:val="000762EC"/>
    <w:rsid w:val="00076783"/>
    <w:rsid w:val="00077470"/>
    <w:rsid w:val="00077549"/>
    <w:rsid w:val="00077D2E"/>
    <w:rsid w:val="00080A79"/>
    <w:rsid w:val="00081B40"/>
    <w:rsid w:val="00081E18"/>
    <w:rsid w:val="000836E5"/>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02D"/>
    <w:rsid w:val="000971A4"/>
    <w:rsid w:val="00097617"/>
    <w:rsid w:val="00097749"/>
    <w:rsid w:val="000977FD"/>
    <w:rsid w:val="000A09FC"/>
    <w:rsid w:val="000A0B51"/>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0CA"/>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799"/>
    <w:rsid w:val="000C7F39"/>
    <w:rsid w:val="000D066D"/>
    <w:rsid w:val="000D1393"/>
    <w:rsid w:val="000D16F4"/>
    <w:rsid w:val="000D2C67"/>
    <w:rsid w:val="000D3095"/>
    <w:rsid w:val="000D3C11"/>
    <w:rsid w:val="000D3C24"/>
    <w:rsid w:val="000D4F31"/>
    <w:rsid w:val="000D5345"/>
    <w:rsid w:val="000D53DB"/>
    <w:rsid w:val="000D5BF5"/>
    <w:rsid w:val="000D6034"/>
    <w:rsid w:val="000D652C"/>
    <w:rsid w:val="000D6905"/>
    <w:rsid w:val="000D703B"/>
    <w:rsid w:val="000D758B"/>
    <w:rsid w:val="000E0B99"/>
    <w:rsid w:val="000E0C67"/>
    <w:rsid w:val="000E15C9"/>
    <w:rsid w:val="000E194C"/>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224"/>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204"/>
    <w:rsid w:val="001034CA"/>
    <w:rsid w:val="00104503"/>
    <w:rsid w:val="001045CA"/>
    <w:rsid w:val="00105AFD"/>
    <w:rsid w:val="00106C6C"/>
    <w:rsid w:val="00106E05"/>
    <w:rsid w:val="00106EE4"/>
    <w:rsid w:val="0010794F"/>
    <w:rsid w:val="00110094"/>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3A"/>
    <w:rsid w:val="00116274"/>
    <w:rsid w:val="0011672E"/>
    <w:rsid w:val="0011691E"/>
    <w:rsid w:val="0011712A"/>
    <w:rsid w:val="001179F7"/>
    <w:rsid w:val="00120F65"/>
    <w:rsid w:val="00121855"/>
    <w:rsid w:val="00121DDC"/>
    <w:rsid w:val="0012202A"/>
    <w:rsid w:val="001223B0"/>
    <w:rsid w:val="001227CF"/>
    <w:rsid w:val="00122EE1"/>
    <w:rsid w:val="00123C64"/>
    <w:rsid w:val="00124189"/>
    <w:rsid w:val="001254CC"/>
    <w:rsid w:val="001255A5"/>
    <w:rsid w:val="0012597C"/>
    <w:rsid w:val="00125E35"/>
    <w:rsid w:val="0012620D"/>
    <w:rsid w:val="0012637F"/>
    <w:rsid w:val="001267FD"/>
    <w:rsid w:val="001276BA"/>
    <w:rsid w:val="00127EFD"/>
    <w:rsid w:val="00127F6F"/>
    <w:rsid w:val="0013028F"/>
    <w:rsid w:val="00130A37"/>
    <w:rsid w:val="00131118"/>
    <w:rsid w:val="0013140B"/>
    <w:rsid w:val="0013190E"/>
    <w:rsid w:val="001320C7"/>
    <w:rsid w:val="00132486"/>
    <w:rsid w:val="0013280D"/>
    <w:rsid w:val="00132868"/>
    <w:rsid w:val="00133389"/>
    <w:rsid w:val="00133954"/>
    <w:rsid w:val="00134271"/>
    <w:rsid w:val="00134D7B"/>
    <w:rsid w:val="001353D0"/>
    <w:rsid w:val="0013550C"/>
    <w:rsid w:val="00135C10"/>
    <w:rsid w:val="001370BD"/>
    <w:rsid w:val="00137192"/>
    <w:rsid w:val="00137741"/>
    <w:rsid w:val="00137DC9"/>
    <w:rsid w:val="0014031C"/>
    <w:rsid w:val="0014041D"/>
    <w:rsid w:val="001404FF"/>
    <w:rsid w:val="00141A37"/>
    <w:rsid w:val="00142808"/>
    <w:rsid w:val="001428F2"/>
    <w:rsid w:val="00143701"/>
    <w:rsid w:val="00143E5B"/>
    <w:rsid w:val="00143E6D"/>
    <w:rsid w:val="00144447"/>
    <w:rsid w:val="0014457E"/>
    <w:rsid w:val="00145364"/>
    <w:rsid w:val="00145728"/>
    <w:rsid w:val="00145BEE"/>
    <w:rsid w:val="00145C8A"/>
    <w:rsid w:val="00145ECF"/>
    <w:rsid w:val="00146857"/>
    <w:rsid w:val="001468AC"/>
    <w:rsid w:val="00146B74"/>
    <w:rsid w:val="00146CBD"/>
    <w:rsid w:val="00146CD7"/>
    <w:rsid w:val="001475AF"/>
    <w:rsid w:val="001478E7"/>
    <w:rsid w:val="00147B5B"/>
    <w:rsid w:val="00147E27"/>
    <w:rsid w:val="00151B9B"/>
    <w:rsid w:val="00152730"/>
    <w:rsid w:val="00152FB4"/>
    <w:rsid w:val="0015320A"/>
    <w:rsid w:val="0015362B"/>
    <w:rsid w:val="001538A4"/>
    <w:rsid w:val="00153971"/>
    <w:rsid w:val="001564B6"/>
    <w:rsid w:val="0015710E"/>
    <w:rsid w:val="001577A9"/>
    <w:rsid w:val="00157D25"/>
    <w:rsid w:val="0016098D"/>
    <w:rsid w:val="001609F9"/>
    <w:rsid w:val="00160B3A"/>
    <w:rsid w:val="0016178C"/>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3FC"/>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0EBA"/>
    <w:rsid w:val="0019122A"/>
    <w:rsid w:val="0019177A"/>
    <w:rsid w:val="0019199E"/>
    <w:rsid w:val="00191B79"/>
    <w:rsid w:val="00191C1B"/>
    <w:rsid w:val="00191DB6"/>
    <w:rsid w:val="00192176"/>
    <w:rsid w:val="00192203"/>
    <w:rsid w:val="0019295E"/>
    <w:rsid w:val="0019329A"/>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2A5"/>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C7868"/>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524"/>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5FE9"/>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4569"/>
    <w:rsid w:val="002250E9"/>
    <w:rsid w:val="0022586C"/>
    <w:rsid w:val="00225E8D"/>
    <w:rsid w:val="00230C82"/>
    <w:rsid w:val="00230F6B"/>
    <w:rsid w:val="00231962"/>
    <w:rsid w:val="00232952"/>
    <w:rsid w:val="00232D47"/>
    <w:rsid w:val="002339EC"/>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6DCA"/>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0F84"/>
    <w:rsid w:val="00261E42"/>
    <w:rsid w:val="00262B78"/>
    <w:rsid w:val="00263C09"/>
    <w:rsid w:val="00264788"/>
    <w:rsid w:val="00264B8F"/>
    <w:rsid w:val="00264C61"/>
    <w:rsid w:val="00264D73"/>
    <w:rsid w:val="002651D6"/>
    <w:rsid w:val="002653B7"/>
    <w:rsid w:val="002654F1"/>
    <w:rsid w:val="00265BFB"/>
    <w:rsid w:val="00265DCF"/>
    <w:rsid w:val="00265FA4"/>
    <w:rsid w:val="0026623E"/>
    <w:rsid w:val="002668BA"/>
    <w:rsid w:val="00266F68"/>
    <w:rsid w:val="00267471"/>
    <w:rsid w:val="00267961"/>
    <w:rsid w:val="00267EE2"/>
    <w:rsid w:val="002701E2"/>
    <w:rsid w:val="002707D1"/>
    <w:rsid w:val="00270887"/>
    <w:rsid w:val="00271285"/>
    <w:rsid w:val="00271B05"/>
    <w:rsid w:val="00271E30"/>
    <w:rsid w:val="0027205B"/>
    <w:rsid w:val="002724F8"/>
    <w:rsid w:val="00272F05"/>
    <w:rsid w:val="0027303E"/>
    <w:rsid w:val="002730A7"/>
    <w:rsid w:val="002736D7"/>
    <w:rsid w:val="0027423C"/>
    <w:rsid w:val="00274F51"/>
    <w:rsid w:val="00275FE2"/>
    <w:rsid w:val="0027734B"/>
    <w:rsid w:val="002774DB"/>
    <w:rsid w:val="00277A64"/>
    <w:rsid w:val="00277CA0"/>
    <w:rsid w:val="00277EBF"/>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8DC"/>
    <w:rsid w:val="00287916"/>
    <w:rsid w:val="002879DE"/>
    <w:rsid w:val="00287B42"/>
    <w:rsid w:val="00287BFF"/>
    <w:rsid w:val="002910A1"/>
    <w:rsid w:val="00291A96"/>
    <w:rsid w:val="00291DB6"/>
    <w:rsid w:val="00292395"/>
    <w:rsid w:val="00293D5B"/>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48B6"/>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B7A32"/>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888"/>
    <w:rsid w:val="002D4A92"/>
    <w:rsid w:val="002D557D"/>
    <w:rsid w:val="002D55DF"/>
    <w:rsid w:val="002D59A5"/>
    <w:rsid w:val="002D622E"/>
    <w:rsid w:val="002D686B"/>
    <w:rsid w:val="002D6938"/>
    <w:rsid w:val="002D6AA4"/>
    <w:rsid w:val="002D7895"/>
    <w:rsid w:val="002E03F4"/>
    <w:rsid w:val="002E0A05"/>
    <w:rsid w:val="002E0A32"/>
    <w:rsid w:val="002E126F"/>
    <w:rsid w:val="002E12C7"/>
    <w:rsid w:val="002E1A7E"/>
    <w:rsid w:val="002E2C82"/>
    <w:rsid w:val="002E3E7D"/>
    <w:rsid w:val="002E4BF9"/>
    <w:rsid w:val="002E5391"/>
    <w:rsid w:val="002E5579"/>
    <w:rsid w:val="002E58A0"/>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6DC1"/>
    <w:rsid w:val="0030715F"/>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3F18"/>
    <w:rsid w:val="0032491B"/>
    <w:rsid w:val="0032636F"/>
    <w:rsid w:val="003263C6"/>
    <w:rsid w:val="00326971"/>
    <w:rsid w:val="00326CA7"/>
    <w:rsid w:val="00326E6F"/>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314"/>
    <w:rsid w:val="0035373C"/>
    <w:rsid w:val="0035422F"/>
    <w:rsid w:val="003545FB"/>
    <w:rsid w:val="003548E7"/>
    <w:rsid w:val="003552B1"/>
    <w:rsid w:val="003555A0"/>
    <w:rsid w:val="003559E9"/>
    <w:rsid w:val="0035606E"/>
    <w:rsid w:val="003568D2"/>
    <w:rsid w:val="00357385"/>
    <w:rsid w:val="00357774"/>
    <w:rsid w:val="00357D5C"/>
    <w:rsid w:val="00360233"/>
    <w:rsid w:val="0036028E"/>
    <w:rsid w:val="0036091C"/>
    <w:rsid w:val="0036102E"/>
    <w:rsid w:val="00361309"/>
    <w:rsid w:val="0036130C"/>
    <w:rsid w:val="00362935"/>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95B"/>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696A"/>
    <w:rsid w:val="003876E9"/>
    <w:rsid w:val="00387CEA"/>
    <w:rsid w:val="0039021B"/>
    <w:rsid w:val="00390B90"/>
    <w:rsid w:val="00391355"/>
    <w:rsid w:val="003915E8"/>
    <w:rsid w:val="0039212F"/>
    <w:rsid w:val="00392D0C"/>
    <w:rsid w:val="003930D0"/>
    <w:rsid w:val="003937C4"/>
    <w:rsid w:val="00393B1B"/>
    <w:rsid w:val="00393BD4"/>
    <w:rsid w:val="00394B7C"/>
    <w:rsid w:val="003953C7"/>
    <w:rsid w:val="0039565E"/>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48"/>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267"/>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C88"/>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738"/>
    <w:rsid w:val="003E1CBB"/>
    <w:rsid w:val="003E265C"/>
    <w:rsid w:val="003E3C7D"/>
    <w:rsid w:val="003E3D64"/>
    <w:rsid w:val="003E44AC"/>
    <w:rsid w:val="003E52AE"/>
    <w:rsid w:val="003E5B05"/>
    <w:rsid w:val="003E5FA3"/>
    <w:rsid w:val="003E61C0"/>
    <w:rsid w:val="003E64B3"/>
    <w:rsid w:val="003E69CE"/>
    <w:rsid w:val="003E6FB5"/>
    <w:rsid w:val="003F1B56"/>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0EEC"/>
    <w:rsid w:val="00421708"/>
    <w:rsid w:val="004222C1"/>
    <w:rsid w:val="004229E2"/>
    <w:rsid w:val="00422DEA"/>
    <w:rsid w:val="004240EE"/>
    <w:rsid w:val="0042486F"/>
    <w:rsid w:val="00424A0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02B1"/>
    <w:rsid w:val="0045148E"/>
    <w:rsid w:val="004514FD"/>
    <w:rsid w:val="00452AAF"/>
    <w:rsid w:val="0045327C"/>
    <w:rsid w:val="004533C8"/>
    <w:rsid w:val="00453F08"/>
    <w:rsid w:val="00454089"/>
    <w:rsid w:val="00454BB4"/>
    <w:rsid w:val="004557D1"/>
    <w:rsid w:val="00455964"/>
    <w:rsid w:val="00455CCD"/>
    <w:rsid w:val="0045640F"/>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2B3C"/>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5BB"/>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1B7"/>
    <w:rsid w:val="004B7590"/>
    <w:rsid w:val="004C0525"/>
    <w:rsid w:val="004C087B"/>
    <w:rsid w:val="004C0D6A"/>
    <w:rsid w:val="004C16D9"/>
    <w:rsid w:val="004C180D"/>
    <w:rsid w:val="004C197D"/>
    <w:rsid w:val="004C2727"/>
    <w:rsid w:val="004C272D"/>
    <w:rsid w:val="004C2815"/>
    <w:rsid w:val="004C2CD6"/>
    <w:rsid w:val="004C33BC"/>
    <w:rsid w:val="004C35CB"/>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D769F"/>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403"/>
    <w:rsid w:val="004F4775"/>
    <w:rsid w:val="004F6A1E"/>
    <w:rsid w:val="004F6F17"/>
    <w:rsid w:val="004F7654"/>
    <w:rsid w:val="004F7747"/>
    <w:rsid w:val="004F7C00"/>
    <w:rsid w:val="004F7EFD"/>
    <w:rsid w:val="00500A09"/>
    <w:rsid w:val="00501AA6"/>
    <w:rsid w:val="00502582"/>
    <w:rsid w:val="005034D9"/>
    <w:rsid w:val="00503607"/>
    <w:rsid w:val="00503AAB"/>
    <w:rsid w:val="00503EE9"/>
    <w:rsid w:val="00503F2D"/>
    <w:rsid w:val="00504BA3"/>
    <w:rsid w:val="0050523C"/>
    <w:rsid w:val="00505363"/>
    <w:rsid w:val="0050700F"/>
    <w:rsid w:val="0050724B"/>
    <w:rsid w:val="00507347"/>
    <w:rsid w:val="005073AA"/>
    <w:rsid w:val="0050787C"/>
    <w:rsid w:val="00507924"/>
    <w:rsid w:val="005079D6"/>
    <w:rsid w:val="005103B9"/>
    <w:rsid w:val="0051243D"/>
    <w:rsid w:val="00512595"/>
    <w:rsid w:val="0051284A"/>
    <w:rsid w:val="00512E4F"/>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076"/>
    <w:rsid w:val="00523293"/>
    <w:rsid w:val="0052373B"/>
    <w:rsid w:val="00524088"/>
    <w:rsid w:val="00524317"/>
    <w:rsid w:val="00524963"/>
    <w:rsid w:val="00524BB7"/>
    <w:rsid w:val="005255E5"/>
    <w:rsid w:val="005259AE"/>
    <w:rsid w:val="005261F7"/>
    <w:rsid w:val="00526565"/>
    <w:rsid w:val="0052666F"/>
    <w:rsid w:val="005266FF"/>
    <w:rsid w:val="005269EF"/>
    <w:rsid w:val="00526C23"/>
    <w:rsid w:val="00527C0E"/>
    <w:rsid w:val="00530F6B"/>
    <w:rsid w:val="00532056"/>
    <w:rsid w:val="0053277B"/>
    <w:rsid w:val="00532B7A"/>
    <w:rsid w:val="00532BA2"/>
    <w:rsid w:val="00532EC8"/>
    <w:rsid w:val="005341B2"/>
    <w:rsid w:val="00534839"/>
    <w:rsid w:val="00534AD4"/>
    <w:rsid w:val="00534E94"/>
    <w:rsid w:val="005351FB"/>
    <w:rsid w:val="005355D4"/>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6E56"/>
    <w:rsid w:val="0054703D"/>
    <w:rsid w:val="00547388"/>
    <w:rsid w:val="005473B0"/>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06FF"/>
    <w:rsid w:val="00582246"/>
    <w:rsid w:val="0058269D"/>
    <w:rsid w:val="00582D0F"/>
    <w:rsid w:val="005834C4"/>
    <w:rsid w:val="00584942"/>
    <w:rsid w:val="005849BC"/>
    <w:rsid w:val="00585159"/>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4B64"/>
    <w:rsid w:val="005B6270"/>
    <w:rsid w:val="005B6457"/>
    <w:rsid w:val="005B6A08"/>
    <w:rsid w:val="005B6C48"/>
    <w:rsid w:val="005B6E2F"/>
    <w:rsid w:val="005B77A2"/>
    <w:rsid w:val="005B7C06"/>
    <w:rsid w:val="005B7F41"/>
    <w:rsid w:val="005C05AD"/>
    <w:rsid w:val="005C13CA"/>
    <w:rsid w:val="005C18A0"/>
    <w:rsid w:val="005C3491"/>
    <w:rsid w:val="005C36E0"/>
    <w:rsid w:val="005C43F0"/>
    <w:rsid w:val="005C579A"/>
    <w:rsid w:val="005C5EB2"/>
    <w:rsid w:val="005C67AF"/>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4D77"/>
    <w:rsid w:val="005E5BCB"/>
    <w:rsid w:val="005E64AA"/>
    <w:rsid w:val="005E68DA"/>
    <w:rsid w:val="005E7243"/>
    <w:rsid w:val="005E7CC2"/>
    <w:rsid w:val="005F01EA"/>
    <w:rsid w:val="005F03F6"/>
    <w:rsid w:val="005F0BDF"/>
    <w:rsid w:val="005F1326"/>
    <w:rsid w:val="005F30A2"/>
    <w:rsid w:val="005F31DD"/>
    <w:rsid w:val="005F39A4"/>
    <w:rsid w:val="005F4396"/>
    <w:rsid w:val="005F4619"/>
    <w:rsid w:val="005F49C8"/>
    <w:rsid w:val="005F4D1D"/>
    <w:rsid w:val="005F5FC5"/>
    <w:rsid w:val="005F61FB"/>
    <w:rsid w:val="005F6620"/>
    <w:rsid w:val="005F7F93"/>
    <w:rsid w:val="00600233"/>
    <w:rsid w:val="00600DC5"/>
    <w:rsid w:val="0060116B"/>
    <w:rsid w:val="00601497"/>
    <w:rsid w:val="00603A99"/>
    <w:rsid w:val="00603AC3"/>
    <w:rsid w:val="0060434E"/>
    <w:rsid w:val="0060478F"/>
    <w:rsid w:val="00605637"/>
    <w:rsid w:val="006056B0"/>
    <w:rsid w:val="00605FBD"/>
    <w:rsid w:val="006060E6"/>
    <w:rsid w:val="00606277"/>
    <w:rsid w:val="0060687D"/>
    <w:rsid w:val="00606E39"/>
    <w:rsid w:val="00607A9E"/>
    <w:rsid w:val="00607ADD"/>
    <w:rsid w:val="00607C67"/>
    <w:rsid w:val="00610EEA"/>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7E9"/>
    <w:rsid w:val="00627B4F"/>
    <w:rsid w:val="00630615"/>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1DAE"/>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BB"/>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6C93"/>
    <w:rsid w:val="006974E5"/>
    <w:rsid w:val="00697825"/>
    <w:rsid w:val="006979ED"/>
    <w:rsid w:val="00697AE0"/>
    <w:rsid w:val="00697C4E"/>
    <w:rsid w:val="006A0765"/>
    <w:rsid w:val="006A07E6"/>
    <w:rsid w:val="006A1407"/>
    <w:rsid w:val="006A1538"/>
    <w:rsid w:val="006A22F7"/>
    <w:rsid w:val="006A2525"/>
    <w:rsid w:val="006A277A"/>
    <w:rsid w:val="006A2FF9"/>
    <w:rsid w:val="006A3088"/>
    <w:rsid w:val="006A3135"/>
    <w:rsid w:val="006A383A"/>
    <w:rsid w:val="006A3872"/>
    <w:rsid w:val="006A3D31"/>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4E7A"/>
    <w:rsid w:val="006C5843"/>
    <w:rsid w:val="006C584A"/>
    <w:rsid w:val="006C5CFC"/>
    <w:rsid w:val="006C5D20"/>
    <w:rsid w:val="006C64E5"/>
    <w:rsid w:val="006C673F"/>
    <w:rsid w:val="006C6BB7"/>
    <w:rsid w:val="006C778C"/>
    <w:rsid w:val="006C7E56"/>
    <w:rsid w:val="006D02A4"/>
    <w:rsid w:val="006D1202"/>
    <w:rsid w:val="006D1407"/>
    <w:rsid w:val="006D17EA"/>
    <w:rsid w:val="006D1B3E"/>
    <w:rsid w:val="006D2455"/>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383"/>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918"/>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3E23"/>
    <w:rsid w:val="007349B8"/>
    <w:rsid w:val="0073546A"/>
    <w:rsid w:val="0073590B"/>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C9"/>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5F3B"/>
    <w:rsid w:val="007468E1"/>
    <w:rsid w:val="007476AD"/>
    <w:rsid w:val="007502DA"/>
    <w:rsid w:val="00750D67"/>
    <w:rsid w:val="00750F0E"/>
    <w:rsid w:val="00751210"/>
    <w:rsid w:val="007518C6"/>
    <w:rsid w:val="00752C3A"/>
    <w:rsid w:val="007532DA"/>
    <w:rsid w:val="007541BC"/>
    <w:rsid w:val="00754626"/>
    <w:rsid w:val="007549AC"/>
    <w:rsid w:val="00755EA3"/>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220"/>
    <w:rsid w:val="0077144C"/>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3A1B"/>
    <w:rsid w:val="007849BD"/>
    <w:rsid w:val="00784CA4"/>
    <w:rsid w:val="00784CBD"/>
    <w:rsid w:val="00785608"/>
    <w:rsid w:val="00786765"/>
    <w:rsid w:val="007867C7"/>
    <w:rsid w:val="00787FC9"/>
    <w:rsid w:val="00790FE4"/>
    <w:rsid w:val="00792803"/>
    <w:rsid w:val="00792D72"/>
    <w:rsid w:val="0079332F"/>
    <w:rsid w:val="00793669"/>
    <w:rsid w:val="007936A0"/>
    <w:rsid w:val="007938FE"/>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2D03"/>
    <w:rsid w:val="007C3C4B"/>
    <w:rsid w:val="007C42CE"/>
    <w:rsid w:val="007C44D3"/>
    <w:rsid w:val="007C4E6A"/>
    <w:rsid w:val="007C5010"/>
    <w:rsid w:val="007C5346"/>
    <w:rsid w:val="007C565D"/>
    <w:rsid w:val="007C5DE1"/>
    <w:rsid w:val="007C6169"/>
    <w:rsid w:val="007C62F2"/>
    <w:rsid w:val="007C63B4"/>
    <w:rsid w:val="007C6919"/>
    <w:rsid w:val="007C6D65"/>
    <w:rsid w:val="007C6F00"/>
    <w:rsid w:val="007C76C8"/>
    <w:rsid w:val="007C7823"/>
    <w:rsid w:val="007C7D06"/>
    <w:rsid w:val="007C7FB2"/>
    <w:rsid w:val="007D004A"/>
    <w:rsid w:val="007D042D"/>
    <w:rsid w:val="007D1269"/>
    <w:rsid w:val="007D2A96"/>
    <w:rsid w:val="007D3145"/>
    <w:rsid w:val="007D33F7"/>
    <w:rsid w:val="007D343E"/>
    <w:rsid w:val="007D34E4"/>
    <w:rsid w:val="007D395B"/>
    <w:rsid w:val="007D3D6A"/>
    <w:rsid w:val="007D424D"/>
    <w:rsid w:val="007D47FA"/>
    <w:rsid w:val="007D528D"/>
    <w:rsid w:val="007D5FC0"/>
    <w:rsid w:val="007D6101"/>
    <w:rsid w:val="007D63F7"/>
    <w:rsid w:val="007D6581"/>
    <w:rsid w:val="007D660F"/>
    <w:rsid w:val="007D6F50"/>
    <w:rsid w:val="007D7156"/>
    <w:rsid w:val="007D7696"/>
    <w:rsid w:val="007D7C91"/>
    <w:rsid w:val="007E001F"/>
    <w:rsid w:val="007E099B"/>
    <w:rsid w:val="007E18A4"/>
    <w:rsid w:val="007E1AE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5CF9"/>
    <w:rsid w:val="00806142"/>
    <w:rsid w:val="008063D0"/>
    <w:rsid w:val="008068EE"/>
    <w:rsid w:val="00806E8F"/>
    <w:rsid w:val="00810600"/>
    <w:rsid w:val="00810788"/>
    <w:rsid w:val="0081083F"/>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E9F"/>
    <w:rsid w:val="00820F19"/>
    <w:rsid w:val="008210DB"/>
    <w:rsid w:val="00821208"/>
    <w:rsid w:val="008212BF"/>
    <w:rsid w:val="00821873"/>
    <w:rsid w:val="00821BE4"/>
    <w:rsid w:val="008222EE"/>
    <w:rsid w:val="00822823"/>
    <w:rsid w:val="00823827"/>
    <w:rsid w:val="00823B52"/>
    <w:rsid w:val="00824861"/>
    <w:rsid w:val="00824BBB"/>
    <w:rsid w:val="00824D1E"/>
    <w:rsid w:val="008253D9"/>
    <w:rsid w:val="00825420"/>
    <w:rsid w:val="00826C37"/>
    <w:rsid w:val="008279CF"/>
    <w:rsid w:val="00827C35"/>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14B"/>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4B5"/>
    <w:rsid w:val="008457B7"/>
    <w:rsid w:val="00845D64"/>
    <w:rsid w:val="00846CB3"/>
    <w:rsid w:val="00846D99"/>
    <w:rsid w:val="00846DE2"/>
    <w:rsid w:val="008475A5"/>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790"/>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9B9"/>
    <w:rsid w:val="00884EDD"/>
    <w:rsid w:val="00884FF2"/>
    <w:rsid w:val="00885580"/>
    <w:rsid w:val="008859B7"/>
    <w:rsid w:val="0088608D"/>
    <w:rsid w:val="00886384"/>
    <w:rsid w:val="0088641E"/>
    <w:rsid w:val="00886F8C"/>
    <w:rsid w:val="00887DBF"/>
    <w:rsid w:val="00890CDC"/>
    <w:rsid w:val="0089386B"/>
    <w:rsid w:val="00893FE7"/>
    <w:rsid w:val="00894590"/>
    <w:rsid w:val="008947E4"/>
    <w:rsid w:val="008950F3"/>
    <w:rsid w:val="00895619"/>
    <w:rsid w:val="0089578E"/>
    <w:rsid w:val="00896BC7"/>
    <w:rsid w:val="008A0D2C"/>
    <w:rsid w:val="008A17B4"/>
    <w:rsid w:val="008A1E44"/>
    <w:rsid w:val="008A28FF"/>
    <w:rsid w:val="008A33AA"/>
    <w:rsid w:val="008A34DC"/>
    <w:rsid w:val="008A3835"/>
    <w:rsid w:val="008A499F"/>
    <w:rsid w:val="008A4A75"/>
    <w:rsid w:val="008A52E3"/>
    <w:rsid w:val="008A546C"/>
    <w:rsid w:val="008A54FE"/>
    <w:rsid w:val="008A5EF2"/>
    <w:rsid w:val="008A6036"/>
    <w:rsid w:val="008A6F74"/>
    <w:rsid w:val="008A7DA2"/>
    <w:rsid w:val="008B069E"/>
    <w:rsid w:val="008B12A4"/>
    <w:rsid w:val="008B1350"/>
    <w:rsid w:val="008B18FC"/>
    <w:rsid w:val="008B2868"/>
    <w:rsid w:val="008B2D08"/>
    <w:rsid w:val="008B3B9E"/>
    <w:rsid w:val="008B3E84"/>
    <w:rsid w:val="008B5054"/>
    <w:rsid w:val="008B5AC8"/>
    <w:rsid w:val="008B5AE9"/>
    <w:rsid w:val="008B6594"/>
    <w:rsid w:val="008B6AEB"/>
    <w:rsid w:val="008B7265"/>
    <w:rsid w:val="008B77B7"/>
    <w:rsid w:val="008B79FB"/>
    <w:rsid w:val="008C0BB3"/>
    <w:rsid w:val="008C14D6"/>
    <w:rsid w:val="008C1DC2"/>
    <w:rsid w:val="008C225D"/>
    <w:rsid w:val="008C2C28"/>
    <w:rsid w:val="008C2D23"/>
    <w:rsid w:val="008C2D2D"/>
    <w:rsid w:val="008C2FC1"/>
    <w:rsid w:val="008C380B"/>
    <w:rsid w:val="008C3B92"/>
    <w:rsid w:val="008C439C"/>
    <w:rsid w:val="008C5355"/>
    <w:rsid w:val="008C5A45"/>
    <w:rsid w:val="008C5ADD"/>
    <w:rsid w:val="008C6DE5"/>
    <w:rsid w:val="008C71BC"/>
    <w:rsid w:val="008C7431"/>
    <w:rsid w:val="008C76C4"/>
    <w:rsid w:val="008C7840"/>
    <w:rsid w:val="008C7CB3"/>
    <w:rsid w:val="008D07F6"/>
    <w:rsid w:val="008D188E"/>
    <w:rsid w:val="008D1C3A"/>
    <w:rsid w:val="008D21B4"/>
    <w:rsid w:val="008D2D83"/>
    <w:rsid w:val="008D38E0"/>
    <w:rsid w:val="008D3DDF"/>
    <w:rsid w:val="008D47A5"/>
    <w:rsid w:val="008D4F13"/>
    <w:rsid w:val="008D514D"/>
    <w:rsid w:val="008D5981"/>
    <w:rsid w:val="008D6275"/>
    <w:rsid w:val="008D63C9"/>
    <w:rsid w:val="008D6BD4"/>
    <w:rsid w:val="008D7117"/>
    <w:rsid w:val="008D72D9"/>
    <w:rsid w:val="008D7383"/>
    <w:rsid w:val="008D75D5"/>
    <w:rsid w:val="008D75DC"/>
    <w:rsid w:val="008D7924"/>
    <w:rsid w:val="008D7BCE"/>
    <w:rsid w:val="008E05CC"/>
    <w:rsid w:val="008E07D2"/>
    <w:rsid w:val="008E0EB5"/>
    <w:rsid w:val="008E1016"/>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0A5D"/>
    <w:rsid w:val="008F1017"/>
    <w:rsid w:val="008F163E"/>
    <w:rsid w:val="008F1D26"/>
    <w:rsid w:val="008F3B30"/>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509"/>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29"/>
    <w:rsid w:val="00920748"/>
    <w:rsid w:val="009216C1"/>
    <w:rsid w:val="00922869"/>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636"/>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68A"/>
    <w:rsid w:val="00950C53"/>
    <w:rsid w:val="00950DB5"/>
    <w:rsid w:val="00950E6E"/>
    <w:rsid w:val="00951013"/>
    <w:rsid w:val="00951511"/>
    <w:rsid w:val="00951A4A"/>
    <w:rsid w:val="00951B14"/>
    <w:rsid w:val="009520FC"/>
    <w:rsid w:val="0095257B"/>
    <w:rsid w:val="009526F5"/>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15FD"/>
    <w:rsid w:val="00972323"/>
    <w:rsid w:val="009723BD"/>
    <w:rsid w:val="00972717"/>
    <w:rsid w:val="00972CBE"/>
    <w:rsid w:val="009738AF"/>
    <w:rsid w:val="009738ED"/>
    <w:rsid w:val="00973D12"/>
    <w:rsid w:val="00973E97"/>
    <w:rsid w:val="009745A5"/>
    <w:rsid w:val="00974ED5"/>
    <w:rsid w:val="009750C0"/>
    <w:rsid w:val="009759FA"/>
    <w:rsid w:val="00975B07"/>
    <w:rsid w:val="00977225"/>
    <w:rsid w:val="009778E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7F2"/>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0A01"/>
    <w:rsid w:val="009A1BE2"/>
    <w:rsid w:val="009A26D4"/>
    <w:rsid w:val="009A2CE2"/>
    <w:rsid w:val="009A31AA"/>
    <w:rsid w:val="009A36DE"/>
    <w:rsid w:val="009A5755"/>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24FA"/>
    <w:rsid w:val="009C31F9"/>
    <w:rsid w:val="009C39FB"/>
    <w:rsid w:val="009C3A1D"/>
    <w:rsid w:val="009C3AA2"/>
    <w:rsid w:val="009C44C7"/>
    <w:rsid w:val="009C458F"/>
    <w:rsid w:val="009C4BA2"/>
    <w:rsid w:val="009C5C21"/>
    <w:rsid w:val="009C62AC"/>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5EA3"/>
    <w:rsid w:val="009D66C9"/>
    <w:rsid w:val="009D6B47"/>
    <w:rsid w:val="009D73BF"/>
    <w:rsid w:val="009D764B"/>
    <w:rsid w:val="009D7C0C"/>
    <w:rsid w:val="009E1222"/>
    <w:rsid w:val="009E157A"/>
    <w:rsid w:val="009E1F2D"/>
    <w:rsid w:val="009E226B"/>
    <w:rsid w:val="009E2C58"/>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0C51"/>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1C98"/>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1D9A"/>
    <w:rsid w:val="00A227A1"/>
    <w:rsid w:val="00A22988"/>
    <w:rsid w:val="00A22C8D"/>
    <w:rsid w:val="00A22D43"/>
    <w:rsid w:val="00A2422B"/>
    <w:rsid w:val="00A24E3A"/>
    <w:rsid w:val="00A252C4"/>
    <w:rsid w:val="00A261E1"/>
    <w:rsid w:val="00A27067"/>
    <w:rsid w:val="00A27140"/>
    <w:rsid w:val="00A27622"/>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574"/>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A4E"/>
    <w:rsid w:val="00A83FD5"/>
    <w:rsid w:val="00A850C8"/>
    <w:rsid w:val="00A850FE"/>
    <w:rsid w:val="00A851DD"/>
    <w:rsid w:val="00A854D9"/>
    <w:rsid w:val="00A85D11"/>
    <w:rsid w:val="00A85DB7"/>
    <w:rsid w:val="00A861EA"/>
    <w:rsid w:val="00A86C84"/>
    <w:rsid w:val="00A86E26"/>
    <w:rsid w:val="00A87927"/>
    <w:rsid w:val="00A87982"/>
    <w:rsid w:val="00A87D74"/>
    <w:rsid w:val="00A9010D"/>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2E09"/>
    <w:rsid w:val="00AA3F39"/>
    <w:rsid w:val="00AA4233"/>
    <w:rsid w:val="00AA5067"/>
    <w:rsid w:val="00AA511F"/>
    <w:rsid w:val="00AB040C"/>
    <w:rsid w:val="00AB07A6"/>
    <w:rsid w:val="00AB0A0E"/>
    <w:rsid w:val="00AB25F3"/>
    <w:rsid w:val="00AB4AEF"/>
    <w:rsid w:val="00AB5504"/>
    <w:rsid w:val="00AB5A28"/>
    <w:rsid w:val="00AB632F"/>
    <w:rsid w:val="00AB65A5"/>
    <w:rsid w:val="00AB69BC"/>
    <w:rsid w:val="00AB6A02"/>
    <w:rsid w:val="00AB700A"/>
    <w:rsid w:val="00AB7116"/>
    <w:rsid w:val="00AC0556"/>
    <w:rsid w:val="00AC0749"/>
    <w:rsid w:val="00AC1332"/>
    <w:rsid w:val="00AC34DD"/>
    <w:rsid w:val="00AC41B4"/>
    <w:rsid w:val="00AC43EE"/>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63C9"/>
    <w:rsid w:val="00AD6F9C"/>
    <w:rsid w:val="00AD7416"/>
    <w:rsid w:val="00AD7640"/>
    <w:rsid w:val="00AD76C6"/>
    <w:rsid w:val="00AD7817"/>
    <w:rsid w:val="00AD7E28"/>
    <w:rsid w:val="00AE1450"/>
    <w:rsid w:val="00AE180A"/>
    <w:rsid w:val="00AE1DB7"/>
    <w:rsid w:val="00AE2050"/>
    <w:rsid w:val="00AE2C55"/>
    <w:rsid w:val="00AE4728"/>
    <w:rsid w:val="00AE57B4"/>
    <w:rsid w:val="00AE6CA7"/>
    <w:rsid w:val="00AE7F10"/>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1EB"/>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52D"/>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4E44"/>
    <w:rsid w:val="00B5547A"/>
    <w:rsid w:val="00B557C1"/>
    <w:rsid w:val="00B563EF"/>
    <w:rsid w:val="00B56578"/>
    <w:rsid w:val="00B5765C"/>
    <w:rsid w:val="00B604EA"/>
    <w:rsid w:val="00B60B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1DE3"/>
    <w:rsid w:val="00B7202E"/>
    <w:rsid w:val="00B72054"/>
    <w:rsid w:val="00B725CF"/>
    <w:rsid w:val="00B7267B"/>
    <w:rsid w:val="00B72862"/>
    <w:rsid w:val="00B73CDF"/>
    <w:rsid w:val="00B74B19"/>
    <w:rsid w:val="00B74B23"/>
    <w:rsid w:val="00B76346"/>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4D6"/>
    <w:rsid w:val="00B97C42"/>
    <w:rsid w:val="00B97EEB"/>
    <w:rsid w:val="00BA0246"/>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3D8"/>
    <w:rsid w:val="00BA79A0"/>
    <w:rsid w:val="00BB0006"/>
    <w:rsid w:val="00BB0222"/>
    <w:rsid w:val="00BB04D1"/>
    <w:rsid w:val="00BB0627"/>
    <w:rsid w:val="00BB1447"/>
    <w:rsid w:val="00BB1A5D"/>
    <w:rsid w:val="00BB2279"/>
    <w:rsid w:val="00BB28E7"/>
    <w:rsid w:val="00BB3022"/>
    <w:rsid w:val="00BB3183"/>
    <w:rsid w:val="00BB3587"/>
    <w:rsid w:val="00BB387E"/>
    <w:rsid w:val="00BB396F"/>
    <w:rsid w:val="00BB3991"/>
    <w:rsid w:val="00BB3C7F"/>
    <w:rsid w:val="00BB4265"/>
    <w:rsid w:val="00BB5034"/>
    <w:rsid w:val="00BB5BB8"/>
    <w:rsid w:val="00BB6406"/>
    <w:rsid w:val="00BB6959"/>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91"/>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6E38"/>
    <w:rsid w:val="00BD752F"/>
    <w:rsid w:val="00BD756B"/>
    <w:rsid w:val="00BD7EA6"/>
    <w:rsid w:val="00BE0294"/>
    <w:rsid w:val="00BE1856"/>
    <w:rsid w:val="00BE2372"/>
    <w:rsid w:val="00BE268F"/>
    <w:rsid w:val="00BE3E6C"/>
    <w:rsid w:val="00BE4168"/>
    <w:rsid w:val="00BE455B"/>
    <w:rsid w:val="00BE46B4"/>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403"/>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1D1"/>
    <w:rsid w:val="00C142AC"/>
    <w:rsid w:val="00C15422"/>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1E17"/>
    <w:rsid w:val="00C32453"/>
    <w:rsid w:val="00C32513"/>
    <w:rsid w:val="00C325FB"/>
    <w:rsid w:val="00C3367B"/>
    <w:rsid w:val="00C33C19"/>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98"/>
    <w:rsid w:val="00C645C1"/>
    <w:rsid w:val="00C649C5"/>
    <w:rsid w:val="00C65D88"/>
    <w:rsid w:val="00C65E0C"/>
    <w:rsid w:val="00C6685B"/>
    <w:rsid w:val="00C668C9"/>
    <w:rsid w:val="00C66D38"/>
    <w:rsid w:val="00C673A7"/>
    <w:rsid w:val="00C6783F"/>
    <w:rsid w:val="00C704CA"/>
    <w:rsid w:val="00C70B4D"/>
    <w:rsid w:val="00C71911"/>
    <w:rsid w:val="00C72256"/>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8C0"/>
    <w:rsid w:val="00C76AC7"/>
    <w:rsid w:val="00C774E0"/>
    <w:rsid w:val="00C77643"/>
    <w:rsid w:val="00C77EAD"/>
    <w:rsid w:val="00C8086A"/>
    <w:rsid w:val="00C80B68"/>
    <w:rsid w:val="00C80DC1"/>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1D38"/>
    <w:rsid w:val="00C92701"/>
    <w:rsid w:val="00C92C33"/>
    <w:rsid w:val="00C9327D"/>
    <w:rsid w:val="00C93682"/>
    <w:rsid w:val="00C943E1"/>
    <w:rsid w:val="00C9524F"/>
    <w:rsid w:val="00C964AD"/>
    <w:rsid w:val="00C971AF"/>
    <w:rsid w:val="00C97827"/>
    <w:rsid w:val="00C97964"/>
    <w:rsid w:val="00C97A79"/>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325"/>
    <w:rsid w:val="00CC2EF2"/>
    <w:rsid w:val="00CC34DB"/>
    <w:rsid w:val="00CC3915"/>
    <w:rsid w:val="00CC3C3B"/>
    <w:rsid w:val="00CC453A"/>
    <w:rsid w:val="00CC5DAA"/>
    <w:rsid w:val="00CC623B"/>
    <w:rsid w:val="00CC62ED"/>
    <w:rsid w:val="00CC6423"/>
    <w:rsid w:val="00CC728B"/>
    <w:rsid w:val="00CC75A4"/>
    <w:rsid w:val="00CC77BB"/>
    <w:rsid w:val="00CD0208"/>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131"/>
    <w:rsid w:val="00CE2AC7"/>
    <w:rsid w:val="00CE2ED3"/>
    <w:rsid w:val="00CE36EB"/>
    <w:rsid w:val="00CE38B6"/>
    <w:rsid w:val="00CE394A"/>
    <w:rsid w:val="00CE40E3"/>
    <w:rsid w:val="00CE4672"/>
    <w:rsid w:val="00CE5C18"/>
    <w:rsid w:val="00CE617E"/>
    <w:rsid w:val="00CE6764"/>
    <w:rsid w:val="00CE6E16"/>
    <w:rsid w:val="00CE6E37"/>
    <w:rsid w:val="00CE7AA9"/>
    <w:rsid w:val="00CE7DAE"/>
    <w:rsid w:val="00CF0136"/>
    <w:rsid w:val="00CF03C3"/>
    <w:rsid w:val="00CF14A1"/>
    <w:rsid w:val="00CF170A"/>
    <w:rsid w:val="00CF1886"/>
    <w:rsid w:val="00CF1970"/>
    <w:rsid w:val="00CF1DE7"/>
    <w:rsid w:val="00CF3A27"/>
    <w:rsid w:val="00CF3B54"/>
    <w:rsid w:val="00CF429D"/>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937"/>
    <w:rsid w:val="00D00ADB"/>
    <w:rsid w:val="00D00BF2"/>
    <w:rsid w:val="00D00D28"/>
    <w:rsid w:val="00D00FC2"/>
    <w:rsid w:val="00D013D7"/>
    <w:rsid w:val="00D01708"/>
    <w:rsid w:val="00D01C89"/>
    <w:rsid w:val="00D01DC1"/>
    <w:rsid w:val="00D01E89"/>
    <w:rsid w:val="00D02199"/>
    <w:rsid w:val="00D02244"/>
    <w:rsid w:val="00D02869"/>
    <w:rsid w:val="00D02D96"/>
    <w:rsid w:val="00D030F7"/>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D38"/>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4E5D"/>
    <w:rsid w:val="00D2505B"/>
    <w:rsid w:val="00D25E16"/>
    <w:rsid w:val="00D2616A"/>
    <w:rsid w:val="00D27979"/>
    <w:rsid w:val="00D27AA8"/>
    <w:rsid w:val="00D27C83"/>
    <w:rsid w:val="00D302DF"/>
    <w:rsid w:val="00D3034B"/>
    <w:rsid w:val="00D30452"/>
    <w:rsid w:val="00D30ED5"/>
    <w:rsid w:val="00D3157F"/>
    <w:rsid w:val="00D31899"/>
    <w:rsid w:val="00D319D2"/>
    <w:rsid w:val="00D31D45"/>
    <w:rsid w:val="00D31DA7"/>
    <w:rsid w:val="00D32ABC"/>
    <w:rsid w:val="00D330DB"/>
    <w:rsid w:val="00D3372F"/>
    <w:rsid w:val="00D33BC8"/>
    <w:rsid w:val="00D346A3"/>
    <w:rsid w:val="00D34D2F"/>
    <w:rsid w:val="00D35D8C"/>
    <w:rsid w:val="00D361D5"/>
    <w:rsid w:val="00D36A79"/>
    <w:rsid w:val="00D36F1A"/>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25F"/>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78B"/>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6BC"/>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3A53"/>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0B3"/>
    <w:rsid w:val="00DA12B5"/>
    <w:rsid w:val="00DA1A1C"/>
    <w:rsid w:val="00DA2A94"/>
    <w:rsid w:val="00DA3D26"/>
    <w:rsid w:val="00DA4556"/>
    <w:rsid w:val="00DA4678"/>
    <w:rsid w:val="00DA4CA7"/>
    <w:rsid w:val="00DA5593"/>
    <w:rsid w:val="00DA56CD"/>
    <w:rsid w:val="00DA5D7F"/>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9D3"/>
    <w:rsid w:val="00DB3D37"/>
    <w:rsid w:val="00DB3ED8"/>
    <w:rsid w:val="00DB3F45"/>
    <w:rsid w:val="00DB412A"/>
    <w:rsid w:val="00DB450C"/>
    <w:rsid w:val="00DB4806"/>
    <w:rsid w:val="00DB4E5B"/>
    <w:rsid w:val="00DB5819"/>
    <w:rsid w:val="00DB5A12"/>
    <w:rsid w:val="00DB6CC4"/>
    <w:rsid w:val="00DB6E48"/>
    <w:rsid w:val="00DC090E"/>
    <w:rsid w:val="00DC0A9B"/>
    <w:rsid w:val="00DC1018"/>
    <w:rsid w:val="00DC10F1"/>
    <w:rsid w:val="00DC19E9"/>
    <w:rsid w:val="00DC1E8C"/>
    <w:rsid w:val="00DC2A89"/>
    <w:rsid w:val="00DC2F09"/>
    <w:rsid w:val="00DC30B4"/>
    <w:rsid w:val="00DC33F3"/>
    <w:rsid w:val="00DC39C3"/>
    <w:rsid w:val="00DC3B2B"/>
    <w:rsid w:val="00DC4179"/>
    <w:rsid w:val="00DC4DF3"/>
    <w:rsid w:val="00DC531C"/>
    <w:rsid w:val="00DC5577"/>
    <w:rsid w:val="00DC5912"/>
    <w:rsid w:val="00DC5B57"/>
    <w:rsid w:val="00DC603C"/>
    <w:rsid w:val="00DC632F"/>
    <w:rsid w:val="00DC6401"/>
    <w:rsid w:val="00DC70E0"/>
    <w:rsid w:val="00DC72D5"/>
    <w:rsid w:val="00DC75F9"/>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31EF"/>
    <w:rsid w:val="00DF40CD"/>
    <w:rsid w:val="00DF4409"/>
    <w:rsid w:val="00DF5A84"/>
    <w:rsid w:val="00DF5E7E"/>
    <w:rsid w:val="00DF674A"/>
    <w:rsid w:val="00DF6815"/>
    <w:rsid w:val="00DF6854"/>
    <w:rsid w:val="00DF68FA"/>
    <w:rsid w:val="00DF6D2E"/>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AB2"/>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2A6F"/>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8AC"/>
    <w:rsid w:val="00E709C8"/>
    <w:rsid w:val="00E70B8D"/>
    <w:rsid w:val="00E71675"/>
    <w:rsid w:val="00E716B0"/>
    <w:rsid w:val="00E71B64"/>
    <w:rsid w:val="00E71DD7"/>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D0B"/>
    <w:rsid w:val="00E90F60"/>
    <w:rsid w:val="00E911D4"/>
    <w:rsid w:val="00E93511"/>
    <w:rsid w:val="00E94C96"/>
    <w:rsid w:val="00E954A1"/>
    <w:rsid w:val="00E95B5A"/>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E74"/>
    <w:rsid w:val="00EF1FEE"/>
    <w:rsid w:val="00EF2A05"/>
    <w:rsid w:val="00EF2D06"/>
    <w:rsid w:val="00EF33DE"/>
    <w:rsid w:val="00EF3A49"/>
    <w:rsid w:val="00EF42B9"/>
    <w:rsid w:val="00EF4639"/>
    <w:rsid w:val="00EF548E"/>
    <w:rsid w:val="00EF5A78"/>
    <w:rsid w:val="00EF6383"/>
    <w:rsid w:val="00EF7188"/>
    <w:rsid w:val="00EF743A"/>
    <w:rsid w:val="00EF74FC"/>
    <w:rsid w:val="00EF7783"/>
    <w:rsid w:val="00EF7846"/>
    <w:rsid w:val="00EF7C66"/>
    <w:rsid w:val="00EF7D8F"/>
    <w:rsid w:val="00F007DF"/>
    <w:rsid w:val="00F00D3C"/>
    <w:rsid w:val="00F01528"/>
    <w:rsid w:val="00F0229E"/>
    <w:rsid w:val="00F03AFE"/>
    <w:rsid w:val="00F04546"/>
    <w:rsid w:val="00F0486D"/>
    <w:rsid w:val="00F05D84"/>
    <w:rsid w:val="00F06FCF"/>
    <w:rsid w:val="00F0738C"/>
    <w:rsid w:val="00F106BB"/>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4E9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654"/>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4E8D"/>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65F"/>
    <w:rsid w:val="00F76A81"/>
    <w:rsid w:val="00F76C85"/>
    <w:rsid w:val="00F76FCC"/>
    <w:rsid w:val="00F77790"/>
    <w:rsid w:val="00F77807"/>
    <w:rsid w:val="00F77F12"/>
    <w:rsid w:val="00F808DA"/>
    <w:rsid w:val="00F80F65"/>
    <w:rsid w:val="00F811C5"/>
    <w:rsid w:val="00F81EE2"/>
    <w:rsid w:val="00F81F20"/>
    <w:rsid w:val="00F82A73"/>
    <w:rsid w:val="00F833E0"/>
    <w:rsid w:val="00F8373B"/>
    <w:rsid w:val="00F83CCE"/>
    <w:rsid w:val="00F83D50"/>
    <w:rsid w:val="00F843EA"/>
    <w:rsid w:val="00F84CBA"/>
    <w:rsid w:val="00F8532B"/>
    <w:rsid w:val="00F853E7"/>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406"/>
    <w:rsid w:val="00F97653"/>
    <w:rsid w:val="00FA0396"/>
    <w:rsid w:val="00FA1F41"/>
    <w:rsid w:val="00FA20DD"/>
    <w:rsid w:val="00FA2432"/>
    <w:rsid w:val="00FA250D"/>
    <w:rsid w:val="00FA265A"/>
    <w:rsid w:val="00FA2BBB"/>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79E"/>
    <w:rsid w:val="00FC0DB0"/>
    <w:rsid w:val="00FC1E2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2674"/>
    <w:rsid w:val="00FD3AC0"/>
    <w:rsid w:val="00FD3BF5"/>
    <w:rsid w:val="00FD47E2"/>
    <w:rsid w:val="00FD5125"/>
    <w:rsid w:val="00FD512F"/>
    <w:rsid w:val="00FD5850"/>
    <w:rsid w:val="00FD6964"/>
    <w:rsid w:val="00FD6CDA"/>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B6"/>
    <w:rsid w:val="00FF0BFE"/>
    <w:rsid w:val="00FF0E16"/>
    <w:rsid w:val="00FF17FD"/>
    <w:rsid w:val="00FF251E"/>
    <w:rsid w:val="00FF28E1"/>
    <w:rsid w:val="00FF2991"/>
    <w:rsid w:val="00FF2BE2"/>
    <w:rsid w:val="00FF3545"/>
    <w:rsid w:val="00FF3EAD"/>
    <w:rsid w:val="00FF3F99"/>
    <w:rsid w:val="00FF54DB"/>
    <w:rsid w:val="00FF6246"/>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rsid w:val="008609A8"/>
    <w:rPr>
      <w:sz w:val="20"/>
      <w:szCs w:val="20"/>
    </w:rPr>
  </w:style>
  <w:style w:type="character" w:customStyle="1" w:styleId="CommentTextChar">
    <w:name w:val="Comment Text Char"/>
    <w:basedOn w:val="DefaultParagraphFont"/>
    <w:link w:val="CommentText"/>
    <w:uiPriority w:val="99"/>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CS-Paragraphnumbering">
    <w:name w:val="CS - Paragraph numbering"/>
    <w:basedOn w:val="Normal"/>
    <w:rsid w:val="00FC1E20"/>
    <w:pPr>
      <w:spacing w:after="120"/>
      <w:ind w:left="567" w:right="-45" w:hanging="567"/>
    </w:pPr>
    <w:rPr>
      <w:rFonts w:eastAsia="Calibri"/>
      <w:sz w:val="24"/>
      <w:szCs w:val="24"/>
    </w:rPr>
  </w:style>
  <w:style w:type="paragraph" w:customStyle="1" w:styleId="normalweb0">
    <w:name w:val="normalweb"/>
    <w:basedOn w:val="Normal"/>
    <w:rsid w:val="00682BBB"/>
    <w:pPr>
      <w:spacing w:before="100" w:beforeAutospacing="1" w:after="100" w:afterAutospacing="1" w:line="240" w:lineRule="auto"/>
    </w:pPr>
    <w:rPr>
      <w:rFonts w:ascii="Times New Roman" w:hAnsi="Times New Roman"/>
      <w:sz w:val="24"/>
      <w:szCs w:val="24"/>
      <w:lang w:eastAsia="en-AU"/>
    </w:rPr>
  </w:style>
  <w:style w:type="character" w:customStyle="1" w:styleId="footnotereference0">
    <w:name w:val="footnotereference"/>
    <w:basedOn w:val="DefaultParagraphFont"/>
    <w:rsid w:val="006D1407"/>
  </w:style>
  <w:style w:type="character" w:customStyle="1" w:styleId="Hyperlink1">
    <w:name w:val="Hyperlink1"/>
    <w:basedOn w:val="DefaultParagraphFont"/>
    <w:rsid w:val="006D1407"/>
  </w:style>
  <w:style w:type="paragraph" w:customStyle="1" w:styleId="ah5sec0">
    <w:name w:val="ah5sec"/>
    <w:basedOn w:val="Normal"/>
    <w:rsid w:val="00B051EB"/>
    <w:pPr>
      <w:spacing w:before="100" w:beforeAutospacing="1" w:after="100" w:afterAutospacing="1" w:line="240" w:lineRule="auto"/>
    </w:pPr>
    <w:rPr>
      <w:rFonts w:ascii="Times New Roman" w:hAnsi="Times New Roman"/>
      <w:sz w:val="24"/>
      <w:szCs w:val="24"/>
      <w:lang w:eastAsia="en-AU"/>
    </w:rPr>
  </w:style>
  <w:style w:type="paragraph" w:customStyle="1" w:styleId="amain0">
    <w:name w:val="amain"/>
    <w:basedOn w:val="Normal"/>
    <w:rsid w:val="00B051EB"/>
    <w:pPr>
      <w:spacing w:before="100" w:beforeAutospacing="1" w:after="100" w:afterAutospacing="1" w:line="240" w:lineRule="auto"/>
    </w:pPr>
    <w:rPr>
      <w:rFonts w:ascii="Times New Roman" w:hAnsi="Times New Roman"/>
      <w:sz w:val="24"/>
      <w:szCs w:val="24"/>
      <w:lang w:eastAsia="en-AU"/>
    </w:rPr>
  </w:style>
  <w:style w:type="paragraph" w:customStyle="1" w:styleId="apara0">
    <w:name w:val="apara"/>
    <w:basedOn w:val="Normal"/>
    <w:rsid w:val="00B051EB"/>
    <w:pPr>
      <w:spacing w:before="100" w:beforeAutospacing="1" w:after="100" w:afterAutospacing="1" w:line="240" w:lineRule="auto"/>
    </w:pPr>
    <w:rPr>
      <w:rFonts w:ascii="Times New Roman" w:hAnsi="Times New Roman"/>
      <w:sz w:val="24"/>
      <w:szCs w:val="24"/>
      <w:lang w:eastAsia="en-AU"/>
    </w:rPr>
  </w:style>
  <w:style w:type="character" w:styleId="UnresolvedMention">
    <w:name w:val="Unresolved Mention"/>
    <w:basedOn w:val="DefaultParagraphFont"/>
    <w:uiPriority w:val="99"/>
    <w:semiHidden/>
    <w:unhideWhenUsed/>
    <w:rsid w:val="006A1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0584">
      <w:bodyDiv w:val="1"/>
      <w:marLeft w:val="0"/>
      <w:marRight w:val="0"/>
      <w:marTop w:val="0"/>
      <w:marBottom w:val="0"/>
      <w:divBdr>
        <w:top w:val="none" w:sz="0" w:space="0" w:color="auto"/>
        <w:left w:val="none" w:sz="0" w:space="0" w:color="auto"/>
        <w:bottom w:val="none" w:sz="0" w:space="0" w:color="auto"/>
        <w:right w:val="none" w:sz="0" w:space="0" w:color="auto"/>
      </w:divBdr>
    </w:div>
    <w:div w:id="331104366">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365369725">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663817408">
      <w:bodyDiv w:val="1"/>
      <w:marLeft w:val="0"/>
      <w:marRight w:val="0"/>
      <w:marTop w:val="0"/>
      <w:marBottom w:val="0"/>
      <w:divBdr>
        <w:top w:val="none" w:sz="0" w:space="0" w:color="auto"/>
        <w:left w:val="none" w:sz="0" w:space="0" w:color="auto"/>
        <w:bottom w:val="none" w:sz="0" w:space="0" w:color="auto"/>
        <w:right w:val="none" w:sz="0" w:space="0" w:color="auto"/>
      </w:divBdr>
    </w:div>
    <w:div w:id="769810998">
      <w:bodyDiv w:val="1"/>
      <w:marLeft w:val="0"/>
      <w:marRight w:val="0"/>
      <w:marTop w:val="0"/>
      <w:marBottom w:val="0"/>
      <w:divBdr>
        <w:top w:val="none" w:sz="0" w:space="0" w:color="auto"/>
        <w:left w:val="none" w:sz="0" w:space="0" w:color="auto"/>
        <w:bottom w:val="none" w:sz="0" w:space="0" w:color="auto"/>
        <w:right w:val="none" w:sz="0" w:space="0" w:color="auto"/>
      </w:divBdr>
    </w:div>
    <w:div w:id="1096748167">
      <w:bodyDiv w:val="1"/>
      <w:marLeft w:val="0"/>
      <w:marRight w:val="0"/>
      <w:marTop w:val="0"/>
      <w:marBottom w:val="0"/>
      <w:divBdr>
        <w:top w:val="none" w:sz="0" w:space="0" w:color="auto"/>
        <w:left w:val="none" w:sz="0" w:space="0" w:color="auto"/>
        <w:bottom w:val="none" w:sz="0" w:space="0" w:color="auto"/>
        <w:right w:val="none" w:sz="0" w:space="0" w:color="auto"/>
      </w:divBdr>
    </w:div>
    <w:div w:id="1200823969">
      <w:bodyDiv w:val="1"/>
      <w:marLeft w:val="0"/>
      <w:marRight w:val="0"/>
      <w:marTop w:val="0"/>
      <w:marBottom w:val="0"/>
      <w:divBdr>
        <w:top w:val="none" w:sz="0" w:space="0" w:color="auto"/>
        <w:left w:val="none" w:sz="0" w:space="0" w:color="auto"/>
        <w:bottom w:val="none" w:sz="0" w:space="0" w:color="auto"/>
        <w:right w:val="none" w:sz="0" w:space="0" w:color="auto"/>
      </w:divBdr>
    </w:div>
    <w:div w:id="1214194059">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666938126">
      <w:bodyDiv w:val="1"/>
      <w:marLeft w:val="0"/>
      <w:marRight w:val="0"/>
      <w:marTop w:val="0"/>
      <w:marBottom w:val="0"/>
      <w:divBdr>
        <w:top w:val="none" w:sz="0" w:space="0" w:color="auto"/>
        <w:left w:val="none" w:sz="0" w:space="0" w:color="auto"/>
        <w:bottom w:val="none" w:sz="0" w:space="0" w:color="auto"/>
        <w:right w:val="none" w:sz="0" w:space="0" w:color="auto"/>
      </w:divBdr>
    </w:div>
    <w:div w:id="1715160329">
      <w:bodyDiv w:val="1"/>
      <w:marLeft w:val="0"/>
      <w:marRight w:val="0"/>
      <w:marTop w:val="0"/>
      <w:marBottom w:val="0"/>
      <w:divBdr>
        <w:top w:val="none" w:sz="0" w:space="0" w:color="auto"/>
        <w:left w:val="none" w:sz="0" w:space="0" w:color="auto"/>
        <w:bottom w:val="none" w:sz="0" w:space="0" w:color="auto"/>
        <w:right w:val="none" w:sz="0" w:space="0" w:color="auto"/>
      </w:divBdr>
    </w:div>
    <w:div w:id="1824927897">
      <w:bodyDiv w:val="1"/>
      <w:marLeft w:val="0"/>
      <w:marRight w:val="0"/>
      <w:marTop w:val="0"/>
      <w:marBottom w:val="0"/>
      <w:divBdr>
        <w:top w:val="none" w:sz="0" w:space="0" w:color="auto"/>
        <w:left w:val="none" w:sz="0" w:space="0" w:color="auto"/>
        <w:bottom w:val="none" w:sz="0" w:space="0" w:color="auto"/>
        <w:right w:val="none" w:sz="0" w:space="0" w:color="auto"/>
      </w:divBdr>
    </w:div>
    <w:div w:id="1944266171">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hildabuseroyalcommission.gov.au/imp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7493</Words>
  <Characters>38726</Characters>
  <Application>Microsoft Office Word</Application>
  <DocSecurity>0</DocSecurity>
  <Lines>729</Lines>
  <Paragraphs>254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2022-06-08T23:10:00Z</dcterms:created>
  <dcterms:modified xsi:type="dcterms:W3CDTF">2022-06-08T23:10:00Z</dcterms:modified>
</cp:coreProperties>
</file>