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3C0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90FE9BA" w14:textId="47EAFA23" w:rsidR="00C17FAB" w:rsidRDefault="007A6E0E">
      <w:pPr>
        <w:pStyle w:val="Billname"/>
        <w:spacing w:before="700"/>
      </w:pPr>
      <w:r>
        <w:t xml:space="preserve">Court Procedures (Fees) Determination </w:t>
      </w:r>
      <w:r w:rsidR="00EE50AE">
        <w:t>20</w:t>
      </w:r>
      <w:r w:rsidR="0023243F">
        <w:t>2</w:t>
      </w:r>
      <w:r w:rsidR="00EB4269">
        <w:t>2 (No 2)</w:t>
      </w:r>
    </w:p>
    <w:p w14:paraId="428645AF" w14:textId="7CF8CF3B" w:rsidR="00C17FAB" w:rsidRDefault="002D7C60" w:rsidP="00DA3B00">
      <w:pPr>
        <w:spacing w:before="340"/>
        <w:rPr>
          <w:rFonts w:ascii="Arial" w:hAnsi="Arial" w:cs="Arial"/>
          <w:b/>
          <w:bCs/>
        </w:rPr>
      </w:pPr>
      <w:r>
        <w:rPr>
          <w:rFonts w:ascii="Arial" w:hAnsi="Arial" w:cs="Arial"/>
          <w:b/>
          <w:bCs/>
        </w:rPr>
        <w:t xml:space="preserve">Disallowable instrument </w:t>
      </w:r>
      <w:r w:rsidRPr="00381798">
        <w:rPr>
          <w:rFonts w:ascii="Arial" w:hAnsi="Arial" w:cs="Arial"/>
          <w:b/>
          <w:bCs/>
        </w:rPr>
        <w:t>DI</w:t>
      </w:r>
      <w:r w:rsidR="00AB31B7" w:rsidRPr="00381798">
        <w:rPr>
          <w:rFonts w:ascii="Arial" w:hAnsi="Arial" w:cs="Arial"/>
          <w:b/>
          <w:bCs/>
        </w:rPr>
        <w:t>20</w:t>
      </w:r>
      <w:r w:rsidR="0023243F">
        <w:rPr>
          <w:rFonts w:ascii="Arial" w:hAnsi="Arial" w:cs="Arial"/>
          <w:b/>
          <w:bCs/>
        </w:rPr>
        <w:t>2</w:t>
      </w:r>
      <w:r w:rsidR="00EB4269">
        <w:rPr>
          <w:rFonts w:ascii="Arial" w:hAnsi="Arial" w:cs="Arial"/>
          <w:b/>
          <w:bCs/>
        </w:rPr>
        <w:t>2</w:t>
      </w:r>
      <w:r w:rsidR="00BA124B">
        <w:rPr>
          <w:rFonts w:ascii="Arial" w:hAnsi="Arial" w:cs="Arial"/>
          <w:b/>
          <w:bCs/>
        </w:rPr>
        <w:t>–</w:t>
      </w:r>
      <w:r w:rsidR="0083261C">
        <w:rPr>
          <w:rFonts w:ascii="Arial" w:hAnsi="Arial" w:cs="Arial"/>
          <w:b/>
          <w:bCs/>
        </w:rPr>
        <w:t>105</w:t>
      </w:r>
    </w:p>
    <w:p w14:paraId="342C1E7F" w14:textId="77777777" w:rsidR="00C17FAB" w:rsidRDefault="00C17FAB" w:rsidP="00DA3B00">
      <w:pPr>
        <w:pStyle w:val="madeunder"/>
        <w:spacing w:before="300" w:after="0"/>
      </w:pPr>
      <w:r>
        <w:t xml:space="preserve">made under the  </w:t>
      </w:r>
    </w:p>
    <w:p w14:paraId="1B9AB266" w14:textId="77777777" w:rsidR="00C17FAB" w:rsidRDefault="007A6E0E" w:rsidP="00DA3B00">
      <w:pPr>
        <w:pStyle w:val="CoverActName"/>
        <w:spacing w:before="320" w:after="0"/>
        <w:rPr>
          <w:rFonts w:cs="Arial"/>
          <w:sz w:val="20"/>
        </w:rPr>
      </w:pPr>
      <w:r>
        <w:rPr>
          <w:rFonts w:cs="Arial"/>
          <w:sz w:val="20"/>
        </w:rPr>
        <w:t>Court Procedures Act 2004</w:t>
      </w:r>
      <w:r w:rsidR="00AA1B34">
        <w:rPr>
          <w:rFonts w:cs="Arial"/>
          <w:sz w:val="20"/>
        </w:rPr>
        <w:t>,</w:t>
      </w:r>
      <w:r>
        <w:rPr>
          <w:rFonts w:cs="Arial"/>
          <w:sz w:val="20"/>
        </w:rPr>
        <w:t xml:space="preserve"> s</w:t>
      </w:r>
      <w:r w:rsidR="004E7B95">
        <w:rPr>
          <w:rFonts w:cs="Arial"/>
          <w:sz w:val="20"/>
        </w:rPr>
        <w:t xml:space="preserve"> </w:t>
      </w:r>
      <w:r>
        <w:rPr>
          <w:rFonts w:cs="Arial"/>
          <w:sz w:val="20"/>
        </w:rPr>
        <w:t>13 (Determination of fees)</w:t>
      </w:r>
    </w:p>
    <w:p w14:paraId="18BAB8B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E4E01A7" w14:textId="77777777" w:rsidR="00C17FAB" w:rsidRDefault="00C17FAB">
      <w:pPr>
        <w:pStyle w:val="N-line3"/>
        <w:pBdr>
          <w:bottom w:val="none" w:sz="0" w:space="0" w:color="auto"/>
        </w:pBdr>
      </w:pPr>
    </w:p>
    <w:p w14:paraId="21A23917" w14:textId="77777777" w:rsidR="00C17FAB" w:rsidRDefault="00C17FAB">
      <w:pPr>
        <w:pStyle w:val="N-line3"/>
        <w:pBdr>
          <w:top w:val="single" w:sz="12" w:space="1" w:color="auto"/>
          <w:bottom w:val="none" w:sz="0" w:space="0" w:color="auto"/>
        </w:pBdr>
      </w:pPr>
    </w:p>
    <w:bookmarkEnd w:id="0"/>
    <w:p w14:paraId="6774DD87" w14:textId="77777777" w:rsidR="00D1115A" w:rsidRPr="00580342" w:rsidRDefault="00E32E8B" w:rsidP="00A71705">
      <w:pPr>
        <w:jc w:val="both"/>
      </w:pPr>
      <w:r w:rsidRPr="00580342">
        <w:t xml:space="preserve">Section 13 of the </w:t>
      </w:r>
      <w:r w:rsidRPr="00580342">
        <w:rPr>
          <w:i/>
        </w:rPr>
        <w:t>Court Procedures Act 2004</w:t>
      </w:r>
      <w:r w:rsidRPr="00580342">
        <w:t xml:space="preserve"> </w:t>
      </w:r>
      <w:r w:rsidR="00D1115A" w:rsidRPr="00580342">
        <w:t xml:space="preserve">(the Act) </w:t>
      </w:r>
      <w:r w:rsidRPr="00580342">
        <w:t xml:space="preserve">provides that the </w:t>
      </w:r>
      <w:r w:rsidR="007A6E0E" w:rsidRPr="00580342">
        <w:t xml:space="preserve">Minister </w:t>
      </w:r>
      <w:r w:rsidRPr="00580342">
        <w:t>may</w:t>
      </w:r>
      <w:r w:rsidR="007A6E0E" w:rsidRPr="00580342">
        <w:t xml:space="preserve"> determine fees </w:t>
      </w:r>
      <w:r w:rsidR="00691122" w:rsidRPr="00580342">
        <w:t xml:space="preserve">under the Act </w:t>
      </w:r>
      <w:r w:rsidR="007A6E0E" w:rsidRPr="00580342">
        <w:t xml:space="preserve">for </w:t>
      </w:r>
      <w:r w:rsidRPr="00580342">
        <w:t>a number of</w:t>
      </w:r>
      <w:r w:rsidR="007A6E0E" w:rsidRPr="00580342">
        <w:t xml:space="preserve"> purposes</w:t>
      </w:r>
      <w:r w:rsidRPr="00580342">
        <w:t>, including</w:t>
      </w:r>
      <w:r w:rsidR="00D1115A" w:rsidRPr="00580342">
        <w:t>—</w:t>
      </w:r>
    </w:p>
    <w:p w14:paraId="09636A66" w14:textId="77777777" w:rsidR="00D1115A" w:rsidRPr="00580342" w:rsidRDefault="00E32E8B" w:rsidP="00A71705">
      <w:pPr>
        <w:pStyle w:val="ListParagraph"/>
        <w:numPr>
          <w:ilvl w:val="0"/>
          <w:numId w:val="13"/>
        </w:numPr>
        <w:jc w:val="both"/>
      </w:pPr>
      <w:r w:rsidRPr="00580342">
        <w:t xml:space="preserve">proceedings in a court or the </w:t>
      </w:r>
      <w:r w:rsidR="00D1115A" w:rsidRPr="00580342">
        <w:t xml:space="preserve">ACT Civil and Administrative Tribunal (the </w:t>
      </w:r>
      <w:r w:rsidRPr="00580342">
        <w:t>ACAT</w:t>
      </w:r>
      <w:r w:rsidR="00D1115A" w:rsidRPr="00580342">
        <w:t>)</w:t>
      </w:r>
      <w:r w:rsidRPr="00580342">
        <w:t xml:space="preserve"> and matters incidental to the proceedings</w:t>
      </w:r>
      <w:r w:rsidR="00D1115A" w:rsidRPr="00580342">
        <w:t>;</w:t>
      </w:r>
    </w:p>
    <w:p w14:paraId="45F5832D" w14:textId="77777777" w:rsidR="00D1115A" w:rsidRPr="00580342" w:rsidRDefault="00E32E8B" w:rsidP="00D1115A">
      <w:pPr>
        <w:pStyle w:val="ListParagraph"/>
        <w:numPr>
          <w:ilvl w:val="0"/>
          <w:numId w:val="13"/>
        </w:numPr>
      </w:pPr>
      <w:r w:rsidRPr="00580342">
        <w:t>facilities and services provided by the court or the ACAT</w:t>
      </w:r>
      <w:r w:rsidR="00D1115A" w:rsidRPr="00580342">
        <w:t>;</w:t>
      </w:r>
      <w:r w:rsidRPr="00580342">
        <w:t xml:space="preserve"> </w:t>
      </w:r>
      <w:r w:rsidR="00691122" w:rsidRPr="00580342">
        <w:t>and</w:t>
      </w:r>
    </w:p>
    <w:p w14:paraId="76B6310F" w14:textId="77777777" w:rsidR="00C17FAB" w:rsidRPr="00580342" w:rsidRDefault="00E32E8B" w:rsidP="00A71705">
      <w:pPr>
        <w:pStyle w:val="ListParagraph"/>
        <w:numPr>
          <w:ilvl w:val="0"/>
          <w:numId w:val="13"/>
        </w:numPr>
        <w:jc w:val="both"/>
      </w:pPr>
      <w:r w:rsidRPr="00580342">
        <w:t>the service and execution of the process of a court of the Commonwealth, a State, another Territory or a foreign country.</w:t>
      </w:r>
    </w:p>
    <w:p w14:paraId="4684F2E0" w14:textId="77777777" w:rsidR="00691122" w:rsidRPr="00580342" w:rsidRDefault="00691122"/>
    <w:p w14:paraId="756660E6" w14:textId="77777777" w:rsidR="00E32E8B" w:rsidRPr="00580342" w:rsidRDefault="00E32E8B">
      <w:r w:rsidRPr="00580342">
        <w:t>A determination may provide for—</w:t>
      </w:r>
    </w:p>
    <w:p w14:paraId="73A05C7A" w14:textId="77777777" w:rsidR="00E32E8B" w:rsidRPr="00580342" w:rsidRDefault="00E32E8B" w:rsidP="00A71705">
      <w:pPr>
        <w:pStyle w:val="ListParagraph"/>
        <w:numPr>
          <w:ilvl w:val="0"/>
          <w:numId w:val="12"/>
        </w:numPr>
        <w:jc w:val="both"/>
      </w:pPr>
      <w:r w:rsidRPr="00580342">
        <w:t>exempting people from liability to pay determined fees, completely or partly, in all or particular circumstances;</w:t>
      </w:r>
    </w:p>
    <w:p w14:paraId="6A089726" w14:textId="77777777" w:rsidR="00E32E8B" w:rsidRPr="00580342" w:rsidRDefault="00E32E8B" w:rsidP="00A71705">
      <w:pPr>
        <w:pStyle w:val="ListParagraph"/>
        <w:numPr>
          <w:ilvl w:val="0"/>
          <w:numId w:val="12"/>
        </w:numPr>
        <w:jc w:val="both"/>
      </w:pPr>
      <w:r w:rsidRPr="00580342">
        <w:t>remitting, refunding or waiving, by a registrar of a court or the ACAT, determined fees, completely or partly, in particular circumstances;</w:t>
      </w:r>
    </w:p>
    <w:p w14:paraId="669B7D1F" w14:textId="77777777" w:rsidR="00E32E8B" w:rsidRPr="00580342" w:rsidRDefault="00F609DE" w:rsidP="00A71705">
      <w:pPr>
        <w:pStyle w:val="ListParagraph"/>
        <w:numPr>
          <w:ilvl w:val="0"/>
          <w:numId w:val="12"/>
        </w:numPr>
        <w:jc w:val="both"/>
      </w:pPr>
      <w:r w:rsidRPr="00580342">
        <w:t>deferring</w:t>
      </w:r>
      <w:r w:rsidR="00E32E8B" w:rsidRPr="00580342">
        <w:t xml:space="preserve"> by a registrar of a court or the ACAT, liability to pay determined fees, completely or partly, in particular circumstances.</w:t>
      </w:r>
    </w:p>
    <w:p w14:paraId="761BF2D0" w14:textId="77777777" w:rsidR="00D1115A" w:rsidRPr="0036190B" w:rsidRDefault="00D1115A" w:rsidP="00D36B2F">
      <w:pPr>
        <w:rPr>
          <w:szCs w:val="24"/>
        </w:rPr>
      </w:pPr>
    </w:p>
    <w:p w14:paraId="0E49EE6B" w14:textId="77777777" w:rsidR="006F6D50" w:rsidRDefault="008661F2" w:rsidP="008661F2">
      <w:pPr>
        <w:autoSpaceDE w:val="0"/>
        <w:autoSpaceDN w:val="0"/>
        <w:adjustRightInd w:val="0"/>
        <w:jc w:val="both"/>
        <w:rPr>
          <w:szCs w:val="24"/>
        </w:rPr>
      </w:pPr>
      <w:r w:rsidRPr="0036190B">
        <w:rPr>
          <w:szCs w:val="24"/>
          <w:lang w:eastAsia="en-AU"/>
        </w:rPr>
        <w:t xml:space="preserve">The new determination sets the fees that will apply </w:t>
      </w:r>
      <w:r w:rsidR="0033527B">
        <w:rPr>
          <w:szCs w:val="24"/>
          <w:lang w:eastAsia="en-AU"/>
        </w:rPr>
        <w:t>beginning on</w:t>
      </w:r>
      <w:r w:rsidR="0033527B" w:rsidRPr="0036190B">
        <w:rPr>
          <w:szCs w:val="24"/>
          <w:lang w:eastAsia="en-AU"/>
        </w:rPr>
        <w:t xml:space="preserve"> </w:t>
      </w:r>
      <w:r w:rsidR="00907C9A" w:rsidRPr="004726A9">
        <w:rPr>
          <w:szCs w:val="24"/>
        </w:rPr>
        <w:t>1 </w:t>
      </w:r>
      <w:r w:rsidR="00680656" w:rsidRPr="004726A9">
        <w:rPr>
          <w:szCs w:val="24"/>
        </w:rPr>
        <w:t>July</w:t>
      </w:r>
      <w:r w:rsidR="00907C9A" w:rsidRPr="0036190B">
        <w:rPr>
          <w:szCs w:val="24"/>
          <w:lang w:eastAsia="en-AU"/>
        </w:rPr>
        <w:t xml:space="preserve"> 202</w:t>
      </w:r>
      <w:r w:rsidR="00EB4269">
        <w:rPr>
          <w:szCs w:val="24"/>
          <w:lang w:eastAsia="en-AU"/>
        </w:rPr>
        <w:t>2</w:t>
      </w:r>
      <w:r w:rsidR="00907C9A" w:rsidRPr="0036190B">
        <w:rPr>
          <w:szCs w:val="24"/>
          <w:lang w:eastAsia="en-AU"/>
        </w:rPr>
        <w:t xml:space="preserve"> and</w:t>
      </w:r>
      <w:r w:rsidRPr="0036190B">
        <w:rPr>
          <w:szCs w:val="24"/>
          <w:lang w:eastAsia="en-AU"/>
        </w:rPr>
        <w:t xml:space="preserve"> repeals the </w:t>
      </w:r>
      <w:r w:rsidRPr="0036190B">
        <w:rPr>
          <w:i/>
          <w:szCs w:val="24"/>
          <w:lang w:eastAsia="en-AU"/>
        </w:rPr>
        <w:t>Court Procedures (Fees) Determination 20</w:t>
      </w:r>
      <w:r w:rsidR="00C355F4" w:rsidRPr="0036190B">
        <w:rPr>
          <w:i/>
          <w:szCs w:val="24"/>
          <w:lang w:eastAsia="en-AU"/>
        </w:rPr>
        <w:t>2</w:t>
      </w:r>
      <w:r w:rsidR="00EB4269">
        <w:rPr>
          <w:i/>
          <w:szCs w:val="24"/>
          <w:lang w:eastAsia="en-AU"/>
        </w:rPr>
        <w:t>2</w:t>
      </w:r>
      <w:r w:rsidR="00BC6A9B" w:rsidRPr="0036190B">
        <w:rPr>
          <w:i/>
          <w:szCs w:val="24"/>
          <w:lang w:eastAsia="en-AU"/>
        </w:rPr>
        <w:t xml:space="preserve"> DI202</w:t>
      </w:r>
      <w:r w:rsidR="00EB4269">
        <w:rPr>
          <w:i/>
          <w:szCs w:val="24"/>
          <w:lang w:eastAsia="en-AU"/>
        </w:rPr>
        <w:t>2</w:t>
      </w:r>
      <w:r w:rsidR="00F80872" w:rsidRPr="0036190B">
        <w:rPr>
          <w:i/>
          <w:szCs w:val="24"/>
          <w:lang w:eastAsia="en-AU"/>
        </w:rPr>
        <w:t>-</w:t>
      </w:r>
      <w:r w:rsidR="00C355F4" w:rsidRPr="0036190B">
        <w:rPr>
          <w:i/>
          <w:szCs w:val="24"/>
          <w:lang w:eastAsia="en-AU"/>
        </w:rPr>
        <w:t>1</w:t>
      </w:r>
      <w:r w:rsidRPr="0036190B">
        <w:rPr>
          <w:szCs w:val="24"/>
          <w:lang w:eastAsia="en-AU"/>
        </w:rPr>
        <w:t xml:space="preserve">. </w:t>
      </w:r>
      <w:r w:rsidR="003B5EE2" w:rsidRPr="0036190B">
        <w:rPr>
          <w:szCs w:val="24"/>
          <w:lang w:eastAsia="en-AU"/>
        </w:rPr>
        <w:t>It provides</w:t>
      </w:r>
      <w:r w:rsidRPr="0036190B">
        <w:rPr>
          <w:szCs w:val="24"/>
          <w:lang w:eastAsia="en-AU"/>
        </w:rPr>
        <w:t xml:space="preserve"> for fee increases in line with annual </w:t>
      </w:r>
      <w:r w:rsidRPr="001E7801">
        <w:rPr>
          <w:szCs w:val="24"/>
          <w:lang w:eastAsia="en-AU"/>
        </w:rPr>
        <w:t xml:space="preserve">adjustments to the Wages Price Index (WPI) of </w:t>
      </w:r>
      <w:r w:rsidR="00EB4269" w:rsidRPr="001E7801">
        <w:rPr>
          <w:szCs w:val="24"/>
          <w:lang w:eastAsia="en-AU"/>
        </w:rPr>
        <w:t>3</w:t>
      </w:r>
      <w:r w:rsidR="00A6658E" w:rsidRPr="000A5ACC">
        <w:rPr>
          <w:szCs w:val="24"/>
          <w:lang w:eastAsia="en-AU"/>
        </w:rPr>
        <w:t>.25</w:t>
      </w:r>
      <w:r w:rsidR="00C11169" w:rsidRPr="001E7801">
        <w:rPr>
          <w:szCs w:val="24"/>
          <w:lang w:eastAsia="en-AU"/>
        </w:rPr>
        <w:t>%</w:t>
      </w:r>
      <w:r w:rsidRPr="001E7801">
        <w:rPr>
          <w:szCs w:val="24"/>
          <w:lang w:eastAsia="en-AU"/>
        </w:rPr>
        <w:t xml:space="preserve">, </w:t>
      </w:r>
      <w:r w:rsidR="0036190B" w:rsidRPr="001E7801">
        <w:rPr>
          <w:szCs w:val="24"/>
          <w:lang w:eastAsia="en-AU"/>
        </w:rPr>
        <w:t xml:space="preserve">rounded down to the nearest dollar for most fees, with the exception of fees that have been consecutively rounded down in previous years by more than $1.00 </w:t>
      </w:r>
      <w:r w:rsidR="004660BC">
        <w:rPr>
          <w:szCs w:val="24"/>
          <w:lang w:eastAsia="en-AU"/>
        </w:rPr>
        <w:t xml:space="preserve">which </w:t>
      </w:r>
      <w:r w:rsidR="0036190B" w:rsidRPr="001E7801">
        <w:rPr>
          <w:szCs w:val="24"/>
          <w:lang w:eastAsia="en-AU"/>
        </w:rPr>
        <w:t>have been rounded up to the nearest dollar.</w:t>
      </w:r>
      <w:r w:rsidR="0036190B" w:rsidRPr="001E7801">
        <w:rPr>
          <w:i/>
          <w:iCs/>
          <w:szCs w:val="24"/>
        </w:rPr>
        <w:t xml:space="preserve"> </w:t>
      </w:r>
      <w:r w:rsidR="00791D86" w:rsidRPr="001E7801">
        <w:rPr>
          <w:szCs w:val="24"/>
        </w:rPr>
        <w:t>This approach aligns with the 20</w:t>
      </w:r>
      <w:r w:rsidR="00E92416" w:rsidRPr="001E7801">
        <w:rPr>
          <w:szCs w:val="24"/>
        </w:rPr>
        <w:t>21</w:t>
      </w:r>
      <w:r w:rsidR="00791D86" w:rsidRPr="001E7801">
        <w:rPr>
          <w:szCs w:val="24"/>
        </w:rPr>
        <w:t xml:space="preserve"> Treasury Guidelines for Fees and Charges. </w:t>
      </w:r>
    </w:p>
    <w:p w14:paraId="1A02F1AD" w14:textId="77777777" w:rsidR="006F6D50" w:rsidRDefault="006F6D50" w:rsidP="008661F2">
      <w:pPr>
        <w:autoSpaceDE w:val="0"/>
        <w:autoSpaceDN w:val="0"/>
        <w:adjustRightInd w:val="0"/>
        <w:jc w:val="both"/>
        <w:rPr>
          <w:szCs w:val="24"/>
        </w:rPr>
      </w:pPr>
    </w:p>
    <w:p w14:paraId="293F0CA0" w14:textId="454C4514" w:rsidR="00D36B2F" w:rsidRDefault="00DA15B8" w:rsidP="008661F2">
      <w:pPr>
        <w:autoSpaceDE w:val="0"/>
        <w:autoSpaceDN w:val="0"/>
        <w:adjustRightInd w:val="0"/>
        <w:jc w:val="both"/>
        <w:rPr>
          <w:szCs w:val="24"/>
        </w:rPr>
      </w:pPr>
      <w:r w:rsidRPr="001E7801">
        <w:rPr>
          <w:szCs w:val="24"/>
        </w:rPr>
        <w:t>Explanatory notes in the d</w:t>
      </w:r>
      <w:r w:rsidR="00D1115A" w:rsidRPr="001E7801">
        <w:rPr>
          <w:szCs w:val="24"/>
        </w:rPr>
        <w:t xml:space="preserve">etermination list the fees previously determined </w:t>
      </w:r>
      <w:r w:rsidR="0091391C" w:rsidRPr="001E7801">
        <w:rPr>
          <w:szCs w:val="24"/>
        </w:rPr>
        <w:t>to</w:t>
      </w:r>
      <w:r w:rsidR="00F609DE" w:rsidRPr="001E7801">
        <w:rPr>
          <w:szCs w:val="24"/>
        </w:rPr>
        <w:t xml:space="preserve"> enable comparison.</w:t>
      </w:r>
    </w:p>
    <w:p w14:paraId="498EA583" w14:textId="00707D38" w:rsidR="00EB4269" w:rsidRDefault="00EB4269" w:rsidP="008661F2">
      <w:pPr>
        <w:autoSpaceDE w:val="0"/>
        <w:autoSpaceDN w:val="0"/>
        <w:adjustRightInd w:val="0"/>
        <w:jc w:val="both"/>
        <w:rPr>
          <w:szCs w:val="24"/>
        </w:rPr>
      </w:pPr>
    </w:p>
    <w:p w14:paraId="18720DE8" w14:textId="247AF61D" w:rsidR="00EB4269" w:rsidRPr="000A5ACC" w:rsidRDefault="00EB4269" w:rsidP="000A5ACC">
      <w:pPr>
        <w:autoSpaceDE w:val="0"/>
        <w:autoSpaceDN w:val="0"/>
        <w:adjustRightInd w:val="0"/>
        <w:jc w:val="both"/>
        <w:rPr>
          <w:sz w:val="22"/>
          <w:szCs w:val="24"/>
        </w:rPr>
      </w:pPr>
      <w:r w:rsidRPr="000A5ACC">
        <w:rPr>
          <w:szCs w:val="24"/>
          <w:lang w:eastAsia="en-AU"/>
        </w:rPr>
        <w:t xml:space="preserve">The determination includes fees in </w:t>
      </w:r>
      <w:r w:rsidRPr="000A5ACC">
        <w:t xml:space="preserve">item 1209.3 and 1209.4 for publication of notice of intention to apply for a grant of probate, letters of administration (with or without a will), reseal of a foreign grant, and an amended or republished notice for this purpose.    </w:t>
      </w:r>
      <w:r w:rsidRPr="000A5ACC">
        <w:rPr>
          <w:szCs w:val="24"/>
        </w:rPr>
        <w:t xml:space="preserve">These two fees give effect to a change in the Court Procedure Rules 2022 made by the </w:t>
      </w:r>
      <w:r w:rsidRPr="000A5ACC">
        <w:rPr>
          <w:szCs w:val="24"/>
        </w:rPr>
        <w:lastRenderedPageBreak/>
        <w:t xml:space="preserve">Rule-Making Committee requiring all notices of intention to apply for a grant of probate, letters of administration and reseal of a foreign grant be published on the ACT Supreme Court website. This replaces the previous requirement that probate notices be published in a daily newspaper generally circulating in the ACT.  An online form is available for applicants and the notices can be easily searched on the Supreme Court website. As these fees commenced on 1 March 2022 no indexation has been applied.  </w:t>
      </w:r>
    </w:p>
    <w:p w14:paraId="72D421BA" w14:textId="77777777" w:rsidR="00D36B2F" w:rsidRDefault="00D36B2F" w:rsidP="00D1115A"/>
    <w:p w14:paraId="69DDF994" w14:textId="670D6947" w:rsidR="00DA15B8" w:rsidRPr="00D01284" w:rsidRDefault="000B7567" w:rsidP="00D1115A">
      <w:pPr>
        <w:rPr>
          <w:b/>
          <w:bCs/>
        </w:rPr>
      </w:pPr>
      <w:r w:rsidRPr="00D01284">
        <w:rPr>
          <w:b/>
          <w:bCs/>
        </w:rPr>
        <w:t>Updates to the instrument</w:t>
      </w:r>
    </w:p>
    <w:p w14:paraId="4ED9445A" w14:textId="088CB525" w:rsidR="000B7567" w:rsidRDefault="000B7567" w:rsidP="00D1115A"/>
    <w:p w14:paraId="3E522FD4" w14:textId="2D29A311" w:rsidR="00EB4269" w:rsidRDefault="00991AF6" w:rsidP="00490B31">
      <w:pPr>
        <w:autoSpaceDE w:val="0"/>
        <w:autoSpaceDN w:val="0"/>
        <w:adjustRightInd w:val="0"/>
        <w:rPr>
          <w:sz w:val="23"/>
          <w:szCs w:val="23"/>
        </w:rPr>
      </w:pPr>
      <w:r w:rsidRPr="00EB4269">
        <w:t>The f</w:t>
      </w:r>
      <w:r w:rsidR="000B7567" w:rsidRPr="00EB4269">
        <w:t>ee item 1</w:t>
      </w:r>
      <w:r w:rsidR="00EB4269" w:rsidRPr="00EB4269">
        <w:t xml:space="preserve">014 has been amended to remove the </w:t>
      </w:r>
      <w:r w:rsidR="00EB4269" w:rsidRPr="00490B31">
        <w:rPr>
          <w:sz w:val="23"/>
          <w:szCs w:val="23"/>
        </w:rPr>
        <w:t xml:space="preserve">wording </w:t>
      </w:r>
      <w:r w:rsidR="00EB4269" w:rsidRPr="00490B31">
        <w:rPr>
          <w:i/>
          <w:iCs/>
          <w:sz w:val="23"/>
          <w:szCs w:val="23"/>
        </w:rPr>
        <w:t xml:space="preserve">by an officer of the Tribunal </w:t>
      </w:r>
      <w:r w:rsidR="00EB4269" w:rsidRPr="00490B31">
        <w:rPr>
          <w:sz w:val="23"/>
          <w:szCs w:val="23"/>
        </w:rPr>
        <w:t>to</w:t>
      </w:r>
      <w:r w:rsidR="00EB4269" w:rsidRPr="00490B31">
        <w:rPr>
          <w:i/>
          <w:iCs/>
          <w:sz w:val="23"/>
          <w:szCs w:val="23"/>
        </w:rPr>
        <w:t xml:space="preserve"> </w:t>
      </w:r>
      <w:r w:rsidR="00EB4269" w:rsidRPr="00490B31">
        <w:rPr>
          <w:sz w:val="23"/>
          <w:szCs w:val="23"/>
        </w:rPr>
        <w:t xml:space="preserve">allow for a nominal copying charge regardless of who does the copying.  </w:t>
      </w:r>
    </w:p>
    <w:p w14:paraId="316180EB" w14:textId="77777777" w:rsidR="00490B31" w:rsidRPr="00A94212" w:rsidRDefault="00490B31" w:rsidP="00490B31">
      <w:pPr>
        <w:autoSpaceDE w:val="0"/>
        <w:autoSpaceDN w:val="0"/>
        <w:adjustRightInd w:val="0"/>
      </w:pPr>
    </w:p>
    <w:p w14:paraId="47503151" w14:textId="459D23B7" w:rsidR="006E307D" w:rsidRDefault="00EB4269" w:rsidP="00490B31">
      <w:pPr>
        <w:autoSpaceDE w:val="0"/>
        <w:autoSpaceDN w:val="0"/>
        <w:adjustRightInd w:val="0"/>
      </w:pPr>
      <w:r w:rsidRPr="00EB4269">
        <w:t>The fee item 1</w:t>
      </w:r>
      <w:r>
        <w:t xml:space="preserve">208 has been amended in the explanatory notes to provide additional explanation about the purpose of this fee.  </w:t>
      </w:r>
    </w:p>
    <w:p w14:paraId="386FFCB9" w14:textId="77777777" w:rsidR="00490B31" w:rsidRDefault="00490B31" w:rsidP="00490B31">
      <w:pPr>
        <w:autoSpaceDE w:val="0"/>
        <w:autoSpaceDN w:val="0"/>
        <w:adjustRightInd w:val="0"/>
      </w:pPr>
    </w:p>
    <w:p w14:paraId="72BB2B05" w14:textId="00F9E7E3" w:rsidR="00284FF4" w:rsidRPr="00490B31" w:rsidRDefault="00EB4269" w:rsidP="00490B31">
      <w:pPr>
        <w:rPr>
          <w:color w:val="000000"/>
          <w:sz w:val="22"/>
          <w:shd w:val="clear" w:color="auto" w:fill="FFFFFF"/>
          <w:lang w:eastAsia="en-AU"/>
        </w:rPr>
      </w:pPr>
      <w:r w:rsidRPr="00D15B79">
        <w:t>The f</w:t>
      </w:r>
      <w:r w:rsidRPr="003B4372">
        <w:t xml:space="preserve">ee items 1104 </w:t>
      </w:r>
      <w:r w:rsidR="00D15B79" w:rsidRPr="003B4372">
        <w:t xml:space="preserve">and 1202 have been amended to </w:t>
      </w:r>
      <w:r w:rsidR="003B4372">
        <w:t xml:space="preserve">change when </w:t>
      </w:r>
      <w:r w:rsidR="00D15B79" w:rsidRPr="003B4372">
        <w:t>hearing fees will be refunded.  The</w:t>
      </w:r>
      <w:r w:rsidR="003B4372">
        <w:t xml:space="preserve"> </w:t>
      </w:r>
      <w:r w:rsidR="00284FF4">
        <w:t>amendments</w:t>
      </w:r>
      <w:r w:rsidR="003B4372">
        <w:t xml:space="preserve"> incentivise early settlement to increase the likelihood of vacated dates being utilised.  </w:t>
      </w:r>
      <w:r w:rsidR="00B50275" w:rsidRPr="00490B31">
        <w:rPr>
          <w:color w:val="000000"/>
          <w:shd w:val="clear" w:color="auto" w:fill="FFFFFF"/>
        </w:rPr>
        <w:t xml:space="preserve">The amendments to 1104 </w:t>
      </w:r>
      <w:r w:rsidR="00B50275">
        <w:t xml:space="preserve">encourage early settlement of proceedings regardless of how settlement is achieved and remove reference to </w:t>
      </w:r>
      <w:r w:rsidR="00B0742A">
        <w:t xml:space="preserve">mediation and </w:t>
      </w:r>
      <w:r w:rsidR="00B50275">
        <w:t xml:space="preserve">dispute resolution which </w:t>
      </w:r>
      <w:r w:rsidR="00B0742A">
        <w:t xml:space="preserve">didn’t have a clear </w:t>
      </w:r>
      <w:r w:rsidR="00B50275">
        <w:t xml:space="preserve">definition. </w:t>
      </w:r>
      <w:r w:rsidR="003B4372">
        <w:t xml:space="preserve">The amendments to 1202 incentivise resolution </w:t>
      </w:r>
      <w:r w:rsidR="003B4372" w:rsidRPr="00490B31">
        <w:rPr>
          <w:color w:val="000000"/>
          <w:shd w:val="clear" w:color="auto" w:fill="FFFFFF"/>
        </w:rPr>
        <w:t>at court-ordered mediation, as well as early resolution of matters more broadly</w:t>
      </w:r>
      <w:r w:rsidR="00B50275" w:rsidRPr="00490B31">
        <w:rPr>
          <w:color w:val="000000"/>
          <w:shd w:val="clear" w:color="auto" w:fill="FFFFFF"/>
        </w:rPr>
        <w:t xml:space="preserve">.  Both </w:t>
      </w:r>
      <w:r w:rsidR="00B0742A" w:rsidRPr="00490B31">
        <w:rPr>
          <w:color w:val="000000"/>
          <w:shd w:val="clear" w:color="auto" w:fill="FFFFFF"/>
        </w:rPr>
        <w:t>amendments</w:t>
      </w:r>
      <w:r w:rsidR="00B50275" w:rsidRPr="00490B31">
        <w:rPr>
          <w:color w:val="000000"/>
          <w:shd w:val="clear" w:color="auto" w:fill="FFFFFF"/>
        </w:rPr>
        <w:t xml:space="preserve"> </w:t>
      </w:r>
      <w:r w:rsidR="003B4372" w:rsidRPr="00490B31">
        <w:rPr>
          <w:color w:val="000000"/>
          <w:shd w:val="clear" w:color="auto" w:fill="FFFFFF"/>
        </w:rPr>
        <w:t xml:space="preserve">provide for greater notification time.  </w:t>
      </w:r>
    </w:p>
    <w:p w14:paraId="614EBDED" w14:textId="77777777" w:rsidR="00284FF4" w:rsidRPr="00A94212" w:rsidRDefault="00284FF4" w:rsidP="00A94212">
      <w:pPr>
        <w:ind w:left="360"/>
        <w:rPr>
          <w:color w:val="000000"/>
          <w:shd w:val="clear" w:color="auto" w:fill="FFFFFF"/>
        </w:rPr>
      </w:pPr>
    </w:p>
    <w:p w14:paraId="2A3FFA61" w14:textId="77777777" w:rsidR="003B4372" w:rsidRDefault="003B4372" w:rsidP="00EB4269">
      <w:pPr>
        <w:autoSpaceDE w:val="0"/>
        <w:autoSpaceDN w:val="0"/>
        <w:adjustRightInd w:val="0"/>
      </w:pPr>
    </w:p>
    <w:p w14:paraId="61B8BD47" w14:textId="6D2A79C9" w:rsidR="00491C3C" w:rsidRDefault="00491C3C" w:rsidP="00D01284">
      <w:pPr>
        <w:autoSpaceDE w:val="0"/>
        <w:autoSpaceDN w:val="0"/>
        <w:adjustRightInd w:val="0"/>
      </w:pPr>
      <w:r>
        <w:t xml:space="preserve">Shane </w:t>
      </w:r>
      <w:proofErr w:type="spellStart"/>
      <w:r>
        <w:t>Rattenbury</w:t>
      </w:r>
      <w:proofErr w:type="spellEnd"/>
      <w:r>
        <w:t xml:space="preserve"> MLA</w:t>
      </w:r>
    </w:p>
    <w:p w14:paraId="732C97B5" w14:textId="77777777" w:rsidR="00491C3C" w:rsidRDefault="00491C3C" w:rsidP="00D01284">
      <w:pPr>
        <w:autoSpaceDE w:val="0"/>
        <w:autoSpaceDN w:val="0"/>
        <w:adjustRightInd w:val="0"/>
      </w:pPr>
      <w:r>
        <w:t>Attorney-General</w:t>
      </w:r>
    </w:p>
    <w:p w14:paraId="03E2F123" w14:textId="2D1E7113" w:rsidR="00AF108F" w:rsidRDefault="00490B31" w:rsidP="00D01284">
      <w:pPr>
        <w:autoSpaceDE w:val="0"/>
        <w:autoSpaceDN w:val="0"/>
        <w:adjustRightInd w:val="0"/>
      </w:pPr>
      <w:r>
        <w:tab/>
      </w:r>
      <w:r w:rsidR="00AF108F">
        <w:t>June 202</w:t>
      </w:r>
      <w:r w:rsidR="001E7801">
        <w:t>2</w:t>
      </w:r>
    </w:p>
    <w:sectPr w:rsidR="00AF108F"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352A" w14:textId="77777777" w:rsidR="00384E20" w:rsidRDefault="00384E20" w:rsidP="00C17FAB">
      <w:r>
        <w:separator/>
      </w:r>
    </w:p>
  </w:endnote>
  <w:endnote w:type="continuationSeparator" w:id="0">
    <w:p w14:paraId="5AB23845" w14:textId="77777777" w:rsidR="00384E20" w:rsidRDefault="00384E2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0682" w14:textId="77777777" w:rsidR="00904718" w:rsidRDefault="00904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DD14" w14:textId="71FDBD61" w:rsidR="007F42C5" w:rsidRPr="00904718" w:rsidRDefault="00904718" w:rsidP="00904718">
    <w:pPr>
      <w:pStyle w:val="Footer"/>
      <w:jc w:val="center"/>
      <w:rPr>
        <w:rFonts w:cs="Arial"/>
        <w:sz w:val="14"/>
      </w:rPr>
    </w:pPr>
    <w:r w:rsidRPr="0090471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1E78" w14:textId="77777777" w:rsidR="00904718" w:rsidRDefault="0090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7E89" w14:textId="77777777" w:rsidR="00384E20" w:rsidRDefault="00384E20" w:rsidP="00C17FAB">
      <w:r>
        <w:separator/>
      </w:r>
    </w:p>
  </w:footnote>
  <w:footnote w:type="continuationSeparator" w:id="0">
    <w:p w14:paraId="50679247" w14:textId="77777777" w:rsidR="00384E20" w:rsidRDefault="00384E2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F16A" w14:textId="77777777" w:rsidR="00904718" w:rsidRDefault="00904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9D5F" w14:textId="77777777" w:rsidR="00904718" w:rsidRDefault="00904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7963" w14:textId="77777777" w:rsidR="00904718" w:rsidRDefault="00904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BD37A4"/>
    <w:multiLevelType w:val="hybridMultilevel"/>
    <w:tmpl w:val="84982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B3764"/>
    <w:multiLevelType w:val="hybridMultilevel"/>
    <w:tmpl w:val="82FE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BFA143C"/>
    <w:multiLevelType w:val="hybridMultilevel"/>
    <w:tmpl w:val="EF66A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8536565"/>
    <w:multiLevelType w:val="hybridMultilevel"/>
    <w:tmpl w:val="25F0D78E"/>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3860009"/>
    <w:multiLevelType w:val="hybridMultilevel"/>
    <w:tmpl w:val="FE3A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2A48FF"/>
    <w:multiLevelType w:val="hybridMultilevel"/>
    <w:tmpl w:val="59FA58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57DF428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2565A87"/>
    <w:multiLevelType w:val="hybridMultilevel"/>
    <w:tmpl w:val="13E226B8"/>
    <w:lvl w:ilvl="0" w:tplc="D2D26950">
      <w:start w:val="1"/>
      <w:numFmt w:val="bullet"/>
      <w:pStyle w:val="mbullet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6" w15:restartNumberingAfterBreak="0">
    <w:nsid w:val="6A53313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6D313EEE"/>
    <w:multiLevelType w:val="hybridMultilevel"/>
    <w:tmpl w:val="CC6E1E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6EAD2CA5"/>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8"/>
  </w:num>
  <w:num w:numId="5">
    <w:abstractNumId w:val="18"/>
  </w:num>
  <w:num w:numId="6">
    <w:abstractNumId w:val="2"/>
  </w:num>
  <w:num w:numId="7">
    <w:abstractNumId w:val="6"/>
  </w:num>
  <w:num w:numId="8">
    <w:abstractNumId w:val="7"/>
  </w:num>
  <w:num w:numId="9">
    <w:abstractNumId w:val="20"/>
  </w:num>
  <w:num w:numId="10">
    <w:abstractNumId w:val="17"/>
  </w:num>
  <w:num w:numId="11">
    <w:abstractNumId w:val="11"/>
  </w:num>
  <w:num w:numId="12">
    <w:abstractNumId w:val="5"/>
  </w:num>
  <w:num w:numId="13">
    <w:abstractNumId w:val="12"/>
  </w:num>
  <w:num w:numId="14">
    <w:abstractNumId w:val="19"/>
  </w:num>
  <w:num w:numId="15">
    <w:abstractNumId w:val="10"/>
  </w:num>
  <w:num w:numId="16">
    <w:abstractNumId w:val="13"/>
  </w:num>
  <w:num w:numId="17">
    <w:abstractNumId w:val="14"/>
  </w:num>
  <w:num w:numId="18">
    <w:abstractNumId w:val="16"/>
  </w:num>
  <w:num w:numId="19">
    <w:abstractNumId w:val="1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4D1D"/>
    <w:rsid w:val="000078B1"/>
    <w:rsid w:val="000138CA"/>
    <w:rsid w:val="0002701E"/>
    <w:rsid w:val="00032480"/>
    <w:rsid w:val="00046C13"/>
    <w:rsid w:val="00061DD6"/>
    <w:rsid w:val="00073A38"/>
    <w:rsid w:val="00095C4E"/>
    <w:rsid w:val="000A5ACC"/>
    <w:rsid w:val="000B1FFD"/>
    <w:rsid w:val="000B7567"/>
    <w:rsid w:val="000D11E1"/>
    <w:rsid w:val="000D7AAB"/>
    <w:rsid w:val="000E00D3"/>
    <w:rsid w:val="001109EA"/>
    <w:rsid w:val="001217D7"/>
    <w:rsid w:val="00130C26"/>
    <w:rsid w:val="001415C4"/>
    <w:rsid w:val="00145201"/>
    <w:rsid w:val="001545B3"/>
    <w:rsid w:val="001920BA"/>
    <w:rsid w:val="0019413B"/>
    <w:rsid w:val="001B1467"/>
    <w:rsid w:val="001C1BA1"/>
    <w:rsid w:val="001D0C59"/>
    <w:rsid w:val="001D3C21"/>
    <w:rsid w:val="001E4DEB"/>
    <w:rsid w:val="001E7801"/>
    <w:rsid w:val="001F069E"/>
    <w:rsid w:val="001F6AC7"/>
    <w:rsid w:val="0020006A"/>
    <w:rsid w:val="0021368D"/>
    <w:rsid w:val="00227417"/>
    <w:rsid w:val="0023243F"/>
    <w:rsid w:val="00236779"/>
    <w:rsid w:val="0025249F"/>
    <w:rsid w:val="0026038C"/>
    <w:rsid w:val="00266C44"/>
    <w:rsid w:val="0027739D"/>
    <w:rsid w:val="00284FF4"/>
    <w:rsid w:val="002A6E60"/>
    <w:rsid w:val="002B147D"/>
    <w:rsid w:val="002D6A0E"/>
    <w:rsid w:val="002D7C60"/>
    <w:rsid w:val="002E3D91"/>
    <w:rsid w:val="002E656F"/>
    <w:rsid w:val="002F177B"/>
    <w:rsid w:val="002F242D"/>
    <w:rsid w:val="00310B4E"/>
    <w:rsid w:val="0033527B"/>
    <w:rsid w:val="00335E9C"/>
    <w:rsid w:val="00354B7D"/>
    <w:rsid w:val="00360E28"/>
    <w:rsid w:val="0036190B"/>
    <w:rsid w:val="00362E2F"/>
    <w:rsid w:val="00381798"/>
    <w:rsid w:val="00384E20"/>
    <w:rsid w:val="00391D64"/>
    <w:rsid w:val="003B031B"/>
    <w:rsid w:val="003B2C73"/>
    <w:rsid w:val="003B4372"/>
    <w:rsid w:val="003B5EE2"/>
    <w:rsid w:val="003C256D"/>
    <w:rsid w:val="003C51C7"/>
    <w:rsid w:val="004239C1"/>
    <w:rsid w:val="00427FC8"/>
    <w:rsid w:val="00431955"/>
    <w:rsid w:val="00435789"/>
    <w:rsid w:val="00435DB9"/>
    <w:rsid w:val="004413E0"/>
    <w:rsid w:val="00451508"/>
    <w:rsid w:val="00457E64"/>
    <w:rsid w:val="0046091D"/>
    <w:rsid w:val="004660BC"/>
    <w:rsid w:val="004726A9"/>
    <w:rsid w:val="00474846"/>
    <w:rsid w:val="00490B31"/>
    <w:rsid w:val="00491C3C"/>
    <w:rsid w:val="0049641E"/>
    <w:rsid w:val="004A2228"/>
    <w:rsid w:val="004B0FEF"/>
    <w:rsid w:val="004B4539"/>
    <w:rsid w:val="004E6C59"/>
    <w:rsid w:val="004E7B95"/>
    <w:rsid w:val="0052522D"/>
    <w:rsid w:val="00580342"/>
    <w:rsid w:val="00591110"/>
    <w:rsid w:val="00597CCD"/>
    <w:rsid w:val="005B1E13"/>
    <w:rsid w:val="005C1975"/>
    <w:rsid w:val="005D6663"/>
    <w:rsid w:val="005F0CAD"/>
    <w:rsid w:val="006124AE"/>
    <w:rsid w:val="0061344C"/>
    <w:rsid w:val="006347B7"/>
    <w:rsid w:val="00653CED"/>
    <w:rsid w:val="006625AC"/>
    <w:rsid w:val="006737C9"/>
    <w:rsid w:val="00675CF3"/>
    <w:rsid w:val="00680656"/>
    <w:rsid w:val="00691122"/>
    <w:rsid w:val="006A2E24"/>
    <w:rsid w:val="006A3CC0"/>
    <w:rsid w:val="006A4D95"/>
    <w:rsid w:val="006B5426"/>
    <w:rsid w:val="006E0782"/>
    <w:rsid w:val="006E307D"/>
    <w:rsid w:val="006F6D50"/>
    <w:rsid w:val="007010A1"/>
    <w:rsid w:val="00705314"/>
    <w:rsid w:val="00733B24"/>
    <w:rsid w:val="007346AC"/>
    <w:rsid w:val="00742A3C"/>
    <w:rsid w:val="0074463E"/>
    <w:rsid w:val="00752B37"/>
    <w:rsid w:val="00762DB0"/>
    <w:rsid w:val="00764ACD"/>
    <w:rsid w:val="00780D27"/>
    <w:rsid w:val="00791D86"/>
    <w:rsid w:val="007A16EF"/>
    <w:rsid w:val="007A6E0E"/>
    <w:rsid w:val="007A77D4"/>
    <w:rsid w:val="007D1B2E"/>
    <w:rsid w:val="007E30D5"/>
    <w:rsid w:val="007E4F64"/>
    <w:rsid w:val="007F4153"/>
    <w:rsid w:val="007F42C5"/>
    <w:rsid w:val="008111BF"/>
    <w:rsid w:val="00812274"/>
    <w:rsid w:val="0082436B"/>
    <w:rsid w:val="0083261C"/>
    <w:rsid w:val="0084736B"/>
    <w:rsid w:val="008661F2"/>
    <w:rsid w:val="00872212"/>
    <w:rsid w:val="0088342B"/>
    <w:rsid w:val="008877A5"/>
    <w:rsid w:val="008D6B4A"/>
    <w:rsid w:val="008D6D2F"/>
    <w:rsid w:val="008D7DF2"/>
    <w:rsid w:val="00901266"/>
    <w:rsid w:val="00902354"/>
    <w:rsid w:val="00904718"/>
    <w:rsid w:val="00907C9A"/>
    <w:rsid w:val="00912E07"/>
    <w:rsid w:val="0091391C"/>
    <w:rsid w:val="009212E4"/>
    <w:rsid w:val="009370F4"/>
    <w:rsid w:val="009734A5"/>
    <w:rsid w:val="00975F22"/>
    <w:rsid w:val="00991AF6"/>
    <w:rsid w:val="0099227B"/>
    <w:rsid w:val="009B6BA1"/>
    <w:rsid w:val="009E1D06"/>
    <w:rsid w:val="00A00AD3"/>
    <w:rsid w:val="00A305CF"/>
    <w:rsid w:val="00A3086C"/>
    <w:rsid w:val="00A33C2A"/>
    <w:rsid w:val="00A4498F"/>
    <w:rsid w:val="00A52B66"/>
    <w:rsid w:val="00A6658E"/>
    <w:rsid w:val="00A71705"/>
    <w:rsid w:val="00A8335D"/>
    <w:rsid w:val="00A87822"/>
    <w:rsid w:val="00A91035"/>
    <w:rsid w:val="00A94212"/>
    <w:rsid w:val="00A971BE"/>
    <w:rsid w:val="00AA1B34"/>
    <w:rsid w:val="00AA3E8B"/>
    <w:rsid w:val="00AA3F66"/>
    <w:rsid w:val="00AB1BC6"/>
    <w:rsid w:val="00AB2F52"/>
    <w:rsid w:val="00AB31B7"/>
    <w:rsid w:val="00AD17A7"/>
    <w:rsid w:val="00AD61A5"/>
    <w:rsid w:val="00AF108F"/>
    <w:rsid w:val="00B0742A"/>
    <w:rsid w:val="00B12EEA"/>
    <w:rsid w:val="00B1572B"/>
    <w:rsid w:val="00B22314"/>
    <w:rsid w:val="00B2323C"/>
    <w:rsid w:val="00B50275"/>
    <w:rsid w:val="00B63D61"/>
    <w:rsid w:val="00B755DE"/>
    <w:rsid w:val="00B7597A"/>
    <w:rsid w:val="00B8579E"/>
    <w:rsid w:val="00B94006"/>
    <w:rsid w:val="00BA124B"/>
    <w:rsid w:val="00BA375F"/>
    <w:rsid w:val="00BC6A9B"/>
    <w:rsid w:val="00C02976"/>
    <w:rsid w:val="00C10481"/>
    <w:rsid w:val="00C11169"/>
    <w:rsid w:val="00C17FAB"/>
    <w:rsid w:val="00C2482D"/>
    <w:rsid w:val="00C274A1"/>
    <w:rsid w:val="00C3069D"/>
    <w:rsid w:val="00C355F4"/>
    <w:rsid w:val="00C3620A"/>
    <w:rsid w:val="00C505EC"/>
    <w:rsid w:val="00C56159"/>
    <w:rsid w:val="00C65C7E"/>
    <w:rsid w:val="00C76591"/>
    <w:rsid w:val="00C82396"/>
    <w:rsid w:val="00C90637"/>
    <w:rsid w:val="00C964AD"/>
    <w:rsid w:val="00C96B35"/>
    <w:rsid w:val="00C97BB4"/>
    <w:rsid w:val="00CA397B"/>
    <w:rsid w:val="00CA6D91"/>
    <w:rsid w:val="00CB464B"/>
    <w:rsid w:val="00CC5E07"/>
    <w:rsid w:val="00CE462C"/>
    <w:rsid w:val="00CE599C"/>
    <w:rsid w:val="00CE63FD"/>
    <w:rsid w:val="00CF22FF"/>
    <w:rsid w:val="00D01284"/>
    <w:rsid w:val="00D1115A"/>
    <w:rsid w:val="00D15B79"/>
    <w:rsid w:val="00D23B5F"/>
    <w:rsid w:val="00D346D7"/>
    <w:rsid w:val="00D36B2F"/>
    <w:rsid w:val="00D63920"/>
    <w:rsid w:val="00D8349A"/>
    <w:rsid w:val="00D867AE"/>
    <w:rsid w:val="00D93A23"/>
    <w:rsid w:val="00D961B1"/>
    <w:rsid w:val="00DA0FFF"/>
    <w:rsid w:val="00DA15B8"/>
    <w:rsid w:val="00DA3B00"/>
    <w:rsid w:val="00DB3258"/>
    <w:rsid w:val="00DB6CAF"/>
    <w:rsid w:val="00DE418D"/>
    <w:rsid w:val="00DF0C03"/>
    <w:rsid w:val="00DF7E3E"/>
    <w:rsid w:val="00E32E8B"/>
    <w:rsid w:val="00E36B58"/>
    <w:rsid w:val="00E42D3A"/>
    <w:rsid w:val="00E46719"/>
    <w:rsid w:val="00E47291"/>
    <w:rsid w:val="00E627AC"/>
    <w:rsid w:val="00E83A52"/>
    <w:rsid w:val="00E92416"/>
    <w:rsid w:val="00E97299"/>
    <w:rsid w:val="00EB4269"/>
    <w:rsid w:val="00EB4EDE"/>
    <w:rsid w:val="00ED2101"/>
    <w:rsid w:val="00ED2653"/>
    <w:rsid w:val="00EE50AE"/>
    <w:rsid w:val="00EF0543"/>
    <w:rsid w:val="00F20ABE"/>
    <w:rsid w:val="00F32216"/>
    <w:rsid w:val="00F37A5C"/>
    <w:rsid w:val="00F40E0A"/>
    <w:rsid w:val="00F43BE0"/>
    <w:rsid w:val="00F52FB3"/>
    <w:rsid w:val="00F566B3"/>
    <w:rsid w:val="00F609DE"/>
    <w:rsid w:val="00F80872"/>
    <w:rsid w:val="00F82BBF"/>
    <w:rsid w:val="00F92749"/>
    <w:rsid w:val="00FB0490"/>
    <w:rsid w:val="00FC5E14"/>
    <w:rsid w:val="00FC60BC"/>
    <w:rsid w:val="00FD75CE"/>
    <w:rsid w:val="00FE15C5"/>
    <w:rsid w:val="00FF00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1C5FE"/>
  <w14:defaultImageDpi w14:val="0"/>
  <w15:docId w15:val="{BA911335-7C9C-4071-B6DA-C1CBB1D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link w:val="AparaChar"/>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ListParagraph">
    <w:name w:val="List Paragraph"/>
    <w:basedOn w:val="Normal"/>
    <w:uiPriority w:val="34"/>
    <w:qFormat/>
    <w:rsid w:val="006E307D"/>
    <w:pPr>
      <w:ind w:left="720"/>
      <w:contextualSpacing/>
    </w:pPr>
  </w:style>
  <w:style w:type="paragraph" w:styleId="BalloonText">
    <w:name w:val="Balloon Text"/>
    <w:basedOn w:val="Normal"/>
    <w:link w:val="BalloonTextChar"/>
    <w:uiPriority w:val="99"/>
    <w:semiHidden/>
    <w:unhideWhenUsed/>
    <w:rsid w:val="00A87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22"/>
    <w:rPr>
      <w:rFonts w:ascii="Tahoma" w:hAnsi="Tahoma" w:cs="Tahoma"/>
      <w:sz w:val="16"/>
      <w:szCs w:val="16"/>
      <w:lang w:val="x-none" w:eastAsia="en-US"/>
    </w:rPr>
  </w:style>
  <w:style w:type="paragraph" w:customStyle="1" w:styleId="aNote">
    <w:name w:val="aNote"/>
    <w:basedOn w:val="Normal"/>
    <w:link w:val="aNoteChar"/>
    <w:rsid w:val="00E32E8B"/>
    <w:pPr>
      <w:spacing w:before="140"/>
      <w:ind w:left="1900" w:hanging="800"/>
      <w:jc w:val="both"/>
    </w:pPr>
    <w:rPr>
      <w:sz w:val="20"/>
    </w:rPr>
  </w:style>
  <w:style w:type="character" w:customStyle="1" w:styleId="charItals">
    <w:name w:val="charItals"/>
    <w:basedOn w:val="DefaultParagraphFont"/>
    <w:rsid w:val="00E32E8B"/>
    <w:rPr>
      <w:rFonts w:cs="Times New Roman"/>
      <w:i/>
    </w:rPr>
  </w:style>
  <w:style w:type="character" w:customStyle="1" w:styleId="aNoteChar">
    <w:name w:val="aNote Char"/>
    <w:basedOn w:val="DefaultParagraphFont"/>
    <w:link w:val="aNote"/>
    <w:locked/>
    <w:rsid w:val="00E32E8B"/>
    <w:rPr>
      <w:rFonts w:cs="Times New Roman"/>
      <w:lang w:val="x-none" w:eastAsia="en-US"/>
    </w:rPr>
  </w:style>
  <w:style w:type="paragraph" w:customStyle="1" w:styleId="CoverTextBullet">
    <w:name w:val="CoverTextBullet"/>
    <w:basedOn w:val="Normal"/>
    <w:qFormat/>
    <w:rsid w:val="00E32E8B"/>
    <w:pPr>
      <w:numPr>
        <w:numId w:val="11"/>
      </w:numPr>
      <w:spacing w:before="100"/>
      <w:jc w:val="both"/>
    </w:pPr>
    <w:rPr>
      <w:color w:val="000000"/>
      <w:sz w:val="20"/>
    </w:rPr>
  </w:style>
  <w:style w:type="character" w:customStyle="1" w:styleId="charCitHyperlinkAbbrev">
    <w:name w:val="charCitHyperlinkAbbrev"/>
    <w:basedOn w:val="Hyperlink"/>
    <w:uiPriority w:val="1"/>
    <w:rsid w:val="00E32E8B"/>
    <w:rPr>
      <w:rFonts w:cs="Times New Roman"/>
      <w:color w:val="0000FF" w:themeColor="hyperlink"/>
      <w:u w:val="none"/>
    </w:rPr>
  </w:style>
  <w:style w:type="character" w:customStyle="1" w:styleId="AparaChar">
    <w:name w:val="A para Char"/>
    <w:basedOn w:val="DefaultParagraphFont"/>
    <w:link w:val="Apara"/>
    <w:locked/>
    <w:rsid w:val="00E32E8B"/>
    <w:rPr>
      <w:rFonts w:cs="Times New Roman"/>
      <w:sz w:val="24"/>
      <w:lang w:val="x-none" w:eastAsia="en-US"/>
    </w:rPr>
  </w:style>
  <w:style w:type="character" w:customStyle="1" w:styleId="AmainChar">
    <w:name w:val="A main Char"/>
    <w:basedOn w:val="DefaultParagraphFont"/>
    <w:link w:val="Amain"/>
    <w:locked/>
    <w:rsid w:val="00E32E8B"/>
    <w:rPr>
      <w:rFonts w:cs="Times New Roman"/>
      <w:sz w:val="24"/>
      <w:lang w:val="x-none" w:eastAsia="en-US"/>
    </w:rPr>
  </w:style>
  <w:style w:type="character" w:styleId="CommentReference">
    <w:name w:val="annotation reference"/>
    <w:basedOn w:val="DefaultParagraphFont"/>
    <w:uiPriority w:val="99"/>
    <w:rsid w:val="00A3086C"/>
    <w:rPr>
      <w:rFonts w:cs="Times New Roman"/>
      <w:sz w:val="16"/>
      <w:szCs w:val="16"/>
    </w:rPr>
  </w:style>
  <w:style w:type="paragraph" w:styleId="CommentText">
    <w:name w:val="annotation text"/>
    <w:basedOn w:val="Normal"/>
    <w:link w:val="CommentTextChar"/>
    <w:uiPriority w:val="99"/>
    <w:rsid w:val="00A3086C"/>
    <w:rPr>
      <w:sz w:val="20"/>
    </w:rPr>
  </w:style>
  <w:style w:type="character" w:customStyle="1" w:styleId="CommentTextChar">
    <w:name w:val="Comment Text Char"/>
    <w:basedOn w:val="DefaultParagraphFont"/>
    <w:link w:val="CommentText"/>
    <w:uiPriority w:val="99"/>
    <w:locked/>
    <w:rsid w:val="00A3086C"/>
    <w:rPr>
      <w:rFonts w:cs="Times New Roman"/>
      <w:lang w:val="x-none" w:eastAsia="en-US"/>
    </w:rPr>
  </w:style>
  <w:style w:type="paragraph" w:styleId="CommentSubject">
    <w:name w:val="annotation subject"/>
    <w:basedOn w:val="CommentText"/>
    <w:next w:val="CommentText"/>
    <w:link w:val="CommentSubjectChar"/>
    <w:uiPriority w:val="99"/>
    <w:rsid w:val="00A3086C"/>
    <w:rPr>
      <w:b/>
      <w:bCs/>
    </w:rPr>
  </w:style>
  <w:style w:type="character" w:customStyle="1" w:styleId="CommentSubjectChar">
    <w:name w:val="Comment Subject Char"/>
    <w:basedOn w:val="CommentTextChar"/>
    <w:link w:val="CommentSubject"/>
    <w:uiPriority w:val="99"/>
    <w:locked/>
    <w:rsid w:val="00A3086C"/>
    <w:rPr>
      <w:rFonts w:cs="Times New Roman"/>
      <w:b/>
      <w:bCs/>
      <w:lang w:val="x-none" w:eastAsia="en-US"/>
    </w:rPr>
  </w:style>
  <w:style w:type="paragraph" w:customStyle="1" w:styleId="mbullet1">
    <w:name w:val="m_bullet 1"/>
    <w:basedOn w:val="ListParagraph"/>
    <w:qFormat/>
    <w:rsid w:val="00227417"/>
    <w:pPr>
      <w:numPr>
        <w:numId w:val="19"/>
      </w:numPr>
      <w:spacing w:line="276" w:lineRule="auto"/>
      <w:contextualSpacing w:val="0"/>
    </w:pPr>
    <w:rPr>
      <w:rFonts w:ascii="Calibri" w:eastAsia="Calibri" w:hAnsi="Calibri" w:cs="System"/>
      <w:color w:val="808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8996">
      <w:bodyDiv w:val="1"/>
      <w:marLeft w:val="0"/>
      <w:marRight w:val="0"/>
      <w:marTop w:val="0"/>
      <w:marBottom w:val="0"/>
      <w:divBdr>
        <w:top w:val="none" w:sz="0" w:space="0" w:color="auto"/>
        <w:left w:val="none" w:sz="0" w:space="0" w:color="auto"/>
        <w:bottom w:val="none" w:sz="0" w:space="0" w:color="auto"/>
        <w:right w:val="none" w:sz="0" w:space="0" w:color="auto"/>
      </w:divBdr>
    </w:div>
    <w:div w:id="226191641">
      <w:bodyDiv w:val="1"/>
      <w:marLeft w:val="0"/>
      <w:marRight w:val="0"/>
      <w:marTop w:val="0"/>
      <w:marBottom w:val="0"/>
      <w:divBdr>
        <w:top w:val="none" w:sz="0" w:space="0" w:color="auto"/>
        <w:left w:val="none" w:sz="0" w:space="0" w:color="auto"/>
        <w:bottom w:val="none" w:sz="0" w:space="0" w:color="auto"/>
        <w:right w:val="none" w:sz="0" w:space="0" w:color="auto"/>
      </w:divBdr>
    </w:div>
    <w:div w:id="276184081">
      <w:bodyDiv w:val="1"/>
      <w:marLeft w:val="0"/>
      <w:marRight w:val="0"/>
      <w:marTop w:val="0"/>
      <w:marBottom w:val="0"/>
      <w:divBdr>
        <w:top w:val="none" w:sz="0" w:space="0" w:color="auto"/>
        <w:left w:val="none" w:sz="0" w:space="0" w:color="auto"/>
        <w:bottom w:val="none" w:sz="0" w:space="0" w:color="auto"/>
        <w:right w:val="none" w:sz="0" w:space="0" w:color="auto"/>
      </w:divBdr>
    </w:div>
    <w:div w:id="887650000">
      <w:bodyDiv w:val="1"/>
      <w:marLeft w:val="0"/>
      <w:marRight w:val="0"/>
      <w:marTop w:val="0"/>
      <w:marBottom w:val="0"/>
      <w:divBdr>
        <w:top w:val="none" w:sz="0" w:space="0" w:color="auto"/>
        <w:left w:val="none" w:sz="0" w:space="0" w:color="auto"/>
        <w:bottom w:val="none" w:sz="0" w:space="0" w:color="auto"/>
        <w:right w:val="none" w:sz="0" w:space="0" w:color="auto"/>
      </w:divBdr>
    </w:div>
    <w:div w:id="971399730">
      <w:marLeft w:val="0"/>
      <w:marRight w:val="0"/>
      <w:marTop w:val="0"/>
      <w:marBottom w:val="0"/>
      <w:divBdr>
        <w:top w:val="none" w:sz="0" w:space="0" w:color="auto"/>
        <w:left w:val="none" w:sz="0" w:space="0" w:color="auto"/>
        <w:bottom w:val="none" w:sz="0" w:space="0" w:color="auto"/>
        <w:right w:val="none" w:sz="0" w:space="0" w:color="auto"/>
      </w:divBdr>
    </w:div>
    <w:div w:id="18250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6B0F-2F47-4FAB-931A-2F512AF6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2956</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2017-06-09T04:40:00Z</cp:lastPrinted>
  <dcterms:created xsi:type="dcterms:W3CDTF">2022-06-24T04:35:00Z</dcterms:created>
  <dcterms:modified xsi:type="dcterms:W3CDTF">2022-06-24T04:35:00Z</dcterms:modified>
</cp:coreProperties>
</file>