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3E0D2"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FF519AE" w14:textId="4BAFC737" w:rsidR="00D84BEB" w:rsidRDefault="00D84BEB" w:rsidP="00D84BEB">
      <w:pPr>
        <w:pStyle w:val="Billname"/>
        <w:spacing w:before="700"/>
      </w:pPr>
      <w:r>
        <w:t>Energy Efficiency (Cost of Living) Improvement (Eligible Activities) Determination 2022</w:t>
      </w:r>
    </w:p>
    <w:p w14:paraId="21C174E8" w14:textId="62A5ADAB" w:rsidR="00C17FAB" w:rsidRDefault="002D7C60" w:rsidP="00DA3B00">
      <w:pPr>
        <w:spacing w:before="340"/>
        <w:rPr>
          <w:rFonts w:ascii="Arial" w:hAnsi="Arial" w:cs="Arial"/>
          <w:b/>
          <w:bCs/>
        </w:rPr>
      </w:pPr>
      <w:r>
        <w:rPr>
          <w:rFonts w:ascii="Arial" w:hAnsi="Arial" w:cs="Arial"/>
          <w:b/>
          <w:bCs/>
        </w:rPr>
        <w:t>Disallowable instrument DI</w:t>
      </w:r>
      <w:r w:rsidR="00D84BEB">
        <w:rPr>
          <w:rFonts w:ascii="Arial" w:hAnsi="Arial" w:cs="Arial"/>
          <w:b/>
          <w:bCs/>
        </w:rPr>
        <w:t>2022</w:t>
      </w:r>
      <w:r w:rsidR="00C17FAB">
        <w:rPr>
          <w:rFonts w:ascii="Arial" w:hAnsi="Arial" w:cs="Arial"/>
          <w:b/>
          <w:bCs/>
        </w:rPr>
        <w:t>–</w:t>
      </w:r>
      <w:r w:rsidR="009B4E42">
        <w:rPr>
          <w:rFonts w:ascii="Arial" w:hAnsi="Arial" w:cs="Arial"/>
          <w:b/>
          <w:bCs/>
        </w:rPr>
        <w:t>181</w:t>
      </w:r>
    </w:p>
    <w:p w14:paraId="15AE9BE9" w14:textId="77777777" w:rsidR="00C17FAB" w:rsidRDefault="00C17FAB" w:rsidP="00DA3B00">
      <w:pPr>
        <w:pStyle w:val="madeunder"/>
        <w:spacing w:before="300" w:after="0"/>
      </w:pPr>
      <w:r>
        <w:t xml:space="preserve">made under the  </w:t>
      </w:r>
    </w:p>
    <w:p w14:paraId="12F46249" w14:textId="1A1BACC4" w:rsidR="00D84BEB" w:rsidRDefault="00D84BEB">
      <w:pPr>
        <w:spacing w:before="360"/>
        <w:ind w:right="565"/>
        <w:rPr>
          <w:rFonts w:ascii="Arial" w:hAnsi="Arial" w:cs="Arial"/>
          <w:b/>
          <w:sz w:val="20"/>
        </w:rPr>
      </w:pPr>
      <w:r w:rsidRPr="00D84BEB">
        <w:rPr>
          <w:rFonts w:ascii="Arial" w:hAnsi="Arial" w:cs="Arial"/>
          <w:b/>
          <w:sz w:val="20"/>
        </w:rPr>
        <w:t>Energy Efficiency (Cost of Living) Improvement Act 2012, s</w:t>
      </w:r>
      <w:r w:rsidR="004B31DE">
        <w:rPr>
          <w:rFonts w:ascii="Arial" w:hAnsi="Arial" w:cs="Arial"/>
          <w:b/>
          <w:sz w:val="20"/>
        </w:rPr>
        <w:t xml:space="preserve"> </w:t>
      </w:r>
      <w:r w:rsidRPr="00D84BEB">
        <w:rPr>
          <w:rFonts w:ascii="Arial" w:hAnsi="Arial" w:cs="Arial"/>
          <w:b/>
          <w:sz w:val="20"/>
        </w:rPr>
        <w:t>10 (Eligible activities)</w:t>
      </w:r>
    </w:p>
    <w:p w14:paraId="2135E5FA" w14:textId="7CCB010E"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BC476CC" w14:textId="77777777" w:rsidR="00C17FAB" w:rsidRDefault="00C17FAB">
      <w:pPr>
        <w:pStyle w:val="N-line3"/>
        <w:pBdr>
          <w:bottom w:val="none" w:sz="0" w:space="0" w:color="auto"/>
        </w:pBdr>
      </w:pPr>
    </w:p>
    <w:p w14:paraId="2B0E34D2" w14:textId="77777777" w:rsidR="00C17FAB" w:rsidRDefault="00C17FAB">
      <w:pPr>
        <w:pStyle w:val="N-line3"/>
        <w:pBdr>
          <w:top w:val="single" w:sz="12" w:space="1" w:color="auto"/>
          <w:bottom w:val="none" w:sz="0" w:space="0" w:color="auto"/>
        </w:pBdr>
      </w:pPr>
    </w:p>
    <w:bookmarkEnd w:id="0"/>
    <w:p w14:paraId="2FB46473" w14:textId="77777777" w:rsidR="00D84BEB" w:rsidRPr="00D84BEB" w:rsidRDefault="00D84BEB" w:rsidP="00E529A0">
      <w:pPr>
        <w:autoSpaceDE w:val="0"/>
        <w:autoSpaceDN w:val="0"/>
        <w:adjustRightInd w:val="0"/>
        <w:spacing w:before="120" w:after="200"/>
        <w:rPr>
          <w:rFonts w:eastAsia="Calibri"/>
          <w:color w:val="000000"/>
          <w:szCs w:val="24"/>
        </w:rPr>
      </w:pPr>
      <w:r w:rsidRPr="00D84BEB">
        <w:rPr>
          <w:rFonts w:eastAsia="Calibri"/>
          <w:b/>
          <w:bCs/>
          <w:color w:val="000000"/>
          <w:szCs w:val="24"/>
        </w:rPr>
        <w:t>Introduction</w:t>
      </w:r>
    </w:p>
    <w:p w14:paraId="367E5889" w14:textId="0D999962" w:rsidR="00D84BEB" w:rsidRPr="00D84BEB" w:rsidRDefault="00D84BEB" w:rsidP="00E529A0">
      <w:pPr>
        <w:autoSpaceDE w:val="0"/>
        <w:autoSpaceDN w:val="0"/>
        <w:adjustRightInd w:val="0"/>
        <w:spacing w:before="120" w:after="200"/>
        <w:rPr>
          <w:rFonts w:eastAsia="Calibri"/>
          <w:color w:val="000000"/>
          <w:szCs w:val="24"/>
        </w:rPr>
      </w:pPr>
      <w:r w:rsidRPr="00D84BEB">
        <w:rPr>
          <w:rFonts w:eastAsia="Calibri"/>
          <w:color w:val="000000"/>
          <w:szCs w:val="24"/>
        </w:rPr>
        <w:t xml:space="preserve">This explanatory statement relates to the </w:t>
      </w:r>
      <w:r w:rsidRPr="00BD337F">
        <w:rPr>
          <w:rFonts w:eastAsia="Calibri"/>
          <w:i/>
          <w:iCs/>
          <w:color w:val="000000"/>
          <w:szCs w:val="24"/>
        </w:rPr>
        <w:t>Energy Efficiency (Cost of Living) Improvement (Eligible Activities) Determination 2022</w:t>
      </w:r>
      <w:r w:rsidRPr="00D84BEB">
        <w:rPr>
          <w:rFonts w:eastAsia="Calibri"/>
          <w:color w:val="000000"/>
          <w:szCs w:val="24"/>
        </w:rPr>
        <w:t xml:space="preserve"> (the </w:t>
      </w:r>
      <w:r w:rsidRPr="00BD337F">
        <w:rPr>
          <w:rFonts w:eastAsia="Calibri"/>
          <w:b/>
          <w:bCs/>
          <w:i/>
          <w:iCs/>
          <w:color w:val="000000"/>
          <w:szCs w:val="24"/>
        </w:rPr>
        <w:t>Determination</w:t>
      </w:r>
      <w:r w:rsidRPr="00D84BEB">
        <w:rPr>
          <w:rFonts w:eastAsia="Calibri"/>
          <w:color w:val="000000"/>
          <w:szCs w:val="24"/>
        </w:rPr>
        <w:t xml:space="preserve">). It has been prepared in order to assist the reader of the Determination. It does not form part of the Determination and has not been endorsed by the Assembly. </w:t>
      </w:r>
    </w:p>
    <w:p w14:paraId="2817418F" w14:textId="77777777" w:rsidR="00D84BEB" w:rsidRPr="00D84BEB" w:rsidRDefault="00D84BEB" w:rsidP="00D84BEB">
      <w:pPr>
        <w:rPr>
          <w:color w:val="000000"/>
          <w:szCs w:val="24"/>
          <w:lang w:eastAsia="en-AU"/>
        </w:rPr>
      </w:pPr>
      <w:r w:rsidRPr="00D84BEB">
        <w:rPr>
          <w:color w:val="000000"/>
          <w:szCs w:val="24"/>
          <w:lang w:eastAsia="en-AU"/>
        </w:rPr>
        <w:t xml:space="preserve">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 </w:t>
      </w:r>
    </w:p>
    <w:p w14:paraId="1F3AD0DC" w14:textId="77777777" w:rsidR="00D84BEB" w:rsidRPr="00D84BEB" w:rsidRDefault="00D84BEB" w:rsidP="00D84BEB">
      <w:pPr>
        <w:rPr>
          <w:color w:val="000000"/>
          <w:szCs w:val="24"/>
          <w:lang w:eastAsia="en-AU"/>
        </w:rPr>
      </w:pPr>
    </w:p>
    <w:p w14:paraId="65874A8F" w14:textId="3F892126" w:rsidR="00D84BEB" w:rsidRPr="00606C33" w:rsidRDefault="00D84BEB" w:rsidP="00E529A0">
      <w:pPr>
        <w:spacing w:after="200"/>
        <w:rPr>
          <w:b/>
          <w:bCs/>
          <w:szCs w:val="24"/>
        </w:rPr>
      </w:pPr>
      <w:r w:rsidRPr="00D84BEB">
        <w:rPr>
          <w:b/>
          <w:bCs/>
          <w:szCs w:val="24"/>
        </w:rPr>
        <w:t>Overview</w:t>
      </w:r>
    </w:p>
    <w:p w14:paraId="1723AFD3" w14:textId="47B2A519" w:rsidR="00606C33" w:rsidRDefault="00606C33" w:rsidP="00E529A0">
      <w:pPr>
        <w:spacing w:after="200"/>
      </w:pPr>
      <w:r w:rsidRPr="0078202B">
        <w:t xml:space="preserve">The </w:t>
      </w:r>
      <w:r w:rsidRPr="0078202B">
        <w:rPr>
          <w:i/>
          <w:iCs/>
        </w:rPr>
        <w:t>Energy Efficiency (Cost of Living) Improvement Act 2012</w:t>
      </w:r>
      <w:r w:rsidRPr="0078202B">
        <w:t xml:space="preserve"> (the </w:t>
      </w:r>
      <w:r w:rsidRPr="00BD337F">
        <w:rPr>
          <w:b/>
          <w:bCs/>
          <w:i/>
          <w:iCs/>
        </w:rPr>
        <w:t>Act</w:t>
      </w:r>
      <w:r w:rsidRPr="0078202B">
        <w:t xml:space="preserve">) establishes the </w:t>
      </w:r>
      <w:r>
        <w:t xml:space="preserve">Australian Capital Territory’s </w:t>
      </w:r>
      <w:r w:rsidRPr="0078202B">
        <w:t>Energy Efficiency Improvement Scheme (</w:t>
      </w:r>
      <w:r w:rsidRPr="00BD337F">
        <w:rPr>
          <w:b/>
          <w:bCs/>
          <w:i/>
          <w:iCs/>
        </w:rPr>
        <w:t>EEIS</w:t>
      </w:r>
      <w:r w:rsidR="004B31DE">
        <w:t xml:space="preserve"> or </w:t>
      </w:r>
      <w:r w:rsidRPr="00291FFB">
        <w:t>the</w:t>
      </w:r>
      <w:r w:rsidRPr="00BD337F">
        <w:rPr>
          <w:b/>
          <w:bCs/>
          <w:i/>
          <w:iCs/>
        </w:rPr>
        <w:t xml:space="preserve"> Scheme</w:t>
      </w:r>
      <w:r w:rsidRPr="0078202B">
        <w:t xml:space="preserve">), which aims to encourage the efficient use of energy; reduce greenhouse gas emissions associated with energy use in the Territory; reduce household and </w:t>
      </w:r>
      <w:r>
        <w:t>small</w:t>
      </w:r>
      <w:r w:rsidR="007259E6">
        <w:t>-</w:t>
      </w:r>
      <w:r>
        <w:t>to</w:t>
      </w:r>
      <w:r w:rsidR="007259E6">
        <w:t>-</w:t>
      </w:r>
      <w:r>
        <w:t xml:space="preserve">medium sized </w:t>
      </w:r>
      <w:r w:rsidRPr="0078202B">
        <w:t>business energy use and costs; and increase opportunities for priority households to reduce energy use and costs.</w:t>
      </w:r>
      <w:r>
        <w:t xml:space="preserve"> The EEIS</w:t>
      </w:r>
      <w:r w:rsidRPr="00137490">
        <w:t xml:space="preserve"> establishes a Territory-wide Energy Savings Target (</w:t>
      </w:r>
      <w:r w:rsidRPr="00BD337F">
        <w:rPr>
          <w:b/>
          <w:bCs/>
          <w:i/>
          <w:iCs/>
        </w:rPr>
        <w:t>EST</w:t>
      </w:r>
      <w:r w:rsidRPr="00137490">
        <w:t>)</w:t>
      </w:r>
      <w:r>
        <w:t>,</w:t>
      </w:r>
      <w:r w:rsidRPr="00137490">
        <w:t xml:space="preserve"> defined as a proportion of a retailer’s total electricity sales in the ACT.</w:t>
      </w:r>
    </w:p>
    <w:p w14:paraId="72D2513D" w14:textId="75C56ACB" w:rsidR="00D84BEB" w:rsidRPr="00F0239B" w:rsidRDefault="00606C33" w:rsidP="00F0239B">
      <w:pPr>
        <w:spacing w:after="120"/>
      </w:pPr>
      <w:r>
        <w:t>The Act requires individual</w:t>
      </w:r>
      <w:r w:rsidRPr="00E461D0">
        <w:t xml:space="preserve"> </w:t>
      </w:r>
      <w:r>
        <w:t xml:space="preserve">electricity </w:t>
      </w:r>
      <w:r w:rsidRPr="00E461D0">
        <w:t xml:space="preserve">retailers to </w:t>
      </w:r>
      <w:r>
        <w:t xml:space="preserve">achieve energy savings </w:t>
      </w:r>
      <w:r w:rsidRPr="00E461D0">
        <w:t>by delivering eligible activities</w:t>
      </w:r>
      <w:r>
        <w:t xml:space="preserve"> to households and small-to-medium enterprises</w:t>
      </w:r>
      <w:r w:rsidRPr="00E461D0">
        <w:t>.</w:t>
      </w:r>
      <w:r>
        <w:rPr>
          <w:color w:val="000000"/>
          <w:szCs w:val="24"/>
          <w:lang w:eastAsia="en-AU"/>
        </w:rPr>
        <w:t xml:space="preserve"> </w:t>
      </w:r>
      <w:r w:rsidR="00D84BEB" w:rsidRPr="00D84BEB">
        <w:rPr>
          <w:szCs w:val="24"/>
        </w:rPr>
        <w:t xml:space="preserve">The purpose of the Determination </w:t>
      </w:r>
      <w:r>
        <w:rPr>
          <w:szCs w:val="24"/>
        </w:rPr>
        <w:t xml:space="preserve">is to </w:t>
      </w:r>
      <w:r w:rsidRPr="00606C33">
        <w:rPr>
          <w:szCs w:val="24"/>
        </w:rPr>
        <w:t xml:space="preserve">establish the eligible activities that can be undertaken by energy retailers to achieve the </w:t>
      </w:r>
      <w:r>
        <w:rPr>
          <w:szCs w:val="24"/>
        </w:rPr>
        <w:t>EST</w:t>
      </w:r>
      <w:r w:rsidRPr="00606C33">
        <w:rPr>
          <w:szCs w:val="24"/>
        </w:rPr>
        <w:t xml:space="preserve">. </w:t>
      </w:r>
      <w:r w:rsidR="00D84BEB" w:rsidRPr="00D84BEB">
        <w:rPr>
          <w:szCs w:val="24"/>
        </w:rPr>
        <w:t xml:space="preserve">The Determination is a disallowable instrument made under the </w:t>
      </w:r>
      <w:r w:rsidR="007259E6" w:rsidRPr="00BD337F">
        <w:rPr>
          <w:szCs w:val="24"/>
          <w:bdr w:val="none" w:sz="0" w:space="0" w:color="auto" w:frame="1"/>
          <w:shd w:val="clear" w:color="auto" w:fill="FFFFFF"/>
        </w:rPr>
        <w:t>Act</w:t>
      </w:r>
      <w:r w:rsidR="00D84BEB" w:rsidRPr="00D84BEB">
        <w:rPr>
          <w:szCs w:val="24"/>
        </w:rPr>
        <w:t xml:space="preserve">, section 10. </w:t>
      </w:r>
    </w:p>
    <w:p w14:paraId="77E4A4E2" w14:textId="6E959FD4" w:rsidR="006E1FCF" w:rsidRDefault="00D84BEB" w:rsidP="006E1FCF">
      <w:pPr>
        <w:rPr>
          <w:sz w:val="22"/>
        </w:rPr>
      </w:pPr>
      <w:r w:rsidRPr="00D84BEB">
        <w:rPr>
          <w:szCs w:val="24"/>
        </w:rPr>
        <w:lastRenderedPageBreak/>
        <w:t xml:space="preserve">This Determination </w:t>
      </w:r>
      <w:r w:rsidR="00342FFA">
        <w:t xml:space="preserve">retains the suite of EEIS Eligible Activities previously legislated but contains </w:t>
      </w:r>
      <w:r w:rsidR="006E1FCF">
        <w:rPr>
          <w:szCs w:val="24"/>
        </w:rPr>
        <w:t xml:space="preserve">the following amendment to </w:t>
      </w:r>
      <w:r w:rsidR="007259E6">
        <w:rPr>
          <w:szCs w:val="24"/>
        </w:rPr>
        <w:t>clause</w:t>
      </w:r>
      <w:r w:rsidR="00A361C7">
        <w:rPr>
          <w:szCs w:val="24"/>
        </w:rPr>
        <w:t>s 3.1and 3.2</w:t>
      </w:r>
      <w:r w:rsidR="006E1FCF">
        <w:rPr>
          <w:szCs w:val="24"/>
        </w:rPr>
        <w:t xml:space="preserve"> of Schedule 1: </w:t>
      </w:r>
    </w:p>
    <w:p w14:paraId="18AA5A2D" w14:textId="77777777" w:rsidR="00D84BEB" w:rsidRPr="00D84BEB" w:rsidRDefault="00D84BEB" w:rsidP="00D84BEB"/>
    <w:tbl>
      <w:tblPr>
        <w:tblStyle w:val="TableGrid"/>
        <w:tblW w:w="0" w:type="auto"/>
        <w:tblLook w:val="04A0" w:firstRow="1" w:lastRow="0" w:firstColumn="1" w:lastColumn="0" w:noHBand="0" w:noVBand="1"/>
      </w:tblPr>
      <w:tblGrid>
        <w:gridCol w:w="1884"/>
        <w:gridCol w:w="6413"/>
      </w:tblGrid>
      <w:tr w:rsidR="00D84BEB" w:rsidRPr="00D84BEB" w14:paraId="3B90E1D6" w14:textId="77777777" w:rsidTr="00D84BEB">
        <w:trPr>
          <w:tblHeader/>
        </w:trPr>
        <w:tc>
          <w:tcPr>
            <w:tcW w:w="1884" w:type="dxa"/>
            <w:shd w:val="clear" w:color="auto" w:fill="000000"/>
          </w:tcPr>
          <w:p w14:paraId="5A523E59" w14:textId="0B267CEF" w:rsidR="00D84BEB" w:rsidRPr="002D4855" w:rsidRDefault="00D84BEB" w:rsidP="00D84BEB">
            <w:pPr>
              <w:rPr>
                <w:rFonts w:ascii="Times New Roman" w:hAnsi="Times New Roman"/>
                <w:color w:val="FFFFFF"/>
              </w:rPr>
            </w:pPr>
            <w:r w:rsidRPr="004B31DE">
              <w:rPr>
                <w:color w:val="FFFFFF"/>
              </w:rPr>
              <w:t>Schedule Clause</w:t>
            </w:r>
          </w:p>
        </w:tc>
        <w:tc>
          <w:tcPr>
            <w:tcW w:w="6413" w:type="dxa"/>
            <w:shd w:val="clear" w:color="auto" w:fill="000000"/>
          </w:tcPr>
          <w:p w14:paraId="202EB98C" w14:textId="5DF40D11" w:rsidR="00D84BEB" w:rsidRPr="002D4855" w:rsidRDefault="00D84BEB" w:rsidP="00D84BEB">
            <w:pPr>
              <w:rPr>
                <w:rFonts w:ascii="Times New Roman" w:hAnsi="Times New Roman"/>
                <w:color w:val="FFFFFF"/>
              </w:rPr>
            </w:pPr>
            <w:r w:rsidRPr="004B31DE">
              <w:rPr>
                <w:color w:val="FFFFFF"/>
              </w:rPr>
              <w:t>Change</w:t>
            </w:r>
          </w:p>
        </w:tc>
      </w:tr>
      <w:tr w:rsidR="007F53AA" w:rsidRPr="00D84BEB" w14:paraId="4020DF84" w14:textId="77777777" w:rsidTr="00D84BEB">
        <w:tc>
          <w:tcPr>
            <w:tcW w:w="1884" w:type="dxa"/>
          </w:tcPr>
          <w:p w14:paraId="57947390" w14:textId="6A0992A4" w:rsidR="007F53AA" w:rsidRPr="0050282B" w:rsidRDefault="007F53AA" w:rsidP="007F53AA">
            <w:pPr>
              <w:rPr>
                <w:sz w:val="22"/>
              </w:rPr>
            </w:pPr>
            <w:r w:rsidRPr="0050282B">
              <w:rPr>
                <w:sz w:val="22"/>
              </w:rPr>
              <w:t>3.1.3 (b) (iii)</w:t>
            </w:r>
          </w:p>
        </w:tc>
        <w:tc>
          <w:tcPr>
            <w:tcW w:w="6413" w:type="dxa"/>
          </w:tcPr>
          <w:p w14:paraId="53323CEF" w14:textId="76DB3431" w:rsidR="007F53AA" w:rsidRPr="0050282B" w:rsidRDefault="007F53AA" w:rsidP="007F53AA">
            <w:pPr>
              <w:pStyle w:val="BodytextEEIS"/>
              <w:ind w:left="0"/>
              <w:rPr>
                <w:rFonts w:asciiTheme="minorHAnsi" w:hAnsiTheme="minorHAnsi" w:cstheme="minorHAnsi"/>
                <w:sz w:val="22"/>
              </w:rPr>
            </w:pPr>
            <w:r w:rsidRPr="0050282B">
              <w:rPr>
                <w:rFonts w:asciiTheme="minorHAnsi" w:hAnsiTheme="minorHAnsi" w:cstheme="minorHAnsi"/>
                <w:sz w:val="22"/>
              </w:rPr>
              <w:t>“iii. is rated a medium size under AS/NZS 4234 and listed as achieving not less than 28 certificates (RECs) in Zone 5 (HP5-AU) as determined in accordance with AS/NZS 4234 and TRNSYS simulation; and ”</w:t>
            </w:r>
          </w:p>
          <w:p w14:paraId="4958723E" w14:textId="77777777" w:rsidR="007F53AA" w:rsidRPr="0050282B" w:rsidRDefault="007F53AA" w:rsidP="007F53AA">
            <w:pPr>
              <w:pStyle w:val="BodytextEEIS"/>
              <w:ind w:left="0"/>
              <w:rPr>
                <w:rFonts w:asciiTheme="minorHAnsi" w:hAnsiTheme="minorHAnsi" w:cstheme="minorHAnsi"/>
                <w:sz w:val="22"/>
              </w:rPr>
            </w:pPr>
            <w:r w:rsidRPr="0050282B">
              <w:rPr>
                <w:rFonts w:asciiTheme="minorHAnsi" w:hAnsiTheme="minorHAnsi" w:cstheme="minorHAnsi"/>
                <w:sz w:val="22"/>
              </w:rPr>
              <w:t>is replaced by</w:t>
            </w:r>
          </w:p>
          <w:p w14:paraId="75224E40" w14:textId="1DAE8787" w:rsidR="007F53AA" w:rsidRPr="0050282B" w:rsidRDefault="007F53AA" w:rsidP="002379F1">
            <w:pPr>
              <w:pStyle w:val="BodytextEEIS"/>
              <w:ind w:left="0"/>
              <w:rPr>
                <w:rFonts w:ascii="Times New Roman" w:hAnsi="Times New Roman" w:cs="Times New Roman"/>
                <w:sz w:val="22"/>
              </w:rPr>
            </w:pPr>
            <w:r w:rsidRPr="0050282B">
              <w:rPr>
                <w:rFonts w:asciiTheme="minorHAnsi" w:hAnsiTheme="minorHAnsi" w:cstheme="minorHAnsi"/>
                <w:sz w:val="22"/>
              </w:rPr>
              <w:t>“iii. is rated a medium size under AS/NZS 4234 and listed as achieving not less than 25.2 certificates (RECS) for the period of 1 January 2022 – 31 December 2022 and not less than 22.4 certificates (RECs) for the period of 1 January 2023 – 31 December 2023 in Zone 5 (HP5-AU) as determined in accordance with AS/NZS 4234 and TRNSYS simulation; and ”</w:t>
            </w:r>
          </w:p>
        </w:tc>
      </w:tr>
      <w:tr w:rsidR="007F53AA" w:rsidRPr="00D84BEB" w14:paraId="5FED9401" w14:textId="77777777" w:rsidTr="00D84BEB">
        <w:tc>
          <w:tcPr>
            <w:tcW w:w="1884" w:type="dxa"/>
          </w:tcPr>
          <w:p w14:paraId="1EA2B69F" w14:textId="22B69E8B" w:rsidR="007F53AA" w:rsidRPr="0050282B" w:rsidRDefault="007F53AA" w:rsidP="007F53AA">
            <w:pPr>
              <w:rPr>
                <w:rFonts w:ascii="Times New Roman" w:hAnsi="Times New Roman"/>
                <w:sz w:val="22"/>
              </w:rPr>
            </w:pPr>
            <w:r w:rsidRPr="0050282B">
              <w:rPr>
                <w:sz w:val="22"/>
              </w:rPr>
              <w:t>3.1.5 (b)</w:t>
            </w:r>
          </w:p>
        </w:tc>
        <w:tc>
          <w:tcPr>
            <w:tcW w:w="6413" w:type="dxa"/>
          </w:tcPr>
          <w:p w14:paraId="35FEA001" w14:textId="77777777" w:rsidR="00405516" w:rsidRPr="0050282B" w:rsidRDefault="007F53AA" w:rsidP="00405516">
            <w:pPr>
              <w:pStyle w:val="BodytextEEIS"/>
              <w:rPr>
                <w:rFonts w:asciiTheme="minorHAnsi" w:hAnsiTheme="minorHAnsi" w:cstheme="minorHAnsi"/>
                <w:bCs/>
                <w:sz w:val="22"/>
              </w:rPr>
            </w:pPr>
            <w:r w:rsidRPr="0050282B">
              <w:rPr>
                <w:rFonts w:asciiTheme="minorHAnsi" w:hAnsiTheme="minorHAnsi" w:cstheme="minorHAnsi"/>
                <w:sz w:val="22"/>
              </w:rPr>
              <w:t>“</w:t>
            </w:r>
            <w:r w:rsidR="00405516" w:rsidRPr="0050282B">
              <w:rPr>
                <w:rFonts w:asciiTheme="minorHAnsi" w:hAnsiTheme="minorHAnsi" w:cstheme="minorHAnsi"/>
                <w:sz w:val="22"/>
              </w:rPr>
              <w:t>Where</w:t>
            </w:r>
            <w:r w:rsidR="00405516" w:rsidRPr="0050282B">
              <w:rPr>
                <w:rFonts w:asciiTheme="minorHAnsi" w:hAnsiTheme="minorHAnsi" w:cstheme="minorHAnsi"/>
                <w:bCs/>
                <w:sz w:val="22"/>
              </w:rPr>
              <w:t>—</w:t>
            </w:r>
          </w:p>
          <w:p w14:paraId="044D08D4" w14:textId="77777777" w:rsidR="00405516" w:rsidRPr="0050282B" w:rsidRDefault="00405516" w:rsidP="00405516">
            <w:pPr>
              <w:pStyle w:val="Subdetailssecondindent"/>
              <w:rPr>
                <w:rFonts w:asciiTheme="minorHAnsi" w:hAnsiTheme="minorHAnsi" w:cstheme="minorHAnsi"/>
                <w:sz w:val="22"/>
              </w:rPr>
            </w:pP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base</w:t>
            </w:r>
            <w:r w:rsidRPr="0050282B">
              <w:rPr>
                <w:rFonts w:asciiTheme="minorHAnsi" w:hAnsiTheme="minorHAnsi" w:cstheme="minorHAnsi"/>
                <w:sz w:val="22"/>
              </w:rPr>
              <w:t xml:space="preserve">,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Bs</w:t>
            </w:r>
            <w:r w:rsidRPr="0050282B">
              <w:rPr>
                <w:rFonts w:asciiTheme="minorHAnsi" w:hAnsiTheme="minorHAnsi" w:cstheme="minorHAnsi"/>
                <w:sz w:val="22"/>
              </w:rPr>
              <w:t xml:space="preserve"> and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Be</w:t>
            </w:r>
            <w:r w:rsidRPr="0050282B">
              <w:rPr>
                <w:rFonts w:asciiTheme="minorHAnsi" w:hAnsiTheme="minorHAnsi" w:cstheme="minorHAnsi"/>
                <w:sz w:val="22"/>
              </w:rPr>
              <w:t xml:space="preserve"> are the activity energy savings values prescribed in table 25 for the system size and type as determined in accordance with AS/NZS 4234 based on the system’s peak daily thermal energy load delivery characteristics; </w:t>
            </w:r>
          </w:p>
          <w:p w14:paraId="1A5864EA" w14:textId="77777777"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t>Be</w:t>
            </w:r>
            <w:r w:rsidRPr="0050282B">
              <w:rPr>
                <w:rFonts w:asciiTheme="minorHAnsi" w:hAnsiTheme="minorHAnsi" w:cstheme="minorHAnsi"/>
                <w:sz w:val="22"/>
              </w:rPr>
              <w:t xml:space="preserve"> is 0 (for medium size heat pump systems only); and</w:t>
            </w:r>
          </w:p>
          <w:p w14:paraId="4C242BD1" w14:textId="4C260FDF"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t>Bs</w:t>
            </w:r>
            <w:r w:rsidRPr="0050282B">
              <w:rPr>
                <w:rFonts w:asciiTheme="minorHAnsi" w:hAnsiTheme="minorHAnsi" w:cstheme="minorHAnsi"/>
                <w:sz w:val="22"/>
              </w:rPr>
              <w:t xml:space="preserve"> is (1 – RECs × 0.0214) × 16.67 (for medium size heat pump systems only) in GJ.</w:t>
            </w:r>
          </w:p>
          <w:p w14:paraId="2B2C2230" w14:textId="22B1BD5B" w:rsidR="007F53AA" w:rsidRPr="0050282B" w:rsidRDefault="007F53AA" w:rsidP="007F53AA">
            <w:pPr>
              <w:pStyle w:val="BodytextEEIS"/>
              <w:ind w:left="0"/>
              <w:rPr>
                <w:rFonts w:asciiTheme="minorHAnsi" w:hAnsiTheme="minorHAnsi" w:cstheme="minorHAnsi"/>
                <w:sz w:val="22"/>
              </w:rPr>
            </w:pPr>
            <w:r w:rsidRPr="0050282B">
              <w:rPr>
                <w:rFonts w:asciiTheme="minorHAnsi" w:hAnsiTheme="minorHAnsi" w:cstheme="minorHAnsi"/>
                <w:sz w:val="22"/>
              </w:rPr>
              <w:t xml:space="preserve">Where </w:t>
            </w:r>
            <w:r w:rsidRPr="0050282B">
              <w:rPr>
                <w:rFonts w:asciiTheme="minorHAnsi" w:hAnsiTheme="minorHAnsi" w:cstheme="minorHAnsi"/>
                <w:i/>
                <w:iCs/>
                <w:sz w:val="22"/>
              </w:rPr>
              <w:t>RECs</w:t>
            </w:r>
            <w:r w:rsidRPr="0050282B">
              <w:rPr>
                <w:rFonts w:asciiTheme="minorHAnsi" w:hAnsiTheme="minorHAnsi" w:cstheme="minorHAnsi"/>
                <w:sz w:val="22"/>
              </w:rPr>
              <w:t xml:space="preserve"> is the number of certificates for an installation in Zone 5 for the specific model as listed by the CER in the register of air source heat pumps with a volumetric capacity of no more than 425 L and where the number of RECs is greater than or equal to 28 for Zone 5 (HP5-AU).”</w:t>
            </w:r>
          </w:p>
          <w:p w14:paraId="429733EA" w14:textId="13581166" w:rsidR="007F53AA" w:rsidRPr="0050282B" w:rsidRDefault="007F53AA" w:rsidP="007F53AA">
            <w:pPr>
              <w:pStyle w:val="BodytextEEIS"/>
              <w:ind w:left="0"/>
              <w:rPr>
                <w:rFonts w:asciiTheme="minorHAnsi" w:hAnsiTheme="minorHAnsi" w:cstheme="minorHAnsi"/>
                <w:sz w:val="22"/>
              </w:rPr>
            </w:pPr>
            <w:r w:rsidRPr="0050282B">
              <w:rPr>
                <w:rFonts w:asciiTheme="minorHAnsi" w:hAnsiTheme="minorHAnsi" w:cstheme="minorHAnsi"/>
                <w:sz w:val="22"/>
              </w:rPr>
              <w:t>is replaced by</w:t>
            </w:r>
          </w:p>
          <w:p w14:paraId="1E1E9CC5" w14:textId="77777777" w:rsidR="00405516" w:rsidRPr="0050282B" w:rsidRDefault="007F53AA" w:rsidP="00405516">
            <w:pPr>
              <w:pStyle w:val="BodytextEEIS"/>
              <w:rPr>
                <w:rFonts w:asciiTheme="minorHAnsi" w:hAnsiTheme="minorHAnsi" w:cstheme="minorHAnsi"/>
                <w:bCs/>
                <w:sz w:val="22"/>
              </w:rPr>
            </w:pPr>
            <w:r w:rsidRPr="0050282B">
              <w:rPr>
                <w:rFonts w:asciiTheme="minorHAnsi" w:hAnsiTheme="minorHAnsi" w:cstheme="minorHAnsi"/>
                <w:sz w:val="22"/>
              </w:rPr>
              <w:t>“</w:t>
            </w:r>
            <w:r w:rsidR="00405516" w:rsidRPr="0050282B">
              <w:rPr>
                <w:rFonts w:asciiTheme="minorHAnsi" w:hAnsiTheme="minorHAnsi" w:cstheme="minorHAnsi"/>
                <w:sz w:val="22"/>
              </w:rPr>
              <w:t>Where</w:t>
            </w:r>
            <w:r w:rsidR="00405516" w:rsidRPr="0050282B">
              <w:rPr>
                <w:rFonts w:asciiTheme="minorHAnsi" w:hAnsiTheme="minorHAnsi" w:cstheme="minorHAnsi"/>
                <w:bCs/>
                <w:sz w:val="22"/>
              </w:rPr>
              <w:t>—</w:t>
            </w:r>
          </w:p>
          <w:p w14:paraId="1770FC6C" w14:textId="77777777" w:rsidR="00405516" w:rsidRPr="0050282B" w:rsidRDefault="00405516" w:rsidP="0050282B">
            <w:pPr>
              <w:pStyle w:val="Subdetailssecondindent"/>
              <w:numPr>
                <w:ilvl w:val="0"/>
                <w:numId w:val="17"/>
              </w:numPr>
              <w:rPr>
                <w:rFonts w:asciiTheme="minorHAnsi" w:hAnsiTheme="minorHAnsi" w:cstheme="minorHAnsi"/>
                <w:sz w:val="22"/>
              </w:rPr>
            </w:pP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base</w:t>
            </w:r>
            <w:r w:rsidRPr="0050282B">
              <w:rPr>
                <w:rFonts w:asciiTheme="minorHAnsi" w:hAnsiTheme="minorHAnsi" w:cstheme="minorHAnsi"/>
                <w:sz w:val="22"/>
              </w:rPr>
              <w:t xml:space="preserve">,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Bs</w:t>
            </w:r>
            <w:r w:rsidRPr="0050282B">
              <w:rPr>
                <w:rFonts w:asciiTheme="minorHAnsi" w:hAnsiTheme="minorHAnsi" w:cstheme="minorHAnsi"/>
                <w:sz w:val="22"/>
              </w:rPr>
              <w:t xml:space="preserve"> and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Be</w:t>
            </w:r>
            <w:r w:rsidRPr="0050282B">
              <w:rPr>
                <w:rFonts w:asciiTheme="minorHAnsi" w:hAnsiTheme="minorHAnsi" w:cstheme="minorHAnsi"/>
                <w:sz w:val="22"/>
              </w:rPr>
              <w:t xml:space="preserve"> are the activity energy savings values prescribed in table 25 for the system size and type as determined in accordance with AS/NZS 4234 based on the system’s peak daily thermal energy load delivery characteristics; </w:t>
            </w:r>
          </w:p>
          <w:p w14:paraId="64908051" w14:textId="77777777"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t>Be</w:t>
            </w:r>
            <w:r w:rsidRPr="0050282B">
              <w:rPr>
                <w:rFonts w:asciiTheme="minorHAnsi" w:hAnsiTheme="minorHAnsi" w:cstheme="minorHAnsi"/>
                <w:sz w:val="22"/>
              </w:rPr>
              <w:t xml:space="preserve"> is 0 (for medium size heat pump systems only); and</w:t>
            </w:r>
          </w:p>
          <w:p w14:paraId="16978F66" w14:textId="77777777"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lastRenderedPageBreak/>
              <w:t>Bs</w:t>
            </w:r>
            <w:r w:rsidRPr="0050282B">
              <w:rPr>
                <w:rFonts w:asciiTheme="minorHAnsi" w:hAnsiTheme="minorHAnsi" w:cstheme="minorHAnsi"/>
                <w:sz w:val="22"/>
              </w:rPr>
              <w:t xml:space="preserve"> is (1 – (RECs × m) × 0.0214) × 16.67 (for medium size heat pump systems only) in GJ.</w:t>
            </w:r>
          </w:p>
          <w:p w14:paraId="4F650C14" w14:textId="77777777" w:rsidR="00405516" w:rsidRPr="0050282B" w:rsidRDefault="00405516" w:rsidP="0050282B">
            <w:pPr>
              <w:pStyle w:val="BodytextEEIS"/>
              <w:ind w:left="0"/>
              <w:rPr>
                <w:rFonts w:asciiTheme="minorHAnsi" w:hAnsiTheme="minorHAnsi" w:cstheme="minorHAnsi"/>
                <w:sz w:val="22"/>
              </w:rPr>
            </w:pPr>
            <w:r w:rsidRPr="0050282B">
              <w:rPr>
                <w:rFonts w:asciiTheme="minorHAnsi" w:hAnsiTheme="minorHAnsi" w:cstheme="minorHAnsi"/>
                <w:sz w:val="22"/>
              </w:rPr>
              <w:t>Where:</w:t>
            </w:r>
          </w:p>
          <w:p w14:paraId="728D34CD" w14:textId="7D217149" w:rsidR="00405516" w:rsidRPr="0050282B" w:rsidRDefault="00405516" w:rsidP="00405516">
            <w:pPr>
              <w:pStyle w:val="BodytextEEIS"/>
              <w:numPr>
                <w:ilvl w:val="0"/>
                <w:numId w:val="16"/>
              </w:numPr>
              <w:rPr>
                <w:rFonts w:asciiTheme="minorHAnsi" w:hAnsiTheme="minorHAnsi" w:cstheme="minorHAnsi"/>
                <w:sz w:val="22"/>
              </w:rPr>
            </w:pPr>
            <w:r w:rsidRPr="0050282B">
              <w:rPr>
                <w:rFonts w:asciiTheme="minorHAnsi" w:hAnsiTheme="minorHAnsi" w:cstheme="minorHAnsi"/>
                <w:i/>
                <w:iCs/>
                <w:sz w:val="22"/>
              </w:rPr>
              <w:t>RECs</w:t>
            </w:r>
            <w:r w:rsidRPr="0050282B">
              <w:rPr>
                <w:rFonts w:asciiTheme="minorHAnsi" w:hAnsiTheme="minorHAnsi" w:cstheme="minorHAnsi"/>
                <w:sz w:val="22"/>
              </w:rPr>
              <w:t xml:space="preserve"> is the number of certificates for an installation in Zone 5 for the specific model as listed by the CER in the register of air source heat pumps with a volumetric capacity of no more than 425 L and where the number of RECs is greater than or equal to 25.2 for Zone 5 (HP5-AU) for the period of 1 January 2022 – 31 December 2022 and greater than or equal to 22.4 for Zone 5 (HP5-AU) for the period of 1 January 2023 – 31 December 2023.</w:t>
            </w:r>
          </w:p>
          <w:p w14:paraId="6344C2AF" w14:textId="1B2C9BD5" w:rsidR="007F53AA" w:rsidRPr="0050282B" w:rsidRDefault="00405516" w:rsidP="0050282B">
            <w:pPr>
              <w:pStyle w:val="BodytextEEIS"/>
              <w:numPr>
                <w:ilvl w:val="0"/>
                <w:numId w:val="16"/>
              </w:numPr>
              <w:rPr>
                <w:sz w:val="22"/>
              </w:rPr>
            </w:pPr>
            <w:r w:rsidRPr="0050282B">
              <w:rPr>
                <w:rFonts w:asciiTheme="minorHAnsi" w:hAnsiTheme="minorHAnsi" w:cstheme="minorHAnsi"/>
                <w:sz w:val="22"/>
              </w:rPr>
              <w:t xml:space="preserve">m is the RECs multiplier and is equivalent </w:t>
            </w:r>
            <w:r w:rsidRPr="0050282B">
              <w:rPr>
                <w:rFonts w:asciiTheme="minorHAnsi" w:hAnsiTheme="minorHAnsi" w:cstheme="minorHAnsi"/>
                <w:color w:val="000000" w:themeColor="text1"/>
                <w:sz w:val="22"/>
              </w:rPr>
              <w:t xml:space="preserve">to </w:t>
            </w:r>
            <w:r w:rsidR="005A7F66">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oMath>
            <w:r w:rsidRPr="0050282B">
              <w:rPr>
                <w:rFonts w:asciiTheme="minorHAnsi" w:hAnsiTheme="minorHAnsi" w:cstheme="minorHAnsi"/>
                <w:color w:val="000000" w:themeColor="text1"/>
                <w:sz w:val="22"/>
              </w:rPr>
              <w:t xml:space="preserve"> for the period of 1 January 2022 – 31 December 2022 and equivalent </w:t>
            </w:r>
            <w:r w:rsidRPr="0050282B">
              <w:rPr>
                <w:rFonts w:asciiTheme="minorHAnsi" w:hAnsiTheme="minorHAnsi" w:cstheme="minorHAnsi"/>
                <w:sz w:val="22"/>
              </w:rPr>
              <w:t>to 1.25 for the period of 1 January 2023 to 31 December 2023.</w:t>
            </w:r>
            <w:r w:rsidR="007F53AA" w:rsidRPr="0050282B">
              <w:rPr>
                <w:rFonts w:asciiTheme="minorHAnsi" w:hAnsiTheme="minorHAnsi" w:cstheme="minorHAnsi"/>
                <w:sz w:val="22"/>
              </w:rPr>
              <w:t>”</w:t>
            </w:r>
          </w:p>
        </w:tc>
      </w:tr>
      <w:tr w:rsidR="007F53AA" w:rsidRPr="00D84BEB" w14:paraId="2F653451" w14:textId="77777777" w:rsidTr="00D84BEB">
        <w:tc>
          <w:tcPr>
            <w:tcW w:w="1884" w:type="dxa"/>
          </w:tcPr>
          <w:p w14:paraId="7FC4A30A" w14:textId="45F428B2" w:rsidR="007F53AA" w:rsidRPr="0050282B" w:rsidRDefault="002379F1" w:rsidP="007F53AA">
            <w:pPr>
              <w:rPr>
                <w:sz w:val="22"/>
              </w:rPr>
            </w:pPr>
            <w:r w:rsidRPr="0050282B">
              <w:rPr>
                <w:sz w:val="22"/>
              </w:rPr>
              <w:lastRenderedPageBreak/>
              <w:t>3.2.3 (b) (iii)</w:t>
            </w:r>
          </w:p>
        </w:tc>
        <w:tc>
          <w:tcPr>
            <w:tcW w:w="6413" w:type="dxa"/>
          </w:tcPr>
          <w:p w14:paraId="4E58E17A" w14:textId="4B90E6FF" w:rsidR="002379F1" w:rsidRPr="0050282B" w:rsidRDefault="002379F1" w:rsidP="007F53AA">
            <w:pPr>
              <w:pStyle w:val="BodytextEEIS"/>
              <w:ind w:left="0"/>
              <w:rPr>
                <w:rFonts w:asciiTheme="minorHAnsi" w:hAnsiTheme="minorHAnsi" w:cstheme="minorHAnsi"/>
                <w:sz w:val="22"/>
              </w:rPr>
            </w:pPr>
            <w:r w:rsidRPr="0050282B">
              <w:rPr>
                <w:rFonts w:asciiTheme="minorHAnsi" w:hAnsiTheme="minorHAnsi" w:cstheme="minorHAnsi"/>
                <w:sz w:val="22"/>
              </w:rPr>
              <w:t>“iii. is rated a medium size under AS/NZS 4234 and listed as achieving not less than 28 certificates (RECs) in Zone 5 (HP5-AU) as determined in accordance with AS/NZS 4234 and TRNSYS simulation; and”</w:t>
            </w:r>
          </w:p>
          <w:p w14:paraId="05BCAF8D" w14:textId="77777777" w:rsidR="002379F1" w:rsidRPr="0050282B" w:rsidRDefault="002379F1" w:rsidP="007F53AA">
            <w:pPr>
              <w:pStyle w:val="BodytextEEIS"/>
              <w:ind w:left="0"/>
              <w:rPr>
                <w:rFonts w:asciiTheme="minorHAnsi" w:hAnsiTheme="minorHAnsi" w:cstheme="minorHAnsi"/>
                <w:sz w:val="22"/>
              </w:rPr>
            </w:pPr>
            <w:r w:rsidRPr="0050282B">
              <w:rPr>
                <w:rFonts w:asciiTheme="minorHAnsi" w:hAnsiTheme="minorHAnsi" w:cstheme="minorHAnsi"/>
                <w:sz w:val="22"/>
              </w:rPr>
              <w:t>is replaced by</w:t>
            </w:r>
          </w:p>
          <w:p w14:paraId="35AFABF9" w14:textId="35612375" w:rsidR="002379F1" w:rsidRPr="0050282B" w:rsidRDefault="002379F1" w:rsidP="002379F1">
            <w:pPr>
              <w:pStyle w:val="BodytextEEIS"/>
              <w:ind w:left="0"/>
              <w:rPr>
                <w:rFonts w:ascii="Times New Roman" w:hAnsi="Times New Roman" w:cs="Times New Roman"/>
                <w:sz w:val="22"/>
              </w:rPr>
            </w:pPr>
            <w:r w:rsidRPr="0050282B">
              <w:rPr>
                <w:rFonts w:asciiTheme="minorHAnsi" w:hAnsiTheme="minorHAnsi" w:cstheme="minorHAnsi"/>
                <w:sz w:val="22"/>
              </w:rPr>
              <w:t>“iii.is rated a medium size under AS/NZS 4234 and listed as achieving not less than 25.2 certificates (RECS) for the period of 1 January 2022 – 31 December 2022 and not less than 22.4 certificates (RECs) for the period of 1 January 2023 – 31 December 2023  in Zone 5 (HP5-AU) as determined in accordance with AS/NZS 4234 and TRNSYS simulation; and”</w:t>
            </w:r>
          </w:p>
        </w:tc>
      </w:tr>
      <w:tr w:rsidR="007F53AA" w:rsidRPr="00D84BEB" w14:paraId="0DC37290" w14:textId="77777777" w:rsidTr="00D84BEB">
        <w:tc>
          <w:tcPr>
            <w:tcW w:w="1884" w:type="dxa"/>
          </w:tcPr>
          <w:p w14:paraId="4297514F" w14:textId="10BF2EC7" w:rsidR="007F53AA" w:rsidRPr="0050282B" w:rsidRDefault="002379F1" w:rsidP="007F53AA">
            <w:pPr>
              <w:rPr>
                <w:sz w:val="22"/>
              </w:rPr>
            </w:pPr>
            <w:r w:rsidRPr="0050282B">
              <w:rPr>
                <w:sz w:val="22"/>
              </w:rPr>
              <w:t>3.2.5 (b)</w:t>
            </w:r>
          </w:p>
        </w:tc>
        <w:tc>
          <w:tcPr>
            <w:tcW w:w="6413" w:type="dxa"/>
          </w:tcPr>
          <w:p w14:paraId="1F05539C" w14:textId="77777777" w:rsidR="00405516" w:rsidRPr="0050282B" w:rsidRDefault="002379F1" w:rsidP="00405516">
            <w:pPr>
              <w:pStyle w:val="BodytextEEIS"/>
              <w:rPr>
                <w:rFonts w:asciiTheme="minorHAnsi" w:hAnsiTheme="minorHAnsi" w:cstheme="minorHAnsi"/>
                <w:sz w:val="22"/>
              </w:rPr>
            </w:pPr>
            <w:r w:rsidRPr="0050282B">
              <w:rPr>
                <w:rFonts w:asciiTheme="minorHAnsi" w:hAnsiTheme="minorHAnsi" w:cstheme="minorHAnsi"/>
                <w:sz w:val="22"/>
              </w:rPr>
              <w:t>“</w:t>
            </w:r>
            <w:r w:rsidR="00405516" w:rsidRPr="0050282B">
              <w:rPr>
                <w:rFonts w:asciiTheme="minorHAnsi" w:hAnsiTheme="minorHAnsi" w:cstheme="minorHAnsi"/>
                <w:sz w:val="22"/>
              </w:rPr>
              <w:t xml:space="preserve">Where </w:t>
            </w:r>
            <w:r w:rsidR="00405516" w:rsidRPr="0050282B">
              <w:rPr>
                <w:rFonts w:asciiTheme="minorHAnsi" w:hAnsiTheme="minorHAnsi" w:cstheme="minorHAnsi"/>
                <w:bCs/>
                <w:sz w:val="22"/>
              </w:rPr>
              <w:t>—</w:t>
            </w:r>
          </w:p>
          <w:p w14:paraId="2A65384D" w14:textId="77777777" w:rsidR="00405516" w:rsidRPr="0050282B" w:rsidRDefault="00405516" w:rsidP="00405516">
            <w:pPr>
              <w:pStyle w:val="Subdetailssecondindent"/>
              <w:numPr>
                <w:ilvl w:val="0"/>
                <w:numId w:val="18"/>
              </w:numPr>
              <w:rPr>
                <w:rFonts w:asciiTheme="minorHAnsi" w:hAnsiTheme="minorHAnsi" w:cstheme="minorHAnsi"/>
                <w:sz w:val="22"/>
              </w:rPr>
            </w:pP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base</w:t>
            </w:r>
            <w:r w:rsidRPr="0050282B">
              <w:rPr>
                <w:rFonts w:asciiTheme="minorHAnsi" w:hAnsiTheme="minorHAnsi" w:cstheme="minorHAnsi"/>
                <w:sz w:val="22"/>
              </w:rPr>
              <w:t xml:space="preserve">,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Bs</w:t>
            </w:r>
            <w:r w:rsidRPr="0050282B">
              <w:rPr>
                <w:rFonts w:asciiTheme="minorHAnsi" w:hAnsiTheme="minorHAnsi" w:cstheme="minorHAnsi"/>
                <w:sz w:val="22"/>
              </w:rPr>
              <w:t xml:space="preserve"> and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Be</w:t>
            </w:r>
            <w:r w:rsidRPr="0050282B">
              <w:rPr>
                <w:rFonts w:asciiTheme="minorHAnsi" w:hAnsiTheme="minorHAnsi" w:cstheme="minorHAnsi"/>
                <w:sz w:val="22"/>
              </w:rPr>
              <w:t xml:space="preserve"> are the activity energy savings values prescribed in table 26 for the system size and type as determined in accordance with AS/NZS 4234 based on the system’s peak daily thermal energy load delivery characteristics; </w:t>
            </w:r>
          </w:p>
          <w:p w14:paraId="082DB765" w14:textId="77777777" w:rsidR="00405516" w:rsidRPr="0050282B" w:rsidRDefault="00405516" w:rsidP="00405516">
            <w:pPr>
              <w:pStyle w:val="Subdetailssecondindent"/>
              <w:rPr>
                <w:rFonts w:asciiTheme="minorHAnsi" w:hAnsiTheme="minorHAnsi" w:cstheme="minorHAnsi"/>
                <w:sz w:val="22"/>
              </w:rPr>
            </w:pPr>
            <w:r w:rsidRPr="0050282B">
              <w:rPr>
                <w:rFonts w:asciiTheme="minorHAnsi" w:hAnsiTheme="minorHAnsi" w:cstheme="minorHAnsi"/>
                <w:i/>
                <w:iCs/>
                <w:sz w:val="22"/>
              </w:rPr>
              <w:t>Be</w:t>
            </w:r>
            <w:r w:rsidRPr="0050282B">
              <w:rPr>
                <w:rFonts w:asciiTheme="minorHAnsi" w:hAnsiTheme="minorHAnsi" w:cstheme="minorHAnsi"/>
                <w:sz w:val="22"/>
              </w:rPr>
              <w:t xml:space="preserve"> is 0 (for medium size heat pump systems only); and</w:t>
            </w:r>
          </w:p>
          <w:p w14:paraId="5CE153DD" w14:textId="47EAD269"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t>Bs</w:t>
            </w:r>
            <w:r w:rsidRPr="0050282B">
              <w:rPr>
                <w:rFonts w:asciiTheme="minorHAnsi" w:hAnsiTheme="minorHAnsi" w:cstheme="minorHAnsi"/>
                <w:sz w:val="22"/>
              </w:rPr>
              <w:t xml:space="preserve"> is (1 – RECs × 0.0214) × 16.67 (for medium size heat pump systems only) in GJ</w:t>
            </w:r>
          </w:p>
          <w:p w14:paraId="190E0A28" w14:textId="4B5B2BA3" w:rsidR="007F53AA" w:rsidRPr="0050282B" w:rsidRDefault="002379F1" w:rsidP="007F53AA">
            <w:pPr>
              <w:pStyle w:val="BodytextEEIS"/>
              <w:ind w:left="0"/>
              <w:rPr>
                <w:rFonts w:asciiTheme="minorHAnsi" w:hAnsiTheme="minorHAnsi" w:cstheme="minorHAnsi"/>
                <w:sz w:val="22"/>
              </w:rPr>
            </w:pPr>
            <w:r w:rsidRPr="0050282B">
              <w:rPr>
                <w:rFonts w:asciiTheme="minorHAnsi" w:hAnsiTheme="minorHAnsi" w:cstheme="minorHAnsi"/>
                <w:sz w:val="22"/>
              </w:rPr>
              <w:t>Where RECs is the number of certificates for an installation in Zone 5 for the specific model as listed by the CER in the register of air source heat pumps with a volumetric capacity of no more than 425L and where the number of RECs is greater than or equal to 28 for Zone 5 (HP5-AU).”</w:t>
            </w:r>
          </w:p>
          <w:p w14:paraId="3A06CEBB" w14:textId="070405AB" w:rsidR="002379F1" w:rsidRPr="0050282B" w:rsidRDefault="006A66F3" w:rsidP="007F53AA">
            <w:pPr>
              <w:pStyle w:val="BodytextEEIS"/>
              <w:ind w:left="0"/>
              <w:rPr>
                <w:rFonts w:asciiTheme="minorHAnsi" w:hAnsiTheme="minorHAnsi" w:cstheme="minorHAnsi"/>
                <w:sz w:val="22"/>
              </w:rPr>
            </w:pPr>
            <w:r>
              <w:rPr>
                <w:rFonts w:asciiTheme="minorHAnsi" w:hAnsiTheme="minorHAnsi" w:cstheme="minorHAnsi"/>
                <w:sz w:val="22"/>
              </w:rPr>
              <w:lastRenderedPageBreak/>
              <w:t>i</w:t>
            </w:r>
            <w:r w:rsidR="002379F1" w:rsidRPr="0050282B">
              <w:rPr>
                <w:rFonts w:asciiTheme="minorHAnsi" w:hAnsiTheme="minorHAnsi" w:cstheme="minorHAnsi"/>
                <w:sz w:val="22"/>
              </w:rPr>
              <w:t>s replaced by</w:t>
            </w:r>
          </w:p>
          <w:p w14:paraId="0423923B" w14:textId="381840BA" w:rsidR="00405516" w:rsidRPr="0050282B" w:rsidRDefault="009E74C0" w:rsidP="00405516">
            <w:pPr>
              <w:pStyle w:val="BodytextEEIS"/>
              <w:rPr>
                <w:rFonts w:asciiTheme="minorHAnsi" w:hAnsiTheme="minorHAnsi" w:cstheme="minorHAnsi"/>
                <w:sz w:val="22"/>
              </w:rPr>
            </w:pPr>
            <w:r>
              <w:rPr>
                <w:rFonts w:asciiTheme="minorHAnsi" w:hAnsiTheme="minorHAnsi" w:cstheme="minorHAnsi"/>
                <w:sz w:val="22"/>
              </w:rPr>
              <w:t>“</w:t>
            </w:r>
            <w:r w:rsidR="00405516" w:rsidRPr="0050282B">
              <w:rPr>
                <w:rFonts w:asciiTheme="minorHAnsi" w:hAnsiTheme="minorHAnsi" w:cstheme="minorHAnsi"/>
                <w:sz w:val="22"/>
              </w:rPr>
              <w:t xml:space="preserve">Where </w:t>
            </w:r>
            <w:r w:rsidR="00405516" w:rsidRPr="0050282B">
              <w:rPr>
                <w:rFonts w:asciiTheme="minorHAnsi" w:hAnsiTheme="minorHAnsi" w:cstheme="minorHAnsi"/>
                <w:bCs/>
                <w:sz w:val="22"/>
              </w:rPr>
              <w:t>—</w:t>
            </w:r>
          </w:p>
          <w:p w14:paraId="63AD821A" w14:textId="77777777" w:rsidR="00405516" w:rsidRPr="0050282B" w:rsidRDefault="00405516" w:rsidP="00405516">
            <w:pPr>
              <w:pStyle w:val="Subdetailssecondindent"/>
              <w:rPr>
                <w:rFonts w:asciiTheme="minorHAnsi" w:hAnsiTheme="minorHAnsi" w:cstheme="minorHAnsi"/>
                <w:sz w:val="22"/>
              </w:rPr>
            </w:pP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base</w:t>
            </w:r>
            <w:r w:rsidRPr="0050282B">
              <w:rPr>
                <w:rFonts w:asciiTheme="minorHAnsi" w:hAnsiTheme="minorHAnsi" w:cstheme="minorHAnsi"/>
                <w:sz w:val="22"/>
              </w:rPr>
              <w:t xml:space="preserve">,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Bs</w:t>
            </w:r>
            <w:r w:rsidRPr="0050282B">
              <w:rPr>
                <w:rFonts w:asciiTheme="minorHAnsi" w:hAnsiTheme="minorHAnsi" w:cstheme="minorHAnsi"/>
                <w:sz w:val="22"/>
              </w:rPr>
              <w:t xml:space="preserve"> and </w:t>
            </w:r>
            <w:r w:rsidRPr="0050282B">
              <w:rPr>
                <w:rFonts w:asciiTheme="minorHAnsi" w:hAnsiTheme="minorHAnsi" w:cstheme="minorHAnsi"/>
                <w:i/>
                <w:iCs/>
                <w:sz w:val="22"/>
              </w:rPr>
              <w:t>ESF</w:t>
            </w:r>
            <w:r w:rsidRPr="0050282B">
              <w:rPr>
                <w:rFonts w:asciiTheme="minorHAnsi" w:hAnsiTheme="minorHAnsi" w:cstheme="minorHAnsi"/>
                <w:i/>
                <w:iCs/>
                <w:sz w:val="22"/>
                <w:vertAlign w:val="subscript"/>
              </w:rPr>
              <w:t>Be</w:t>
            </w:r>
            <w:r w:rsidRPr="0050282B">
              <w:rPr>
                <w:rFonts w:asciiTheme="minorHAnsi" w:hAnsiTheme="minorHAnsi" w:cstheme="minorHAnsi"/>
                <w:sz w:val="22"/>
              </w:rPr>
              <w:t xml:space="preserve"> are the activity energy savings values prescribed in table 26 for the system size and type as determined in accordance with AS/NZS 4234 based on the system’s peak daily thermal energy load delivery characteristics; </w:t>
            </w:r>
          </w:p>
          <w:p w14:paraId="126500C8" w14:textId="77777777" w:rsidR="00405516" w:rsidRPr="0050282B" w:rsidRDefault="00405516" w:rsidP="00405516">
            <w:pPr>
              <w:pStyle w:val="Subdetailssecondindent"/>
              <w:rPr>
                <w:rFonts w:asciiTheme="minorHAnsi" w:hAnsiTheme="minorHAnsi" w:cstheme="minorHAnsi"/>
                <w:sz w:val="22"/>
              </w:rPr>
            </w:pPr>
            <w:r w:rsidRPr="0050282B">
              <w:rPr>
                <w:rFonts w:asciiTheme="minorHAnsi" w:hAnsiTheme="minorHAnsi" w:cstheme="minorHAnsi"/>
                <w:i/>
                <w:iCs/>
                <w:sz w:val="22"/>
              </w:rPr>
              <w:t>Be</w:t>
            </w:r>
            <w:r w:rsidRPr="0050282B">
              <w:rPr>
                <w:rFonts w:asciiTheme="minorHAnsi" w:hAnsiTheme="minorHAnsi" w:cstheme="minorHAnsi"/>
                <w:sz w:val="22"/>
              </w:rPr>
              <w:t xml:space="preserve"> is 0 (for medium size heat pump systems only); and</w:t>
            </w:r>
          </w:p>
          <w:p w14:paraId="47DBAA42" w14:textId="77777777" w:rsidR="00405516" w:rsidRPr="0050282B" w:rsidRDefault="00405516" w:rsidP="00405516">
            <w:pPr>
              <w:pStyle w:val="Subdetailssecondindent"/>
              <w:numPr>
                <w:ilvl w:val="0"/>
                <w:numId w:val="15"/>
              </w:numPr>
              <w:rPr>
                <w:rFonts w:asciiTheme="minorHAnsi" w:hAnsiTheme="minorHAnsi" w:cstheme="minorHAnsi"/>
                <w:sz w:val="22"/>
              </w:rPr>
            </w:pPr>
            <w:r w:rsidRPr="0050282B">
              <w:rPr>
                <w:rFonts w:asciiTheme="minorHAnsi" w:hAnsiTheme="minorHAnsi" w:cstheme="minorHAnsi"/>
                <w:i/>
                <w:iCs/>
                <w:sz w:val="22"/>
              </w:rPr>
              <w:t>Bs</w:t>
            </w:r>
            <w:r w:rsidRPr="0050282B">
              <w:rPr>
                <w:rFonts w:asciiTheme="minorHAnsi" w:hAnsiTheme="minorHAnsi" w:cstheme="minorHAnsi"/>
                <w:sz w:val="22"/>
              </w:rPr>
              <w:t xml:space="preserve"> is (1 – (RECs × m) × 0.0214) × 16.67 (for medium size heat pump systems only) in GJ</w:t>
            </w:r>
          </w:p>
          <w:p w14:paraId="511F8941" w14:textId="77777777" w:rsidR="00405516" w:rsidRPr="0050282B" w:rsidRDefault="00405516" w:rsidP="0050282B">
            <w:pPr>
              <w:pStyle w:val="BodytextEEIS"/>
              <w:ind w:left="0"/>
              <w:rPr>
                <w:rFonts w:asciiTheme="minorHAnsi" w:hAnsiTheme="minorHAnsi" w:cstheme="minorHAnsi"/>
                <w:sz w:val="22"/>
              </w:rPr>
            </w:pPr>
            <w:r w:rsidRPr="0050282B">
              <w:rPr>
                <w:rFonts w:asciiTheme="minorHAnsi" w:hAnsiTheme="minorHAnsi" w:cstheme="minorHAnsi"/>
                <w:sz w:val="22"/>
              </w:rPr>
              <w:t>Where:</w:t>
            </w:r>
          </w:p>
          <w:p w14:paraId="41E1764E" w14:textId="1577F298" w:rsidR="00405516" w:rsidRPr="0050282B" w:rsidRDefault="00405516" w:rsidP="0050282B">
            <w:pPr>
              <w:pStyle w:val="BodytextEEIS"/>
              <w:numPr>
                <w:ilvl w:val="0"/>
                <w:numId w:val="19"/>
              </w:numPr>
              <w:ind w:left="360"/>
              <w:rPr>
                <w:rFonts w:asciiTheme="minorHAnsi" w:hAnsiTheme="minorHAnsi" w:cstheme="minorHAnsi"/>
                <w:sz w:val="22"/>
              </w:rPr>
            </w:pPr>
            <w:r w:rsidRPr="0050282B">
              <w:rPr>
                <w:rFonts w:asciiTheme="minorHAnsi" w:hAnsiTheme="minorHAnsi" w:cstheme="minorHAnsi"/>
                <w:i/>
                <w:iCs/>
                <w:sz w:val="22"/>
              </w:rPr>
              <w:t>RECs</w:t>
            </w:r>
            <w:r w:rsidRPr="0050282B">
              <w:rPr>
                <w:rFonts w:asciiTheme="minorHAnsi" w:hAnsiTheme="minorHAnsi" w:cstheme="minorHAnsi"/>
                <w:sz w:val="22"/>
              </w:rPr>
              <w:t xml:space="preserve"> is the number of certificates for an installation in Zone 5 for the specific model as listed by the CER in the register of air source heat pumps with a volumetric capacity of no more than 425L and where the number of RECs is greater than or equal to 25.2 for Zone 5 (HP5-AU) for the period of </w:t>
            </w:r>
            <w:r w:rsidRPr="0050282B">
              <w:rPr>
                <w:rFonts w:asciiTheme="minorHAnsi" w:hAnsiTheme="minorHAnsi" w:cstheme="minorHAnsi"/>
                <w:sz w:val="22"/>
              </w:rPr>
              <w:br/>
              <w:t>1 January 2022 – 31 December 2022 and greater than or equal to 22.4 for Zone 5 (HP5-AU) for the period of 1 January 2023 – 31 December 2023.</w:t>
            </w:r>
          </w:p>
          <w:p w14:paraId="42172A6D" w14:textId="494173FF" w:rsidR="002379F1" w:rsidRPr="0050282B" w:rsidRDefault="00405516" w:rsidP="0050282B">
            <w:pPr>
              <w:pStyle w:val="BodytextEEIS"/>
              <w:numPr>
                <w:ilvl w:val="0"/>
                <w:numId w:val="19"/>
              </w:numPr>
              <w:ind w:left="360"/>
              <w:rPr>
                <w:sz w:val="22"/>
              </w:rPr>
            </w:pPr>
            <w:r w:rsidRPr="0050282B">
              <w:rPr>
                <w:rFonts w:asciiTheme="minorHAnsi" w:hAnsiTheme="minorHAnsi" w:cstheme="minorHAnsi"/>
                <w:sz w:val="22"/>
              </w:rPr>
              <w:t>m is the RECs multiplier and is equivalent to</w:t>
            </w:r>
            <w:r w:rsidRPr="0050282B">
              <w:rPr>
                <w:rFonts w:asciiTheme="minorHAnsi" w:hAnsiTheme="minorHAnsi" w:cstheme="minorHAnsi"/>
                <w:color w:val="000000" w:themeColor="text1"/>
                <w:sz w:val="22"/>
              </w:rPr>
              <w:t xml:space="preserve"> </w:t>
            </w:r>
            <w:r w:rsidR="005A7F66">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oMath>
            <w:r w:rsidRPr="0050282B">
              <w:rPr>
                <w:rFonts w:asciiTheme="minorHAnsi" w:hAnsiTheme="minorHAnsi" w:cstheme="minorHAnsi"/>
                <w:sz w:val="22"/>
              </w:rPr>
              <w:t xml:space="preserve"> </w:t>
            </w:r>
            <w:r w:rsidR="005A7F66">
              <w:rPr>
                <w:rFonts w:asciiTheme="minorHAnsi" w:hAnsiTheme="minorHAnsi" w:cstheme="minorHAnsi"/>
                <w:sz w:val="22"/>
              </w:rPr>
              <w:t xml:space="preserve"> </w:t>
            </w:r>
            <w:r w:rsidRPr="0050282B">
              <w:rPr>
                <w:rFonts w:asciiTheme="minorHAnsi" w:hAnsiTheme="minorHAnsi" w:cstheme="minorHAnsi"/>
                <w:sz w:val="22"/>
              </w:rPr>
              <w:t>for the period of 1 January 2022 – 31 December 2022 and equivalent to 1.25 for the period of 1 January 2023 to 31 December 2023.”</w:t>
            </w:r>
          </w:p>
        </w:tc>
      </w:tr>
    </w:tbl>
    <w:p w14:paraId="4BAA66FA" w14:textId="725B81DE" w:rsidR="00D84BEB" w:rsidRDefault="00D84BEB" w:rsidP="00D84BEB">
      <w:pPr>
        <w:rPr>
          <w:szCs w:val="24"/>
        </w:rPr>
      </w:pPr>
    </w:p>
    <w:p w14:paraId="58247858" w14:textId="79AC9203" w:rsidR="00EB6346" w:rsidRDefault="006E1FCF" w:rsidP="00E529A0">
      <w:r>
        <w:rPr>
          <w:szCs w:val="24"/>
        </w:rPr>
        <w:t>Th</w:t>
      </w:r>
      <w:r w:rsidR="00342FFA">
        <w:rPr>
          <w:szCs w:val="24"/>
        </w:rPr>
        <w:t>e</w:t>
      </w:r>
      <w:r>
        <w:rPr>
          <w:szCs w:val="24"/>
        </w:rPr>
        <w:t xml:space="preserve"> amendment is to</w:t>
      </w:r>
      <w:r w:rsidR="00AE48FD">
        <w:t xml:space="preserve"> adjust the minimum Small-scale Technology Certificates (</w:t>
      </w:r>
      <w:r w:rsidR="00AE48FD" w:rsidRPr="002D4855">
        <w:rPr>
          <w:b/>
          <w:bCs/>
          <w:i/>
          <w:iCs/>
        </w:rPr>
        <w:t>STCs</w:t>
      </w:r>
      <w:r w:rsidR="00AE48FD">
        <w:t xml:space="preserve">) required under the Determination in line with </w:t>
      </w:r>
      <w:r>
        <w:rPr>
          <w:szCs w:val="24"/>
        </w:rPr>
        <w:t xml:space="preserve">the </w:t>
      </w:r>
      <w:r>
        <w:rPr>
          <w:i/>
          <w:iCs/>
        </w:rPr>
        <w:t xml:space="preserve">Renewable Energy (Method for Solar Water Heaters) Determination 2016 </w:t>
      </w:r>
      <w:r w:rsidRPr="00E30DF6">
        <w:t>(</w:t>
      </w:r>
      <w:r w:rsidR="00291FFB">
        <w:t xml:space="preserve">the </w:t>
      </w:r>
      <w:r w:rsidRPr="002D4855">
        <w:rPr>
          <w:b/>
          <w:bCs/>
          <w:i/>
          <w:iCs/>
        </w:rPr>
        <w:t>Regulation</w:t>
      </w:r>
      <w:r>
        <w:t>)</w:t>
      </w:r>
      <w:r w:rsidR="00405516">
        <w:t xml:space="preserve"> to reinstate appropriate eligibility and achievement of Energy Savings Factors</w:t>
      </w:r>
      <w:r w:rsidR="00954973">
        <w:t xml:space="preserve"> (</w:t>
      </w:r>
      <w:r w:rsidR="00954973" w:rsidRPr="0050282B">
        <w:rPr>
          <w:b/>
          <w:bCs/>
          <w:i/>
          <w:iCs/>
        </w:rPr>
        <w:t>ESFs</w:t>
      </w:r>
      <w:r w:rsidR="00954973">
        <w:t>)</w:t>
      </w:r>
      <w:r>
        <w:t>.</w:t>
      </w:r>
      <w:r w:rsidR="00AE48FD">
        <w:t xml:space="preserve"> The Regulation was updated by the Clean Energy Regulator in December 2021</w:t>
      </w:r>
      <w:r w:rsidR="00534712">
        <w:t xml:space="preserve"> (</w:t>
      </w:r>
      <w:r w:rsidR="00AE48FD">
        <w:t>with the changes coming into effect on 1 January 2022</w:t>
      </w:r>
      <w:r w:rsidR="00534712">
        <w:t>)</w:t>
      </w:r>
      <w:r w:rsidR="00065D60">
        <w:t xml:space="preserve"> </w:t>
      </w:r>
      <w:r w:rsidR="00EB6346">
        <w:rPr>
          <w:rFonts w:cs="Calibri"/>
        </w:rPr>
        <w:t xml:space="preserve">to implement an incremental reduction in the deeming period </w:t>
      </w:r>
      <w:r w:rsidR="00EB6346">
        <w:rPr>
          <w:rFonts w:cs="Calibri"/>
          <w:color w:val="000000"/>
        </w:rPr>
        <w:t>(number of years of operation the technology is credited for) for Solar Water Heaters and Air Source Heat Pumps for all systems installed after 1 January 2022. This change will reduce the number of STCs that systems are eligible for.</w:t>
      </w:r>
      <w:r w:rsidR="008A1B28">
        <w:rPr>
          <w:rFonts w:cs="Calibri"/>
          <w:color w:val="000000"/>
        </w:rPr>
        <w:t xml:space="preserve"> This does not reflect any decline in the efficiency of these systems. Several commonly installed hot water heat pumps (</w:t>
      </w:r>
      <w:r w:rsidR="008A1B28" w:rsidRPr="002D4855">
        <w:rPr>
          <w:rFonts w:cs="Calibri"/>
          <w:b/>
          <w:bCs/>
          <w:i/>
          <w:iCs/>
          <w:color w:val="000000"/>
        </w:rPr>
        <w:t>HWHP</w:t>
      </w:r>
      <w:r w:rsidR="008A1B28">
        <w:rPr>
          <w:rFonts w:cs="Calibri"/>
          <w:color w:val="000000"/>
        </w:rPr>
        <w:t>) that were previously eligible under this activity are currently excluded due to the reduction in STCs credited to HWHP to reflect the decreased deeming period. There has been no change to the performance of these systems nor their ability to provide energy savings under the EEIS.</w:t>
      </w:r>
      <w:r w:rsidR="00405516">
        <w:rPr>
          <w:rFonts w:cs="Calibri"/>
          <w:color w:val="000000"/>
        </w:rPr>
        <w:t xml:space="preserve"> In addition to revising the minimum STCs required under the Determination in the line with the Regulation, this amendment revises the method for calculating </w:t>
      </w:r>
      <w:r w:rsidR="00954973">
        <w:rPr>
          <w:rFonts w:cs="Calibri"/>
          <w:color w:val="000000"/>
        </w:rPr>
        <w:t>ESFs</w:t>
      </w:r>
      <w:r w:rsidR="00405516">
        <w:rPr>
          <w:rFonts w:cs="Calibri"/>
          <w:color w:val="000000"/>
        </w:rPr>
        <w:t xml:space="preserve"> for affected activities to ensure </w:t>
      </w:r>
      <w:r w:rsidR="001B72A9">
        <w:rPr>
          <w:rFonts w:cs="Calibri"/>
          <w:color w:val="000000"/>
        </w:rPr>
        <w:t xml:space="preserve">the </w:t>
      </w:r>
      <w:r w:rsidR="001E2760">
        <w:rPr>
          <w:rFonts w:cs="Calibri"/>
          <w:color w:val="000000"/>
        </w:rPr>
        <w:t>ESFs</w:t>
      </w:r>
      <w:r w:rsidR="001B72A9">
        <w:rPr>
          <w:rFonts w:cs="Calibri"/>
          <w:color w:val="000000"/>
        </w:rPr>
        <w:t xml:space="preserve"> acquired for undertaking a specified activity</w:t>
      </w:r>
      <w:r w:rsidR="00405516">
        <w:rPr>
          <w:rFonts w:cs="Calibri"/>
          <w:color w:val="000000"/>
        </w:rPr>
        <w:t xml:space="preserve"> are restored to eligible </w:t>
      </w:r>
      <w:r w:rsidR="001B72A9">
        <w:rPr>
          <w:rFonts w:cs="Calibri"/>
          <w:color w:val="000000"/>
        </w:rPr>
        <w:t>amounts</w:t>
      </w:r>
      <w:r w:rsidR="00405516">
        <w:rPr>
          <w:rFonts w:cs="Calibri"/>
          <w:color w:val="000000"/>
        </w:rPr>
        <w:t xml:space="preserve"> as were achieved prior to the </w:t>
      </w:r>
      <w:r w:rsidR="001B72A9">
        <w:rPr>
          <w:rFonts w:cs="Calibri"/>
          <w:color w:val="000000"/>
        </w:rPr>
        <w:t xml:space="preserve">amended </w:t>
      </w:r>
      <w:r w:rsidR="00405516">
        <w:rPr>
          <w:rFonts w:cs="Calibri"/>
          <w:color w:val="000000"/>
        </w:rPr>
        <w:t>Regulation.</w:t>
      </w:r>
    </w:p>
    <w:p w14:paraId="37123229" w14:textId="4DEAC5AF" w:rsidR="00065D60" w:rsidRDefault="00AE48FD" w:rsidP="00E30DF6">
      <w:pPr>
        <w:spacing w:before="200"/>
        <w:rPr>
          <w:szCs w:val="24"/>
        </w:rPr>
      </w:pPr>
      <w:r w:rsidRPr="00E30DF6">
        <w:lastRenderedPageBreak/>
        <w:t>To ensure consistency with the Commonwealth legislation</w:t>
      </w:r>
      <w:r w:rsidR="00E30DF6">
        <w:t xml:space="preserve"> and to avoid unreasonable </w:t>
      </w:r>
      <w:r w:rsidR="00EB6346">
        <w:t>negative impacts on retailers delivering the activit</w:t>
      </w:r>
      <w:r w:rsidR="002379F1">
        <w:t>ies</w:t>
      </w:r>
      <w:r w:rsidRPr="00E30DF6">
        <w:t xml:space="preserve">, the Determination </w:t>
      </w:r>
      <w:r w:rsidR="00291FFB">
        <w:t>is taken to have commenced on</w:t>
      </w:r>
      <w:r w:rsidRPr="00E30DF6">
        <w:t xml:space="preserve"> 1 January 2022.</w:t>
      </w:r>
      <w:r>
        <w:t xml:space="preserve"> </w:t>
      </w:r>
    </w:p>
    <w:p w14:paraId="3B52D8DA" w14:textId="676ACED8" w:rsidR="00065D60" w:rsidRDefault="00E30DF6" w:rsidP="00E30DF6">
      <w:pPr>
        <w:spacing w:before="120" w:after="120"/>
      </w:pPr>
      <w:r>
        <w:t>The amendment</w:t>
      </w:r>
      <w:r w:rsidR="00065D60">
        <w:t xml:space="preserve"> has positive impacts on obligated retailers </w:t>
      </w:r>
      <w:r w:rsidR="00EB6346">
        <w:t xml:space="preserve">that are </w:t>
      </w:r>
      <w:r w:rsidR="00065D60">
        <w:t xml:space="preserve">delivering activities by reinstating the eligibility of </w:t>
      </w:r>
      <w:r w:rsidR="00291FFB">
        <w:t xml:space="preserve">HWHP </w:t>
      </w:r>
      <w:r w:rsidR="00065D60">
        <w:t xml:space="preserve">systems that have fallen below the eligibility threshold </w:t>
      </w:r>
      <w:r>
        <w:t>following</w:t>
      </w:r>
      <w:r w:rsidR="00065D60">
        <w:t xml:space="preserve"> amendments to the Regulation</w:t>
      </w:r>
      <w:r w:rsidR="00405516">
        <w:t xml:space="preserve"> and ensuring they achieve the same </w:t>
      </w:r>
      <w:r w:rsidR="00954973">
        <w:t>ESFs</w:t>
      </w:r>
      <w:r w:rsidR="00405516">
        <w:t xml:space="preserve"> as were eligible before the amendments to the Regulation</w:t>
      </w:r>
      <w:r w:rsidR="00065D60">
        <w:t xml:space="preserve">. This </w:t>
      </w:r>
      <w:r>
        <w:t>avoids</w:t>
      </w:r>
      <w:r w:rsidR="00065D60">
        <w:t xml:space="preserve"> unintentionally restricting </w:t>
      </w:r>
      <w:r>
        <w:t>retailers’</w:t>
      </w:r>
      <w:r w:rsidR="00065D60">
        <w:t xml:space="preserve"> opportunities to meet </w:t>
      </w:r>
      <w:r>
        <w:t>their</w:t>
      </w:r>
      <w:r w:rsidR="00065D60">
        <w:t xml:space="preserve"> obligations</w:t>
      </w:r>
      <w:r>
        <w:t xml:space="preserve"> under the Scheme</w:t>
      </w:r>
      <w:r w:rsidR="00405516">
        <w:t xml:space="preserve"> and unintentionally decreasing the </w:t>
      </w:r>
      <w:r w:rsidR="00954973">
        <w:t>ESFs</w:t>
      </w:r>
      <w:r w:rsidR="00405516">
        <w:t xml:space="preserve"> retailers are eligible to receive for undertaking these activities</w:t>
      </w:r>
      <w:r w:rsidR="00065D60">
        <w:t>.</w:t>
      </w:r>
    </w:p>
    <w:p w14:paraId="74AA2C3E" w14:textId="750BE1B7" w:rsidR="00EB6346" w:rsidRPr="00EB6346" w:rsidRDefault="00EB6346" w:rsidP="00EB6346">
      <w:pPr>
        <w:spacing w:before="120" w:after="120"/>
        <w:rPr>
          <w:bCs/>
        </w:rPr>
      </w:pPr>
      <w:r w:rsidRPr="00EB6346">
        <w:rPr>
          <w:bCs/>
        </w:rPr>
        <w:t>Households that have received an installation of the affected models of medium-size hot water heat pumps (</w:t>
      </w:r>
      <w:r w:rsidRPr="002D4855">
        <w:rPr>
          <w:b/>
          <w:i/>
          <w:iCs/>
        </w:rPr>
        <w:t>MSHWHP</w:t>
      </w:r>
      <w:r w:rsidRPr="00EB6346">
        <w:rPr>
          <w:bCs/>
        </w:rPr>
        <w:t xml:space="preserve">) will not be impacted by the change. The amendment only affects how </w:t>
      </w:r>
      <w:r w:rsidR="00954973">
        <w:rPr>
          <w:bCs/>
        </w:rPr>
        <w:t>ESFs</w:t>
      </w:r>
      <w:r w:rsidRPr="00EB6346">
        <w:rPr>
          <w:bCs/>
        </w:rPr>
        <w:t xml:space="preserve"> are calculated for a retailer undertaking the activit</w:t>
      </w:r>
      <w:r w:rsidR="002379F1">
        <w:rPr>
          <w:bCs/>
        </w:rPr>
        <w:t>ies</w:t>
      </w:r>
      <w:r w:rsidRPr="00EB6346">
        <w:rPr>
          <w:bCs/>
        </w:rPr>
        <w:t xml:space="preserve"> to meet their </w:t>
      </w:r>
      <w:r>
        <w:rPr>
          <w:bCs/>
        </w:rPr>
        <w:t>retailer energy savings obligation</w:t>
      </w:r>
      <w:r w:rsidRPr="00EB6346">
        <w:rPr>
          <w:bCs/>
        </w:rPr>
        <w:t xml:space="preserve"> </w:t>
      </w:r>
      <w:r>
        <w:rPr>
          <w:bCs/>
        </w:rPr>
        <w:t>(</w:t>
      </w:r>
      <w:r w:rsidRPr="002D4855">
        <w:rPr>
          <w:b/>
          <w:i/>
          <w:iCs/>
        </w:rPr>
        <w:t>RESO</w:t>
      </w:r>
      <w:r>
        <w:rPr>
          <w:bCs/>
        </w:rPr>
        <w:t xml:space="preserve">) </w:t>
      </w:r>
      <w:r w:rsidRPr="00EB6346">
        <w:rPr>
          <w:bCs/>
        </w:rPr>
        <w:t>since 1 January 2022.</w:t>
      </w:r>
    </w:p>
    <w:p w14:paraId="3F704D9F" w14:textId="67C9DFA3" w:rsidR="00EB6346" w:rsidRPr="00EB6346" w:rsidRDefault="00EB6346" w:rsidP="00EB6346">
      <w:pPr>
        <w:spacing w:before="120" w:after="120"/>
        <w:rPr>
          <w:bCs/>
        </w:rPr>
      </w:pPr>
      <w:r w:rsidRPr="00EB6346">
        <w:rPr>
          <w:bCs/>
        </w:rPr>
        <w:t xml:space="preserve">Businesses will be unaffected as the </w:t>
      </w:r>
      <w:r>
        <w:rPr>
          <w:bCs/>
        </w:rPr>
        <w:t xml:space="preserve">only </w:t>
      </w:r>
      <w:r w:rsidRPr="00EB6346">
        <w:rPr>
          <w:bCs/>
        </w:rPr>
        <w:t xml:space="preserve">retailer </w:t>
      </w:r>
      <w:r>
        <w:rPr>
          <w:bCs/>
        </w:rPr>
        <w:t xml:space="preserve">currently </w:t>
      </w:r>
      <w:r w:rsidRPr="00EB6346">
        <w:rPr>
          <w:bCs/>
        </w:rPr>
        <w:t xml:space="preserve">delivering activities is not delivering MSHWHP to businesses. </w:t>
      </w:r>
    </w:p>
    <w:p w14:paraId="7C7B5659" w14:textId="010D2A65" w:rsidR="00EB6346" w:rsidRPr="00065D60" w:rsidRDefault="00EB6346" w:rsidP="00E30DF6">
      <w:pPr>
        <w:spacing w:before="120" w:after="120"/>
      </w:pPr>
      <w:r>
        <w:rPr>
          <w:bCs/>
        </w:rPr>
        <w:t xml:space="preserve">The Determination does not affect any Tier 2 retailers as none of these are currently delivering activities under the EEIS. </w:t>
      </w:r>
      <w:r w:rsidRPr="00EB6346">
        <w:rPr>
          <w:bCs/>
        </w:rPr>
        <w:t>However, th</w:t>
      </w:r>
      <w:r>
        <w:rPr>
          <w:bCs/>
        </w:rPr>
        <w:t>e</w:t>
      </w:r>
      <w:r w:rsidRPr="00EB6346">
        <w:rPr>
          <w:bCs/>
        </w:rPr>
        <w:t xml:space="preserve"> amendment will provide Tier 2 retailers the possibility to deliver th</w:t>
      </w:r>
      <w:r w:rsidR="002379F1">
        <w:rPr>
          <w:bCs/>
        </w:rPr>
        <w:t>ese</w:t>
      </w:r>
      <w:r w:rsidRPr="00EB6346">
        <w:rPr>
          <w:bCs/>
        </w:rPr>
        <w:t xml:space="preserve"> activit</w:t>
      </w:r>
      <w:r w:rsidR="002379F1">
        <w:rPr>
          <w:bCs/>
        </w:rPr>
        <w:t>ies</w:t>
      </w:r>
      <w:r w:rsidRPr="00EB6346">
        <w:rPr>
          <w:bCs/>
        </w:rPr>
        <w:t xml:space="preserve"> to meet their </w:t>
      </w:r>
      <w:r>
        <w:rPr>
          <w:bCs/>
        </w:rPr>
        <w:t>RESO</w:t>
      </w:r>
      <w:r w:rsidRPr="00EB6346">
        <w:rPr>
          <w:bCs/>
        </w:rPr>
        <w:t xml:space="preserve"> if they should choose to do so.</w:t>
      </w:r>
    </w:p>
    <w:p w14:paraId="633D5D62" w14:textId="7A42F573" w:rsidR="00D84BEB" w:rsidRPr="00D84BEB" w:rsidRDefault="00D84BEB" w:rsidP="00E529A0">
      <w:pPr>
        <w:spacing w:before="200"/>
        <w:rPr>
          <w:szCs w:val="24"/>
        </w:rPr>
      </w:pPr>
      <w:r w:rsidRPr="00D84BEB">
        <w:rPr>
          <w:szCs w:val="24"/>
        </w:rPr>
        <w:t xml:space="preserve">The Determination does not engage the </w:t>
      </w:r>
      <w:r w:rsidRPr="00D84BEB">
        <w:rPr>
          <w:i/>
          <w:iCs/>
          <w:szCs w:val="24"/>
        </w:rPr>
        <w:t>Human Rights Act 2004</w:t>
      </w:r>
      <w:r w:rsidRPr="00D84BEB">
        <w:rPr>
          <w:szCs w:val="24"/>
        </w:rPr>
        <w:t xml:space="preserve">. </w:t>
      </w:r>
    </w:p>
    <w:p w14:paraId="44346D44" w14:textId="77777777" w:rsidR="00D84BEB" w:rsidRPr="00D84BEB" w:rsidRDefault="00D84BEB" w:rsidP="00D84BEB">
      <w:pPr>
        <w:rPr>
          <w:szCs w:val="24"/>
        </w:rPr>
      </w:pPr>
    </w:p>
    <w:p w14:paraId="2A509C6D" w14:textId="77777777" w:rsidR="00D84BEB" w:rsidRPr="00D84BEB" w:rsidRDefault="00D84BEB" w:rsidP="002D4855">
      <w:pPr>
        <w:spacing w:after="200"/>
        <w:rPr>
          <w:b/>
          <w:bCs/>
          <w:szCs w:val="24"/>
        </w:rPr>
      </w:pPr>
      <w:r w:rsidRPr="00D84BEB">
        <w:rPr>
          <w:b/>
          <w:bCs/>
          <w:szCs w:val="24"/>
        </w:rPr>
        <w:t>Clause Notes</w:t>
      </w:r>
    </w:p>
    <w:p w14:paraId="3FC44234" w14:textId="491FEEDE" w:rsidR="00D84BEB" w:rsidRPr="00D84BEB" w:rsidRDefault="00D84BEB" w:rsidP="00D84BEB">
      <w:pPr>
        <w:rPr>
          <w:szCs w:val="24"/>
        </w:rPr>
      </w:pPr>
      <w:r w:rsidRPr="00D84BEB">
        <w:rPr>
          <w:b/>
          <w:bCs/>
          <w:szCs w:val="24"/>
        </w:rPr>
        <w:t>Clause 1</w:t>
      </w:r>
      <w:r w:rsidRPr="00D84BEB">
        <w:rPr>
          <w:szCs w:val="24"/>
        </w:rPr>
        <w:t xml:space="preserve"> names the instrument.</w:t>
      </w:r>
    </w:p>
    <w:p w14:paraId="3431705C" w14:textId="12146BC3" w:rsidR="00D84BEB" w:rsidRPr="00D84BEB" w:rsidRDefault="00D84BEB" w:rsidP="00E529A0">
      <w:pPr>
        <w:spacing w:before="200"/>
        <w:rPr>
          <w:szCs w:val="24"/>
        </w:rPr>
      </w:pPr>
      <w:r w:rsidRPr="00D84BEB">
        <w:rPr>
          <w:b/>
          <w:bCs/>
          <w:szCs w:val="24"/>
        </w:rPr>
        <w:t>Clause 2</w:t>
      </w:r>
      <w:r w:rsidRPr="00D84BEB">
        <w:rPr>
          <w:szCs w:val="24"/>
        </w:rPr>
        <w:t xml:space="preserve"> </w:t>
      </w:r>
      <w:r w:rsidR="00291FFB">
        <w:rPr>
          <w:szCs w:val="24"/>
        </w:rPr>
        <w:t>provides that the instrument is taken to have commenced on 1 January 2022</w:t>
      </w:r>
      <w:r w:rsidRPr="008A1B28">
        <w:rPr>
          <w:szCs w:val="24"/>
        </w:rPr>
        <w:t>.</w:t>
      </w:r>
    </w:p>
    <w:p w14:paraId="4B6525DC" w14:textId="3476CB04" w:rsidR="00D84BEB" w:rsidRPr="00D84BEB" w:rsidRDefault="00D84BEB" w:rsidP="00E529A0">
      <w:pPr>
        <w:spacing w:before="200"/>
        <w:rPr>
          <w:szCs w:val="24"/>
        </w:rPr>
      </w:pPr>
      <w:r w:rsidRPr="00D84BEB">
        <w:rPr>
          <w:b/>
          <w:bCs/>
          <w:szCs w:val="24"/>
        </w:rPr>
        <w:t>Clause 3</w:t>
      </w:r>
      <w:r w:rsidRPr="00D84BEB">
        <w:rPr>
          <w:szCs w:val="24"/>
        </w:rPr>
        <w:t xml:space="preserve"> </w:t>
      </w:r>
      <w:r w:rsidR="00291FFB">
        <w:rPr>
          <w:szCs w:val="24"/>
        </w:rPr>
        <w:t>determines</w:t>
      </w:r>
      <w:r w:rsidR="00291FFB" w:rsidRPr="00D84BEB">
        <w:rPr>
          <w:szCs w:val="24"/>
        </w:rPr>
        <w:t xml:space="preserve"> </w:t>
      </w:r>
      <w:r w:rsidRPr="00D84BEB">
        <w:rPr>
          <w:szCs w:val="24"/>
        </w:rPr>
        <w:t>the eligible activities</w:t>
      </w:r>
      <w:r w:rsidR="00291FFB">
        <w:rPr>
          <w:szCs w:val="24"/>
        </w:rPr>
        <w:t>, in the schedule,</w:t>
      </w:r>
      <w:r w:rsidRPr="00D84BEB">
        <w:rPr>
          <w:szCs w:val="24"/>
        </w:rPr>
        <w:t xml:space="preserve"> that can be undertaken by electricity retailers and approved </w:t>
      </w:r>
      <w:r w:rsidR="00CE29AE">
        <w:rPr>
          <w:szCs w:val="24"/>
        </w:rPr>
        <w:t>energy savings</w:t>
      </w:r>
      <w:r w:rsidRPr="00D84BEB">
        <w:rPr>
          <w:szCs w:val="24"/>
        </w:rPr>
        <w:t xml:space="preserve"> providers to meet the </w:t>
      </w:r>
      <w:r w:rsidR="000B50EC">
        <w:rPr>
          <w:szCs w:val="24"/>
        </w:rPr>
        <w:t>EST</w:t>
      </w:r>
      <w:r w:rsidRPr="00D84BEB">
        <w:rPr>
          <w:szCs w:val="24"/>
        </w:rPr>
        <w:t>.</w:t>
      </w:r>
    </w:p>
    <w:p w14:paraId="3EC0C9AE" w14:textId="7DE83B5E" w:rsidR="00D84BEB" w:rsidRPr="00D84BEB" w:rsidRDefault="00D84BEB" w:rsidP="002D4855">
      <w:pPr>
        <w:spacing w:before="120" w:after="120"/>
        <w:rPr>
          <w:szCs w:val="24"/>
        </w:rPr>
      </w:pPr>
      <w:r w:rsidRPr="00D84BEB">
        <w:rPr>
          <w:szCs w:val="24"/>
        </w:rPr>
        <w:t>In summary, the schedule of the Determination</w:t>
      </w:r>
      <w:r w:rsidR="00291FFB">
        <w:rPr>
          <w:szCs w:val="24"/>
        </w:rPr>
        <w:t xml:space="preserve"> </w:t>
      </w:r>
      <w:r w:rsidRPr="00D84BEB">
        <w:rPr>
          <w:szCs w:val="24"/>
        </w:rPr>
        <w:t>defines the eligible activities</w:t>
      </w:r>
      <w:r w:rsidR="00291FFB">
        <w:rPr>
          <w:szCs w:val="24"/>
        </w:rPr>
        <w:t xml:space="preserve">, </w:t>
      </w:r>
      <w:r w:rsidRPr="00D84BEB">
        <w:rPr>
          <w:szCs w:val="24"/>
        </w:rPr>
        <w:t>and for each activity:</w:t>
      </w:r>
    </w:p>
    <w:p w14:paraId="0505EEC2" w14:textId="77777777" w:rsidR="00D84BEB" w:rsidRPr="00D84BEB" w:rsidRDefault="00D84BEB" w:rsidP="00D84BEB">
      <w:pPr>
        <w:numPr>
          <w:ilvl w:val="0"/>
          <w:numId w:val="10"/>
        </w:numPr>
        <w:spacing w:before="80"/>
        <w:ind w:left="714" w:hanging="357"/>
        <w:contextualSpacing/>
        <w:rPr>
          <w:szCs w:val="24"/>
        </w:rPr>
      </w:pPr>
      <w:r w:rsidRPr="00D84BEB">
        <w:rPr>
          <w:szCs w:val="24"/>
        </w:rPr>
        <w:t>sets minimum performance specifications;</w:t>
      </w:r>
    </w:p>
    <w:p w14:paraId="4FA53416" w14:textId="77777777" w:rsidR="00D84BEB" w:rsidRPr="00D84BEB" w:rsidRDefault="00D84BEB" w:rsidP="00D84BEB">
      <w:pPr>
        <w:numPr>
          <w:ilvl w:val="0"/>
          <w:numId w:val="10"/>
        </w:numPr>
        <w:spacing w:before="80"/>
        <w:ind w:left="714" w:hanging="357"/>
        <w:contextualSpacing/>
        <w:rPr>
          <w:szCs w:val="24"/>
        </w:rPr>
      </w:pPr>
      <w:r w:rsidRPr="00D84BEB">
        <w:rPr>
          <w:szCs w:val="24"/>
        </w:rPr>
        <w:t xml:space="preserve">outlines installed product requirements; </w:t>
      </w:r>
    </w:p>
    <w:p w14:paraId="0FCBFEE5" w14:textId="77777777" w:rsidR="00D84BEB" w:rsidRPr="00D84BEB" w:rsidRDefault="00D84BEB" w:rsidP="00D84BEB">
      <w:pPr>
        <w:numPr>
          <w:ilvl w:val="0"/>
          <w:numId w:val="10"/>
        </w:numPr>
        <w:spacing w:before="80"/>
        <w:ind w:left="714" w:hanging="357"/>
        <w:contextualSpacing/>
        <w:rPr>
          <w:szCs w:val="24"/>
        </w:rPr>
      </w:pPr>
      <w:r w:rsidRPr="00D84BEB">
        <w:rPr>
          <w:szCs w:val="24"/>
        </w:rPr>
        <w:t xml:space="preserve">specifies when activities are complete; and </w:t>
      </w:r>
    </w:p>
    <w:p w14:paraId="7B0D2212" w14:textId="5F5C302F" w:rsidR="00D84BEB" w:rsidRPr="00F0239B" w:rsidRDefault="00D84BEB" w:rsidP="00F0239B">
      <w:pPr>
        <w:numPr>
          <w:ilvl w:val="0"/>
          <w:numId w:val="10"/>
        </w:numPr>
        <w:spacing w:before="80"/>
        <w:ind w:left="714" w:hanging="357"/>
        <w:contextualSpacing/>
        <w:rPr>
          <w:szCs w:val="24"/>
        </w:rPr>
      </w:pPr>
      <w:r w:rsidRPr="00D84BEB">
        <w:rPr>
          <w:szCs w:val="24"/>
        </w:rPr>
        <w:t xml:space="preserve">sets out how the energy savings factor is calculated for each activity. </w:t>
      </w:r>
    </w:p>
    <w:p w14:paraId="734234DE" w14:textId="6EB16D43" w:rsidR="00D84BEB" w:rsidRPr="00D84BEB" w:rsidRDefault="00D84BEB" w:rsidP="00F0239B">
      <w:pPr>
        <w:spacing w:before="120" w:after="120"/>
        <w:rPr>
          <w:szCs w:val="24"/>
        </w:rPr>
      </w:pPr>
      <w:r w:rsidRPr="00D84BEB">
        <w:rPr>
          <w:szCs w:val="24"/>
        </w:rPr>
        <w:t>The eligible activities described in the Determination are categorised as:</w:t>
      </w:r>
    </w:p>
    <w:p w14:paraId="4DF31299" w14:textId="77777777" w:rsidR="00D84BEB" w:rsidRPr="00D84BEB" w:rsidRDefault="00D84BEB" w:rsidP="00291FFB">
      <w:pPr>
        <w:numPr>
          <w:ilvl w:val="0"/>
          <w:numId w:val="11"/>
        </w:numPr>
        <w:spacing w:before="80"/>
        <w:ind w:left="714" w:hanging="357"/>
        <w:contextualSpacing/>
        <w:rPr>
          <w:iCs/>
          <w:color w:val="000000"/>
          <w:szCs w:val="24"/>
        </w:rPr>
      </w:pPr>
      <w:r w:rsidRPr="00D84BEB">
        <w:rPr>
          <w:noProof/>
          <w:szCs w:val="24"/>
        </w:rPr>
        <w:t>Residential building envelope activities</w:t>
      </w:r>
      <w:r w:rsidRPr="00D84BEB">
        <w:rPr>
          <w:iCs/>
          <w:color w:val="000000"/>
          <w:szCs w:val="24"/>
        </w:rPr>
        <w:t xml:space="preserve"> </w:t>
      </w:r>
    </w:p>
    <w:p w14:paraId="011D4B6E"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Space heating and cooling activities</w:t>
      </w:r>
    </w:p>
    <w:p w14:paraId="5BE37840"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Hot water service activities</w:t>
      </w:r>
    </w:p>
    <w:p w14:paraId="40891F6B" w14:textId="77777777" w:rsidR="00D84BEB" w:rsidRPr="00D84BEB" w:rsidRDefault="00D84BEB">
      <w:pPr>
        <w:numPr>
          <w:ilvl w:val="0"/>
          <w:numId w:val="11"/>
        </w:numPr>
        <w:spacing w:before="80"/>
        <w:ind w:left="714" w:hanging="357"/>
        <w:contextualSpacing/>
        <w:rPr>
          <w:iCs/>
          <w:color w:val="000000"/>
          <w:szCs w:val="24"/>
        </w:rPr>
      </w:pPr>
      <w:r w:rsidRPr="00D84BEB">
        <w:rPr>
          <w:noProof/>
          <w:szCs w:val="24"/>
        </w:rPr>
        <w:t>Lighting activities</w:t>
      </w:r>
    </w:p>
    <w:p w14:paraId="6F95182F" w14:textId="2B89BA0C" w:rsidR="00F0239B" w:rsidRDefault="00D84BEB" w:rsidP="00291FFB">
      <w:pPr>
        <w:numPr>
          <w:ilvl w:val="0"/>
          <w:numId w:val="11"/>
        </w:numPr>
        <w:spacing w:before="80" w:after="120"/>
        <w:ind w:left="714" w:hanging="357"/>
        <w:contextualSpacing/>
        <w:rPr>
          <w:noProof/>
          <w:szCs w:val="24"/>
        </w:rPr>
      </w:pPr>
      <w:r w:rsidRPr="00D84BEB">
        <w:rPr>
          <w:noProof/>
          <w:szCs w:val="24"/>
        </w:rPr>
        <w:t>Appliance activities</w:t>
      </w:r>
    </w:p>
    <w:p w14:paraId="5DB31F8C" w14:textId="77777777" w:rsidR="00291FFB" w:rsidRDefault="00291FFB" w:rsidP="002D4855">
      <w:pPr>
        <w:spacing w:before="80" w:after="120"/>
        <w:ind w:left="714"/>
        <w:contextualSpacing/>
        <w:rPr>
          <w:noProof/>
          <w:szCs w:val="24"/>
        </w:rPr>
      </w:pPr>
    </w:p>
    <w:p w14:paraId="79139E75" w14:textId="2F51F88D" w:rsidR="00D84BEB" w:rsidRPr="00D84BEB" w:rsidRDefault="00D84BEB" w:rsidP="00291FFB">
      <w:pPr>
        <w:spacing w:before="200"/>
        <w:rPr>
          <w:iCs/>
          <w:color w:val="000000"/>
          <w:szCs w:val="24"/>
        </w:rPr>
      </w:pPr>
      <w:r w:rsidRPr="00D84BEB">
        <w:rPr>
          <w:b/>
          <w:bCs/>
          <w:iCs/>
          <w:color w:val="000000"/>
          <w:szCs w:val="24"/>
        </w:rPr>
        <w:t>Clause 4</w:t>
      </w:r>
      <w:r w:rsidRPr="00D84BEB">
        <w:rPr>
          <w:iCs/>
          <w:color w:val="000000"/>
          <w:szCs w:val="24"/>
        </w:rPr>
        <w:t xml:space="preserve"> disapplies </w:t>
      </w:r>
      <w:r w:rsidR="00681BAF">
        <w:rPr>
          <w:color w:val="000000"/>
          <w:szCs w:val="24"/>
          <w:lang w:eastAsia="en-AU"/>
        </w:rPr>
        <w:t>t</w:t>
      </w:r>
      <w:r w:rsidRPr="00681BAF">
        <w:rPr>
          <w:color w:val="000000"/>
          <w:szCs w:val="24"/>
          <w:lang w:eastAsia="en-AU"/>
        </w:rPr>
        <w:t>he</w:t>
      </w:r>
      <w:r w:rsidRPr="00D84BEB">
        <w:rPr>
          <w:i/>
          <w:iCs/>
          <w:color w:val="000000"/>
          <w:szCs w:val="24"/>
          <w:lang w:eastAsia="en-AU"/>
        </w:rPr>
        <w:t xml:space="preserve"> Legislation Act 2001, </w:t>
      </w:r>
      <w:r w:rsidRPr="00D84BEB">
        <w:rPr>
          <w:color w:val="000000"/>
          <w:szCs w:val="24"/>
          <w:lang w:eastAsia="en-AU"/>
        </w:rPr>
        <w:t xml:space="preserve">section 47 (5) and (6). </w:t>
      </w:r>
      <w:r w:rsidR="00A42521" w:rsidRPr="00D84BEB">
        <w:rPr>
          <w:iCs/>
          <w:color w:val="000000"/>
          <w:szCs w:val="24"/>
        </w:rPr>
        <w:t>Th</w:t>
      </w:r>
      <w:r w:rsidR="00A42521">
        <w:rPr>
          <w:iCs/>
          <w:color w:val="000000"/>
          <w:szCs w:val="24"/>
        </w:rPr>
        <w:t>is</w:t>
      </w:r>
      <w:r w:rsidR="00A42521" w:rsidRPr="00D84BEB">
        <w:rPr>
          <w:iCs/>
          <w:color w:val="000000"/>
          <w:szCs w:val="24"/>
        </w:rPr>
        <w:t xml:space="preserve"> </w:t>
      </w:r>
      <w:r w:rsidRPr="00D84BEB">
        <w:rPr>
          <w:iCs/>
          <w:color w:val="000000"/>
          <w:szCs w:val="24"/>
        </w:rPr>
        <w:t xml:space="preserve">section </w:t>
      </w:r>
      <w:r w:rsidR="00A42521">
        <w:rPr>
          <w:iCs/>
          <w:color w:val="000000"/>
          <w:szCs w:val="24"/>
        </w:rPr>
        <w:t>is</w:t>
      </w:r>
      <w:r w:rsidR="00A42521" w:rsidRPr="00D84BEB">
        <w:rPr>
          <w:iCs/>
          <w:color w:val="000000"/>
          <w:szCs w:val="24"/>
        </w:rPr>
        <w:t xml:space="preserve"> </w:t>
      </w:r>
      <w:r w:rsidRPr="00D84BEB">
        <w:rPr>
          <w:iCs/>
          <w:color w:val="000000"/>
          <w:szCs w:val="24"/>
        </w:rPr>
        <w:t xml:space="preserve">disapplied because </w:t>
      </w:r>
      <w:r w:rsidR="00A42521">
        <w:rPr>
          <w:iCs/>
          <w:color w:val="000000"/>
          <w:szCs w:val="24"/>
        </w:rPr>
        <w:t>it</w:t>
      </w:r>
      <w:r w:rsidR="00A42521" w:rsidRPr="00D84BEB">
        <w:rPr>
          <w:iCs/>
          <w:color w:val="000000"/>
          <w:szCs w:val="24"/>
        </w:rPr>
        <w:t xml:space="preserve"> </w:t>
      </w:r>
      <w:r w:rsidRPr="00D84BEB">
        <w:rPr>
          <w:iCs/>
          <w:color w:val="000000"/>
          <w:szCs w:val="24"/>
        </w:rPr>
        <w:t>stipulate</w:t>
      </w:r>
      <w:r w:rsidR="00A42521">
        <w:rPr>
          <w:iCs/>
          <w:color w:val="000000"/>
          <w:szCs w:val="24"/>
        </w:rPr>
        <w:t>s</w:t>
      </w:r>
      <w:r w:rsidRPr="00D84BEB">
        <w:rPr>
          <w:iCs/>
          <w:color w:val="000000"/>
          <w:szCs w:val="24"/>
        </w:rPr>
        <w:t xml:space="preserve"> that any external text which is to be applied as law in </w:t>
      </w:r>
      <w:r w:rsidRPr="00D84BEB">
        <w:rPr>
          <w:iCs/>
          <w:color w:val="000000"/>
          <w:szCs w:val="24"/>
        </w:rPr>
        <w:lastRenderedPageBreak/>
        <w:t xml:space="preserve">the ACT needs to be republished as a notifiable instrument. It is not possible to republish text contained in Australian Standards documents as they are protected by copyright. It is not practical to republish information in the National Construction Code as it contains over 400 pages of information across 4 volumes. </w:t>
      </w:r>
    </w:p>
    <w:p w14:paraId="425194F3" w14:textId="4B639E09" w:rsidR="00D84BEB" w:rsidRPr="00D84BEB" w:rsidRDefault="00D84BEB" w:rsidP="00E529A0">
      <w:pPr>
        <w:spacing w:before="200" w:after="60"/>
        <w:rPr>
          <w:szCs w:val="24"/>
        </w:rPr>
      </w:pPr>
      <w:r w:rsidRPr="00D84BEB">
        <w:rPr>
          <w:b/>
          <w:bCs/>
          <w:szCs w:val="24"/>
        </w:rPr>
        <w:t xml:space="preserve">Clause </w:t>
      </w:r>
      <w:r w:rsidR="00507065">
        <w:rPr>
          <w:b/>
          <w:bCs/>
          <w:szCs w:val="24"/>
        </w:rPr>
        <w:t>5</w:t>
      </w:r>
      <w:r w:rsidRPr="00D84BEB">
        <w:rPr>
          <w:szCs w:val="24"/>
        </w:rPr>
        <w:t xml:space="preserve"> revokes the </w:t>
      </w:r>
      <w:r w:rsidR="00507065" w:rsidRPr="002C5217">
        <w:rPr>
          <w:i/>
          <w:color w:val="000000"/>
          <w:szCs w:val="24"/>
        </w:rPr>
        <w:t>Energy Efficiency (Cost of Living) Improvement (Eligible Activities) Determination 202</w:t>
      </w:r>
      <w:r w:rsidR="00507065">
        <w:rPr>
          <w:i/>
          <w:color w:val="000000"/>
          <w:szCs w:val="24"/>
        </w:rPr>
        <w:t>0 (No 2)</w:t>
      </w:r>
      <w:r w:rsidR="00507065" w:rsidRPr="00E970A1">
        <w:rPr>
          <w:iCs/>
          <w:color w:val="000000"/>
          <w:szCs w:val="24"/>
        </w:rPr>
        <w:t xml:space="preserve"> (</w:t>
      </w:r>
      <w:r w:rsidR="00507065">
        <w:rPr>
          <w:iCs/>
          <w:color w:val="000000"/>
          <w:szCs w:val="24"/>
        </w:rPr>
        <w:t>DI2020-218)</w:t>
      </w:r>
      <w:r w:rsidRPr="00D84BEB">
        <w:rPr>
          <w:szCs w:val="24"/>
        </w:rPr>
        <w:t xml:space="preserve">. </w:t>
      </w:r>
    </w:p>
    <w:p w14:paraId="5B0D256B"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6D591" w14:textId="77777777" w:rsidR="008A5978" w:rsidRDefault="008A5978" w:rsidP="00C17FAB">
      <w:r>
        <w:separator/>
      </w:r>
    </w:p>
  </w:endnote>
  <w:endnote w:type="continuationSeparator" w:id="0">
    <w:p w14:paraId="34388624" w14:textId="77777777" w:rsidR="008A5978" w:rsidRDefault="008A597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608A6"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F9042" w14:textId="4A3043BE" w:rsidR="00DA3B00" w:rsidRPr="006B7885" w:rsidRDefault="006B7885" w:rsidP="006B7885">
    <w:pPr>
      <w:pStyle w:val="Footer"/>
      <w:jc w:val="center"/>
      <w:rPr>
        <w:rFonts w:cs="Arial"/>
        <w:sz w:val="14"/>
      </w:rPr>
    </w:pPr>
    <w:r w:rsidRPr="006B78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5174D"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FDE45F" w14:textId="77777777" w:rsidR="008A5978" w:rsidRDefault="008A5978" w:rsidP="00C17FAB">
      <w:r>
        <w:separator/>
      </w:r>
    </w:p>
  </w:footnote>
  <w:footnote w:type="continuationSeparator" w:id="0">
    <w:p w14:paraId="6DAE1539" w14:textId="77777777" w:rsidR="008A5978" w:rsidRDefault="008A597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C054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CF8A7"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6E913"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A4065B"/>
    <w:multiLevelType w:val="hybridMultilevel"/>
    <w:tmpl w:val="55E0D37E"/>
    <w:lvl w:ilvl="0" w:tplc="3E640176">
      <w:start w:val="14"/>
      <w:numFmt w:val="bullet"/>
      <w:lvlText w:val="-"/>
      <w:lvlJc w:val="left"/>
      <w:pPr>
        <w:ind w:left="360" w:hanging="360"/>
      </w:pPr>
      <w:rPr>
        <w:rFonts w:ascii="Arial" w:eastAsia="SimSu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74E2635"/>
    <w:multiLevelType w:val="hybridMultilevel"/>
    <w:tmpl w:val="DB2489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9118D2"/>
    <w:multiLevelType w:val="hybridMultilevel"/>
    <w:tmpl w:val="2F785D8C"/>
    <w:lvl w:ilvl="0" w:tplc="D2F238D8">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66E4D16"/>
    <w:multiLevelType w:val="hybridMultilevel"/>
    <w:tmpl w:val="EF0675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12" w15:restartNumberingAfterBreak="0">
    <w:nsid w:val="605441AA"/>
    <w:multiLevelType w:val="hybridMultilevel"/>
    <w:tmpl w:val="80F83DB0"/>
    <w:lvl w:ilvl="0" w:tplc="A582DA5C">
      <w:start w:val="1"/>
      <w:numFmt w:val="lowerLetter"/>
      <w:lvlText w:val="(%1)"/>
      <w:lvlJc w:val="left"/>
      <w:pPr>
        <w:ind w:left="720" w:hanging="360"/>
      </w:pPr>
      <w:rPr>
        <w:rFonts w:ascii="Times New Roman" w:hAnsi="Times New Roman" w:hint="default"/>
        <w:b w:val="0"/>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9910371"/>
    <w:multiLevelType w:val="hybridMultilevel"/>
    <w:tmpl w:val="5E3A5A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10"/>
  </w:num>
  <w:num w:numId="5">
    <w:abstractNumId w:val="13"/>
  </w:num>
  <w:num w:numId="6">
    <w:abstractNumId w:val="2"/>
  </w:num>
  <w:num w:numId="7">
    <w:abstractNumId w:val="7"/>
  </w:num>
  <w:num w:numId="8">
    <w:abstractNumId w:val="8"/>
  </w:num>
  <w:num w:numId="9">
    <w:abstractNumId w:val="15"/>
  </w:num>
  <w:num w:numId="10">
    <w:abstractNumId w:val="12"/>
  </w:num>
  <w:num w:numId="11">
    <w:abstractNumId w:val="5"/>
  </w:num>
  <w:num w:numId="12">
    <w:abstractNumId w:val="14"/>
  </w:num>
  <w:num w:numId="13">
    <w:abstractNumId w:val="9"/>
  </w:num>
  <w:num w:numId="14">
    <w:abstractNumId w:val="11"/>
    <w:lvlOverride w:ilvl="0">
      <w:startOverride w:val="1"/>
    </w:lvlOverride>
  </w:num>
  <w:num w:numId="15">
    <w:abstractNumId w:val="11"/>
  </w:num>
  <w:num w:numId="16">
    <w:abstractNumId w:val="1"/>
  </w:num>
  <w:num w:numId="17">
    <w:abstractNumId w:val="11"/>
    <w:lvlOverride w:ilvl="0">
      <w:startOverride w:val="1"/>
    </w:lvlOverride>
  </w:num>
  <w:num w:numId="18">
    <w:abstractNumId w:val="11"/>
    <w:lvlOverride w:ilvl="0">
      <w:startOverride w:val="1"/>
    </w:lvlOverride>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DEB"/>
    <w:rsid w:val="0004656E"/>
    <w:rsid w:val="00055369"/>
    <w:rsid w:val="00065D60"/>
    <w:rsid w:val="0009624A"/>
    <w:rsid w:val="000B50EC"/>
    <w:rsid w:val="00103B66"/>
    <w:rsid w:val="00187C2D"/>
    <w:rsid w:val="001B23C5"/>
    <w:rsid w:val="001B72A9"/>
    <w:rsid w:val="001E2760"/>
    <w:rsid w:val="001F36A0"/>
    <w:rsid w:val="00207B7D"/>
    <w:rsid w:val="002379F1"/>
    <w:rsid w:val="00286658"/>
    <w:rsid w:val="00291FFB"/>
    <w:rsid w:val="002D4855"/>
    <w:rsid w:val="002D7C60"/>
    <w:rsid w:val="00342FFA"/>
    <w:rsid w:val="0039242F"/>
    <w:rsid w:val="00405516"/>
    <w:rsid w:val="004214A7"/>
    <w:rsid w:val="00493331"/>
    <w:rsid w:val="004B31DE"/>
    <w:rsid w:val="004F547A"/>
    <w:rsid w:val="00502492"/>
    <w:rsid w:val="0050282B"/>
    <w:rsid w:val="00507065"/>
    <w:rsid w:val="00516854"/>
    <w:rsid w:val="00534712"/>
    <w:rsid w:val="005A7F66"/>
    <w:rsid w:val="00604A55"/>
    <w:rsid w:val="00606C33"/>
    <w:rsid w:val="00681BAF"/>
    <w:rsid w:val="00686F94"/>
    <w:rsid w:val="006A66F3"/>
    <w:rsid w:val="006B7885"/>
    <w:rsid w:val="006E1FCF"/>
    <w:rsid w:val="007259E6"/>
    <w:rsid w:val="007346AC"/>
    <w:rsid w:val="007D1AE9"/>
    <w:rsid w:val="007F53AA"/>
    <w:rsid w:val="0081726E"/>
    <w:rsid w:val="00825A94"/>
    <w:rsid w:val="008416BA"/>
    <w:rsid w:val="00886730"/>
    <w:rsid w:val="008A1B28"/>
    <w:rsid w:val="008A5978"/>
    <w:rsid w:val="008D3BF0"/>
    <w:rsid w:val="00913146"/>
    <w:rsid w:val="009508A5"/>
    <w:rsid w:val="00954973"/>
    <w:rsid w:val="009B4E42"/>
    <w:rsid w:val="009E74C0"/>
    <w:rsid w:val="00A124AD"/>
    <w:rsid w:val="00A361C7"/>
    <w:rsid w:val="00A42521"/>
    <w:rsid w:val="00A4409E"/>
    <w:rsid w:val="00A813CF"/>
    <w:rsid w:val="00AA6670"/>
    <w:rsid w:val="00AC5430"/>
    <w:rsid w:val="00AE48FD"/>
    <w:rsid w:val="00BD337F"/>
    <w:rsid w:val="00C17FAB"/>
    <w:rsid w:val="00C6612A"/>
    <w:rsid w:val="00CE29AE"/>
    <w:rsid w:val="00CE599C"/>
    <w:rsid w:val="00D6193E"/>
    <w:rsid w:val="00D65AE1"/>
    <w:rsid w:val="00D84BEB"/>
    <w:rsid w:val="00DA3B00"/>
    <w:rsid w:val="00DE0EDB"/>
    <w:rsid w:val="00E03313"/>
    <w:rsid w:val="00E30DF6"/>
    <w:rsid w:val="00E529A0"/>
    <w:rsid w:val="00EA2E5B"/>
    <w:rsid w:val="00EB6346"/>
    <w:rsid w:val="00EC760F"/>
    <w:rsid w:val="00F0239B"/>
    <w:rsid w:val="00F1191E"/>
    <w:rsid w:val="00F75708"/>
    <w:rsid w:val="00FD5F3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49CDF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table" w:styleId="TableGrid">
    <w:name w:val="Table Grid"/>
    <w:basedOn w:val="TableNormal"/>
    <w:uiPriority w:val="39"/>
    <w:rsid w:val="00D84B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EEIS">
    <w:name w:val="Body text EEIS"/>
    <w:basedOn w:val="Normal"/>
    <w:qFormat/>
    <w:rsid w:val="006E1FCF"/>
    <w:pPr>
      <w:spacing w:before="120" w:after="120" w:line="264" w:lineRule="auto"/>
      <w:ind w:left="567"/>
    </w:pPr>
    <w:rPr>
      <w:rFonts w:ascii="Arial" w:eastAsia="SimSun" w:hAnsi="Arial" w:cs="Arial"/>
      <w:sz w:val="20"/>
      <w:lang w:eastAsia="zh-CN"/>
    </w:rPr>
  </w:style>
  <w:style w:type="character" w:styleId="CommentReference">
    <w:name w:val="annotation reference"/>
    <w:basedOn w:val="DefaultParagraphFont"/>
    <w:uiPriority w:val="99"/>
    <w:semiHidden/>
    <w:unhideWhenUsed/>
    <w:rsid w:val="007259E6"/>
    <w:rPr>
      <w:sz w:val="16"/>
      <w:szCs w:val="16"/>
    </w:rPr>
  </w:style>
  <w:style w:type="paragraph" w:styleId="CommentText">
    <w:name w:val="annotation text"/>
    <w:basedOn w:val="Normal"/>
    <w:link w:val="CommentTextChar"/>
    <w:uiPriority w:val="99"/>
    <w:semiHidden/>
    <w:unhideWhenUsed/>
    <w:rsid w:val="007259E6"/>
    <w:rPr>
      <w:sz w:val="20"/>
    </w:rPr>
  </w:style>
  <w:style w:type="character" w:customStyle="1" w:styleId="CommentTextChar">
    <w:name w:val="Comment Text Char"/>
    <w:basedOn w:val="DefaultParagraphFont"/>
    <w:link w:val="CommentText"/>
    <w:uiPriority w:val="99"/>
    <w:semiHidden/>
    <w:rsid w:val="007259E6"/>
    <w:rPr>
      <w:lang w:eastAsia="en-US"/>
    </w:rPr>
  </w:style>
  <w:style w:type="paragraph" w:styleId="CommentSubject">
    <w:name w:val="annotation subject"/>
    <w:basedOn w:val="CommentText"/>
    <w:next w:val="CommentText"/>
    <w:link w:val="CommentSubjectChar"/>
    <w:uiPriority w:val="99"/>
    <w:semiHidden/>
    <w:unhideWhenUsed/>
    <w:rsid w:val="007259E6"/>
    <w:rPr>
      <w:b/>
      <w:bCs/>
    </w:rPr>
  </w:style>
  <w:style w:type="character" w:customStyle="1" w:styleId="CommentSubjectChar">
    <w:name w:val="Comment Subject Char"/>
    <w:basedOn w:val="CommentTextChar"/>
    <w:link w:val="CommentSubject"/>
    <w:uiPriority w:val="99"/>
    <w:semiHidden/>
    <w:rsid w:val="007259E6"/>
    <w:rPr>
      <w:b/>
      <w:bCs/>
      <w:lang w:eastAsia="en-US"/>
    </w:rPr>
  </w:style>
  <w:style w:type="paragraph" w:customStyle="1" w:styleId="Subdetailssecondindent">
    <w:name w:val="Subdetails second indent"/>
    <w:basedOn w:val="Normal"/>
    <w:qFormat/>
    <w:rsid w:val="007F53AA"/>
    <w:pPr>
      <w:numPr>
        <w:numId w:val="14"/>
      </w:numPr>
      <w:spacing w:before="120" w:after="120" w:line="264" w:lineRule="auto"/>
    </w:pPr>
    <w:rPr>
      <w:rFonts w:ascii="Arial" w:eastAsia="SimSun" w:hAnsi="Arial" w:cs="Arial"/>
      <w:sz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9192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1847</Words>
  <Characters>9360</Characters>
  <Application>Microsoft Office Word</Application>
  <DocSecurity>0</DocSecurity>
  <Lines>211</Lines>
  <Paragraphs>75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2022-08-03T02:42:00Z</dcterms:created>
  <dcterms:modified xsi:type="dcterms:W3CDTF">2022-08-03T02:42:00Z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A34373918</vt:lpwstr>
  </property>
  <property fmtid="{D5CDD505-2E9C-101B-9397-08002B2CF9AE}" pid="4" name="Objective-Title">
    <vt:lpwstr>EEIS Eligible Activities Determination 2022_ES</vt:lpwstr>
  </property>
  <property fmtid="{D5CDD505-2E9C-101B-9397-08002B2CF9AE}" pid="5" name="Objective-Comment">
    <vt:lpwstr/>
  </property>
  <property fmtid="{D5CDD505-2E9C-101B-9397-08002B2CF9AE}" pid="6" name="Objective-CreationStamp">
    <vt:filetime>2022-05-27T05:42:59Z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2022-07-31T13:02:46Z</vt:filetime>
  </property>
  <property fmtid="{D5CDD505-2E9C-101B-9397-08002B2CF9AE}" pid="10" name="Objective-ModificationStamp">
    <vt:filetime>2022-07-31T23:42:13Z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Directorate:DIVISION - Climate Change and Sustainability:BRANCH - EEIS:09. Programs and/or Projects:2022:2022 Legislative updates:Eligible Activities Determination:</vt:lpwstr>
  </property>
  <property fmtid="{D5CDD505-2E9C-101B-9397-08002B2CF9AE}" pid="13" name="Objective-Parent">
    <vt:lpwstr>Eligible Activities Determination</vt:lpwstr>
  </property>
  <property fmtid="{D5CDD505-2E9C-101B-9397-08002B2CF9AE}" pid="14" name="Objective-State">
    <vt:lpwstr>Published</vt:lpwstr>
  </property>
  <property fmtid="{D5CDD505-2E9C-101B-9397-08002B2CF9AE}" pid="15" name="Objective-Version">
    <vt:lpwstr>13.0</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