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D83D0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551286C" w14:textId="6A163FB4" w:rsidR="00F73401" w:rsidRDefault="00F73401" w:rsidP="00F73401">
      <w:pPr>
        <w:pStyle w:val="Billname"/>
        <w:spacing w:before="700"/>
      </w:pPr>
      <w:r>
        <w:t xml:space="preserve">Plastic Reduction (Single-use Plastic </w:t>
      </w:r>
      <w:r w:rsidR="00913C09">
        <w:t xml:space="preserve">Products </w:t>
      </w:r>
      <w:r>
        <w:t xml:space="preserve">— Special Circumstances) Exemption 2022 </w:t>
      </w:r>
      <w:r w:rsidRPr="002C303E">
        <w:t xml:space="preserve">(No </w:t>
      </w:r>
      <w:r w:rsidR="00913C09">
        <w:t>2</w:t>
      </w:r>
      <w:r w:rsidRPr="002C303E">
        <w:t>)</w:t>
      </w:r>
    </w:p>
    <w:p w14:paraId="5B26C7D8" w14:textId="77C4AC9B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F73401">
        <w:rPr>
          <w:rFonts w:ascii="Arial" w:hAnsi="Arial" w:cs="Arial"/>
          <w:b/>
          <w:bCs/>
        </w:rPr>
        <w:t>2022</w:t>
      </w:r>
      <w:r w:rsidR="00C17FAB">
        <w:rPr>
          <w:rFonts w:ascii="Arial" w:hAnsi="Arial" w:cs="Arial"/>
          <w:b/>
          <w:bCs/>
        </w:rPr>
        <w:t>–</w:t>
      </w:r>
      <w:r w:rsidR="00345FE9">
        <w:rPr>
          <w:rFonts w:ascii="Arial" w:hAnsi="Arial" w:cs="Arial"/>
          <w:b/>
          <w:bCs/>
        </w:rPr>
        <w:t>183</w:t>
      </w:r>
    </w:p>
    <w:p w14:paraId="79CD8541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0655F009" w14:textId="77777777" w:rsidR="00F73401" w:rsidRDefault="00F73401" w:rsidP="00F73401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Plastic Reduction Act 2021, section 17 (Minister may exempt person or plastic product)</w:t>
      </w:r>
    </w:p>
    <w:p w14:paraId="6839BA0E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9A3A96B" w14:textId="77777777" w:rsidR="00C17FAB" w:rsidRDefault="00C17FAB">
      <w:pPr>
        <w:pStyle w:val="N-line3"/>
        <w:pBdr>
          <w:bottom w:val="none" w:sz="0" w:space="0" w:color="auto"/>
        </w:pBdr>
      </w:pPr>
    </w:p>
    <w:p w14:paraId="66A72AC9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CDEEE67" w14:textId="0F88DF1F" w:rsidR="003101A6" w:rsidRPr="003101A6" w:rsidRDefault="003101A6" w:rsidP="003101A6">
      <w:pPr>
        <w:rPr>
          <w:b/>
          <w:bCs/>
        </w:rPr>
      </w:pPr>
      <w:r w:rsidRPr="003101A6">
        <w:rPr>
          <w:b/>
          <w:bCs/>
        </w:rPr>
        <w:t>Overview</w:t>
      </w:r>
    </w:p>
    <w:p w14:paraId="45B4E77A" w14:textId="77777777" w:rsidR="00E00B81" w:rsidRDefault="00E00B81" w:rsidP="00E00B81"/>
    <w:p w14:paraId="2A033BE9" w14:textId="77777777" w:rsidR="00E00B81" w:rsidRDefault="00E00B81" w:rsidP="00E00B81">
      <w:pPr>
        <w:rPr>
          <w:color w:val="000000"/>
        </w:rPr>
      </w:pPr>
      <w:r>
        <w:t xml:space="preserve">Section 1(a)(i) of the </w:t>
      </w:r>
      <w:r w:rsidRPr="00AC53C2">
        <w:rPr>
          <w:i/>
          <w:iCs/>
        </w:rPr>
        <w:t>Plastic Reduction Act 2021</w:t>
      </w:r>
      <w:r>
        <w:rPr>
          <w:i/>
          <w:iCs/>
        </w:rPr>
        <w:t xml:space="preserve"> </w:t>
      </w:r>
      <w:r>
        <w:t xml:space="preserve">(the Act) prescribes </w:t>
      </w:r>
      <w:r w:rsidRPr="00913C09">
        <w:rPr>
          <w:i/>
          <w:iCs/>
          <w:color w:val="000000"/>
          <w:shd w:val="clear" w:color="auto" w:fill="FFFFFF"/>
        </w:rPr>
        <w:t>single-use plastic cutlery</w:t>
      </w:r>
      <w:r>
        <w:rPr>
          <w:color w:val="000000"/>
          <w:shd w:val="clear" w:color="auto" w:fill="FFFFFF"/>
        </w:rPr>
        <w:t xml:space="preserve"> as a prohibited plastic product, and under Section 10 it is an offence to supply these products. </w:t>
      </w:r>
      <w:r w:rsidR="005D1BF8">
        <w:rPr>
          <w:color w:val="000000"/>
        </w:rPr>
        <w:t>Section 17 of</w:t>
      </w:r>
      <w:r>
        <w:rPr>
          <w:color w:val="000000"/>
        </w:rPr>
        <w:t xml:space="preserve"> </w:t>
      </w:r>
      <w:r w:rsidR="005D1BF8">
        <w:rPr>
          <w:color w:val="000000"/>
        </w:rPr>
        <w:t>the Act</w:t>
      </w:r>
      <w:r>
        <w:rPr>
          <w:color w:val="000000"/>
        </w:rPr>
        <w:t xml:space="preserve"> </w:t>
      </w:r>
      <w:r w:rsidR="005D1BF8">
        <w:rPr>
          <w:color w:val="000000"/>
        </w:rPr>
        <w:t xml:space="preserve">provides that the Minister may exempt a person or a plastic product from provisions of the Act. </w:t>
      </w:r>
    </w:p>
    <w:p w14:paraId="7218025A" w14:textId="77777777" w:rsidR="00E00B81" w:rsidRDefault="00E00B81" w:rsidP="00E00B81">
      <w:pPr>
        <w:rPr>
          <w:color w:val="000000"/>
        </w:rPr>
      </w:pPr>
    </w:p>
    <w:p w14:paraId="2BCE24A9" w14:textId="01DF5AFE" w:rsidR="005D1BF8" w:rsidRPr="00E00B81" w:rsidRDefault="005D1BF8" w:rsidP="00E00B81">
      <w:r>
        <w:rPr>
          <w:color w:val="000000"/>
        </w:rPr>
        <w:t>The Minister may make an exemption on application or on the Minister’s own initiative</w:t>
      </w:r>
      <w:r w:rsidR="00E00B81">
        <w:rPr>
          <w:color w:val="000000"/>
        </w:rPr>
        <w:t>,</w:t>
      </w:r>
      <w:r>
        <w:rPr>
          <w:color w:val="000000"/>
        </w:rPr>
        <w:t xml:space="preserve"> only if satisfied that:</w:t>
      </w:r>
    </w:p>
    <w:p w14:paraId="1E612F7A" w14:textId="77777777" w:rsidR="005D1BF8" w:rsidRDefault="005D1BF8" w:rsidP="005D1BF8">
      <w:pPr>
        <w:pStyle w:val="listparagraph"/>
        <w:numPr>
          <w:ilvl w:val="0"/>
          <w:numId w:val="10"/>
        </w:numPr>
        <w:shd w:val="clear" w:color="auto" w:fill="FFFFFF"/>
        <w:spacing w:before="140" w:beforeAutospacing="0" w:after="0" w:afterAutospacing="0"/>
        <w:ind w:left="1290"/>
        <w:rPr>
          <w:color w:val="000000"/>
        </w:rPr>
      </w:pPr>
      <w:r>
        <w:rPr>
          <w:color w:val="000000"/>
        </w:rPr>
        <w:t>it is not practical or in the public interest for the person to comply with the provision; or</w:t>
      </w:r>
    </w:p>
    <w:p w14:paraId="11672B1F" w14:textId="77777777" w:rsidR="005D1BF8" w:rsidRDefault="005D1BF8" w:rsidP="005D1BF8">
      <w:pPr>
        <w:pStyle w:val="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290"/>
        <w:rPr>
          <w:color w:val="000000"/>
        </w:rPr>
      </w:pPr>
      <w:r>
        <w:rPr>
          <w:color w:val="000000"/>
        </w:rPr>
        <w:t>it is not consistent with the person’s human rights for the person to comply with the provision; and</w:t>
      </w:r>
    </w:p>
    <w:p w14:paraId="3DEE08E6" w14:textId="77777777" w:rsidR="005D1BF8" w:rsidRDefault="005D1BF8" w:rsidP="005D1BF8">
      <w:pPr>
        <w:pStyle w:val="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290"/>
        <w:rPr>
          <w:color w:val="000000"/>
        </w:rPr>
      </w:pPr>
      <w:r>
        <w:rPr>
          <w:color w:val="000000"/>
        </w:rPr>
        <w:t>non-compliance will not have any significant adverse effect on public health, property or the environment.</w:t>
      </w:r>
    </w:p>
    <w:p w14:paraId="0FF47FF5" w14:textId="77777777" w:rsidR="005D1BF8" w:rsidRDefault="005D1BF8" w:rsidP="002C303E"/>
    <w:p w14:paraId="3406D364" w14:textId="5E255826" w:rsidR="00011210" w:rsidRDefault="00011210" w:rsidP="00011210">
      <w:pPr>
        <w:pStyle w:val="NormalWeb"/>
        <w:shd w:val="clear" w:color="auto" w:fill="FFFFFF"/>
        <w:spacing w:before="140" w:beforeAutospacing="0" w:after="0" w:afterAutospacing="0"/>
        <w:rPr>
          <w:color w:val="000000"/>
        </w:rPr>
      </w:pPr>
      <w:r>
        <w:rPr>
          <w:color w:val="000000"/>
        </w:rPr>
        <w:t>This instrument acknowledges that alternatives to single-use plastic cutlery such as wood or bamboo can be more readily weaponised. In certain settings, this may impact on the right to life under the </w:t>
      </w:r>
      <w:r w:rsidRPr="00B631FA">
        <w:rPr>
          <w:i/>
          <w:iCs/>
          <w:color w:val="000000"/>
        </w:rPr>
        <w:t>Human Rights Act</w:t>
      </w:r>
      <w:r w:rsidR="00B631FA">
        <w:rPr>
          <w:i/>
          <w:iCs/>
          <w:color w:val="000000"/>
        </w:rPr>
        <w:t xml:space="preserve"> 2004</w:t>
      </w:r>
      <w:r>
        <w:rPr>
          <w:color w:val="000000"/>
        </w:rPr>
        <w:t>.</w:t>
      </w:r>
    </w:p>
    <w:p w14:paraId="6F7302BF" w14:textId="77777777" w:rsidR="006C1EE1" w:rsidRDefault="006C1EE1" w:rsidP="003101A6"/>
    <w:p w14:paraId="5A186CBD" w14:textId="0DA3847B" w:rsidR="00005EF9" w:rsidRDefault="00005EF9" w:rsidP="003101A6">
      <w:r>
        <w:t xml:space="preserve">This instrument provides an exemption to allow single-use plastic cutlery to be supplied in certain settings where the use of </w:t>
      </w:r>
      <w:r w:rsidR="005D1BF8">
        <w:t>alternatives</w:t>
      </w:r>
      <w:r>
        <w:t xml:space="preserve"> may present </w:t>
      </w:r>
      <w:r w:rsidR="00EF02C5">
        <w:t xml:space="preserve">a risk to </w:t>
      </w:r>
      <w:r>
        <w:t>safety.</w:t>
      </w:r>
      <w:r w:rsidR="00EF02C5">
        <w:t xml:space="preserve"> </w:t>
      </w:r>
      <w:r w:rsidR="007D5BB5" w:rsidRPr="00954861">
        <w:t>Specifically, it exempts</w:t>
      </w:r>
      <w:r w:rsidR="00EF02C5" w:rsidRPr="00954861">
        <w:t xml:space="preserve"> </w:t>
      </w:r>
      <w:r w:rsidR="004D56FD" w:rsidRPr="00954861">
        <w:t>persons employed or otherwise engaged</w:t>
      </w:r>
      <w:r w:rsidR="00954861" w:rsidRPr="00954861">
        <w:t xml:space="preserve"> at </w:t>
      </w:r>
      <w:r w:rsidR="00EF02C5" w:rsidRPr="00225208">
        <w:t>detainee facing settings and</w:t>
      </w:r>
      <w:r w:rsidR="00954861" w:rsidRPr="00225208">
        <w:t xml:space="preserve"> </w:t>
      </w:r>
      <w:r w:rsidR="00EF02C5" w:rsidRPr="00225208">
        <w:t>mental health service settings</w:t>
      </w:r>
      <w:r w:rsidR="00954861">
        <w:t xml:space="preserve"> </w:t>
      </w:r>
      <w:r w:rsidR="007D5BB5">
        <w:t>from</w:t>
      </w:r>
      <w:r w:rsidR="00954861">
        <w:t xml:space="preserve"> the prohibition on supplying</w:t>
      </w:r>
      <w:r w:rsidR="007D5BB5">
        <w:t xml:space="preserve"> single-use plastic cutlery</w:t>
      </w:r>
      <w:r w:rsidR="00DC1D13">
        <w:t>.</w:t>
      </w:r>
      <w:r w:rsidR="00AB756F">
        <w:t xml:space="preserve"> </w:t>
      </w:r>
      <w:r>
        <w:t>The effect of this instrument is to continue an existing exemption</w:t>
      </w:r>
      <w:r w:rsidR="00913C09">
        <w:t xml:space="preserve"> (see the </w:t>
      </w:r>
      <w:r w:rsidR="00913C09" w:rsidRPr="00913C09">
        <w:rPr>
          <w:i/>
          <w:iCs/>
        </w:rPr>
        <w:t>Plastic Reduction (Single-use Plastic Cutlery – Special Circumstances) Exemption 2021 (No 1)</w:t>
      </w:r>
      <w:r>
        <w:t xml:space="preserve">, which </w:t>
      </w:r>
      <w:r w:rsidR="00B631FA">
        <w:t xml:space="preserve">expired </w:t>
      </w:r>
      <w:r>
        <w:t>on 30 June 2022</w:t>
      </w:r>
      <w:r w:rsidR="00913C09">
        <w:t>)</w:t>
      </w:r>
      <w:r>
        <w:t xml:space="preserve">. </w:t>
      </w:r>
      <w:r w:rsidR="00B61FF0">
        <w:t>Th</w:t>
      </w:r>
      <w:r w:rsidR="00EB46BB">
        <w:t>e new</w:t>
      </w:r>
      <w:r w:rsidR="00B61FF0">
        <w:t xml:space="preserve"> instrument </w:t>
      </w:r>
      <w:r w:rsidR="005503F7">
        <w:t xml:space="preserve">does not explicitly refer to some of the settings referred to in the previous instrument. This </w:t>
      </w:r>
      <w:r w:rsidR="005503F7">
        <w:lastRenderedPageBreak/>
        <w:t xml:space="preserve">is to reflect the fact that single-use plastic cutlery is no longer routinely used in these settings. </w:t>
      </w:r>
    </w:p>
    <w:p w14:paraId="5006306B" w14:textId="77777777" w:rsidR="00005EF9" w:rsidRDefault="00005EF9" w:rsidP="003101A6"/>
    <w:p w14:paraId="0645DC1F" w14:textId="0BE8AE08" w:rsidR="00AB756F" w:rsidRDefault="00AB756F" w:rsidP="003101A6">
      <w:r>
        <w:t xml:space="preserve">It is not practicable for the </w:t>
      </w:r>
      <w:r w:rsidR="00EF02C5">
        <w:t>p</w:t>
      </w:r>
      <w:r>
        <w:t>erson</w:t>
      </w:r>
      <w:r w:rsidR="00EF02C5">
        <w:t>s exempted</w:t>
      </w:r>
      <w:r>
        <w:t xml:space="preserve"> to comply with the provision because</w:t>
      </w:r>
      <w:r w:rsidR="00954861">
        <w:t xml:space="preserve"> </w:t>
      </w:r>
      <w:r w:rsidR="001B15C7">
        <w:t>the alternative</w:t>
      </w:r>
      <w:r w:rsidR="00954861">
        <w:t>s to single-use plastic cutlery</w:t>
      </w:r>
      <w:r w:rsidR="001B15C7">
        <w:t xml:space="preserve"> have different </w:t>
      </w:r>
      <w:r w:rsidR="00523334">
        <w:t>physical characteristics,</w:t>
      </w:r>
      <w:r w:rsidR="001B15C7">
        <w:t xml:space="preserve"> which </w:t>
      </w:r>
      <w:r w:rsidR="00523334">
        <w:t xml:space="preserve">means they </w:t>
      </w:r>
      <w:r w:rsidR="001B15C7">
        <w:t xml:space="preserve">can present a risk to </w:t>
      </w:r>
      <w:r w:rsidR="001B15C7" w:rsidRPr="00954861">
        <w:t>safety</w:t>
      </w:r>
      <w:r w:rsidR="00954861" w:rsidRPr="00954861">
        <w:t>.</w:t>
      </w:r>
      <w:r w:rsidR="00954861">
        <w:t xml:space="preserve"> </w:t>
      </w:r>
      <w:r w:rsidR="004D56FD">
        <w:t xml:space="preserve"> </w:t>
      </w:r>
    </w:p>
    <w:p w14:paraId="2BFDA840" w14:textId="3DBC48DB" w:rsidR="00371087" w:rsidRDefault="00371087" w:rsidP="003101A6"/>
    <w:p w14:paraId="0A813B72" w14:textId="70B264E3" w:rsidR="001B15C7" w:rsidRDefault="001B15C7" w:rsidP="003101A6">
      <w:r>
        <w:t xml:space="preserve">Noncompliance with the provision will not have an </w:t>
      </w:r>
      <w:r w:rsidR="005D1BF8">
        <w:t xml:space="preserve">adverse </w:t>
      </w:r>
      <w:r>
        <w:t>effect on property. It will</w:t>
      </w:r>
      <w:r w:rsidR="00FF1DC5">
        <w:t xml:space="preserve"> not have an adverse effect on public healt</w:t>
      </w:r>
      <w:r w:rsidR="005D1BF8">
        <w:t xml:space="preserve">h </w:t>
      </w:r>
      <w:r w:rsidR="00E53850">
        <w:t xml:space="preserve">and </w:t>
      </w:r>
      <w:r w:rsidR="00FF1DC5">
        <w:t>will have a positive effect on health as it exists to prevent harm t</w:t>
      </w:r>
      <w:r>
        <w:t xml:space="preserve">hat could arise were the exemption not in place. </w:t>
      </w:r>
      <w:r w:rsidR="004D56FD">
        <w:t xml:space="preserve">Allowing single-use plastic cutlery to be supplied in </w:t>
      </w:r>
      <w:r w:rsidR="00523334">
        <w:t>certain</w:t>
      </w:r>
      <w:r w:rsidR="004D56FD">
        <w:t xml:space="preserve"> situations will not have a significant effect on the environment because the number of </w:t>
      </w:r>
      <w:r w:rsidR="00954861">
        <w:t>plastic cutlery items</w:t>
      </w:r>
      <w:r w:rsidR="004D56FD">
        <w:t xml:space="preserve"> supplied </w:t>
      </w:r>
      <w:r w:rsidR="00523334">
        <w:t>in these situations</w:t>
      </w:r>
      <w:r w:rsidR="00954861">
        <w:t xml:space="preserve"> is</w:t>
      </w:r>
      <w:r w:rsidR="004D56FD">
        <w:t xml:space="preserve"> small compared to the overall quantity of plastic in the ACT.</w:t>
      </w:r>
    </w:p>
    <w:p w14:paraId="06D55587" w14:textId="413EC63A" w:rsidR="00E00B81" w:rsidRDefault="00E00B81" w:rsidP="003101A6"/>
    <w:p w14:paraId="20478307" w14:textId="2FDD8EB8" w:rsidR="00E00B81" w:rsidRDefault="00E00B81" w:rsidP="00E00B81">
      <w:r>
        <w:t xml:space="preserve">The instrument is taken to have commenced on 1 July 2022. </w:t>
      </w:r>
      <w:r w:rsidR="00B61FF0">
        <w:t>Part 17(5) of the Act provides that a</w:t>
      </w:r>
      <w:r w:rsidR="00B61FF0">
        <w:rPr>
          <w:color w:val="000000"/>
          <w:shd w:val="clear" w:color="auto" w:fill="FFFFFF"/>
        </w:rPr>
        <w:t xml:space="preserve">n exemption may commence on a day earlier than its notification day. </w:t>
      </w:r>
      <w:r>
        <w:t>The exemption provisions are not prejudicial as they do not operate to the disadvantage of a person by adversely affecting the person’s rights or imposing liabilities on the person.</w:t>
      </w:r>
      <w:r w:rsidR="00B61FF0">
        <w:t xml:space="preserve"> They operate to the advantage of persons because they exempt certain persons from certain offence provisions. </w:t>
      </w:r>
    </w:p>
    <w:p w14:paraId="7CC93A5C" w14:textId="77777777" w:rsidR="00011210" w:rsidRDefault="00011210" w:rsidP="003101A6"/>
    <w:p w14:paraId="605FABB8" w14:textId="25C349C1" w:rsidR="00530524" w:rsidRDefault="00530524" w:rsidP="003101A6">
      <w:r>
        <w:t>Th</w:t>
      </w:r>
      <w:r w:rsidR="00E00B81">
        <w:t>e</w:t>
      </w:r>
      <w:r>
        <w:t xml:space="preserve"> instrument does not </w:t>
      </w:r>
      <w:r w:rsidR="00CB19DC">
        <w:t>include an expiry</w:t>
      </w:r>
      <w:r>
        <w:t xml:space="preserve"> because </w:t>
      </w:r>
      <w:r w:rsidR="00E00B81">
        <w:t xml:space="preserve">no suitable alternative has yet been identified, </w:t>
      </w:r>
      <w:r>
        <w:t>and it is not anticipated that this</w:t>
      </w:r>
      <w:r w:rsidR="00CB19DC">
        <w:t xml:space="preserve"> will occur in the short term.</w:t>
      </w:r>
      <w:r>
        <w:t xml:space="preserve">  </w:t>
      </w:r>
    </w:p>
    <w:p w14:paraId="5F21DA1A" w14:textId="77777777" w:rsidR="00DD26B7" w:rsidRDefault="00DD26B7" w:rsidP="003101A6"/>
    <w:p w14:paraId="0A14B05F" w14:textId="188EA21A" w:rsidR="00954861" w:rsidRPr="00954861" w:rsidRDefault="00954861" w:rsidP="003101A6">
      <w:pPr>
        <w:rPr>
          <w:b/>
          <w:bCs/>
        </w:rPr>
      </w:pPr>
      <w:r>
        <w:rPr>
          <w:b/>
          <w:bCs/>
        </w:rPr>
        <w:t>Section</w:t>
      </w:r>
      <w:r w:rsidRPr="00954861">
        <w:rPr>
          <w:b/>
          <w:bCs/>
        </w:rPr>
        <w:t xml:space="preserve"> notes</w:t>
      </w:r>
    </w:p>
    <w:p w14:paraId="71BC37B4" w14:textId="5CB1E9BA" w:rsidR="00954861" w:rsidRDefault="00954861" w:rsidP="003101A6"/>
    <w:p w14:paraId="30606FCB" w14:textId="4FE92E06" w:rsidR="00954861" w:rsidRPr="00530524" w:rsidRDefault="00954861" w:rsidP="003101A6">
      <w:pPr>
        <w:rPr>
          <w:b/>
          <w:bCs/>
        </w:rPr>
      </w:pPr>
      <w:bookmarkStart w:id="1" w:name="_Hlk98931847"/>
      <w:r w:rsidRPr="00530524">
        <w:rPr>
          <w:b/>
          <w:bCs/>
        </w:rPr>
        <w:t xml:space="preserve">1 </w:t>
      </w:r>
      <w:r w:rsidR="00530524">
        <w:rPr>
          <w:b/>
          <w:bCs/>
        </w:rPr>
        <w:tab/>
      </w:r>
      <w:r w:rsidRPr="00530524">
        <w:rPr>
          <w:b/>
          <w:bCs/>
        </w:rPr>
        <w:t>Name of instrument</w:t>
      </w:r>
    </w:p>
    <w:p w14:paraId="3A427D57" w14:textId="459F6611" w:rsidR="00954861" w:rsidRDefault="00954861" w:rsidP="003101A6">
      <w:r>
        <w:t>This section names the instrument</w:t>
      </w:r>
      <w:r w:rsidR="00DD26B7">
        <w:t xml:space="preserve">. </w:t>
      </w:r>
    </w:p>
    <w:p w14:paraId="6B15593F" w14:textId="2D0DB65B" w:rsidR="00954861" w:rsidRDefault="00954861" w:rsidP="003101A6"/>
    <w:p w14:paraId="02198D44" w14:textId="3F978CCC" w:rsidR="00954861" w:rsidRPr="00530524" w:rsidRDefault="00954861" w:rsidP="003101A6">
      <w:pPr>
        <w:rPr>
          <w:b/>
          <w:bCs/>
        </w:rPr>
      </w:pPr>
      <w:r w:rsidRPr="00530524">
        <w:rPr>
          <w:b/>
          <w:bCs/>
        </w:rPr>
        <w:t xml:space="preserve">2 </w:t>
      </w:r>
      <w:r w:rsidR="00530524">
        <w:rPr>
          <w:b/>
          <w:bCs/>
        </w:rPr>
        <w:tab/>
      </w:r>
      <w:r w:rsidRPr="00530524">
        <w:rPr>
          <w:b/>
          <w:bCs/>
        </w:rPr>
        <w:t>Commencement</w:t>
      </w:r>
    </w:p>
    <w:p w14:paraId="1AACC18C" w14:textId="3D0CD1E8" w:rsidR="00954861" w:rsidRDefault="00954861" w:rsidP="003101A6">
      <w:r>
        <w:t xml:space="preserve">This section provides that the instrument </w:t>
      </w:r>
      <w:r w:rsidR="00E00B81">
        <w:t xml:space="preserve">is taken to have </w:t>
      </w:r>
      <w:r>
        <w:t>commence</w:t>
      </w:r>
      <w:r w:rsidR="00E00B81">
        <w:t>d</w:t>
      </w:r>
      <w:r>
        <w:t xml:space="preserve"> on 1 July 2022. </w:t>
      </w:r>
    </w:p>
    <w:p w14:paraId="3B0120CA" w14:textId="3553CB5C" w:rsidR="00954861" w:rsidRDefault="00954861" w:rsidP="003101A6"/>
    <w:p w14:paraId="6AAD6A6D" w14:textId="3401482D" w:rsidR="00954861" w:rsidRPr="00530524" w:rsidRDefault="00954861" w:rsidP="003101A6">
      <w:pPr>
        <w:rPr>
          <w:b/>
          <w:bCs/>
        </w:rPr>
      </w:pPr>
      <w:r w:rsidRPr="00530524">
        <w:rPr>
          <w:b/>
          <w:bCs/>
        </w:rPr>
        <w:t xml:space="preserve">3 </w:t>
      </w:r>
      <w:r w:rsidR="00530524">
        <w:rPr>
          <w:b/>
          <w:bCs/>
        </w:rPr>
        <w:tab/>
      </w:r>
      <w:r w:rsidR="00530524" w:rsidRPr="00530524">
        <w:rPr>
          <w:b/>
          <w:bCs/>
        </w:rPr>
        <w:t>Exemption</w:t>
      </w:r>
    </w:p>
    <w:bookmarkEnd w:id="1"/>
    <w:p w14:paraId="479E5C6D" w14:textId="5DE69315" w:rsidR="00B6497D" w:rsidRDefault="00E91967" w:rsidP="003101A6">
      <w:r>
        <w:t xml:space="preserve">This section </w:t>
      </w:r>
      <w:r w:rsidR="00530524">
        <w:t xml:space="preserve">provides that </w:t>
      </w:r>
      <w:r w:rsidR="00DD26B7">
        <w:t xml:space="preserve">part 3 of the Act does not apply to </w:t>
      </w:r>
      <w:r w:rsidR="00530524">
        <w:t>a person who works in a relevant organisation and supplies single</w:t>
      </w:r>
      <w:r w:rsidR="00DD26B7">
        <w:t>-</w:t>
      </w:r>
      <w:r w:rsidR="00530524">
        <w:t>use cutlery in listed circumstances</w:t>
      </w:r>
      <w:bookmarkStart w:id="2" w:name="_Hlk99007114"/>
      <w:r w:rsidR="00DD26B7">
        <w:t>.</w:t>
      </w:r>
      <w:r w:rsidR="00CB19DC">
        <w:t xml:space="preserve"> </w:t>
      </w:r>
      <w:r w:rsidR="00DD26B7">
        <w:t xml:space="preserve">Part 3 of the Act contains the offence of </w:t>
      </w:r>
      <w:r w:rsidR="00CB19DC">
        <w:t>supply of prohibited plastic products.</w:t>
      </w:r>
      <w:bookmarkEnd w:id="2"/>
      <w:r w:rsidR="00530524">
        <w:t xml:space="preserve"> The organisations and circumstances listed are</w:t>
      </w:r>
      <w:r w:rsidR="00BC7498">
        <w:t xml:space="preserve"> detainee or mental health service settings</w:t>
      </w:r>
      <w:r w:rsidR="00CB19DC">
        <w:t>.</w:t>
      </w:r>
      <w:r w:rsidR="00B6497D">
        <w:t xml:space="preserve"> </w:t>
      </w:r>
      <w:r w:rsidR="00530524">
        <w:t>This has the effect that single-use plastic cutlery can be used in</w:t>
      </w:r>
      <w:r w:rsidR="00DD26B7">
        <w:t xml:space="preserve"> the specified circumstances. </w:t>
      </w:r>
      <w:r w:rsidR="00B6497D">
        <w:t xml:space="preserve">This section also states that the Minister is satisfied of </w:t>
      </w:r>
      <w:r w:rsidR="00523334">
        <w:t>relevant criteria</w:t>
      </w:r>
      <w:r w:rsidR="00B6497D">
        <w:t xml:space="preserve">. This is to remove doubt that these requirements have been met. </w:t>
      </w:r>
    </w:p>
    <w:p w14:paraId="4FD83C2A" w14:textId="77777777" w:rsidR="00530524" w:rsidRDefault="00530524" w:rsidP="003101A6"/>
    <w:sectPr w:rsidR="00530524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51DD1" w14:textId="77777777" w:rsidR="008656A0" w:rsidRDefault="008656A0" w:rsidP="00C17FAB">
      <w:r>
        <w:separator/>
      </w:r>
    </w:p>
  </w:endnote>
  <w:endnote w:type="continuationSeparator" w:id="0">
    <w:p w14:paraId="1CB5A284" w14:textId="77777777" w:rsidR="008656A0" w:rsidRDefault="008656A0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7451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A736C" w14:textId="60470ABB" w:rsidR="00DA3B00" w:rsidRPr="00B52A53" w:rsidRDefault="00B52A53" w:rsidP="00B52A53">
    <w:pPr>
      <w:pStyle w:val="Footer"/>
      <w:jc w:val="center"/>
      <w:rPr>
        <w:rFonts w:cs="Arial"/>
        <w:sz w:val="14"/>
      </w:rPr>
    </w:pPr>
    <w:r w:rsidRPr="00B52A5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0E54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AB7A3" w14:textId="77777777" w:rsidR="008656A0" w:rsidRDefault="008656A0" w:rsidP="00C17FAB">
      <w:r>
        <w:separator/>
      </w:r>
    </w:p>
  </w:footnote>
  <w:footnote w:type="continuationSeparator" w:id="0">
    <w:p w14:paraId="134CD6A0" w14:textId="77777777" w:rsidR="008656A0" w:rsidRDefault="008656A0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5421D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9F79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97280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EE07A3"/>
    <w:multiLevelType w:val="multilevel"/>
    <w:tmpl w:val="5076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5EF9"/>
    <w:rsid w:val="00011210"/>
    <w:rsid w:val="000A7C1F"/>
    <w:rsid w:val="000C2527"/>
    <w:rsid w:val="001B15C7"/>
    <w:rsid w:val="001F216F"/>
    <w:rsid w:val="00225208"/>
    <w:rsid w:val="002B5D9D"/>
    <w:rsid w:val="002C303E"/>
    <w:rsid w:val="002D7C60"/>
    <w:rsid w:val="003101A6"/>
    <w:rsid w:val="00345FE9"/>
    <w:rsid w:val="00371087"/>
    <w:rsid w:val="004034A3"/>
    <w:rsid w:val="004D56FD"/>
    <w:rsid w:val="00523334"/>
    <w:rsid w:val="00530524"/>
    <w:rsid w:val="005348B0"/>
    <w:rsid w:val="005503F7"/>
    <w:rsid w:val="005A5F4E"/>
    <w:rsid w:val="005D1BF8"/>
    <w:rsid w:val="006C1EE1"/>
    <w:rsid w:val="006E3C83"/>
    <w:rsid w:val="00704A32"/>
    <w:rsid w:val="007346AC"/>
    <w:rsid w:val="007D5BB5"/>
    <w:rsid w:val="008656A0"/>
    <w:rsid w:val="008C793C"/>
    <w:rsid w:val="00913C09"/>
    <w:rsid w:val="009508A5"/>
    <w:rsid w:val="00954861"/>
    <w:rsid w:val="00A045D8"/>
    <w:rsid w:val="00A23F6F"/>
    <w:rsid w:val="00AB756F"/>
    <w:rsid w:val="00B52A53"/>
    <w:rsid w:val="00B61FF0"/>
    <w:rsid w:val="00B631FA"/>
    <w:rsid w:val="00B6497D"/>
    <w:rsid w:val="00BC5307"/>
    <w:rsid w:val="00BC7498"/>
    <w:rsid w:val="00C17FAB"/>
    <w:rsid w:val="00C54D16"/>
    <w:rsid w:val="00C850E7"/>
    <w:rsid w:val="00CB19DC"/>
    <w:rsid w:val="00CE599C"/>
    <w:rsid w:val="00DA3B00"/>
    <w:rsid w:val="00DB275E"/>
    <w:rsid w:val="00DC1D13"/>
    <w:rsid w:val="00DD26B7"/>
    <w:rsid w:val="00DE687D"/>
    <w:rsid w:val="00E00B81"/>
    <w:rsid w:val="00E460CD"/>
    <w:rsid w:val="00E53850"/>
    <w:rsid w:val="00E91967"/>
    <w:rsid w:val="00EB46BB"/>
    <w:rsid w:val="00EF02C5"/>
    <w:rsid w:val="00F11737"/>
    <w:rsid w:val="00F3719C"/>
    <w:rsid w:val="00F40437"/>
    <w:rsid w:val="00F45D41"/>
    <w:rsid w:val="00F73401"/>
    <w:rsid w:val="00FD7186"/>
    <w:rsid w:val="00FD75CE"/>
    <w:rsid w:val="00FF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5B682B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styleId="UnresolvedMention">
    <w:name w:val="Unresolved Mention"/>
    <w:basedOn w:val="DefaultParagraphFont"/>
    <w:uiPriority w:val="99"/>
    <w:semiHidden/>
    <w:unhideWhenUsed/>
    <w:rsid w:val="00913C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D1BF8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listparagraph">
    <w:name w:val="listparagraph"/>
    <w:basedOn w:val="Normal"/>
    <w:rsid w:val="005D1BF8"/>
    <w:pPr>
      <w:spacing w:before="100" w:beforeAutospacing="1" w:after="100" w:afterAutospacing="1"/>
    </w:pPr>
    <w:rPr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50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3F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3F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3F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3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3472</Characters>
  <Application>Microsoft Office Word</Application>
  <DocSecurity>0</DocSecurity>
  <Lines>78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2022-08-04T05:31:00Z</dcterms:created>
  <dcterms:modified xsi:type="dcterms:W3CDTF">2022-08-04T05:31:00Z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A33295112</vt:lpwstr>
  </property>
  <property fmtid="{D5CDD505-2E9C-101B-9397-08002B2CF9AE}" pid="4" name="Objective-Title">
    <vt:lpwstr>Attachment B - Explanatory Statement - cutlery special circumstances exemption</vt:lpwstr>
  </property>
  <property fmtid="{D5CDD505-2E9C-101B-9397-08002B2CF9AE}" pid="5" name="Objective-Comment">
    <vt:lpwstr/>
  </property>
  <property fmtid="{D5CDD505-2E9C-101B-9397-08002B2CF9AE}" pid="6" name="Objective-CreationStamp">
    <vt:filetime>2022-03-23T23:21:45Z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2022-07-18T01:56:29Z</vt:filetime>
  </property>
  <property fmtid="{D5CDD505-2E9C-101B-9397-08002B2CF9AE}" pid="10" name="Objective-ModificationStamp">
    <vt:filetime>2022-07-18T01:56:29Z</vt:filetime>
  </property>
  <property fmtid="{D5CDD505-2E9C-101B-9397-08002B2CF9AE}" pid="11" name="Objective-Owner">
    <vt:lpwstr>Mitchell Woolfenden</vt:lpwstr>
  </property>
  <property fmtid="{D5CDD505-2E9C-101B-9397-08002B2CF9AE}" pid="12" name="Objective-Path">
    <vt:lpwstr>Whole of ACT Government:TCCS STRUCTURE - Content Restriction Hierarchy:DIVISION: City Services:BRANCH: Infrastructure Delivery and Waste:SECTION : ACT NoWaste:TEAM: Waste Policy:09. Programs and Projects:2021:2021 - Plastic reduction:Subordinate Legislation development:Disallowable Instruments:Instruments to continue cutlery and gelato tub exemptions:20220602 - Continuation of Cutlery Special Circumstances Exemption:</vt:lpwstr>
  </property>
  <property fmtid="{D5CDD505-2E9C-101B-9397-08002B2CF9AE}" pid="13" name="Objective-Parent">
    <vt:lpwstr>20220602 - Continuation of Cutlery Special Circumstances Exemption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13.0</vt:lpwstr>
  </property>
  <property fmtid="{D5CDD505-2E9C-101B-9397-08002B2CF9AE}" pid="16" name="Objective-VersionNumber">
    <vt:r8>20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