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C211" w14:textId="77777777" w:rsidR="004520A1" w:rsidRPr="004520A1" w:rsidRDefault="004520A1" w:rsidP="004520A1">
      <w:pPr>
        <w:shd w:val="clear" w:color="auto" w:fill="FFFFFF"/>
        <w:spacing w:before="120" w:after="0" w:line="240" w:lineRule="auto"/>
        <w:rPr>
          <w:rFonts w:ascii="Times New Roman" w:eastAsia="Times New Roman" w:hAnsi="Times New Roman" w:cs="Times New Roman"/>
          <w:color w:val="000000"/>
          <w:sz w:val="24"/>
          <w:szCs w:val="24"/>
          <w:lang w:eastAsia="en-AU"/>
        </w:rPr>
      </w:pPr>
      <w:r w:rsidRPr="004520A1">
        <w:rPr>
          <w:rFonts w:ascii="Arial" w:eastAsia="Times New Roman" w:hAnsi="Arial" w:cs="Arial"/>
          <w:color w:val="000000"/>
          <w:sz w:val="24"/>
          <w:szCs w:val="24"/>
          <w:lang w:eastAsia="en-AU"/>
        </w:rPr>
        <w:t>Australian Capital Territory</w:t>
      </w:r>
    </w:p>
    <w:p w14:paraId="54CDFB23" w14:textId="54E1B4C3" w:rsidR="004520A1" w:rsidRPr="004520A1" w:rsidRDefault="004520A1" w:rsidP="004520A1">
      <w:pPr>
        <w:shd w:val="clear" w:color="auto" w:fill="FFFFFF"/>
        <w:spacing w:before="700" w:after="100" w:line="240" w:lineRule="auto"/>
        <w:rPr>
          <w:rFonts w:ascii="Arial" w:eastAsia="Times New Roman" w:hAnsi="Arial" w:cs="Arial"/>
          <w:b/>
          <w:bCs/>
          <w:color w:val="000000"/>
          <w:sz w:val="40"/>
          <w:szCs w:val="40"/>
          <w:lang w:eastAsia="en-AU"/>
        </w:rPr>
      </w:pPr>
      <w:r w:rsidRPr="004520A1">
        <w:rPr>
          <w:rFonts w:ascii="Arial" w:eastAsia="Times New Roman" w:hAnsi="Arial" w:cs="Arial"/>
          <w:b/>
          <w:bCs/>
          <w:color w:val="000000"/>
          <w:sz w:val="40"/>
          <w:szCs w:val="40"/>
          <w:lang w:eastAsia="en-AU"/>
        </w:rPr>
        <w:t>Road Transport (General)</w:t>
      </w:r>
      <w:r>
        <w:rPr>
          <w:rFonts w:ascii="Arial" w:eastAsia="Times New Roman" w:hAnsi="Arial" w:cs="Arial"/>
          <w:b/>
          <w:bCs/>
          <w:color w:val="000000"/>
          <w:sz w:val="40"/>
          <w:szCs w:val="40"/>
          <w:lang w:eastAsia="en-AU"/>
        </w:rPr>
        <w:t xml:space="preserve"> </w:t>
      </w:r>
      <w:r w:rsidRPr="004520A1">
        <w:rPr>
          <w:rFonts w:ascii="Arial" w:eastAsia="Times New Roman" w:hAnsi="Arial" w:cs="Arial"/>
          <w:b/>
          <w:bCs/>
          <w:color w:val="000000"/>
          <w:sz w:val="40"/>
          <w:szCs w:val="40"/>
          <w:lang w:eastAsia="en-AU"/>
        </w:rPr>
        <w:t>(Parking Permit Fees)</w:t>
      </w:r>
      <w:r>
        <w:rPr>
          <w:rFonts w:ascii="Arial" w:eastAsia="Times New Roman" w:hAnsi="Arial" w:cs="Arial"/>
          <w:b/>
          <w:bCs/>
          <w:color w:val="000000"/>
          <w:sz w:val="40"/>
          <w:szCs w:val="40"/>
          <w:lang w:eastAsia="en-AU"/>
        </w:rPr>
        <w:t xml:space="preserve"> </w:t>
      </w:r>
      <w:r w:rsidRPr="004520A1">
        <w:rPr>
          <w:rFonts w:ascii="Arial" w:eastAsia="Times New Roman" w:hAnsi="Arial" w:cs="Arial"/>
          <w:b/>
          <w:bCs/>
          <w:color w:val="000000"/>
          <w:sz w:val="40"/>
          <w:szCs w:val="40"/>
          <w:lang w:eastAsia="en-AU"/>
        </w:rPr>
        <w:t>Determination</w:t>
      </w:r>
      <w:r>
        <w:rPr>
          <w:rFonts w:ascii="Arial" w:eastAsia="Times New Roman" w:hAnsi="Arial" w:cs="Arial"/>
          <w:b/>
          <w:bCs/>
          <w:color w:val="000000"/>
          <w:sz w:val="40"/>
          <w:szCs w:val="40"/>
          <w:lang w:eastAsia="en-AU"/>
        </w:rPr>
        <w:t xml:space="preserve"> </w:t>
      </w:r>
      <w:r w:rsidRPr="004520A1">
        <w:rPr>
          <w:rFonts w:ascii="Arial" w:eastAsia="Times New Roman" w:hAnsi="Arial" w:cs="Arial"/>
          <w:b/>
          <w:bCs/>
          <w:color w:val="000000"/>
          <w:sz w:val="40"/>
          <w:szCs w:val="40"/>
          <w:lang w:eastAsia="en-AU"/>
        </w:rPr>
        <w:t>2022</w:t>
      </w:r>
      <w:r>
        <w:rPr>
          <w:rFonts w:ascii="Arial" w:eastAsia="Times New Roman" w:hAnsi="Arial" w:cs="Arial"/>
          <w:b/>
          <w:bCs/>
          <w:color w:val="000000"/>
          <w:sz w:val="40"/>
          <w:szCs w:val="40"/>
          <w:lang w:eastAsia="en-AU"/>
        </w:rPr>
        <w:t xml:space="preserve"> </w:t>
      </w:r>
      <w:r w:rsidRPr="004520A1">
        <w:rPr>
          <w:rFonts w:ascii="Arial" w:eastAsia="Times New Roman" w:hAnsi="Arial" w:cs="Arial"/>
          <w:b/>
          <w:bCs/>
          <w:color w:val="000000"/>
          <w:sz w:val="40"/>
          <w:szCs w:val="40"/>
          <w:lang w:eastAsia="en-AU"/>
        </w:rPr>
        <w:t xml:space="preserve">(No </w:t>
      </w:r>
      <w:r w:rsidRPr="0027736A">
        <w:rPr>
          <w:rFonts w:ascii="Arial" w:eastAsia="Times New Roman" w:hAnsi="Arial" w:cs="Arial"/>
          <w:b/>
          <w:bCs/>
          <w:color w:val="000000"/>
          <w:sz w:val="40"/>
          <w:szCs w:val="40"/>
          <w:lang w:eastAsia="en-AU"/>
        </w:rPr>
        <w:t>2</w:t>
      </w:r>
      <w:r w:rsidRPr="004520A1">
        <w:rPr>
          <w:rFonts w:ascii="Arial" w:eastAsia="Times New Roman" w:hAnsi="Arial" w:cs="Arial"/>
          <w:b/>
          <w:bCs/>
          <w:color w:val="000000"/>
          <w:sz w:val="40"/>
          <w:szCs w:val="40"/>
          <w:lang w:eastAsia="en-AU"/>
        </w:rPr>
        <w:t>)</w:t>
      </w:r>
    </w:p>
    <w:p w14:paraId="7D285C61" w14:textId="586D3985" w:rsidR="004520A1" w:rsidRPr="004520A1" w:rsidRDefault="004520A1" w:rsidP="004520A1">
      <w:pPr>
        <w:shd w:val="clear" w:color="auto" w:fill="FFFFFF"/>
        <w:spacing w:before="340" w:after="0" w:line="240" w:lineRule="auto"/>
        <w:rPr>
          <w:rFonts w:ascii="Times New Roman" w:eastAsia="Times New Roman" w:hAnsi="Times New Roman" w:cs="Times New Roman"/>
          <w:color w:val="000000"/>
          <w:sz w:val="24"/>
          <w:szCs w:val="24"/>
          <w:lang w:eastAsia="en-AU"/>
        </w:rPr>
      </w:pPr>
      <w:r w:rsidRPr="004520A1">
        <w:rPr>
          <w:rFonts w:ascii="Arial" w:eastAsia="Times New Roman" w:hAnsi="Arial" w:cs="Arial"/>
          <w:b/>
          <w:bCs/>
          <w:color w:val="000000"/>
          <w:sz w:val="24"/>
          <w:szCs w:val="24"/>
          <w:lang w:eastAsia="en-AU"/>
        </w:rPr>
        <w:t>Disallowable instrument</w:t>
      </w:r>
      <w:r>
        <w:rPr>
          <w:rFonts w:ascii="Arial" w:eastAsia="Times New Roman" w:hAnsi="Arial" w:cs="Arial"/>
          <w:b/>
          <w:bCs/>
          <w:color w:val="000000"/>
          <w:sz w:val="24"/>
          <w:szCs w:val="24"/>
          <w:lang w:eastAsia="en-AU"/>
        </w:rPr>
        <w:t xml:space="preserve"> </w:t>
      </w:r>
      <w:r w:rsidRPr="004520A1">
        <w:rPr>
          <w:rFonts w:ascii="Arial" w:eastAsia="Times New Roman" w:hAnsi="Arial" w:cs="Arial"/>
          <w:b/>
          <w:bCs/>
          <w:color w:val="000000"/>
          <w:sz w:val="24"/>
          <w:szCs w:val="24"/>
          <w:lang w:eastAsia="en-AU"/>
        </w:rPr>
        <w:t>DI2022–</w:t>
      </w:r>
      <w:r w:rsidR="00F253BD">
        <w:rPr>
          <w:rFonts w:ascii="Arial" w:eastAsia="Times New Roman" w:hAnsi="Arial" w:cs="Arial"/>
          <w:b/>
          <w:bCs/>
          <w:color w:val="000000"/>
          <w:sz w:val="24"/>
          <w:szCs w:val="24"/>
          <w:lang w:eastAsia="en-AU"/>
        </w:rPr>
        <w:t>193</w:t>
      </w:r>
    </w:p>
    <w:p w14:paraId="106D004F" w14:textId="77777777" w:rsidR="004520A1" w:rsidRPr="004520A1" w:rsidRDefault="004520A1" w:rsidP="004520A1">
      <w:pPr>
        <w:shd w:val="clear" w:color="auto" w:fill="FFFFFF"/>
        <w:spacing w:before="300" w:after="0" w:line="240" w:lineRule="auto"/>
        <w:jc w:val="both"/>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made under the</w:t>
      </w:r>
    </w:p>
    <w:p w14:paraId="40B18EF8" w14:textId="5117B048" w:rsidR="004520A1" w:rsidRPr="004520A1" w:rsidRDefault="004520A1" w:rsidP="004520A1">
      <w:pPr>
        <w:shd w:val="clear" w:color="auto" w:fill="FFFFFF"/>
        <w:spacing w:before="320" w:after="0" w:line="240" w:lineRule="auto"/>
        <w:rPr>
          <w:rFonts w:ascii="Arial" w:eastAsia="Times New Roman" w:hAnsi="Arial" w:cs="Arial"/>
          <w:b/>
          <w:bCs/>
          <w:color w:val="000000"/>
          <w:sz w:val="20"/>
          <w:szCs w:val="20"/>
          <w:lang w:eastAsia="en-AU"/>
        </w:rPr>
      </w:pPr>
      <w:r w:rsidRPr="004520A1">
        <w:rPr>
          <w:rFonts w:ascii="Arial" w:eastAsia="Times New Roman" w:hAnsi="Arial" w:cs="Arial"/>
          <w:b/>
          <w:bCs/>
          <w:i/>
          <w:iCs/>
          <w:color w:val="000000"/>
          <w:sz w:val="20"/>
          <w:szCs w:val="20"/>
          <w:lang w:eastAsia="en-AU"/>
        </w:rPr>
        <w:t>Road Transport (General) Act 1999</w:t>
      </w:r>
      <w:r w:rsidRPr="004520A1">
        <w:rPr>
          <w:rFonts w:ascii="Arial" w:eastAsia="Times New Roman" w:hAnsi="Arial" w:cs="Arial"/>
          <w:b/>
          <w:bCs/>
          <w:color w:val="000000"/>
          <w:sz w:val="20"/>
          <w:szCs w:val="20"/>
          <w:lang w:eastAsia="en-AU"/>
        </w:rPr>
        <w:t>, section 96 (Determination of fees, charges and other</w:t>
      </w:r>
      <w:r>
        <w:rPr>
          <w:rFonts w:ascii="Arial" w:eastAsia="Times New Roman" w:hAnsi="Arial" w:cs="Arial"/>
          <w:b/>
          <w:bCs/>
          <w:color w:val="000000"/>
          <w:sz w:val="20"/>
          <w:szCs w:val="20"/>
          <w:lang w:eastAsia="en-AU"/>
        </w:rPr>
        <w:t xml:space="preserve"> </w:t>
      </w:r>
      <w:r w:rsidRPr="004520A1">
        <w:rPr>
          <w:rFonts w:ascii="Arial" w:eastAsia="Times New Roman" w:hAnsi="Arial" w:cs="Arial"/>
          <w:b/>
          <w:bCs/>
          <w:color w:val="000000"/>
          <w:sz w:val="20"/>
          <w:szCs w:val="20"/>
          <w:lang w:eastAsia="en-AU"/>
        </w:rPr>
        <w:t>amounts)</w:t>
      </w:r>
    </w:p>
    <w:p w14:paraId="64DFCDA7" w14:textId="60ADD069" w:rsidR="004520A1" w:rsidRDefault="004520A1" w:rsidP="004520A1">
      <w:pPr>
        <w:shd w:val="clear" w:color="auto" w:fill="FFFFFF"/>
        <w:spacing w:before="400" w:after="0" w:line="240" w:lineRule="auto"/>
        <w:ind w:right="567"/>
        <w:rPr>
          <w:rFonts w:ascii="Arial" w:eastAsia="Times New Roman" w:hAnsi="Arial" w:cs="Arial"/>
          <w:b/>
          <w:bCs/>
          <w:color w:val="000000"/>
          <w:sz w:val="28"/>
          <w:szCs w:val="28"/>
          <w:lang w:eastAsia="en-AU"/>
        </w:rPr>
      </w:pPr>
      <w:r w:rsidRPr="004520A1">
        <w:rPr>
          <w:rFonts w:ascii="Arial" w:eastAsia="Times New Roman" w:hAnsi="Arial" w:cs="Arial"/>
          <w:b/>
          <w:bCs/>
          <w:color w:val="000000"/>
          <w:sz w:val="28"/>
          <w:szCs w:val="28"/>
          <w:lang w:eastAsia="en-AU"/>
        </w:rPr>
        <w:t>EXPLANATORY STATEMENT</w:t>
      </w:r>
    </w:p>
    <w:p w14:paraId="072129F5" w14:textId="77777777" w:rsidR="004520A1" w:rsidRPr="004520A1" w:rsidRDefault="004520A1" w:rsidP="004520A1">
      <w:pPr>
        <w:pStyle w:val="N-line3"/>
        <w:pBdr>
          <w:bottom w:val="none" w:sz="0" w:space="0" w:color="auto"/>
        </w:pBdr>
      </w:pPr>
    </w:p>
    <w:p w14:paraId="3E6ABC35" w14:textId="264F9262" w:rsidR="004520A1" w:rsidRPr="004520A1" w:rsidRDefault="004520A1" w:rsidP="004520A1">
      <w:pPr>
        <w:pBdr>
          <w:top w:val="single" w:sz="12" w:space="1" w:color="000000"/>
        </w:pBdr>
        <w:shd w:val="clear" w:color="auto" w:fill="FFFFFF"/>
        <w:spacing w:after="0" w:line="240" w:lineRule="auto"/>
        <w:jc w:val="both"/>
        <w:rPr>
          <w:rFonts w:ascii="Times New Roman" w:eastAsia="Times New Roman" w:hAnsi="Times New Roman" w:cs="Times New Roman"/>
          <w:color w:val="000000"/>
          <w:sz w:val="24"/>
          <w:szCs w:val="24"/>
          <w:lang w:eastAsia="en-AU"/>
        </w:rPr>
      </w:pPr>
    </w:p>
    <w:p w14:paraId="1FC32389" w14:textId="30B26F30"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Section 96 of the</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Road Transport (General) Act 1999</w:t>
      </w:r>
      <w:r w:rsidR="00D46475">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allows the Minister to determine fees, charges and other amounts payable under the ACT road transport legislation.</w:t>
      </w:r>
    </w:p>
    <w:p w14:paraId="1C36EFED" w14:textId="48605CC7"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029F1092" w14:textId="48E7FA50"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This</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determination</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sets the fees for various kinds of parking permits. It also</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determines the fees for transactions relating to refunds and the handling of</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dishonoured cheques and credit cards.</w:t>
      </w:r>
    </w:p>
    <w:p w14:paraId="2B4B70BB" w14:textId="067A999F"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0830788D" w14:textId="77777777" w:rsidR="004520A1" w:rsidRPr="004520A1" w:rsidRDefault="004520A1" w:rsidP="004520A1">
      <w:pPr>
        <w:shd w:val="clear" w:color="auto" w:fill="FFFFFF"/>
        <w:spacing w:before="240" w:after="240" w:line="240" w:lineRule="auto"/>
        <w:jc w:val="both"/>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Updates to the instrument</w:t>
      </w:r>
    </w:p>
    <w:p w14:paraId="468D6FB2" w14:textId="34A18503"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This instrument provides an update to parking permit fees. It does not seek to apply</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updates</w:t>
      </w:r>
      <w:r w:rsidR="00D46475">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retrospectively.</w:t>
      </w:r>
    </w:p>
    <w:p w14:paraId="3B02DB87" w14:textId="43F8EF74"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0A24967A" w14:textId="072ED5CB" w:rsidR="00485B98" w:rsidRDefault="004520A1" w:rsidP="00485B98">
      <w:pPr>
        <w:pStyle w:val="billname"/>
        <w:shd w:val="clear" w:color="auto" w:fill="FFFFFF"/>
        <w:spacing w:before="0" w:beforeAutospacing="0" w:after="0" w:afterAutospacing="0"/>
        <w:rPr>
          <w:color w:val="000000"/>
        </w:rPr>
      </w:pPr>
      <w:r w:rsidRPr="003E7B94">
        <w:rPr>
          <w:color w:val="000000"/>
        </w:rPr>
        <w:t>The</w:t>
      </w:r>
      <w:r w:rsidR="00D46475" w:rsidRPr="003E7B94">
        <w:rPr>
          <w:color w:val="000000"/>
        </w:rPr>
        <w:t xml:space="preserve"> </w:t>
      </w:r>
      <w:r w:rsidRPr="003E7B94">
        <w:rPr>
          <w:color w:val="000000"/>
        </w:rPr>
        <w:t>instrument applies</w:t>
      </w:r>
      <w:r w:rsidR="00D46475" w:rsidRPr="003E7B94">
        <w:rPr>
          <w:color w:val="000000"/>
        </w:rPr>
        <w:t xml:space="preserve"> </w:t>
      </w:r>
      <w:r w:rsidRPr="003E7B94">
        <w:rPr>
          <w:color w:val="000000"/>
        </w:rPr>
        <w:t>a</w:t>
      </w:r>
      <w:r w:rsidR="00D46475" w:rsidRPr="003E7B94">
        <w:rPr>
          <w:color w:val="000000"/>
        </w:rPr>
        <w:t xml:space="preserve"> </w:t>
      </w:r>
      <w:r w:rsidR="00F13A93" w:rsidRPr="003E7B94">
        <w:rPr>
          <w:color w:val="000000"/>
        </w:rPr>
        <w:t>0</w:t>
      </w:r>
      <w:r w:rsidRPr="003E7B94">
        <w:rPr>
          <w:color w:val="000000"/>
        </w:rPr>
        <w:t>.2</w:t>
      </w:r>
      <w:r w:rsidR="00F13A93" w:rsidRPr="003E7B94">
        <w:rPr>
          <w:color w:val="000000"/>
        </w:rPr>
        <w:t>9</w:t>
      </w:r>
      <w:r w:rsidRPr="003E7B94">
        <w:rPr>
          <w:color w:val="000000"/>
        </w:rPr>
        <w:t>%</w:t>
      </w:r>
      <w:r w:rsidR="00F13A93" w:rsidRPr="003E7B94">
        <w:rPr>
          <w:color w:val="000000"/>
        </w:rPr>
        <w:t xml:space="preserve"> </w:t>
      </w:r>
      <w:r w:rsidRPr="003E7B94">
        <w:rPr>
          <w:color w:val="000000"/>
        </w:rPr>
        <w:t>increase</w:t>
      </w:r>
      <w:r w:rsidR="00F13A93" w:rsidRPr="003E7B94">
        <w:rPr>
          <w:color w:val="000000"/>
        </w:rPr>
        <w:t xml:space="preserve"> </w:t>
      </w:r>
      <w:r w:rsidRPr="003E7B94">
        <w:rPr>
          <w:color w:val="000000"/>
        </w:rPr>
        <w:t>to</w:t>
      </w:r>
      <w:r w:rsidR="00F13A93" w:rsidRPr="003E7B94">
        <w:rPr>
          <w:color w:val="000000"/>
        </w:rPr>
        <w:t xml:space="preserve"> </w:t>
      </w:r>
      <w:r w:rsidRPr="003E7B94">
        <w:rPr>
          <w:color w:val="000000"/>
        </w:rPr>
        <w:t>the</w:t>
      </w:r>
      <w:r w:rsidR="00F13A93" w:rsidRPr="003E7B94">
        <w:rPr>
          <w:color w:val="000000"/>
        </w:rPr>
        <w:t xml:space="preserve"> </w:t>
      </w:r>
      <w:r w:rsidR="00866765">
        <w:rPr>
          <w:color w:val="000000"/>
        </w:rPr>
        <w:t xml:space="preserve">parking permit fees in Schedule 1 and the </w:t>
      </w:r>
      <w:r w:rsidR="00866765" w:rsidRPr="003E7B94">
        <w:rPr>
          <w:color w:val="000000"/>
        </w:rPr>
        <w:t>re</w:t>
      </w:r>
      <w:r w:rsidR="00866765">
        <w:rPr>
          <w:color w:val="000000"/>
        </w:rPr>
        <w:t>fund and dishonour</w:t>
      </w:r>
      <w:r w:rsidR="00866765" w:rsidRPr="003E7B94">
        <w:rPr>
          <w:color w:val="000000"/>
        </w:rPr>
        <w:t xml:space="preserve"> fees in schedule 2, rounded down to the nearest 10 cents.</w:t>
      </w:r>
      <w:r w:rsidR="00866765">
        <w:rPr>
          <w:color w:val="000000"/>
        </w:rPr>
        <w:t xml:space="preserve"> The figures used are the unrounded rate for 2022-23 as recorded in Table 1 in the Explanatory Statement to disallowable instrument DI2022-66; </w:t>
      </w:r>
      <w:r w:rsidR="00866765" w:rsidRPr="00866765">
        <w:rPr>
          <w:color w:val="000000"/>
        </w:rPr>
        <w:t>Road Transport (General) (Parking Permit Fees) Determination 2022 (No 1)</w:t>
      </w:r>
      <w:r w:rsidR="00866765">
        <w:rPr>
          <w:color w:val="000000"/>
        </w:rPr>
        <w:t xml:space="preserve">. </w:t>
      </w:r>
      <w:r w:rsidR="00485B98">
        <w:rPr>
          <w:color w:val="000000"/>
        </w:rPr>
        <w:t xml:space="preserve"> </w:t>
      </w:r>
      <w:r w:rsidR="00866765">
        <w:rPr>
          <w:color w:val="000000"/>
        </w:rPr>
        <w:t xml:space="preserve">This is </w:t>
      </w:r>
      <w:r w:rsidR="00DD5236">
        <w:rPr>
          <w:color w:val="000000"/>
        </w:rPr>
        <w:t>the same approach as with the previous increases to parking permit fee instruments.</w:t>
      </w:r>
    </w:p>
    <w:p w14:paraId="2ACC71C4" w14:textId="00352C56" w:rsidR="00485B98" w:rsidRDefault="00485B98" w:rsidP="00485B98">
      <w:pPr>
        <w:pStyle w:val="billname"/>
        <w:shd w:val="clear" w:color="auto" w:fill="FFFFFF"/>
        <w:spacing w:before="0" w:beforeAutospacing="0" w:after="0" w:afterAutospacing="0"/>
        <w:rPr>
          <w:color w:val="000000"/>
        </w:rPr>
      </w:pPr>
    </w:p>
    <w:p w14:paraId="12F2960E" w14:textId="7DF61C06" w:rsidR="00485B98" w:rsidRDefault="00485B98" w:rsidP="00485B98">
      <w:pPr>
        <w:pStyle w:val="billname"/>
        <w:shd w:val="clear" w:color="auto" w:fill="FFFFFF"/>
        <w:spacing w:before="0" w:beforeAutospacing="0" w:after="0" w:afterAutospacing="0"/>
        <w:rPr>
          <w:color w:val="000000"/>
        </w:rPr>
      </w:pPr>
      <w:r>
        <w:rPr>
          <w:color w:val="000000"/>
        </w:rPr>
        <w:t>The fee for a Residents’ parking permit for residents of Havelock House at item 9 has not been increased in line with previous decisions to support those residents with limited capacity to pay additional fees and charges.</w:t>
      </w:r>
    </w:p>
    <w:p w14:paraId="711824EF" w14:textId="77777777" w:rsidR="00485B98" w:rsidRDefault="00485B98" w:rsidP="00485B98">
      <w:pPr>
        <w:pStyle w:val="billname"/>
        <w:shd w:val="clear" w:color="auto" w:fill="FFFFFF"/>
        <w:spacing w:before="0" w:beforeAutospacing="0" w:after="0" w:afterAutospacing="0"/>
        <w:rPr>
          <w:color w:val="000000"/>
        </w:rPr>
      </w:pPr>
    </w:p>
    <w:p w14:paraId="30083904" w14:textId="38AD72C1" w:rsidR="006632AB" w:rsidRPr="006632AB" w:rsidRDefault="006632AB" w:rsidP="00485B98">
      <w:pPr>
        <w:pStyle w:val="billname"/>
        <w:shd w:val="clear" w:color="auto" w:fill="FFFFFF"/>
        <w:spacing w:before="0" w:beforeAutospacing="0" w:after="0" w:afterAutospacing="0"/>
      </w:pPr>
      <w:r w:rsidRPr="006632AB">
        <w:t>The fee increases are in line with budget decisions about increasing registration and regulatory fees to partially offset ongoing price and cost pressures in delivering Access Canberra services.</w:t>
      </w:r>
    </w:p>
    <w:p w14:paraId="3351BB35" w14:textId="1052B65F" w:rsid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114C5636" w14:textId="77777777" w:rsidR="0024661A" w:rsidRPr="0024661A" w:rsidRDefault="0024661A" w:rsidP="0024661A">
      <w:pPr>
        <w:spacing w:after="0" w:line="240" w:lineRule="auto"/>
        <w:rPr>
          <w:rFonts w:ascii="Times New Roman" w:hAnsi="Times New Roman" w:cs="Times New Roman"/>
          <w:bCs/>
          <w:sz w:val="24"/>
          <w:szCs w:val="24"/>
        </w:rPr>
      </w:pPr>
      <w:r w:rsidRPr="0024661A">
        <w:rPr>
          <w:rFonts w:ascii="Times New Roman" w:hAnsi="Times New Roman" w:cs="Times New Roman"/>
          <w:bCs/>
          <w:sz w:val="24"/>
          <w:szCs w:val="24"/>
        </w:rPr>
        <w:t>The indexing of fees and charges addresses increased administrative cost to Access Canberra for the registration or regulatory function being delivered.</w:t>
      </w:r>
    </w:p>
    <w:p w14:paraId="502B1CF9" w14:textId="77777777" w:rsidR="0024661A" w:rsidRPr="0024661A" w:rsidRDefault="0024661A" w:rsidP="0024661A">
      <w:pPr>
        <w:shd w:val="clear" w:color="auto" w:fill="FFFFFF"/>
        <w:spacing w:after="0" w:line="240" w:lineRule="auto"/>
        <w:rPr>
          <w:rFonts w:ascii="Times New Roman" w:eastAsia="Times New Roman" w:hAnsi="Times New Roman" w:cs="Times New Roman"/>
          <w:color w:val="000000"/>
          <w:sz w:val="24"/>
          <w:szCs w:val="24"/>
          <w:lang w:eastAsia="en-AU"/>
        </w:rPr>
      </w:pPr>
    </w:p>
    <w:p w14:paraId="6187B898" w14:textId="2CED4CED" w:rsid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The schedules to the instrument detail the item for which a fee is payable and the associated fee.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Column 1 of schedule 1 lists the item number.</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Column 2 of schedule 1 describes the service or other matter in relation to the fee payable.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Column</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3</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of schedule 1 lists the fee payable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for a permit</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issued</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on or after 1</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July</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202</w:t>
      </w:r>
      <w:r w:rsidR="00BE2BA2">
        <w:rPr>
          <w:rFonts w:ascii="Times New Roman" w:eastAsia="Times New Roman" w:hAnsi="Times New Roman" w:cs="Times New Roman"/>
          <w:color w:val="000000"/>
          <w:sz w:val="24"/>
          <w:szCs w:val="24"/>
          <w:lang w:eastAsia="en-AU"/>
        </w:rPr>
        <w:t xml:space="preserve">2 </w:t>
      </w:r>
      <w:r w:rsidRPr="004520A1">
        <w:rPr>
          <w:rFonts w:ascii="Times New Roman" w:eastAsia="Times New Roman" w:hAnsi="Times New Roman" w:cs="Times New Roman"/>
          <w:color w:val="000000"/>
          <w:sz w:val="24"/>
          <w:szCs w:val="24"/>
          <w:lang w:eastAsia="en-AU"/>
        </w:rPr>
        <w:t>and on or before 3</w:t>
      </w:r>
      <w:r w:rsidR="00B74644">
        <w:rPr>
          <w:rFonts w:ascii="Times New Roman" w:eastAsia="Times New Roman" w:hAnsi="Times New Roman" w:cs="Times New Roman"/>
          <w:color w:val="000000"/>
          <w:sz w:val="24"/>
          <w:szCs w:val="24"/>
          <w:lang w:eastAsia="en-AU"/>
        </w:rPr>
        <w:t>1 August</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2022. Column</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4</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 xml:space="preserve">of schedule 1 lists the fee payable for a permit issued on or after 1 </w:t>
      </w:r>
      <w:r w:rsidR="00B74644">
        <w:rPr>
          <w:rFonts w:ascii="Times New Roman" w:eastAsia="Times New Roman" w:hAnsi="Times New Roman" w:cs="Times New Roman"/>
          <w:color w:val="000000"/>
          <w:sz w:val="24"/>
          <w:szCs w:val="24"/>
          <w:lang w:eastAsia="en-AU"/>
        </w:rPr>
        <w:t>September</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2022.</w:t>
      </w:r>
    </w:p>
    <w:p w14:paraId="26ACDF1D" w14:textId="50F82C28" w:rsidR="003E7B94" w:rsidRDefault="003E7B94"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5BC2E574" w14:textId="649D0AD9" w:rsidR="003E7B94" w:rsidRPr="003E7B94" w:rsidRDefault="003E7B94"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3E7B94">
        <w:rPr>
          <w:rFonts w:ascii="Times New Roman" w:hAnsi="Times New Roman" w:cs="Times New Roman"/>
          <w:sz w:val="24"/>
          <w:szCs w:val="24"/>
        </w:rPr>
        <w:t>The preference of the Standing Committee on Justice and Community Safety (Legislative Scrutiny Role) that Instruments or Explanatory Statements identify the amount of the old and new fee, any percentage increase and also the reason for any increase in the Instrument or the Explanatory Statement has been taken into account in the preparation of the Instrument and the Explanatory Statement.</w:t>
      </w:r>
    </w:p>
    <w:p w14:paraId="2EC17EFA" w14:textId="4A9B0E1C"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50311BE7" w14:textId="5147F834" w:rsid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This determination is a disallowable instrument and must be presented to the Legislative Assembly within 6 sitting days after its notification pursuant to section 64 of the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Legislation</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Act 2001</w:t>
      </w:r>
      <w:r w:rsidRPr="004520A1">
        <w:rPr>
          <w:rFonts w:ascii="Times New Roman" w:eastAsia="Times New Roman" w:hAnsi="Times New Roman" w:cs="Times New Roman"/>
          <w:color w:val="000000"/>
          <w:sz w:val="24"/>
          <w:szCs w:val="24"/>
          <w:lang w:eastAsia="en-AU"/>
        </w:rPr>
        <w:t>.</w:t>
      </w:r>
    </w:p>
    <w:p w14:paraId="5109C7AB" w14:textId="7F3DD0B8" w:rsidR="00B475D7" w:rsidRDefault="00B475D7"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3A76C0EF" w14:textId="77777777" w:rsidR="00B475D7" w:rsidRPr="00C55379" w:rsidRDefault="00B475D7" w:rsidP="00B475D7">
      <w:pPr>
        <w:keepNext/>
        <w:autoSpaceDE w:val="0"/>
        <w:autoSpaceDN w:val="0"/>
        <w:adjustRightInd w:val="0"/>
        <w:spacing w:after="0"/>
        <w:rPr>
          <w:b/>
          <w:bCs/>
          <w:lang w:eastAsia="en-AU"/>
        </w:rPr>
      </w:pPr>
      <w:r w:rsidRPr="00C55379">
        <w:rPr>
          <w:b/>
          <w:bCs/>
          <w:lang w:eastAsia="en-AU"/>
        </w:rPr>
        <w:t>Table 1: Changes to Parking Permit Fees</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3679"/>
        <w:gridCol w:w="1134"/>
        <w:gridCol w:w="997"/>
        <w:gridCol w:w="1134"/>
        <w:gridCol w:w="993"/>
        <w:gridCol w:w="1135"/>
      </w:tblGrid>
      <w:tr w:rsidR="00B475D7" w:rsidRPr="00C55379" w14:paraId="3E0C6EF1" w14:textId="77777777" w:rsidTr="00961B2C">
        <w:tc>
          <w:tcPr>
            <w:tcW w:w="3679" w:type="dxa"/>
          </w:tcPr>
          <w:p w14:paraId="04AB9FD3" w14:textId="77777777" w:rsidR="00B475D7" w:rsidRPr="00C55379" w:rsidRDefault="00B475D7" w:rsidP="00961B2C">
            <w:pPr>
              <w:jc w:val="center"/>
              <w:rPr>
                <w:b/>
                <w:bCs/>
                <w:sz w:val="20"/>
                <w:szCs w:val="20"/>
              </w:rPr>
            </w:pPr>
          </w:p>
        </w:tc>
        <w:tc>
          <w:tcPr>
            <w:tcW w:w="2131" w:type="dxa"/>
            <w:gridSpan w:val="2"/>
            <w:shd w:val="clear" w:color="auto" w:fill="auto"/>
          </w:tcPr>
          <w:p w14:paraId="2048EF17" w14:textId="1E6D5BDF" w:rsidR="00B475D7" w:rsidRPr="00C55379" w:rsidRDefault="00485B98" w:rsidP="00B475D7">
            <w:pPr>
              <w:jc w:val="center"/>
              <w:rPr>
                <w:b/>
                <w:bCs/>
                <w:sz w:val="20"/>
                <w:szCs w:val="20"/>
              </w:rPr>
            </w:pPr>
            <w:r>
              <w:rPr>
                <w:b/>
                <w:bCs/>
                <w:sz w:val="20"/>
                <w:szCs w:val="20"/>
              </w:rPr>
              <w:t xml:space="preserve">1 July </w:t>
            </w:r>
            <w:r w:rsidR="00B475D7" w:rsidRPr="00C55379">
              <w:rPr>
                <w:b/>
                <w:bCs/>
                <w:sz w:val="20"/>
                <w:szCs w:val="20"/>
              </w:rPr>
              <w:t>2022-23</w:t>
            </w:r>
          </w:p>
          <w:p w14:paraId="0F26DCE7" w14:textId="29090DD0" w:rsidR="00B475D7" w:rsidRPr="00C55379" w:rsidRDefault="00B475D7" w:rsidP="00B475D7">
            <w:pPr>
              <w:jc w:val="center"/>
              <w:rPr>
                <w:b/>
                <w:bCs/>
                <w:sz w:val="20"/>
                <w:szCs w:val="20"/>
              </w:rPr>
            </w:pPr>
            <w:r w:rsidRPr="00C55379">
              <w:rPr>
                <w:b/>
                <w:bCs/>
                <w:sz w:val="20"/>
                <w:szCs w:val="20"/>
              </w:rPr>
              <w:t>WPI 3.25%</w:t>
            </w:r>
          </w:p>
        </w:tc>
        <w:tc>
          <w:tcPr>
            <w:tcW w:w="2127" w:type="dxa"/>
            <w:gridSpan w:val="2"/>
            <w:shd w:val="clear" w:color="auto" w:fill="auto"/>
          </w:tcPr>
          <w:p w14:paraId="60F55239" w14:textId="3ED4A92D" w:rsidR="00B475D7" w:rsidRPr="00C55379" w:rsidRDefault="00B475D7" w:rsidP="00961B2C">
            <w:pPr>
              <w:jc w:val="center"/>
              <w:rPr>
                <w:b/>
                <w:bCs/>
                <w:sz w:val="20"/>
                <w:szCs w:val="20"/>
              </w:rPr>
            </w:pPr>
            <w:r>
              <w:rPr>
                <w:b/>
                <w:bCs/>
                <w:sz w:val="20"/>
                <w:szCs w:val="20"/>
              </w:rPr>
              <w:t>1 September 2022</w:t>
            </w:r>
          </w:p>
          <w:p w14:paraId="3E603969" w14:textId="246691A9" w:rsidR="00B475D7" w:rsidRPr="00C55379" w:rsidRDefault="00B475D7" w:rsidP="00961B2C">
            <w:pPr>
              <w:jc w:val="center"/>
              <w:rPr>
                <w:b/>
                <w:bCs/>
                <w:sz w:val="20"/>
                <w:szCs w:val="20"/>
              </w:rPr>
            </w:pPr>
            <w:r>
              <w:rPr>
                <w:b/>
                <w:bCs/>
                <w:sz w:val="20"/>
                <w:szCs w:val="20"/>
              </w:rPr>
              <w:t>0.29</w:t>
            </w:r>
            <w:r w:rsidRPr="00C55379">
              <w:rPr>
                <w:b/>
                <w:bCs/>
                <w:sz w:val="20"/>
                <w:szCs w:val="20"/>
              </w:rPr>
              <w:t>%</w:t>
            </w:r>
          </w:p>
        </w:tc>
        <w:tc>
          <w:tcPr>
            <w:tcW w:w="1135" w:type="dxa"/>
            <w:vAlign w:val="center"/>
          </w:tcPr>
          <w:p w14:paraId="0C874FC8" w14:textId="213F08A1" w:rsidR="00B475D7" w:rsidRPr="00C55379" w:rsidRDefault="00B475D7" w:rsidP="00961B2C">
            <w:pPr>
              <w:rPr>
                <w:b/>
                <w:bCs/>
                <w:sz w:val="20"/>
                <w:szCs w:val="20"/>
              </w:rPr>
            </w:pPr>
            <w:r w:rsidRPr="00C55379">
              <w:rPr>
                <w:b/>
                <w:bCs/>
                <w:sz w:val="20"/>
                <w:szCs w:val="20"/>
              </w:rPr>
              <w:t xml:space="preserve">% increase from </w:t>
            </w:r>
            <w:r w:rsidR="00485B98">
              <w:rPr>
                <w:b/>
                <w:bCs/>
                <w:sz w:val="20"/>
                <w:szCs w:val="20"/>
              </w:rPr>
              <w:t xml:space="preserve">1 July </w:t>
            </w:r>
            <w:r w:rsidRPr="00C55379">
              <w:rPr>
                <w:b/>
                <w:bCs/>
                <w:sz w:val="20"/>
                <w:szCs w:val="20"/>
              </w:rPr>
              <w:t>202</w:t>
            </w:r>
            <w:r>
              <w:rPr>
                <w:b/>
                <w:bCs/>
                <w:sz w:val="20"/>
                <w:szCs w:val="20"/>
              </w:rPr>
              <w:t>2</w:t>
            </w:r>
            <w:r w:rsidRPr="00C55379">
              <w:rPr>
                <w:b/>
                <w:bCs/>
                <w:sz w:val="20"/>
                <w:szCs w:val="20"/>
              </w:rPr>
              <w:t>-2</w:t>
            </w:r>
            <w:r>
              <w:rPr>
                <w:b/>
                <w:bCs/>
                <w:sz w:val="20"/>
                <w:szCs w:val="20"/>
              </w:rPr>
              <w:t>3</w:t>
            </w:r>
            <w:r w:rsidRPr="00C55379">
              <w:rPr>
                <w:b/>
                <w:bCs/>
                <w:sz w:val="20"/>
                <w:szCs w:val="20"/>
              </w:rPr>
              <w:t xml:space="preserve"> fees </w:t>
            </w:r>
          </w:p>
        </w:tc>
      </w:tr>
      <w:tr w:rsidR="00B475D7" w:rsidRPr="00C55379" w14:paraId="7FC7D3BF" w14:textId="77777777" w:rsidTr="00961B2C">
        <w:tc>
          <w:tcPr>
            <w:tcW w:w="3679" w:type="dxa"/>
          </w:tcPr>
          <w:p w14:paraId="7E08F1BB" w14:textId="77777777" w:rsidR="00B475D7" w:rsidRPr="00C55379" w:rsidRDefault="00B475D7" w:rsidP="00961B2C">
            <w:pPr>
              <w:jc w:val="center"/>
              <w:rPr>
                <w:b/>
                <w:bCs/>
                <w:sz w:val="20"/>
                <w:szCs w:val="20"/>
              </w:rPr>
            </w:pPr>
          </w:p>
        </w:tc>
        <w:tc>
          <w:tcPr>
            <w:tcW w:w="1134" w:type="dxa"/>
            <w:shd w:val="clear" w:color="auto" w:fill="auto"/>
            <w:vAlign w:val="center"/>
          </w:tcPr>
          <w:p w14:paraId="382E9F80" w14:textId="77777777" w:rsidR="00B475D7" w:rsidRPr="00C55379" w:rsidRDefault="00B475D7" w:rsidP="00961B2C">
            <w:pPr>
              <w:jc w:val="center"/>
              <w:rPr>
                <w:b/>
                <w:bCs/>
                <w:sz w:val="20"/>
                <w:szCs w:val="20"/>
              </w:rPr>
            </w:pPr>
            <w:r w:rsidRPr="00C55379">
              <w:rPr>
                <w:b/>
                <w:bCs/>
                <w:sz w:val="20"/>
                <w:szCs w:val="20"/>
              </w:rPr>
              <w:t>Unrounded rate</w:t>
            </w:r>
          </w:p>
        </w:tc>
        <w:tc>
          <w:tcPr>
            <w:tcW w:w="997" w:type="dxa"/>
            <w:shd w:val="clear" w:color="auto" w:fill="auto"/>
            <w:vAlign w:val="center"/>
          </w:tcPr>
          <w:p w14:paraId="6FA9C20C" w14:textId="77777777" w:rsidR="00B475D7" w:rsidRPr="00C55379" w:rsidRDefault="00B475D7" w:rsidP="00961B2C">
            <w:pPr>
              <w:jc w:val="center"/>
              <w:rPr>
                <w:b/>
                <w:bCs/>
                <w:sz w:val="20"/>
                <w:szCs w:val="20"/>
              </w:rPr>
            </w:pPr>
            <w:r w:rsidRPr="00C55379">
              <w:rPr>
                <w:b/>
                <w:bCs/>
                <w:sz w:val="20"/>
                <w:szCs w:val="20"/>
              </w:rPr>
              <w:t>Rounded rate</w:t>
            </w:r>
          </w:p>
        </w:tc>
        <w:tc>
          <w:tcPr>
            <w:tcW w:w="1134" w:type="dxa"/>
            <w:shd w:val="clear" w:color="auto" w:fill="auto"/>
            <w:vAlign w:val="center"/>
          </w:tcPr>
          <w:p w14:paraId="5E862A50" w14:textId="77777777" w:rsidR="00B475D7" w:rsidRPr="00C55379" w:rsidRDefault="00B475D7" w:rsidP="00961B2C">
            <w:pPr>
              <w:jc w:val="center"/>
              <w:rPr>
                <w:b/>
                <w:bCs/>
                <w:sz w:val="20"/>
                <w:szCs w:val="20"/>
              </w:rPr>
            </w:pPr>
            <w:r w:rsidRPr="00C55379">
              <w:rPr>
                <w:b/>
                <w:bCs/>
                <w:sz w:val="20"/>
                <w:szCs w:val="20"/>
              </w:rPr>
              <w:t>Unrounded rate</w:t>
            </w:r>
          </w:p>
        </w:tc>
        <w:tc>
          <w:tcPr>
            <w:tcW w:w="993" w:type="dxa"/>
            <w:shd w:val="clear" w:color="auto" w:fill="auto"/>
            <w:vAlign w:val="center"/>
          </w:tcPr>
          <w:p w14:paraId="5C1224E3" w14:textId="77777777" w:rsidR="00B475D7" w:rsidRPr="00C55379" w:rsidRDefault="00B475D7" w:rsidP="00961B2C">
            <w:pPr>
              <w:jc w:val="center"/>
              <w:rPr>
                <w:b/>
                <w:bCs/>
                <w:sz w:val="20"/>
                <w:szCs w:val="20"/>
              </w:rPr>
            </w:pPr>
            <w:r w:rsidRPr="00C55379">
              <w:rPr>
                <w:b/>
                <w:bCs/>
                <w:sz w:val="20"/>
                <w:szCs w:val="20"/>
              </w:rPr>
              <w:t>Rounded rate</w:t>
            </w:r>
          </w:p>
        </w:tc>
        <w:tc>
          <w:tcPr>
            <w:tcW w:w="1135" w:type="dxa"/>
            <w:vAlign w:val="center"/>
          </w:tcPr>
          <w:p w14:paraId="3F1E12E6" w14:textId="77777777" w:rsidR="00B475D7" w:rsidRPr="00C55379" w:rsidRDefault="00B475D7" w:rsidP="00961B2C">
            <w:pPr>
              <w:rPr>
                <w:sz w:val="20"/>
                <w:szCs w:val="20"/>
              </w:rPr>
            </w:pPr>
          </w:p>
        </w:tc>
      </w:tr>
      <w:tr w:rsidR="00B475D7" w:rsidRPr="00C55379" w14:paraId="7FE311F0" w14:textId="77777777" w:rsidTr="00961B2C">
        <w:tc>
          <w:tcPr>
            <w:tcW w:w="3679" w:type="dxa"/>
            <w:vAlign w:val="bottom"/>
          </w:tcPr>
          <w:p w14:paraId="3013508E" w14:textId="77777777" w:rsidR="00B475D7" w:rsidRPr="00C55379" w:rsidRDefault="00B475D7" w:rsidP="00B475D7">
            <w:pPr>
              <w:rPr>
                <w:b/>
                <w:bCs/>
                <w:sz w:val="20"/>
                <w:szCs w:val="20"/>
              </w:rPr>
            </w:pPr>
            <w:r w:rsidRPr="00C55379">
              <w:rPr>
                <w:sz w:val="20"/>
                <w:szCs w:val="20"/>
              </w:rPr>
              <w:t>Grant or renewal of a 'Loading Zone' parking permit for 30 minutes, valid for up to 12 months</w:t>
            </w:r>
          </w:p>
        </w:tc>
        <w:tc>
          <w:tcPr>
            <w:tcW w:w="1134" w:type="dxa"/>
            <w:shd w:val="clear" w:color="auto" w:fill="auto"/>
            <w:vAlign w:val="center"/>
          </w:tcPr>
          <w:p w14:paraId="70062F53" w14:textId="5C966998" w:rsidR="00B475D7" w:rsidRPr="00C55379" w:rsidRDefault="00B475D7" w:rsidP="00B475D7">
            <w:pPr>
              <w:jc w:val="center"/>
              <w:rPr>
                <w:b/>
                <w:bCs/>
                <w:sz w:val="20"/>
                <w:szCs w:val="20"/>
              </w:rPr>
            </w:pPr>
            <w:r w:rsidRPr="00C55379">
              <w:rPr>
                <w:sz w:val="20"/>
                <w:szCs w:val="20"/>
              </w:rPr>
              <w:t>$710.06</w:t>
            </w:r>
          </w:p>
        </w:tc>
        <w:tc>
          <w:tcPr>
            <w:tcW w:w="997" w:type="dxa"/>
            <w:shd w:val="clear" w:color="auto" w:fill="auto"/>
            <w:vAlign w:val="center"/>
          </w:tcPr>
          <w:p w14:paraId="385277E4" w14:textId="581081C3" w:rsidR="00B475D7" w:rsidRPr="00C55379" w:rsidRDefault="00B475D7" w:rsidP="00B475D7">
            <w:pPr>
              <w:jc w:val="center"/>
              <w:rPr>
                <w:b/>
                <w:bCs/>
                <w:sz w:val="20"/>
                <w:szCs w:val="20"/>
              </w:rPr>
            </w:pPr>
            <w:r w:rsidRPr="00C55379">
              <w:rPr>
                <w:sz w:val="20"/>
                <w:szCs w:val="20"/>
              </w:rPr>
              <w:t>$710.00</w:t>
            </w:r>
          </w:p>
        </w:tc>
        <w:tc>
          <w:tcPr>
            <w:tcW w:w="1134" w:type="dxa"/>
            <w:shd w:val="clear" w:color="auto" w:fill="auto"/>
            <w:vAlign w:val="center"/>
          </w:tcPr>
          <w:p w14:paraId="4ECE3FAB" w14:textId="38484462" w:rsidR="00B475D7" w:rsidRPr="00C55379" w:rsidRDefault="00B475D7" w:rsidP="00B475D7">
            <w:pPr>
              <w:jc w:val="center"/>
              <w:rPr>
                <w:b/>
                <w:bCs/>
                <w:sz w:val="20"/>
                <w:szCs w:val="20"/>
              </w:rPr>
            </w:pPr>
            <w:r w:rsidRPr="00C55379">
              <w:rPr>
                <w:sz w:val="20"/>
                <w:szCs w:val="20"/>
              </w:rPr>
              <w:t>$71</w:t>
            </w:r>
            <w:r>
              <w:rPr>
                <w:sz w:val="20"/>
                <w:szCs w:val="20"/>
              </w:rPr>
              <w:t>2</w:t>
            </w:r>
            <w:r w:rsidRPr="00C55379">
              <w:rPr>
                <w:sz w:val="20"/>
                <w:szCs w:val="20"/>
              </w:rPr>
              <w:t>.</w:t>
            </w:r>
            <w:r>
              <w:rPr>
                <w:sz w:val="20"/>
                <w:szCs w:val="20"/>
              </w:rPr>
              <w:t>12</w:t>
            </w:r>
          </w:p>
        </w:tc>
        <w:tc>
          <w:tcPr>
            <w:tcW w:w="993" w:type="dxa"/>
            <w:shd w:val="clear" w:color="auto" w:fill="auto"/>
            <w:vAlign w:val="center"/>
          </w:tcPr>
          <w:p w14:paraId="596D54CB" w14:textId="77777777" w:rsidR="00B475D7" w:rsidRPr="00C55379" w:rsidRDefault="00B475D7" w:rsidP="00B475D7">
            <w:pPr>
              <w:jc w:val="center"/>
              <w:rPr>
                <w:b/>
                <w:bCs/>
                <w:sz w:val="20"/>
                <w:szCs w:val="20"/>
              </w:rPr>
            </w:pPr>
            <w:r w:rsidRPr="00C55379">
              <w:rPr>
                <w:sz w:val="20"/>
                <w:szCs w:val="20"/>
              </w:rPr>
              <w:t>$710.00</w:t>
            </w:r>
          </w:p>
        </w:tc>
        <w:tc>
          <w:tcPr>
            <w:tcW w:w="1135" w:type="dxa"/>
            <w:vAlign w:val="center"/>
          </w:tcPr>
          <w:p w14:paraId="525AC922" w14:textId="08653C5E" w:rsidR="00B475D7" w:rsidRPr="00C55379" w:rsidRDefault="00B475D7" w:rsidP="00B475D7">
            <w:pPr>
              <w:jc w:val="center"/>
              <w:rPr>
                <w:sz w:val="20"/>
                <w:szCs w:val="20"/>
              </w:rPr>
            </w:pPr>
            <w:r>
              <w:rPr>
                <w:sz w:val="20"/>
                <w:szCs w:val="20"/>
              </w:rPr>
              <w:t>0.29</w:t>
            </w:r>
            <w:r w:rsidRPr="00C55379">
              <w:rPr>
                <w:sz w:val="20"/>
                <w:szCs w:val="20"/>
              </w:rPr>
              <w:t>%</w:t>
            </w:r>
          </w:p>
        </w:tc>
      </w:tr>
      <w:tr w:rsidR="00B475D7" w:rsidRPr="00C55379" w14:paraId="4F319C49" w14:textId="77777777" w:rsidTr="00961B2C">
        <w:tc>
          <w:tcPr>
            <w:tcW w:w="3679" w:type="dxa"/>
            <w:vAlign w:val="bottom"/>
          </w:tcPr>
          <w:p w14:paraId="4534164E" w14:textId="77777777" w:rsidR="00B475D7" w:rsidRPr="00C55379" w:rsidRDefault="00B475D7" w:rsidP="00B475D7">
            <w:pPr>
              <w:rPr>
                <w:sz w:val="20"/>
                <w:szCs w:val="20"/>
              </w:rPr>
            </w:pPr>
            <w:r w:rsidRPr="00C55379">
              <w:rPr>
                <w:sz w:val="20"/>
                <w:szCs w:val="20"/>
              </w:rPr>
              <w:t>Grant or renewal of a 'Loading Zone' parking permit for 20 minutes, valid for up to12 months</w:t>
            </w:r>
          </w:p>
        </w:tc>
        <w:tc>
          <w:tcPr>
            <w:tcW w:w="1134" w:type="dxa"/>
            <w:shd w:val="clear" w:color="auto" w:fill="auto"/>
            <w:vAlign w:val="center"/>
          </w:tcPr>
          <w:p w14:paraId="7A487A63" w14:textId="4EC5EFEC" w:rsidR="00B475D7" w:rsidRPr="00C55379" w:rsidRDefault="00B475D7" w:rsidP="00B475D7">
            <w:pPr>
              <w:jc w:val="center"/>
              <w:rPr>
                <w:b/>
                <w:bCs/>
                <w:sz w:val="20"/>
                <w:szCs w:val="20"/>
              </w:rPr>
            </w:pPr>
            <w:r w:rsidRPr="00C55379">
              <w:rPr>
                <w:sz w:val="20"/>
                <w:szCs w:val="20"/>
              </w:rPr>
              <w:t>$473.63</w:t>
            </w:r>
          </w:p>
        </w:tc>
        <w:tc>
          <w:tcPr>
            <w:tcW w:w="997" w:type="dxa"/>
            <w:shd w:val="clear" w:color="auto" w:fill="auto"/>
            <w:vAlign w:val="center"/>
          </w:tcPr>
          <w:p w14:paraId="498C0FD1" w14:textId="6E7EA8A7" w:rsidR="00B475D7" w:rsidRPr="00C55379" w:rsidRDefault="00B475D7" w:rsidP="00B475D7">
            <w:pPr>
              <w:jc w:val="center"/>
              <w:rPr>
                <w:b/>
                <w:bCs/>
                <w:sz w:val="20"/>
                <w:szCs w:val="20"/>
              </w:rPr>
            </w:pPr>
            <w:r w:rsidRPr="00C55379">
              <w:rPr>
                <w:sz w:val="20"/>
                <w:szCs w:val="20"/>
              </w:rPr>
              <w:t>$473.60</w:t>
            </w:r>
          </w:p>
        </w:tc>
        <w:tc>
          <w:tcPr>
            <w:tcW w:w="1134" w:type="dxa"/>
            <w:shd w:val="clear" w:color="auto" w:fill="auto"/>
            <w:vAlign w:val="center"/>
          </w:tcPr>
          <w:p w14:paraId="1D47957A" w14:textId="49C6388F" w:rsidR="00B475D7" w:rsidRPr="00C55379" w:rsidRDefault="00B475D7" w:rsidP="00B475D7">
            <w:pPr>
              <w:jc w:val="center"/>
              <w:rPr>
                <w:b/>
                <w:bCs/>
                <w:sz w:val="20"/>
                <w:szCs w:val="20"/>
              </w:rPr>
            </w:pPr>
            <w:r w:rsidRPr="00C55379">
              <w:rPr>
                <w:sz w:val="20"/>
                <w:szCs w:val="20"/>
              </w:rPr>
              <w:t>$47</w:t>
            </w:r>
            <w:r>
              <w:rPr>
                <w:sz w:val="20"/>
                <w:szCs w:val="20"/>
              </w:rPr>
              <w:t>5</w:t>
            </w:r>
            <w:r w:rsidRPr="00C55379">
              <w:rPr>
                <w:sz w:val="20"/>
                <w:szCs w:val="20"/>
              </w:rPr>
              <w:t>.</w:t>
            </w:r>
            <w:r>
              <w:rPr>
                <w:sz w:val="20"/>
                <w:szCs w:val="20"/>
              </w:rPr>
              <w:t>00</w:t>
            </w:r>
          </w:p>
        </w:tc>
        <w:tc>
          <w:tcPr>
            <w:tcW w:w="993" w:type="dxa"/>
            <w:shd w:val="clear" w:color="auto" w:fill="auto"/>
            <w:vAlign w:val="center"/>
          </w:tcPr>
          <w:p w14:paraId="5E3E26E9" w14:textId="77777777" w:rsidR="00B475D7" w:rsidRPr="00C55379" w:rsidRDefault="00B475D7" w:rsidP="00B475D7">
            <w:pPr>
              <w:jc w:val="center"/>
              <w:rPr>
                <w:b/>
                <w:bCs/>
                <w:sz w:val="20"/>
                <w:szCs w:val="20"/>
              </w:rPr>
            </w:pPr>
            <w:r w:rsidRPr="00C55379">
              <w:rPr>
                <w:sz w:val="20"/>
                <w:szCs w:val="20"/>
              </w:rPr>
              <w:t>$473.60</w:t>
            </w:r>
          </w:p>
        </w:tc>
        <w:tc>
          <w:tcPr>
            <w:tcW w:w="1135" w:type="dxa"/>
            <w:vAlign w:val="center"/>
          </w:tcPr>
          <w:p w14:paraId="11679E53" w14:textId="79794F79" w:rsidR="00B475D7" w:rsidRPr="00C55379" w:rsidRDefault="00B475D7" w:rsidP="00B475D7">
            <w:pPr>
              <w:jc w:val="center"/>
              <w:rPr>
                <w:sz w:val="20"/>
                <w:szCs w:val="20"/>
              </w:rPr>
            </w:pPr>
            <w:r>
              <w:rPr>
                <w:sz w:val="20"/>
                <w:szCs w:val="20"/>
              </w:rPr>
              <w:t>0.29</w:t>
            </w:r>
            <w:r w:rsidRPr="00C55379">
              <w:rPr>
                <w:sz w:val="20"/>
                <w:szCs w:val="20"/>
              </w:rPr>
              <w:t>%</w:t>
            </w:r>
          </w:p>
        </w:tc>
      </w:tr>
      <w:tr w:rsidR="00B475D7" w:rsidRPr="00C55379" w14:paraId="3E385877" w14:textId="77777777" w:rsidTr="00961B2C">
        <w:tc>
          <w:tcPr>
            <w:tcW w:w="3679" w:type="dxa"/>
            <w:vAlign w:val="bottom"/>
          </w:tcPr>
          <w:p w14:paraId="3D4576F5" w14:textId="77777777" w:rsidR="00B475D7" w:rsidRPr="00C55379" w:rsidRDefault="00B475D7" w:rsidP="00B475D7">
            <w:pPr>
              <w:rPr>
                <w:sz w:val="20"/>
                <w:szCs w:val="20"/>
              </w:rPr>
            </w:pPr>
            <w:r w:rsidRPr="00C55379">
              <w:rPr>
                <w:sz w:val="20"/>
                <w:szCs w:val="20"/>
              </w:rPr>
              <w:t>Grant or renewal of a 'Loading Zone' parking permit for 10 minutes, valid for up to 12 months</w:t>
            </w:r>
          </w:p>
        </w:tc>
        <w:tc>
          <w:tcPr>
            <w:tcW w:w="1134" w:type="dxa"/>
            <w:shd w:val="clear" w:color="auto" w:fill="auto"/>
            <w:vAlign w:val="center"/>
          </w:tcPr>
          <w:p w14:paraId="2CF17810" w14:textId="3426632F" w:rsidR="00B475D7" w:rsidRPr="00C55379" w:rsidRDefault="00B475D7" w:rsidP="00B475D7">
            <w:pPr>
              <w:jc w:val="center"/>
              <w:rPr>
                <w:b/>
                <w:bCs/>
                <w:sz w:val="20"/>
                <w:szCs w:val="20"/>
              </w:rPr>
            </w:pPr>
            <w:r w:rsidRPr="00C55379">
              <w:rPr>
                <w:sz w:val="20"/>
                <w:szCs w:val="20"/>
              </w:rPr>
              <w:t>$226.16</w:t>
            </w:r>
          </w:p>
        </w:tc>
        <w:tc>
          <w:tcPr>
            <w:tcW w:w="997" w:type="dxa"/>
            <w:shd w:val="clear" w:color="auto" w:fill="auto"/>
            <w:vAlign w:val="center"/>
          </w:tcPr>
          <w:p w14:paraId="4697B63C" w14:textId="074C41EC" w:rsidR="00B475D7" w:rsidRPr="00C55379" w:rsidRDefault="00B475D7" w:rsidP="00B475D7">
            <w:pPr>
              <w:jc w:val="center"/>
              <w:rPr>
                <w:b/>
                <w:bCs/>
                <w:sz w:val="20"/>
                <w:szCs w:val="20"/>
              </w:rPr>
            </w:pPr>
            <w:r w:rsidRPr="00C55379">
              <w:rPr>
                <w:sz w:val="20"/>
                <w:szCs w:val="20"/>
              </w:rPr>
              <w:t>$226.10</w:t>
            </w:r>
          </w:p>
        </w:tc>
        <w:tc>
          <w:tcPr>
            <w:tcW w:w="1134" w:type="dxa"/>
            <w:shd w:val="clear" w:color="auto" w:fill="auto"/>
            <w:vAlign w:val="center"/>
          </w:tcPr>
          <w:p w14:paraId="4536ED05" w14:textId="714B4643" w:rsidR="00B475D7" w:rsidRPr="00C55379" w:rsidRDefault="00B475D7" w:rsidP="00B475D7">
            <w:pPr>
              <w:jc w:val="center"/>
              <w:rPr>
                <w:b/>
                <w:bCs/>
                <w:sz w:val="20"/>
                <w:szCs w:val="20"/>
              </w:rPr>
            </w:pPr>
            <w:r w:rsidRPr="00C55379">
              <w:rPr>
                <w:sz w:val="20"/>
                <w:szCs w:val="20"/>
              </w:rPr>
              <w:t>$226.</w:t>
            </w:r>
            <w:r>
              <w:rPr>
                <w:sz w:val="20"/>
                <w:szCs w:val="20"/>
              </w:rPr>
              <w:t>82</w:t>
            </w:r>
          </w:p>
        </w:tc>
        <w:tc>
          <w:tcPr>
            <w:tcW w:w="993" w:type="dxa"/>
            <w:shd w:val="clear" w:color="auto" w:fill="auto"/>
            <w:vAlign w:val="center"/>
          </w:tcPr>
          <w:p w14:paraId="672FAEC2" w14:textId="77777777" w:rsidR="00B475D7" w:rsidRPr="00C55379" w:rsidRDefault="00B475D7" w:rsidP="00B475D7">
            <w:pPr>
              <w:jc w:val="center"/>
              <w:rPr>
                <w:b/>
                <w:bCs/>
                <w:sz w:val="20"/>
                <w:szCs w:val="20"/>
              </w:rPr>
            </w:pPr>
            <w:r w:rsidRPr="00C55379">
              <w:rPr>
                <w:sz w:val="20"/>
                <w:szCs w:val="20"/>
              </w:rPr>
              <w:t>$226.10</w:t>
            </w:r>
          </w:p>
        </w:tc>
        <w:tc>
          <w:tcPr>
            <w:tcW w:w="1135" w:type="dxa"/>
            <w:vAlign w:val="center"/>
          </w:tcPr>
          <w:p w14:paraId="2B502F6E" w14:textId="1F0868AC" w:rsidR="00B475D7" w:rsidRPr="00C55379" w:rsidRDefault="00B475D7" w:rsidP="00B475D7">
            <w:pPr>
              <w:jc w:val="center"/>
              <w:rPr>
                <w:sz w:val="20"/>
                <w:szCs w:val="20"/>
              </w:rPr>
            </w:pPr>
            <w:r>
              <w:rPr>
                <w:sz w:val="20"/>
                <w:szCs w:val="20"/>
              </w:rPr>
              <w:t>0.31</w:t>
            </w:r>
            <w:r w:rsidRPr="00C55379">
              <w:rPr>
                <w:sz w:val="20"/>
                <w:szCs w:val="20"/>
              </w:rPr>
              <w:t>%</w:t>
            </w:r>
          </w:p>
        </w:tc>
      </w:tr>
      <w:tr w:rsidR="00B475D7" w:rsidRPr="00C55379" w14:paraId="2D0EC7FD" w14:textId="77777777" w:rsidTr="00961B2C">
        <w:tc>
          <w:tcPr>
            <w:tcW w:w="3679" w:type="dxa"/>
            <w:vAlign w:val="bottom"/>
          </w:tcPr>
          <w:p w14:paraId="12A6AE57" w14:textId="77777777" w:rsidR="00B475D7" w:rsidRPr="00C55379" w:rsidRDefault="00B475D7" w:rsidP="00B475D7">
            <w:pPr>
              <w:rPr>
                <w:sz w:val="20"/>
                <w:szCs w:val="20"/>
              </w:rPr>
            </w:pPr>
            <w:r w:rsidRPr="00C55379">
              <w:rPr>
                <w:sz w:val="20"/>
                <w:szCs w:val="20"/>
              </w:rPr>
              <w:t>Grant or renewal of an 'unrestricted' 'Medical' parking permit for use in hospitals and in pay-parking and non-pay parking areas anywhere, valid for up to 12 months</w:t>
            </w:r>
          </w:p>
        </w:tc>
        <w:tc>
          <w:tcPr>
            <w:tcW w:w="1134" w:type="dxa"/>
            <w:shd w:val="clear" w:color="auto" w:fill="auto"/>
            <w:vAlign w:val="center"/>
          </w:tcPr>
          <w:p w14:paraId="1F7B02AB" w14:textId="67ADCCE4" w:rsidR="00B475D7" w:rsidRPr="00C55379" w:rsidRDefault="00B475D7" w:rsidP="00B475D7">
            <w:pPr>
              <w:jc w:val="center"/>
              <w:rPr>
                <w:b/>
                <w:bCs/>
                <w:sz w:val="20"/>
                <w:szCs w:val="20"/>
              </w:rPr>
            </w:pPr>
            <w:r w:rsidRPr="00C55379">
              <w:rPr>
                <w:sz w:val="20"/>
                <w:szCs w:val="20"/>
              </w:rPr>
              <w:t>$1186.39</w:t>
            </w:r>
          </w:p>
        </w:tc>
        <w:tc>
          <w:tcPr>
            <w:tcW w:w="997" w:type="dxa"/>
            <w:shd w:val="clear" w:color="auto" w:fill="auto"/>
            <w:vAlign w:val="center"/>
          </w:tcPr>
          <w:p w14:paraId="4D222367" w14:textId="461EE889" w:rsidR="00B475D7" w:rsidRPr="00C55379" w:rsidRDefault="00B475D7" w:rsidP="00B475D7">
            <w:pPr>
              <w:jc w:val="center"/>
              <w:rPr>
                <w:b/>
                <w:bCs/>
                <w:sz w:val="20"/>
                <w:szCs w:val="20"/>
              </w:rPr>
            </w:pPr>
            <w:r w:rsidRPr="00C55379">
              <w:rPr>
                <w:sz w:val="20"/>
                <w:szCs w:val="20"/>
              </w:rPr>
              <w:t>$1186.30</w:t>
            </w:r>
          </w:p>
        </w:tc>
        <w:tc>
          <w:tcPr>
            <w:tcW w:w="1134" w:type="dxa"/>
            <w:shd w:val="clear" w:color="auto" w:fill="auto"/>
            <w:vAlign w:val="center"/>
          </w:tcPr>
          <w:p w14:paraId="31B4F29F" w14:textId="45AE60A1" w:rsidR="00B475D7" w:rsidRPr="00C55379" w:rsidRDefault="00B475D7" w:rsidP="00B475D7">
            <w:pPr>
              <w:jc w:val="center"/>
              <w:rPr>
                <w:b/>
                <w:bCs/>
                <w:sz w:val="20"/>
                <w:szCs w:val="20"/>
              </w:rPr>
            </w:pPr>
            <w:r w:rsidRPr="00C55379">
              <w:rPr>
                <w:sz w:val="20"/>
                <w:szCs w:val="20"/>
              </w:rPr>
              <w:t>$118</w:t>
            </w:r>
            <w:r>
              <w:rPr>
                <w:sz w:val="20"/>
                <w:szCs w:val="20"/>
              </w:rPr>
              <w:t>9</w:t>
            </w:r>
            <w:r w:rsidRPr="00C55379">
              <w:rPr>
                <w:sz w:val="20"/>
                <w:szCs w:val="20"/>
              </w:rPr>
              <w:t>.</w:t>
            </w:r>
            <w:r>
              <w:rPr>
                <w:sz w:val="20"/>
                <w:szCs w:val="20"/>
              </w:rPr>
              <w:t>84</w:t>
            </w:r>
          </w:p>
        </w:tc>
        <w:tc>
          <w:tcPr>
            <w:tcW w:w="993" w:type="dxa"/>
            <w:shd w:val="clear" w:color="auto" w:fill="auto"/>
            <w:vAlign w:val="center"/>
          </w:tcPr>
          <w:p w14:paraId="05CC8D31" w14:textId="77777777" w:rsidR="00B475D7" w:rsidRPr="00C55379" w:rsidRDefault="00B475D7" w:rsidP="00B475D7">
            <w:pPr>
              <w:jc w:val="center"/>
              <w:rPr>
                <w:b/>
                <w:bCs/>
                <w:sz w:val="20"/>
                <w:szCs w:val="20"/>
              </w:rPr>
            </w:pPr>
            <w:r w:rsidRPr="00C55379">
              <w:rPr>
                <w:sz w:val="20"/>
                <w:szCs w:val="20"/>
              </w:rPr>
              <w:t>$1186.30</w:t>
            </w:r>
          </w:p>
        </w:tc>
        <w:tc>
          <w:tcPr>
            <w:tcW w:w="1135" w:type="dxa"/>
            <w:vAlign w:val="center"/>
          </w:tcPr>
          <w:p w14:paraId="13513299" w14:textId="710A97E6" w:rsidR="00B475D7" w:rsidRPr="00C55379" w:rsidRDefault="00B475D7" w:rsidP="00B475D7">
            <w:pPr>
              <w:jc w:val="center"/>
              <w:rPr>
                <w:sz w:val="20"/>
                <w:szCs w:val="20"/>
              </w:rPr>
            </w:pPr>
            <w:r>
              <w:rPr>
                <w:sz w:val="20"/>
                <w:szCs w:val="20"/>
              </w:rPr>
              <w:t>0.29</w:t>
            </w:r>
            <w:r w:rsidRPr="00C55379">
              <w:rPr>
                <w:sz w:val="20"/>
                <w:szCs w:val="20"/>
              </w:rPr>
              <w:t>%</w:t>
            </w:r>
          </w:p>
        </w:tc>
      </w:tr>
      <w:tr w:rsidR="00B475D7" w:rsidRPr="00C55379" w14:paraId="05CDC4CB" w14:textId="77777777" w:rsidTr="00961B2C">
        <w:tc>
          <w:tcPr>
            <w:tcW w:w="3679" w:type="dxa"/>
            <w:vAlign w:val="bottom"/>
          </w:tcPr>
          <w:p w14:paraId="2B1AF56D" w14:textId="77777777" w:rsidR="00B475D7" w:rsidRPr="00C55379" w:rsidRDefault="00B475D7" w:rsidP="00B475D7">
            <w:pPr>
              <w:rPr>
                <w:sz w:val="20"/>
                <w:szCs w:val="20"/>
              </w:rPr>
            </w:pPr>
            <w:r w:rsidRPr="00C55379">
              <w:rPr>
                <w:sz w:val="20"/>
                <w:szCs w:val="20"/>
              </w:rPr>
              <w:t>Grant or renewal of an 'excludes City' 'Medical' parking permit for use in hospitals and in pay-parking and non-pay parking areas outside of the City, valid for up to 12 months</w:t>
            </w:r>
          </w:p>
        </w:tc>
        <w:tc>
          <w:tcPr>
            <w:tcW w:w="1134" w:type="dxa"/>
            <w:shd w:val="clear" w:color="auto" w:fill="auto"/>
            <w:vAlign w:val="center"/>
          </w:tcPr>
          <w:p w14:paraId="44461922" w14:textId="620B7948" w:rsidR="00B475D7" w:rsidRPr="00C55379" w:rsidRDefault="00B475D7" w:rsidP="00B475D7">
            <w:pPr>
              <w:jc w:val="center"/>
              <w:rPr>
                <w:b/>
                <w:bCs/>
                <w:sz w:val="20"/>
                <w:szCs w:val="20"/>
              </w:rPr>
            </w:pPr>
            <w:r w:rsidRPr="00C55379">
              <w:rPr>
                <w:sz w:val="20"/>
                <w:szCs w:val="20"/>
              </w:rPr>
              <w:t>$473.63</w:t>
            </w:r>
          </w:p>
        </w:tc>
        <w:tc>
          <w:tcPr>
            <w:tcW w:w="997" w:type="dxa"/>
            <w:shd w:val="clear" w:color="auto" w:fill="auto"/>
            <w:vAlign w:val="center"/>
          </w:tcPr>
          <w:p w14:paraId="503F1294" w14:textId="32C4B89B" w:rsidR="00B475D7" w:rsidRPr="00C55379" w:rsidRDefault="00B475D7" w:rsidP="00B475D7">
            <w:pPr>
              <w:jc w:val="center"/>
              <w:rPr>
                <w:b/>
                <w:bCs/>
                <w:sz w:val="20"/>
                <w:szCs w:val="20"/>
              </w:rPr>
            </w:pPr>
            <w:r w:rsidRPr="00C55379">
              <w:rPr>
                <w:sz w:val="20"/>
                <w:szCs w:val="20"/>
              </w:rPr>
              <w:t>$473.60</w:t>
            </w:r>
          </w:p>
        </w:tc>
        <w:tc>
          <w:tcPr>
            <w:tcW w:w="1134" w:type="dxa"/>
            <w:shd w:val="clear" w:color="auto" w:fill="auto"/>
            <w:vAlign w:val="center"/>
          </w:tcPr>
          <w:p w14:paraId="1EB8A0D1" w14:textId="61F78A62" w:rsidR="00B475D7" w:rsidRPr="00C55379" w:rsidRDefault="00B475D7" w:rsidP="00B475D7">
            <w:pPr>
              <w:jc w:val="center"/>
              <w:rPr>
                <w:b/>
                <w:bCs/>
                <w:sz w:val="20"/>
                <w:szCs w:val="20"/>
              </w:rPr>
            </w:pPr>
            <w:r w:rsidRPr="00C55379">
              <w:rPr>
                <w:sz w:val="20"/>
                <w:szCs w:val="20"/>
              </w:rPr>
              <w:t>$</w:t>
            </w:r>
            <w:r>
              <w:rPr>
                <w:sz w:val="20"/>
                <w:szCs w:val="20"/>
              </w:rPr>
              <w:t>475.00</w:t>
            </w:r>
          </w:p>
        </w:tc>
        <w:tc>
          <w:tcPr>
            <w:tcW w:w="993" w:type="dxa"/>
            <w:shd w:val="clear" w:color="auto" w:fill="auto"/>
            <w:vAlign w:val="center"/>
          </w:tcPr>
          <w:p w14:paraId="2BFE3EBB" w14:textId="77777777" w:rsidR="00B475D7" w:rsidRPr="00C55379" w:rsidRDefault="00B475D7" w:rsidP="00B475D7">
            <w:pPr>
              <w:jc w:val="center"/>
              <w:rPr>
                <w:b/>
                <w:bCs/>
                <w:sz w:val="20"/>
                <w:szCs w:val="20"/>
              </w:rPr>
            </w:pPr>
            <w:r w:rsidRPr="00C55379">
              <w:rPr>
                <w:sz w:val="20"/>
                <w:szCs w:val="20"/>
              </w:rPr>
              <w:t>$473.60</w:t>
            </w:r>
          </w:p>
        </w:tc>
        <w:tc>
          <w:tcPr>
            <w:tcW w:w="1135" w:type="dxa"/>
            <w:vAlign w:val="center"/>
          </w:tcPr>
          <w:p w14:paraId="53B94660" w14:textId="421D16D0" w:rsidR="00B475D7" w:rsidRPr="00C55379" w:rsidRDefault="00B475D7" w:rsidP="00B475D7">
            <w:pPr>
              <w:jc w:val="center"/>
              <w:rPr>
                <w:sz w:val="20"/>
                <w:szCs w:val="20"/>
              </w:rPr>
            </w:pPr>
            <w:r>
              <w:rPr>
                <w:sz w:val="20"/>
                <w:szCs w:val="20"/>
              </w:rPr>
              <w:t>0.29</w:t>
            </w:r>
            <w:r w:rsidRPr="00C55379">
              <w:rPr>
                <w:sz w:val="20"/>
                <w:szCs w:val="20"/>
              </w:rPr>
              <w:t>%</w:t>
            </w:r>
          </w:p>
        </w:tc>
      </w:tr>
      <w:tr w:rsidR="00B475D7" w:rsidRPr="00C55379" w14:paraId="7F527865" w14:textId="77777777" w:rsidTr="00961B2C">
        <w:tc>
          <w:tcPr>
            <w:tcW w:w="3679" w:type="dxa"/>
            <w:vAlign w:val="bottom"/>
          </w:tcPr>
          <w:p w14:paraId="42035326" w14:textId="77777777" w:rsidR="00B475D7" w:rsidRPr="00C55379" w:rsidRDefault="00B475D7" w:rsidP="00B475D7">
            <w:pPr>
              <w:rPr>
                <w:sz w:val="20"/>
                <w:szCs w:val="20"/>
              </w:rPr>
            </w:pPr>
            <w:r w:rsidRPr="00C55379">
              <w:rPr>
                <w:sz w:val="20"/>
                <w:szCs w:val="20"/>
              </w:rPr>
              <w:t>Grant or renewal of a 'restricted' 'Medical' parking permit for use in hospitals and non-pay parking areas, valid for up to 12 months</w:t>
            </w:r>
          </w:p>
        </w:tc>
        <w:tc>
          <w:tcPr>
            <w:tcW w:w="1134" w:type="dxa"/>
            <w:shd w:val="clear" w:color="auto" w:fill="auto"/>
            <w:vAlign w:val="center"/>
          </w:tcPr>
          <w:p w14:paraId="1499A383" w14:textId="32837EB4" w:rsidR="00B475D7" w:rsidRPr="00C55379" w:rsidRDefault="00B475D7" w:rsidP="00B475D7">
            <w:pPr>
              <w:jc w:val="center"/>
              <w:rPr>
                <w:b/>
                <w:bCs/>
                <w:sz w:val="20"/>
                <w:szCs w:val="20"/>
              </w:rPr>
            </w:pPr>
            <w:r w:rsidRPr="00C55379">
              <w:rPr>
                <w:sz w:val="20"/>
                <w:szCs w:val="20"/>
              </w:rPr>
              <w:t>$93.06</w:t>
            </w:r>
          </w:p>
        </w:tc>
        <w:tc>
          <w:tcPr>
            <w:tcW w:w="997" w:type="dxa"/>
            <w:shd w:val="clear" w:color="auto" w:fill="auto"/>
            <w:vAlign w:val="center"/>
          </w:tcPr>
          <w:p w14:paraId="65228FBC" w14:textId="1D5D6990" w:rsidR="00B475D7" w:rsidRPr="00C55379" w:rsidRDefault="00B475D7" w:rsidP="00B475D7">
            <w:pPr>
              <w:jc w:val="center"/>
              <w:rPr>
                <w:b/>
                <w:bCs/>
                <w:sz w:val="20"/>
                <w:szCs w:val="20"/>
              </w:rPr>
            </w:pPr>
            <w:r w:rsidRPr="00C55379">
              <w:rPr>
                <w:sz w:val="20"/>
                <w:szCs w:val="20"/>
              </w:rPr>
              <w:t>$93.00</w:t>
            </w:r>
          </w:p>
        </w:tc>
        <w:tc>
          <w:tcPr>
            <w:tcW w:w="1134" w:type="dxa"/>
            <w:shd w:val="clear" w:color="auto" w:fill="auto"/>
            <w:vAlign w:val="center"/>
          </w:tcPr>
          <w:p w14:paraId="79F11382" w14:textId="20C4BE53" w:rsidR="00B475D7" w:rsidRPr="00C55379" w:rsidRDefault="00B475D7" w:rsidP="00B475D7">
            <w:pPr>
              <w:jc w:val="center"/>
              <w:rPr>
                <w:b/>
                <w:bCs/>
                <w:sz w:val="20"/>
                <w:szCs w:val="20"/>
              </w:rPr>
            </w:pPr>
            <w:r w:rsidRPr="00C55379">
              <w:rPr>
                <w:sz w:val="20"/>
                <w:szCs w:val="20"/>
              </w:rPr>
              <w:t>$93.</w:t>
            </w:r>
            <w:r>
              <w:rPr>
                <w:sz w:val="20"/>
                <w:szCs w:val="20"/>
              </w:rPr>
              <w:t>33</w:t>
            </w:r>
          </w:p>
        </w:tc>
        <w:tc>
          <w:tcPr>
            <w:tcW w:w="993" w:type="dxa"/>
            <w:shd w:val="clear" w:color="auto" w:fill="auto"/>
            <w:vAlign w:val="center"/>
          </w:tcPr>
          <w:p w14:paraId="308657DE" w14:textId="77777777" w:rsidR="00B475D7" w:rsidRPr="00C55379" w:rsidRDefault="00B475D7" w:rsidP="00B475D7">
            <w:pPr>
              <w:jc w:val="center"/>
              <w:rPr>
                <w:b/>
                <w:bCs/>
                <w:sz w:val="20"/>
                <w:szCs w:val="20"/>
              </w:rPr>
            </w:pPr>
            <w:r w:rsidRPr="00C55379">
              <w:rPr>
                <w:sz w:val="20"/>
                <w:szCs w:val="20"/>
              </w:rPr>
              <w:t>$93.00</w:t>
            </w:r>
          </w:p>
        </w:tc>
        <w:tc>
          <w:tcPr>
            <w:tcW w:w="1135" w:type="dxa"/>
            <w:vAlign w:val="center"/>
          </w:tcPr>
          <w:p w14:paraId="2CE59A05" w14:textId="76DCDCBB" w:rsidR="00B475D7" w:rsidRPr="00C55379" w:rsidRDefault="00B475D7" w:rsidP="00B475D7">
            <w:pPr>
              <w:ind w:left="85" w:hanging="85"/>
              <w:jc w:val="center"/>
              <w:rPr>
                <w:sz w:val="20"/>
                <w:szCs w:val="20"/>
              </w:rPr>
            </w:pPr>
            <w:r>
              <w:rPr>
                <w:sz w:val="20"/>
                <w:szCs w:val="20"/>
              </w:rPr>
              <w:t>0.32</w:t>
            </w:r>
            <w:r w:rsidRPr="00C55379">
              <w:rPr>
                <w:sz w:val="20"/>
                <w:szCs w:val="20"/>
              </w:rPr>
              <w:t>%</w:t>
            </w:r>
          </w:p>
        </w:tc>
      </w:tr>
      <w:tr w:rsidR="00B475D7" w:rsidRPr="00C55379" w14:paraId="5CBE8DBF" w14:textId="77777777" w:rsidTr="00961B2C">
        <w:tc>
          <w:tcPr>
            <w:tcW w:w="3679" w:type="dxa"/>
            <w:vAlign w:val="bottom"/>
          </w:tcPr>
          <w:p w14:paraId="19E1BEF1" w14:textId="77777777" w:rsidR="00B475D7" w:rsidRPr="00C55379" w:rsidRDefault="00B475D7" w:rsidP="00B475D7">
            <w:pPr>
              <w:rPr>
                <w:sz w:val="20"/>
                <w:szCs w:val="20"/>
              </w:rPr>
            </w:pPr>
            <w:r w:rsidRPr="00C55379">
              <w:rPr>
                <w:sz w:val="20"/>
                <w:szCs w:val="20"/>
              </w:rPr>
              <w:t>Grant or renewal of a 'Residents' parking permit for residents of Argyle Square, valid for up to 6 months</w:t>
            </w:r>
          </w:p>
        </w:tc>
        <w:tc>
          <w:tcPr>
            <w:tcW w:w="1134" w:type="dxa"/>
            <w:shd w:val="clear" w:color="auto" w:fill="auto"/>
            <w:vAlign w:val="center"/>
          </w:tcPr>
          <w:p w14:paraId="0466EDF5" w14:textId="6983CD5D" w:rsidR="00B475D7" w:rsidRPr="00C55379" w:rsidRDefault="00B475D7" w:rsidP="00B475D7">
            <w:pPr>
              <w:jc w:val="center"/>
              <w:rPr>
                <w:b/>
                <w:bCs/>
                <w:sz w:val="20"/>
                <w:szCs w:val="20"/>
              </w:rPr>
            </w:pPr>
            <w:r w:rsidRPr="00C55379">
              <w:rPr>
                <w:sz w:val="20"/>
                <w:szCs w:val="20"/>
              </w:rPr>
              <w:t>$24.46</w:t>
            </w:r>
          </w:p>
        </w:tc>
        <w:tc>
          <w:tcPr>
            <w:tcW w:w="997" w:type="dxa"/>
            <w:shd w:val="clear" w:color="auto" w:fill="auto"/>
            <w:vAlign w:val="center"/>
          </w:tcPr>
          <w:p w14:paraId="7BC391A3" w14:textId="090BF479" w:rsidR="00B475D7" w:rsidRPr="00C55379" w:rsidRDefault="00B475D7" w:rsidP="00B475D7">
            <w:pPr>
              <w:jc w:val="center"/>
              <w:rPr>
                <w:b/>
                <w:bCs/>
                <w:sz w:val="20"/>
                <w:szCs w:val="20"/>
              </w:rPr>
            </w:pPr>
            <w:r w:rsidRPr="00C55379">
              <w:rPr>
                <w:sz w:val="20"/>
                <w:szCs w:val="20"/>
              </w:rPr>
              <w:t>$24.40</w:t>
            </w:r>
          </w:p>
        </w:tc>
        <w:tc>
          <w:tcPr>
            <w:tcW w:w="1134" w:type="dxa"/>
            <w:shd w:val="clear" w:color="auto" w:fill="auto"/>
            <w:vAlign w:val="center"/>
          </w:tcPr>
          <w:p w14:paraId="18B71EEA" w14:textId="7305AF48" w:rsidR="00B475D7" w:rsidRPr="00C55379" w:rsidRDefault="00B475D7" w:rsidP="00B475D7">
            <w:pPr>
              <w:jc w:val="center"/>
              <w:rPr>
                <w:b/>
                <w:bCs/>
                <w:sz w:val="20"/>
                <w:szCs w:val="20"/>
              </w:rPr>
            </w:pPr>
            <w:r w:rsidRPr="00C55379">
              <w:rPr>
                <w:sz w:val="20"/>
                <w:szCs w:val="20"/>
              </w:rPr>
              <w:t>$24.</w:t>
            </w:r>
            <w:r>
              <w:rPr>
                <w:sz w:val="20"/>
                <w:szCs w:val="20"/>
              </w:rPr>
              <w:t>53</w:t>
            </w:r>
          </w:p>
        </w:tc>
        <w:tc>
          <w:tcPr>
            <w:tcW w:w="993" w:type="dxa"/>
            <w:shd w:val="clear" w:color="auto" w:fill="auto"/>
            <w:vAlign w:val="center"/>
          </w:tcPr>
          <w:p w14:paraId="4429C4DC" w14:textId="77777777" w:rsidR="00B475D7" w:rsidRPr="00C55379" w:rsidRDefault="00B475D7" w:rsidP="00B475D7">
            <w:pPr>
              <w:jc w:val="center"/>
              <w:rPr>
                <w:b/>
                <w:bCs/>
                <w:sz w:val="20"/>
                <w:szCs w:val="20"/>
              </w:rPr>
            </w:pPr>
            <w:r w:rsidRPr="00C55379">
              <w:rPr>
                <w:sz w:val="20"/>
                <w:szCs w:val="20"/>
              </w:rPr>
              <w:t>$24.40</w:t>
            </w:r>
          </w:p>
        </w:tc>
        <w:tc>
          <w:tcPr>
            <w:tcW w:w="1135" w:type="dxa"/>
            <w:vAlign w:val="center"/>
          </w:tcPr>
          <w:p w14:paraId="1171FB33" w14:textId="5F90F96D" w:rsidR="00B475D7" w:rsidRPr="00C55379" w:rsidRDefault="00B475D7" w:rsidP="00B475D7">
            <w:pPr>
              <w:jc w:val="center"/>
              <w:rPr>
                <w:sz w:val="20"/>
                <w:szCs w:val="20"/>
              </w:rPr>
            </w:pPr>
            <w:r>
              <w:rPr>
                <w:sz w:val="20"/>
                <w:szCs w:val="20"/>
              </w:rPr>
              <w:t>0.41</w:t>
            </w:r>
            <w:r w:rsidRPr="00C55379">
              <w:rPr>
                <w:sz w:val="20"/>
                <w:szCs w:val="20"/>
              </w:rPr>
              <w:t>%</w:t>
            </w:r>
          </w:p>
        </w:tc>
      </w:tr>
      <w:tr w:rsidR="00B475D7" w:rsidRPr="00C55379" w14:paraId="3C83C475" w14:textId="77777777" w:rsidTr="00961B2C">
        <w:tc>
          <w:tcPr>
            <w:tcW w:w="3679" w:type="dxa"/>
            <w:vAlign w:val="bottom"/>
          </w:tcPr>
          <w:p w14:paraId="1550B766" w14:textId="77777777" w:rsidR="00B475D7" w:rsidRPr="00C55379" w:rsidRDefault="00B475D7" w:rsidP="00B475D7">
            <w:pPr>
              <w:rPr>
                <w:sz w:val="20"/>
                <w:szCs w:val="20"/>
              </w:rPr>
            </w:pPr>
            <w:r w:rsidRPr="00C55379">
              <w:rPr>
                <w:sz w:val="20"/>
                <w:szCs w:val="20"/>
              </w:rPr>
              <w:t>Grant or renewal of a 'Residents' parking permit for residents of Argyle Square, valid for up to 12 months</w:t>
            </w:r>
          </w:p>
        </w:tc>
        <w:tc>
          <w:tcPr>
            <w:tcW w:w="1134" w:type="dxa"/>
            <w:shd w:val="clear" w:color="auto" w:fill="auto"/>
            <w:vAlign w:val="center"/>
          </w:tcPr>
          <w:p w14:paraId="549883D1" w14:textId="001F8F67" w:rsidR="00B475D7" w:rsidRPr="00C55379" w:rsidRDefault="00B475D7" w:rsidP="00B475D7">
            <w:pPr>
              <w:jc w:val="center"/>
              <w:rPr>
                <w:b/>
                <w:bCs/>
                <w:sz w:val="20"/>
                <w:szCs w:val="20"/>
              </w:rPr>
            </w:pPr>
            <w:r w:rsidRPr="00C55379">
              <w:rPr>
                <w:sz w:val="20"/>
                <w:szCs w:val="20"/>
              </w:rPr>
              <w:t>$53.46</w:t>
            </w:r>
          </w:p>
        </w:tc>
        <w:tc>
          <w:tcPr>
            <w:tcW w:w="997" w:type="dxa"/>
            <w:shd w:val="clear" w:color="auto" w:fill="auto"/>
            <w:vAlign w:val="center"/>
          </w:tcPr>
          <w:p w14:paraId="7A05D8DE" w14:textId="3628A6D0" w:rsidR="00B475D7" w:rsidRPr="00C55379" w:rsidRDefault="00B475D7" w:rsidP="00B475D7">
            <w:pPr>
              <w:jc w:val="center"/>
              <w:rPr>
                <w:b/>
                <w:bCs/>
                <w:sz w:val="20"/>
                <w:szCs w:val="20"/>
              </w:rPr>
            </w:pPr>
            <w:r w:rsidRPr="00C55379">
              <w:rPr>
                <w:sz w:val="20"/>
                <w:szCs w:val="20"/>
              </w:rPr>
              <w:t>$53.40</w:t>
            </w:r>
          </w:p>
        </w:tc>
        <w:tc>
          <w:tcPr>
            <w:tcW w:w="1134" w:type="dxa"/>
            <w:shd w:val="clear" w:color="auto" w:fill="auto"/>
            <w:vAlign w:val="center"/>
          </w:tcPr>
          <w:p w14:paraId="4D5DA4B9" w14:textId="59B5933D" w:rsidR="00B475D7" w:rsidRPr="00B475D7" w:rsidRDefault="00B475D7" w:rsidP="00B475D7">
            <w:pPr>
              <w:jc w:val="center"/>
              <w:rPr>
                <w:sz w:val="20"/>
                <w:szCs w:val="20"/>
              </w:rPr>
            </w:pPr>
            <w:r w:rsidRPr="00C55379">
              <w:rPr>
                <w:sz w:val="20"/>
                <w:szCs w:val="20"/>
              </w:rPr>
              <w:t>$53.</w:t>
            </w:r>
            <w:r>
              <w:rPr>
                <w:sz w:val="20"/>
                <w:szCs w:val="20"/>
              </w:rPr>
              <w:t>62</w:t>
            </w:r>
          </w:p>
        </w:tc>
        <w:tc>
          <w:tcPr>
            <w:tcW w:w="993" w:type="dxa"/>
            <w:shd w:val="clear" w:color="auto" w:fill="auto"/>
            <w:vAlign w:val="center"/>
          </w:tcPr>
          <w:p w14:paraId="1C853296" w14:textId="77777777" w:rsidR="00B475D7" w:rsidRPr="00C55379" w:rsidRDefault="00B475D7" w:rsidP="00B475D7">
            <w:pPr>
              <w:jc w:val="center"/>
              <w:rPr>
                <w:b/>
                <w:bCs/>
                <w:sz w:val="20"/>
                <w:szCs w:val="20"/>
              </w:rPr>
            </w:pPr>
            <w:r w:rsidRPr="00C55379">
              <w:rPr>
                <w:sz w:val="20"/>
                <w:szCs w:val="20"/>
              </w:rPr>
              <w:t>$53.40</w:t>
            </w:r>
          </w:p>
        </w:tc>
        <w:tc>
          <w:tcPr>
            <w:tcW w:w="1135" w:type="dxa"/>
            <w:vAlign w:val="center"/>
          </w:tcPr>
          <w:p w14:paraId="3CF2751E" w14:textId="166A9AA4" w:rsidR="00B475D7" w:rsidRPr="00C55379" w:rsidRDefault="00B475D7" w:rsidP="00B475D7">
            <w:pPr>
              <w:jc w:val="center"/>
              <w:rPr>
                <w:sz w:val="20"/>
                <w:szCs w:val="20"/>
              </w:rPr>
            </w:pPr>
            <w:r>
              <w:rPr>
                <w:sz w:val="20"/>
                <w:szCs w:val="20"/>
              </w:rPr>
              <w:t>0.37</w:t>
            </w:r>
            <w:r w:rsidRPr="00C55379">
              <w:rPr>
                <w:sz w:val="20"/>
                <w:szCs w:val="20"/>
              </w:rPr>
              <w:t>%</w:t>
            </w:r>
          </w:p>
        </w:tc>
      </w:tr>
      <w:tr w:rsidR="00B475D7" w:rsidRPr="00C55379" w14:paraId="21AAA2A2" w14:textId="77777777" w:rsidTr="00961B2C">
        <w:tc>
          <w:tcPr>
            <w:tcW w:w="3679" w:type="dxa"/>
            <w:vAlign w:val="bottom"/>
          </w:tcPr>
          <w:p w14:paraId="26149E10" w14:textId="77777777" w:rsidR="00B475D7" w:rsidRPr="00C55379" w:rsidRDefault="00B475D7" w:rsidP="00B475D7">
            <w:pPr>
              <w:rPr>
                <w:sz w:val="20"/>
                <w:szCs w:val="20"/>
              </w:rPr>
            </w:pPr>
            <w:r w:rsidRPr="00C55379">
              <w:rPr>
                <w:sz w:val="20"/>
                <w:szCs w:val="20"/>
              </w:rPr>
              <w:lastRenderedPageBreak/>
              <w:t>Grant or renewal of a 'Residents' parking permit for residents of Havelock House, valid for up to 12 months</w:t>
            </w:r>
          </w:p>
        </w:tc>
        <w:tc>
          <w:tcPr>
            <w:tcW w:w="1134" w:type="dxa"/>
            <w:shd w:val="clear" w:color="auto" w:fill="auto"/>
            <w:vAlign w:val="center"/>
          </w:tcPr>
          <w:p w14:paraId="00009253" w14:textId="6303229A" w:rsidR="00B475D7" w:rsidRPr="00C55379" w:rsidRDefault="00B475D7" w:rsidP="00B475D7">
            <w:pPr>
              <w:jc w:val="center"/>
              <w:rPr>
                <w:b/>
                <w:bCs/>
                <w:sz w:val="20"/>
                <w:szCs w:val="20"/>
              </w:rPr>
            </w:pPr>
            <w:r w:rsidRPr="00C55379">
              <w:rPr>
                <w:sz w:val="20"/>
                <w:szCs w:val="20"/>
              </w:rPr>
              <w:t>$14.07</w:t>
            </w:r>
          </w:p>
        </w:tc>
        <w:tc>
          <w:tcPr>
            <w:tcW w:w="997" w:type="dxa"/>
            <w:shd w:val="clear" w:color="auto" w:fill="auto"/>
            <w:vAlign w:val="center"/>
          </w:tcPr>
          <w:p w14:paraId="30FA2AB5" w14:textId="38041B0C" w:rsidR="00B475D7" w:rsidRPr="00C55379" w:rsidRDefault="00B475D7" w:rsidP="00B475D7">
            <w:pPr>
              <w:jc w:val="center"/>
              <w:rPr>
                <w:b/>
                <w:bCs/>
                <w:sz w:val="20"/>
                <w:szCs w:val="20"/>
              </w:rPr>
            </w:pPr>
            <w:r w:rsidRPr="00C55379">
              <w:rPr>
                <w:sz w:val="20"/>
                <w:szCs w:val="20"/>
              </w:rPr>
              <w:t>$13.00</w:t>
            </w:r>
          </w:p>
        </w:tc>
        <w:tc>
          <w:tcPr>
            <w:tcW w:w="1134" w:type="dxa"/>
            <w:shd w:val="clear" w:color="auto" w:fill="auto"/>
            <w:vAlign w:val="center"/>
          </w:tcPr>
          <w:p w14:paraId="08453035" w14:textId="372CA649" w:rsidR="00B475D7" w:rsidRPr="00C55379" w:rsidRDefault="00B475D7" w:rsidP="00B475D7">
            <w:pPr>
              <w:jc w:val="center"/>
              <w:rPr>
                <w:b/>
                <w:bCs/>
                <w:sz w:val="20"/>
                <w:szCs w:val="20"/>
              </w:rPr>
            </w:pPr>
            <w:r w:rsidRPr="00C55379">
              <w:rPr>
                <w:sz w:val="20"/>
                <w:szCs w:val="20"/>
              </w:rPr>
              <w:t>$14.</w:t>
            </w:r>
            <w:r>
              <w:rPr>
                <w:sz w:val="20"/>
                <w:szCs w:val="20"/>
              </w:rPr>
              <w:t>11</w:t>
            </w:r>
          </w:p>
        </w:tc>
        <w:tc>
          <w:tcPr>
            <w:tcW w:w="993" w:type="dxa"/>
            <w:shd w:val="clear" w:color="auto" w:fill="auto"/>
            <w:vAlign w:val="center"/>
          </w:tcPr>
          <w:p w14:paraId="61572955" w14:textId="77777777" w:rsidR="00B475D7" w:rsidRPr="00C55379" w:rsidRDefault="00B475D7" w:rsidP="00B475D7">
            <w:pPr>
              <w:jc w:val="center"/>
              <w:rPr>
                <w:b/>
                <w:bCs/>
                <w:sz w:val="20"/>
                <w:szCs w:val="20"/>
              </w:rPr>
            </w:pPr>
            <w:r w:rsidRPr="00C55379">
              <w:rPr>
                <w:sz w:val="20"/>
                <w:szCs w:val="20"/>
              </w:rPr>
              <w:t>$13.00</w:t>
            </w:r>
          </w:p>
        </w:tc>
        <w:tc>
          <w:tcPr>
            <w:tcW w:w="1135" w:type="dxa"/>
            <w:vAlign w:val="center"/>
          </w:tcPr>
          <w:p w14:paraId="67D9980A" w14:textId="77777777" w:rsidR="00B475D7" w:rsidRPr="00C55379" w:rsidRDefault="00B475D7" w:rsidP="00B475D7">
            <w:pPr>
              <w:jc w:val="center"/>
              <w:rPr>
                <w:sz w:val="20"/>
                <w:szCs w:val="20"/>
              </w:rPr>
            </w:pPr>
            <w:r w:rsidRPr="00C55379">
              <w:rPr>
                <w:sz w:val="20"/>
                <w:szCs w:val="20"/>
              </w:rPr>
              <w:t>0.00%</w:t>
            </w:r>
          </w:p>
        </w:tc>
      </w:tr>
      <w:tr w:rsidR="00B475D7" w:rsidRPr="00C55379" w14:paraId="025B0299" w14:textId="77777777" w:rsidTr="00961B2C">
        <w:tc>
          <w:tcPr>
            <w:tcW w:w="3679" w:type="dxa"/>
            <w:vAlign w:val="bottom"/>
          </w:tcPr>
          <w:p w14:paraId="2A2DE304" w14:textId="77777777" w:rsidR="00B475D7" w:rsidRPr="00C55379" w:rsidRDefault="00B475D7" w:rsidP="00B475D7">
            <w:pPr>
              <w:rPr>
                <w:sz w:val="20"/>
                <w:szCs w:val="20"/>
              </w:rPr>
            </w:pPr>
            <w:r w:rsidRPr="00C55379">
              <w:rPr>
                <w:sz w:val="20"/>
                <w:szCs w:val="20"/>
              </w:rPr>
              <w:t xml:space="preserve">Grant or renewal of a 'Government' parking permit, valid for up to 12 months </w:t>
            </w:r>
          </w:p>
        </w:tc>
        <w:tc>
          <w:tcPr>
            <w:tcW w:w="1134" w:type="dxa"/>
            <w:shd w:val="clear" w:color="auto" w:fill="auto"/>
            <w:vAlign w:val="center"/>
          </w:tcPr>
          <w:p w14:paraId="3D6AD2D7" w14:textId="410B3B8A" w:rsidR="00B475D7" w:rsidRPr="00C55379" w:rsidRDefault="00B475D7" w:rsidP="00B475D7">
            <w:pPr>
              <w:jc w:val="center"/>
              <w:rPr>
                <w:b/>
                <w:bCs/>
                <w:sz w:val="20"/>
                <w:szCs w:val="20"/>
              </w:rPr>
            </w:pPr>
            <w:r w:rsidRPr="00C55379">
              <w:rPr>
                <w:sz w:val="20"/>
                <w:szCs w:val="20"/>
              </w:rPr>
              <w:t>$55.19</w:t>
            </w:r>
          </w:p>
        </w:tc>
        <w:tc>
          <w:tcPr>
            <w:tcW w:w="997" w:type="dxa"/>
            <w:shd w:val="clear" w:color="auto" w:fill="auto"/>
            <w:vAlign w:val="center"/>
          </w:tcPr>
          <w:p w14:paraId="46275966" w14:textId="52CA549E" w:rsidR="00B475D7" w:rsidRPr="00C55379" w:rsidRDefault="00B475D7" w:rsidP="00B475D7">
            <w:pPr>
              <w:jc w:val="center"/>
              <w:rPr>
                <w:b/>
                <w:bCs/>
                <w:sz w:val="20"/>
                <w:szCs w:val="20"/>
              </w:rPr>
            </w:pPr>
            <w:r w:rsidRPr="00C55379">
              <w:rPr>
                <w:sz w:val="20"/>
                <w:szCs w:val="20"/>
              </w:rPr>
              <w:t>$55.10</w:t>
            </w:r>
          </w:p>
        </w:tc>
        <w:tc>
          <w:tcPr>
            <w:tcW w:w="1134" w:type="dxa"/>
            <w:shd w:val="clear" w:color="auto" w:fill="auto"/>
            <w:vAlign w:val="center"/>
          </w:tcPr>
          <w:p w14:paraId="6E9D68FB" w14:textId="12DAA4C4" w:rsidR="00B475D7" w:rsidRPr="00C55379" w:rsidRDefault="00B475D7" w:rsidP="00B475D7">
            <w:pPr>
              <w:jc w:val="center"/>
              <w:rPr>
                <w:b/>
                <w:bCs/>
                <w:sz w:val="20"/>
                <w:szCs w:val="20"/>
              </w:rPr>
            </w:pPr>
            <w:r w:rsidRPr="00C55379">
              <w:rPr>
                <w:sz w:val="20"/>
                <w:szCs w:val="20"/>
              </w:rPr>
              <w:t>$55.</w:t>
            </w:r>
            <w:r>
              <w:rPr>
                <w:sz w:val="20"/>
                <w:szCs w:val="20"/>
              </w:rPr>
              <w:t>35</w:t>
            </w:r>
          </w:p>
        </w:tc>
        <w:tc>
          <w:tcPr>
            <w:tcW w:w="993" w:type="dxa"/>
            <w:shd w:val="clear" w:color="auto" w:fill="auto"/>
            <w:vAlign w:val="center"/>
          </w:tcPr>
          <w:p w14:paraId="27D1579A" w14:textId="77777777" w:rsidR="00B475D7" w:rsidRPr="00C55379" w:rsidRDefault="00B475D7" w:rsidP="00B475D7">
            <w:pPr>
              <w:jc w:val="center"/>
              <w:rPr>
                <w:b/>
                <w:bCs/>
                <w:sz w:val="20"/>
                <w:szCs w:val="20"/>
              </w:rPr>
            </w:pPr>
            <w:r w:rsidRPr="00C55379">
              <w:rPr>
                <w:sz w:val="20"/>
                <w:szCs w:val="20"/>
              </w:rPr>
              <w:t>$55.10</w:t>
            </w:r>
          </w:p>
        </w:tc>
        <w:tc>
          <w:tcPr>
            <w:tcW w:w="1135" w:type="dxa"/>
            <w:vAlign w:val="center"/>
          </w:tcPr>
          <w:p w14:paraId="251A7082" w14:textId="43A8F04C" w:rsidR="00B475D7" w:rsidRPr="00C55379" w:rsidRDefault="00B475D7" w:rsidP="00B475D7">
            <w:pPr>
              <w:jc w:val="center"/>
              <w:rPr>
                <w:sz w:val="20"/>
                <w:szCs w:val="20"/>
              </w:rPr>
            </w:pPr>
            <w:r>
              <w:rPr>
                <w:sz w:val="20"/>
                <w:szCs w:val="20"/>
              </w:rPr>
              <w:t>0.36</w:t>
            </w:r>
            <w:r w:rsidRPr="00C55379">
              <w:rPr>
                <w:sz w:val="20"/>
                <w:szCs w:val="20"/>
              </w:rPr>
              <w:t>%</w:t>
            </w:r>
          </w:p>
        </w:tc>
      </w:tr>
      <w:tr w:rsidR="00B475D7" w:rsidRPr="00C55379" w14:paraId="2FF5A9FD" w14:textId="77777777" w:rsidTr="00961B2C">
        <w:tc>
          <w:tcPr>
            <w:tcW w:w="3679" w:type="dxa"/>
            <w:vAlign w:val="bottom"/>
          </w:tcPr>
          <w:p w14:paraId="787F531D" w14:textId="77777777" w:rsidR="00B475D7" w:rsidRPr="00C55379" w:rsidRDefault="00B475D7" w:rsidP="00B475D7">
            <w:pPr>
              <w:rPr>
                <w:sz w:val="20"/>
                <w:szCs w:val="20"/>
              </w:rPr>
            </w:pPr>
            <w:r w:rsidRPr="00C55379">
              <w:rPr>
                <w:sz w:val="20"/>
                <w:szCs w:val="20"/>
              </w:rPr>
              <w:t>Refund Fee- Giving a refund for the cancellation of a parking permit</w:t>
            </w:r>
          </w:p>
        </w:tc>
        <w:tc>
          <w:tcPr>
            <w:tcW w:w="1134" w:type="dxa"/>
            <w:shd w:val="clear" w:color="auto" w:fill="auto"/>
            <w:vAlign w:val="center"/>
          </w:tcPr>
          <w:p w14:paraId="47A46DD5" w14:textId="7A5273CB" w:rsidR="00B475D7" w:rsidRPr="00C55379" w:rsidRDefault="00B475D7" w:rsidP="00B475D7">
            <w:pPr>
              <w:jc w:val="center"/>
              <w:rPr>
                <w:b/>
                <w:bCs/>
                <w:sz w:val="20"/>
                <w:szCs w:val="20"/>
              </w:rPr>
            </w:pPr>
            <w:r w:rsidRPr="00C55379">
              <w:rPr>
                <w:sz w:val="20"/>
                <w:szCs w:val="20"/>
              </w:rPr>
              <w:t>$49.67</w:t>
            </w:r>
          </w:p>
        </w:tc>
        <w:tc>
          <w:tcPr>
            <w:tcW w:w="997" w:type="dxa"/>
            <w:shd w:val="clear" w:color="auto" w:fill="auto"/>
            <w:vAlign w:val="center"/>
          </w:tcPr>
          <w:p w14:paraId="0A165D53" w14:textId="20E71856" w:rsidR="00B475D7" w:rsidRPr="00C55379" w:rsidRDefault="00B475D7" w:rsidP="00B475D7">
            <w:pPr>
              <w:jc w:val="center"/>
              <w:rPr>
                <w:b/>
                <w:bCs/>
                <w:sz w:val="20"/>
                <w:szCs w:val="20"/>
              </w:rPr>
            </w:pPr>
            <w:r w:rsidRPr="00C55379">
              <w:rPr>
                <w:sz w:val="20"/>
                <w:szCs w:val="20"/>
              </w:rPr>
              <w:t>$49.70</w:t>
            </w:r>
          </w:p>
        </w:tc>
        <w:tc>
          <w:tcPr>
            <w:tcW w:w="1134" w:type="dxa"/>
            <w:shd w:val="clear" w:color="auto" w:fill="auto"/>
            <w:vAlign w:val="center"/>
          </w:tcPr>
          <w:p w14:paraId="1706DD92" w14:textId="5F86010C" w:rsidR="00B475D7" w:rsidRPr="00C55379" w:rsidRDefault="00B475D7" w:rsidP="00B475D7">
            <w:pPr>
              <w:jc w:val="center"/>
              <w:rPr>
                <w:b/>
                <w:bCs/>
                <w:sz w:val="20"/>
                <w:szCs w:val="20"/>
              </w:rPr>
            </w:pPr>
            <w:r w:rsidRPr="00C55379">
              <w:rPr>
                <w:sz w:val="20"/>
                <w:szCs w:val="20"/>
              </w:rPr>
              <w:t>$49.</w:t>
            </w:r>
            <w:r>
              <w:rPr>
                <w:sz w:val="20"/>
                <w:szCs w:val="20"/>
              </w:rPr>
              <w:t>81</w:t>
            </w:r>
          </w:p>
        </w:tc>
        <w:tc>
          <w:tcPr>
            <w:tcW w:w="993" w:type="dxa"/>
            <w:shd w:val="clear" w:color="auto" w:fill="auto"/>
            <w:vAlign w:val="center"/>
          </w:tcPr>
          <w:p w14:paraId="7D6EE827" w14:textId="7630368A" w:rsidR="00B475D7" w:rsidRPr="00C55379" w:rsidRDefault="00B475D7" w:rsidP="00B475D7">
            <w:pPr>
              <w:jc w:val="center"/>
              <w:rPr>
                <w:b/>
                <w:bCs/>
                <w:sz w:val="20"/>
                <w:szCs w:val="20"/>
              </w:rPr>
            </w:pPr>
            <w:r w:rsidRPr="00C55379">
              <w:rPr>
                <w:sz w:val="20"/>
                <w:szCs w:val="20"/>
              </w:rPr>
              <w:t>$49.</w:t>
            </w:r>
            <w:r>
              <w:rPr>
                <w:sz w:val="20"/>
                <w:szCs w:val="20"/>
              </w:rPr>
              <w:t>8</w:t>
            </w:r>
            <w:r w:rsidRPr="00C55379">
              <w:rPr>
                <w:sz w:val="20"/>
                <w:szCs w:val="20"/>
              </w:rPr>
              <w:t>0</w:t>
            </w:r>
          </w:p>
        </w:tc>
        <w:tc>
          <w:tcPr>
            <w:tcW w:w="1135" w:type="dxa"/>
            <w:vAlign w:val="center"/>
          </w:tcPr>
          <w:p w14:paraId="22CD1043" w14:textId="0290D000" w:rsidR="00B475D7" w:rsidRPr="00C55379" w:rsidRDefault="00B475D7" w:rsidP="00B475D7">
            <w:pPr>
              <w:jc w:val="center"/>
              <w:rPr>
                <w:sz w:val="20"/>
                <w:szCs w:val="20"/>
              </w:rPr>
            </w:pPr>
            <w:r>
              <w:rPr>
                <w:sz w:val="20"/>
                <w:szCs w:val="20"/>
              </w:rPr>
              <w:t>0.20</w:t>
            </w:r>
            <w:r w:rsidRPr="00C55379">
              <w:rPr>
                <w:sz w:val="20"/>
                <w:szCs w:val="20"/>
              </w:rPr>
              <w:t>%</w:t>
            </w:r>
          </w:p>
        </w:tc>
      </w:tr>
      <w:tr w:rsidR="00B475D7" w:rsidRPr="00C55379" w14:paraId="36FF2102" w14:textId="77777777" w:rsidTr="00961B2C">
        <w:tc>
          <w:tcPr>
            <w:tcW w:w="3679" w:type="dxa"/>
            <w:vAlign w:val="bottom"/>
          </w:tcPr>
          <w:p w14:paraId="7E872BF8" w14:textId="77777777" w:rsidR="00B475D7" w:rsidRPr="00C55379" w:rsidRDefault="00B475D7" w:rsidP="00B475D7">
            <w:pPr>
              <w:rPr>
                <w:b/>
                <w:bCs/>
                <w:sz w:val="20"/>
                <w:szCs w:val="20"/>
              </w:rPr>
            </w:pPr>
            <w:r w:rsidRPr="00C55379">
              <w:rPr>
                <w:sz w:val="20"/>
                <w:szCs w:val="20"/>
              </w:rPr>
              <w:t>Dishonour Fee - Payment by cheque or credit card dishonoured</w:t>
            </w:r>
          </w:p>
        </w:tc>
        <w:tc>
          <w:tcPr>
            <w:tcW w:w="1134" w:type="dxa"/>
            <w:shd w:val="clear" w:color="auto" w:fill="auto"/>
            <w:vAlign w:val="center"/>
          </w:tcPr>
          <w:p w14:paraId="22AEB9DD" w14:textId="1CBEB98A" w:rsidR="00B475D7" w:rsidRPr="00C55379" w:rsidRDefault="00B475D7" w:rsidP="00B475D7">
            <w:pPr>
              <w:jc w:val="center"/>
              <w:rPr>
                <w:b/>
                <w:bCs/>
                <w:sz w:val="20"/>
                <w:szCs w:val="20"/>
              </w:rPr>
            </w:pPr>
            <w:r w:rsidRPr="00C55379">
              <w:rPr>
                <w:sz w:val="20"/>
                <w:szCs w:val="20"/>
              </w:rPr>
              <w:t>$41.55</w:t>
            </w:r>
          </w:p>
        </w:tc>
        <w:tc>
          <w:tcPr>
            <w:tcW w:w="997" w:type="dxa"/>
            <w:shd w:val="clear" w:color="auto" w:fill="auto"/>
            <w:vAlign w:val="center"/>
          </w:tcPr>
          <w:p w14:paraId="241D1500" w14:textId="556B68E6" w:rsidR="00B475D7" w:rsidRPr="00C55379" w:rsidRDefault="00B475D7" w:rsidP="00B475D7">
            <w:pPr>
              <w:jc w:val="center"/>
              <w:rPr>
                <w:b/>
                <w:bCs/>
                <w:sz w:val="20"/>
                <w:szCs w:val="20"/>
              </w:rPr>
            </w:pPr>
            <w:r w:rsidRPr="00C55379">
              <w:rPr>
                <w:sz w:val="20"/>
                <w:szCs w:val="20"/>
              </w:rPr>
              <w:t>$41.60</w:t>
            </w:r>
          </w:p>
        </w:tc>
        <w:tc>
          <w:tcPr>
            <w:tcW w:w="1134" w:type="dxa"/>
            <w:shd w:val="clear" w:color="auto" w:fill="auto"/>
            <w:vAlign w:val="center"/>
          </w:tcPr>
          <w:p w14:paraId="0ABB5FF1" w14:textId="767D59CB" w:rsidR="00B475D7" w:rsidRPr="00C55379" w:rsidRDefault="00B475D7" w:rsidP="00B475D7">
            <w:pPr>
              <w:jc w:val="center"/>
              <w:rPr>
                <w:b/>
                <w:bCs/>
                <w:sz w:val="20"/>
                <w:szCs w:val="20"/>
              </w:rPr>
            </w:pPr>
            <w:r w:rsidRPr="00C55379">
              <w:rPr>
                <w:sz w:val="20"/>
                <w:szCs w:val="20"/>
              </w:rPr>
              <w:t>$41.</w:t>
            </w:r>
            <w:r>
              <w:rPr>
                <w:sz w:val="20"/>
                <w:szCs w:val="20"/>
              </w:rPr>
              <w:t>67</w:t>
            </w:r>
          </w:p>
        </w:tc>
        <w:tc>
          <w:tcPr>
            <w:tcW w:w="993" w:type="dxa"/>
            <w:shd w:val="clear" w:color="auto" w:fill="auto"/>
            <w:vAlign w:val="center"/>
          </w:tcPr>
          <w:p w14:paraId="515C6A34" w14:textId="77777777" w:rsidR="00B475D7" w:rsidRPr="00C55379" w:rsidRDefault="00B475D7" w:rsidP="00B475D7">
            <w:pPr>
              <w:jc w:val="center"/>
              <w:rPr>
                <w:b/>
                <w:bCs/>
                <w:sz w:val="20"/>
                <w:szCs w:val="20"/>
              </w:rPr>
            </w:pPr>
            <w:r w:rsidRPr="00C55379">
              <w:rPr>
                <w:sz w:val="20"/>
                <w:szCs w:val="20"/>
              </w:rPr>
              <w:t>$41.60</w:t>
            </w:r>
          </w:p>
        </w:tc>
        <w:tc>
          <w:tcPr>
            <w:tcW w:w="1135" w:type="dxa"/>
            <w:vAlign w:val="center"/>
          </w:tcPr>
          <w:p w14:paraId="61633BEF" w14:textId="65C17B79" w:rsidR="00B475D7" w:rsidRPr="00C55379" w:rsidRDefault="00B475D7" w:rsidP="00B475D7">
            <w:pPr>
              <w:jc w:val="center"/>
              <w:rPr>
                <w:sz w:val="20"/>
                <w:szCs w:val="20"/>
              </w:rPr>
            </w:pPr>
            <w:r>
              <w:rPr>
                <w:sz w:val="20"/>
                <w:szCs w:val="20"/>
              </w:rPr>
              <w:t>0.00</w:t>
            </w:r>
            <w:r w:rsidRPr="00C55379">
              <w:rPr>
                <w:sz w:val="20"/>
                <w:szCs w:val="20"/>
              </w:rPr>
              <w:t>%</w:t>
            </w:r>
          </w:p>
        </w:tc>
      </w:tr>
    </w:tbl>
    <w:p w14:paraId="017D2EBD" w14:textId="77777777" w:rsidR="00B475D7" w:rsidRPr="004520A1" w:rsidRDefault="00B475D7"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07085A04" w14:textId="39791B6B"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222578E3" w14:textId="77777777" w:rsidR="004520A1" w:rsidRPr="004520A1" w:rsidRDefault="004520A1" w:rsidP="004520A1">
      <w:pPr>
        <w:shd w:val="clear" w:color="auto" w:fill="FFFFFF"/>
        <w:spacing w:before="120" w:after="240" w:line="240" w:lineRule="auto"/>
        <w:ind w:left="720" w:hanging="720"/>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Human Rights</w:t>
      </w:r>
    </w:p>
    <w:p w14:paraId="129B4F7E" w14:textId="68B5F45B" w:rsidR="004520A1" w:rsidRPr="004520A1" w:rsidRDefault="004520A1" w:rsidP="004520A1">
      <w:pPr>
        <w:shd w:val="clear" w:color="auto" w:fill="FFFFFF"/>
        <w:spacing w:before="60"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The Standing Committee on Justice and Community Safety (Legislative Scrutiny Role) terms of reference require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consideration of human rights</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impacts, among other matters. In this case, no human rights are impacted.</w:t>
      </w:r>
    </w:p>
    <w:p w14:paraId="6B4562FF" w14:textId="276C3C66"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5FF3C2C0" w14:textId="77777777" w:rsidR="004520A1" w:rsidRPr="004520A1" w:rsidRDefault="004520A1" w:rsidP="004520A1">
      <w:pPr>
        <w:shd w:val="clear" w:color="auto" w:fill="FFFFFF"/>
        <w:spacing w:before="120" w:after="240" w:line="240" w:lineRule="auto"/>
        <w:ind w:left="720" w:hanging="720"/>
        <w:rPr>
          <w:rFonts w:ascii="Times New Roman" w:eastAsia="Times New Roman" w:hAnsi="Times New Roman" w:cs="Times New Roman"/>
          <w:color w:val="000000"/>
          <w:sz w:val="24"/>
          <w:szCs w:val="24"/>
          <w:lang w:eastAsia="en-AU"/>
        </w:rPr>
      </w:pPr>
      <w:bookmarkStart w:id="0" w:name="_Hlk103944546"/>
      <w:r w:rsidRPr="004520A1">
        <w:rPr>
          <w:rFonts w:ascii="Times New Roman" w:eastAsia="Times New Roman" w:hAnsi="Times New Roman" w:cs="Times New Roman"/>
          <w:b/>
          <w:bCs/>
          <w:color w:val="000000"/>
          <w:sz w:val="24"/>
          <w:szCs w:val="24"/>
          <w:lang w:eastAsia="en-AU"/>
        </w:rPr>
        <w:t>Climate Change</w:t>
      </w:r>
      <w:bookmarkEnd w:id="0"/>
    </w:p>
    <w:p w14:paraId="2583322B" w14:textId="77777777" w:rsidR="004520A1" w:rsidRPr="004520A1" w:rsidRDefault="004520A1" w:rsidP="004520A1">
      <w:pPr>
        <w:shd w:val="clear" w:color="auto" w:fill="FFFFFF"/>
        <w:spacing w:before="60"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Transport Canberra and City Services anticipates that the increase in parking permit fees will have not have a measurable impact on climate change.</w:t>
      </w:r>
    </w:p>
    <w:p w14:paraId="35285D1C" w14:textId="7E55D9C3"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6888CB91" w14:textId="77777777"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bookmarkStart w:id="1" w:name="_Hlk103945138"/>
      <w:r w:rsidRPr="004520A1">
        <w:rPr>
          <w:rFonts w:ascii="Times New Roman" w:eastAsia="Times New Roman" w:hAnsi="Times New Roman" w:cs="Times New Roman"/>
          <w:b/>
          <w:bCs/>
          <w:color w:val="000000"/>
          <w:sz w:val="24"/>
          <w:szCs w:val="24"/>
          <w:lang w:eastAsia="en-AU"/>
        </w:rPr>
        <w:t>Outline of Provisions</w:t>
      </w:r>
      <w:bookmarkEnd w:id="1"/>
    </w:p>
    <w:p w14:paraId="62F6760E" w14:textId="3E8FFD55"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241BE502" w14:textId="77FDA1E7"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Clause 1</w:t>
      </w:r>
      <w:r w:rsidR="00BE2BA2">
        <w:rPr>
          <w:rFonts w:ascii="Times New Roman" w:eastAsia="Times New Roman" w:hAnsi="Times New Roman" w:cs="Times New Roman"/>
          <w:b/>
          <w:b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names the instrument the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Road Transport (General)</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(Parking Permit Fees)</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Determination 2022</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(No</w:t>
      </w:r>
      <w:r w:rsidR="00BE2BA2">
        <w:rPr>
          <w:rFonts w:ascii="Times New Roman" w:eastAsia="Times New Roman" w:hAnsi="Times New Roman" w:cs="Times New Roman"/>
          <w:i/>
          <w:iCs/>
          <w:color w:val="000000"/>
          <w:sz w:val="24"/>
          <w:szCs w:val="24"/>
          <w:lang w:eastAsia="en-AU"/>
        </w:rPr>
        <w:t>2</w:t>
      </w:r>
      <w:r w:rsidRPr="004520A1">
        <w:rPr>
          <w:rFonts w:ascii="Times New Roman" w:eastAsia="Times New Roman" w:hAnsi="Times New Roman" w:cs="Times New Roman"/>
          <w:i/>
          <w:iCs/>
          <w:color w:val="000000"/>
          <w:sz w:val="24"/>
          <w:szCs w:val="24"/>
          <w:lang w:eastAsia="en-AU"/>
        </w:rPr>
        <w:t>)</w:t>
      </w:r>
      <w:r w:rsidRPr="004520A1">
        <w:rPr>
          <w:rFonts w:ascii="Times New Roman" w:eastAsia="Times New Roman" w:hAnsi="Times New Roman" w:cs="Times New Roman"/>
          <w:color w:val="000000"/>
          <w:sz w:val="24"/>
          <w:szCs w:val="24"/>
          <w:lang w:eastAsia="en-AU"/>
        </w:rPr>
        <w:t>.</w:t>
      </w:r>
    </w:p>
    <w:p w14:paraId="5D2D431C" w14:textId="491ADDD8"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2C746AA8" w14:textId="55EA6760"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Clause 2</w:t>
      </w:r>
      <w:r w:rsidR="00BE2BA2">
        <w:rPr>
          <w:rFonts w:ascii="Times New Roman" w:eastAsia="Times New Roman" w:hAnsi="Times New Roman" w:cs="Times New Roman"/>
          <w:b/>
          <w:b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states that the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instrument</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commences on</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 xml:space="preserve">1 </w:t>
      </w:r>
      <w:r w:rsidR="00BE2BA2">
        <w:rPr>
          <w:rFonts w:ascii="Times New Roman" w:eastAsia="Times New Roman" w:hAnsi="Times New Roman" w:cs="Times New Roman"/>
          <w:color w:val="000000"/>
          <w:sz w:val="24"/>
          <w:szCs w:val="24"/>
          <w:lang w:eastAsia="en-AU"/>
        </w:rPr>
        <w:t xml:space="preserve">September </w:t>
      </w:r>
      <w:r w:rsidRPr="004520A1">
        <w:rPr>
          <w:rFonts w:ascii="Times New Roman" w:eastAsia="Times New Roman" w:hAnsi="Times New Roman" w:cs="Times New Roman"/>
          <w:color w:val="000000"/>
          <w:sz w:val="24"/>
          <w:szCs w:val="24"/>
          <w:lang w:eastAsia="en-AU"/>
        </w:rPr>
        <w:t>2022.</w:t>
      </w:r>
    </w:p>
    <w:p w14:paraId="092C6E93" w14:textId="553E10E4" w:rsidR="004520A1" w:rsidRPr="004520A1" w:rsidRDefault="004520A1" w:rsidP="004520A1">
      <w:pPr>
        <w:shd w:val="clear" w:color="auto" w:fill="FFFFFF"/>
        <w:spacing w:after="0" w:line="240" w:lineRule="auto"/>
        <w:rPr>
          <w:rFonts w:ascii="Times New Roman" w:eastAsia="Times New Roman" w:hAnsi="Times New Roman" w:cs="Times New Roman"/>
          <w:color w:val="000000"/>
          <w:sz w:val="24"/>
          <w:szCs w:val="24"/>
          <w:lang w:eastAsia="en-AU"/>
        </w:rPr>
      </w:pPr>
    </w:p>
    <w:p w14:paraId="089AB215" w14:textId="5E3584AE"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Clause 3</w:t>
      </w:r>
      <w:r w:rsidR="00BE2BA2">
        <w:rPr>
          <w:rFonts w:ascii="Times New Roman" w:eastAsia="Times New Roman" w:hAnsi="Times New Roman" w:cs="Times New Roman"/>
          <w:b/>
          <w:b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determines the fees payable by reference to schedule 1 and schedule 2.</w:t>
      </w:r>
    </w:p>
    <w:p w14:paraId="31AE7758" w14:textId="137A488D"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p>
    <w:p w14:paraId="0D2528CA" w14:textId="39D8D35B"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Clause 4</w:t>
      </w:r>
      <w:r w:rsidR="00BE2BA2">
        <w:rPr>
          <w:rFonts w:ascii="Times New Roman" w:eastAsia="Times New Roman" w:hAnsi="Times New Roman" w:cs="Times New Roman"/>
          <w:b/>
          <w:b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determines the responsible party for paying fees mentioned in schedule 1 and schedule 2. This clause also states that fees are payable to the road transport authority.</w:t>
      </w:r>
    </w:p>
    <w:p w14:paraId="659A7B3D" w14:textId="1D3EF644"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p>
    <w:p w14:paraId="7276B34A" w14:textId="4CC5510A"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Clause 5</w:t>
      </w:r>
      <w:r w:rsidR="00BE2BA2">
        <w:rPr>
          <w:rFonts w:ascii="Times New Roman" w:eastAsia="Times New Roman" w:hAnsi="Times New Roman" w:cs="Times New Roman"/>
          <w:b/>
          <w:b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defines terms and phrases for this instrument.</w:t>
      </w:r>
    </w:p>
    <w:p w14:paraId="4EC91FCF" w14:textId="01330477"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p>
    <w:p w14:paraId="14D620D8" w14:textId="60D5B2A3" w:rsidR="004520A1" w:rsidRPr="004520A1" w:rsidRDefault="004520A1" w:rsidP="004520A1">
      <w:pPr>
        <w:shd w:val="clear" w:color="auto" w:fill="FFFFFF"/>
        <w:spacing w:before="60" w:after="60" w:line="240" w:lineRule="auto"/>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b/>
          <w:bCs/>
          <w:color w:val="000000"/>
          <w:sz w:val="24"/>
          <w:szCs w:val="24"/>
          <w:lang w:eastAsia="en-AU"/>
        </w:rPr>
        <w:t>Clause 6</w:t>
      </w:r>
      <w:r w:rsidR="00BE2BA2">
        <w:rPr>
          <w:rFonts w:ascii="Times New Roman" w:eastAsia="Times New Roman" w:hAnsi="Times New Roman" w:cs="Times New Roman"/>
          <w:b/>
          <w:b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provides that the</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Road Transport (General)</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(Parking Permit Fees)</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Determination</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202</w:t>
      </w:r>
      <w:r w:rsidR="00BE2BA2">
        <w:rPr>
          <w:rFonts w:ascii="Times New Roman" w:eastAsia="Times New Roman" w:hAnsi="Times New Roman" w:cs="Times New Roman"/>
          <w:i/>
          <w:iCs/>
          <w:color w:val="000000"/>
          <w:sz w:val="24"/>
          <w:szCs w:val="24"/>
          <w:lang w:eastAsia="en-AU"/>
        </w:rPr>
        <w:t xml:space="preserve">2 </w:t>
      </w:r>
      <w:r w:rsidRPr="004520A1">
        <w:rPr>
          <w:rFonts w:ascii="Times New Roman" w:eastAsia="Times New Roman" w:hAnsi="Times New Roman" w:cs="Times New Roman"/>
          <w:i/>
          <w:iCs/>
          <w:color w:val="000000"/>
          <w:sz w:val="24"/>
          <w:szCs w:val="24"/>
          <w:lang w:eastAsia="en-AU"/>
        </w:rPr>
        <w:t>(No</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i/>
          <w:iCs/>
          <w:color w:val="000000"/>
          <w:sz w:val="24"/>
          <w:szCs w:val="24"/>
          <w:lang w:eastAsia="en-AU"/>
        </w:rPr>
        <w:t>1)</w:t>
      </w:r>
      <w:r w:rsidR="00BE2BA2">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(DI202</w:t>
      </w:r>
      <w:r w:rsidR="00BE2BA2">
        <w:rPr>
          <w:rFonts w:ascii="Times New Roman" w:eastAsia="Times New Roman" w:hAnsi="Times New Roman" w:cs="Times New Roman"/>
          <w:color w:val="000000"/>
          <w:sz w:val="24"/>
          <w:szCs w:val="24"/>
          <w:lang w:eastAsia="en-AU"/>
        </w:rPr>
        <w:t>2</w:t>
      </w:r>
      <w:r w:rsidRPr="004520A1">
        <w:rPr>
          <w:rFonts w:ascii="Times New Roman" w:eastAsia="Times New Roman" w:hAnsi="Times New Roman" w:cs="Times New Roman"/>
          <w:color w:val="000000"/>
          <w:sz w:val="24"/>
          <w:szCs w:val="24"/>
          <w:lang w:eastAsia="en-AU"/>
        </w:rPr>
        <w:t>-</w:t>
      </w:r>
      <w:r w:rsidR="00BE2BA2">
        <w:rPr>
          <w:rFonts w:ascii="Times New Roman" w:eastAsia="Times New Roman" w:hAnsi="Times New Roman" w:cs="Times New Roman"/>
          <w:color w:val="000000"/>
          <w:sz w:val="24"/>
          <w:szCs w:val="24"/>
          <w:lang w:eastAsia="en-AU"/>
        </w:rPr>
        <w:t>66</w:t>
      </w:r>
      <w:r w:rsidRPr="004520A1">
        <w:rPr>
          <w:rFonts w:ascii="Times New Roman" w:eastAsia="Times New Roman" w:hAnsi="Times New Roman" w:cs="Times New Roman"/>
          <w:color w:val="000000"/>
          <w:sz w:val="24"/>
          <w:szCs w:val="24"/>
          <w:lang w:eastAsia="en-AU"/>
        </w:rPr>
        <w:t>)</w:t>
      </w:r>
      <w:r w:rsidR="00BE2BA2">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is revoked.</w:t>
      </w:r>
    </w:p>
    <w:p w14:paraId="1904033E" w14:textId="77777777" w:rsidR="00950D62" w:rsidRDefault="00950D62"/>
    <w:sectPr w:rsidR="00950D62" w:rsidSect="004520A1">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C895" w14:textId="77777777" w:rsidR="00B57554" w:rsidRDefault="00B57554" w:rsidP="00B57554">
      <w:pPr>
        <w:spacing w:after="0" w:line="240" w:lineRule="auto"/>
      </w:pPr>
      <w:r>
        <w:separator/>
      </w:r>
    </w:p>
  </w:endnote>
  <w:endnote w:type="continuationSeparator" w:id="0">
    <w:p w14:paraId="41BC5F88" w14:textId="77777777" w:rsidR="00B57554" w:rsidRDefault="00B57554" w:rsidP="00B5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46C" w14:textId="77777777" w:rsidR="00B57554" w:rsidRDefault="00B57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5B3" w14:textId="2C5ED2C8" w:rsidR="00B57554" w:rsidRPr="00B57554" w:rsidRDefault="00B57554" w:rsidP="00B57554">
    <w:pPr>
      <w:pStyle w:val="Footer"/>
      <w:jc w:val="center"/>
      <w:rPr>
        <w:rFonts w:ascii="Arial" w:hAnsi="Arial" w:cs="Arial"/>
        <w:sz w:val="14"/>
      </w:rPr>
    </w:pPr>
    <w:r w:rsidRPr="00B5755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D2FC" w14:textId="77777777" w:rsidR="00B57554" w:rsidRDefault="00B57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D31C" w14:textId="77777777" w:rsidR="00B57554" w:rsidRDefault="00B57554" w:rsidP="00B57554">
      <w:pPr>
        <w:spacing w:after="0" w:line="240" w:lineRule="auto"/>
      </w:pPr>
      <w:r>
        <w:separator/>
      </w:r>
    </w:p>
  </w:footnote>
  <w:footnote w:type="continuationSeparator" w:id="0">
    <w:p w14:paraId="3125AEE0" w14:textId="77777777" w:rsidR="00B57554" w:rsidRDefault="00B57554" w:rsidP="00B5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271" w14:textId="77777777" w:rsidR="00B57554" w:rsidRDefault="00B5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9D74" w14:textId="77777777" w:rsidR="00B57554" w:rsidRDefault="00B57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3D0" w14:textId="77777777" w:rsidR="00B57554" w:rsidRDefault="00B57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A1"/>
    <w:rsid w:val="001524BA"/>
    <w:rsid w:val="0019736E"/>
    <w:rsid w:val="00236F0A"/>
    <w:rsid w:val="0024661A"/>
    <w:rsid w:val="0027736A"/>
    <w:rsid w:val="003734E9"/>
    <w:rsid w:val="003E7B94"/>
    <w:rsid w:val="004520A1"/>
    <w:rsid w:val="00485B98"/>
    <w:rsid w:val="00585F2D"/>
    <w:rsid w:val="005A3208"/>
    <w:rsid w:val="006273A9"/>
    <w:rsid w:val="006632AB"/>
    <w:rsid w:val="00866765"/>
    <w:rsid w:val="00934726"/>
    <w:rsid w:val="0094193D"/>
    <w:rsid w:val="00950D62"/>
    <w:rsid w:val="00B475D7"/>
    <w:rsid w:val="00B57554"/>
    <w:rsid w:val="00B74644"/>
    <w:rsid w:val="00B85F79"/>
    <w:rsid w:val="00BE2BA2"/>
    <w:rsid w:val="00BE656C"/>
    <w:rsid w:val="00CD406E"/>
    <w:rsid w:val="00D46475"/>
    <w:rsid w:val="00DA4A17"/>
    <w:rsid w:val="00DD5236"/>
    <w:rsid w:val="00E3421E"/>
    <w:rsid w:val="00E869F7"/>
    <w:rsid w:val="00EE0E25"/>
    <w:rsid w:val="00F13A93"/>
    <w:rsid w:val="00F25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4420C"/>
  <w15:chartTrackingRefBased/>
  <w15:docId w15:val="{F228D830-4CA9-4AC8-970E-B15A1753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4520A1"/>
    <w:pPr>
      <w:pBdr>
        <w:bottom w:val="single" w:sz="12" w:space="1" w:color="auto"/>
      </w:pBd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5F2D"/>
    <w:rPr>
      <w:sz w:val="16"/>
      <w:szCs w:val="16"/>
    </w:rPr>
  </w:style>
  <w:style w:type="paragraph" w:styleId="CommentText">
    <w:name w:val="annotation text"/>
    <w:basedOn w:val="Normal"/>
    <w:link w:val="CommentTextChar"/>
    <w:uiPriority w:val="99"/>
    <w:semiHidden/>
    <w:unhideWhenUsed/>
    <w:rsid w:val="00585F2D"/>
    <w:pPr>
      <w:spacing w:line="240" w:lineRule="auto"/>
    </w:pPr>
    <w:rPr>
      <w:sz w:val="20"/>
      <w:szCs w:val="20"/>
    </w:rPr>
  </w:style>
  <w:style w:type="character" w:customStyle="1" w:styleId="CommentTextChar">
    <w:name w:val="Comment Text Char"/>
    <w:basedOn w:val="DefaultParagraphFont"/>
    <w:link w:val="CommentText"/>
    <w:uiPriority w:val="99"/>
    <w:semiHidden/>
    <w:rsid w:val="00585F2D"/>
    <w:rPr>
      <w:sz w:val="20"/>
      <w:szCs w:val="20"/>
    </w:rPr>
  </w:style>
  <w:style w:type="paragraph" w:styleId="CommentSubject">
    <w:name w:val="annotation subject"/>
    <w:basedOn w:val="CommentText"/>
    <w:next w:val="CommentText"/>
    <w:link w:val="CommentSubjectChar"/>
    <w:uiPriority w:val="99"/>
    <w:semiHidden/>
    <w:unhideWhenUsed/>
    <w:rsid w:val="00585F2D"/>
    <w:rPr>
      <w:b/>
      <w:bCs/>
    </w:rPr>
  </w:style>
  <w:style w:type="character" w:customStyle="1" w:styleId="CommentSubjectChar">
    <w:name w:val="Comment Subject Char"/>
    <w:basedOn w:val="CommentTextChar"/>
    <w:link w:val="CommentSubject"/>
    <w:uiPriority w:val="99"/>
    <w:semiHidden/>
    <w:rsid w:val="00585F2D"/>
    <w:rPr>
      <w:b/>
      <w:bCs/>
      <w:sz w:val="20"/>
      <w:szCs w:val="20"/>
    </w:rPr>
  </w:style>
  <w:style w:type="paragraph" w:customStyle="1" w:styleId="billname">
    <w:name w:val="billname"/>
    <w:basedOn w:val="Normal"/>
    <w:rsid w:val="008667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6676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4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554"/>
  </w:style>
  <w:style w:type="paragraph" w:styleId="Footer">
    <w:name w:val="footer"/>
    <w:basedOn w:val="Normal"/>
    <w:link w:val="FooterChar"/>
    <w:uiPriority w:val="99"/>
    <w:unhideWhenUsed/>
    <w:rsid w:val="00B5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34158">
      <w:bodyDiv w:val="1"/>
      <w:marLeft w:val="0"/>
      <w:marRight w:val="0"/>
      <w:marTop w:val="0"/>
      <w:marBottom w:val="0"/>
      <w:divBdr>
        <w:top w:val="none" w:sz="0" w:space="0" w:color="auto"/>
        <w:left w:val="none" w:sz="0" w:space="0" w:color="auto"/>
        <w:bottom w:val="none" w:sz="0" w:space="0" w:color="auto"/>
        <w:right w:val="none" w:sz="0" w:space="0" w:color="auto"/>
      </w:divBdr>
    </w:div>
    <w:div w:id="872579009">
      <w:bodyDiv w:val="1"/>
      <w:marLeft w:val="0"/>
      <w:marRight w:val="0"/>
      <w:marTop w:val="0"/>
      <w:marBottom w:val="0"/>
      <w:divBdr>
        <w:top w:val="none" w:sz="0" w:space="0" w:color="auto"/>
        <w:left w:val="none" w:sz="0" w:space="0" w:color="auto"/>
        <w:bottom w:val="none" w:sz="0" w:space="0" w:color="auto"/>
        <w:right w:val="none" w:sz="0" w:space="0" w:color="auto"/>
      </w:divBdr>
    </w:div>
    <w:div w:id="964972075">
      <w:bodyDiv w:val="1"/>
      <w:marLeft w:val="0"/>
      <w:marRight w:val="0"/>
      <w:marTop w:val="0"/>
      <w:marBottom w:val="0"/>
      <w:divBdr>
        <w:top w:val="none" w:sz="0" w:space="0" w:color="auto"/>
        <w:left w:val="none" w:sz="0" w:space="0" w:color="auto"/>
        <w:bottom w:val="none" w:sz="0" w:space="0" w:color="auto"/>
        <w:right w:val="none" w:sz="0" w:space="0" w:color="auto"/>
      </w:divBdr>
    </w:div>
    <w:div w:id="1231503469">
      <w:bodyDiv w:val="1"/>
      <w:marLeft w:val="0"/>
      <w:marRight w:val="0"/>
      <w:marTop w:val="0"/>
      <w:marBottom w:val="0"/>
      <w:divBdr>
        <w:top w:val="none" w:sz="0" w:space="0" w:color="auto"/>
        <w:left w:val="none" w:sz="0" w:space="0" w:color="auto"/>
        <w:bottom w:val="none" w:sz="0" w:space="0" w:color="auto"/>
        <w:right w:val="none" w:sz="0" w:space="0" w:color="auto"/>
      </w:divBdr>
    </w:div>
    <w:div w:id="1361204391">
      <w:bodyDiv w:val="1"/>
      <w:marLeft w:val="0"/>
      <w:marRight w:val="0"/>
      <w:marTop w:val="0"/>
      <w:marBottom w:val="0"/>
      <w:divBdr>
        <w:top w:val="none" w:sz="0" w:space="0" w:color="auto"/>
        <w:left w:val="none" w:sz="0" w:space="0" w:color="auto"/>
        <w:bottom w:val="none" w:sz="0" w:space="0" w:color="auto"/>
        <w:right w:val="none" w:sz="0" w:space="0" w:color="auto"/>
      </w:divBdr>
    </w:div>
    <w:div w:id="20290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4847</Characters>
  <Application>Microsoft Office Word</Application>
  <DocSecurity>0</DocSecurity>
  <Lines>202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Hynds, Melissa</dc:creator>
  <cp:keywords/>
  <dc:description/>
  <cp:lastModifiedBy>Stonham, Joshua</cp:lastModifiedBy>
  <cp:revision>4</cp:revision>
  <dcterms:created xsi:type="dcterms:W3CDTF">2022-08-18T02:01:00Z</dcterms:created>
  <dcterms:modified xsi:type="dcterms:W3CDTF">2022-08-18T02:01:00Z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A36880102</vt:lpwstr>
  </property>
  <property fmtid="{D5CDD505-2E9C-101B-9397-08002B2CF9AE}" pid="4" name="Objective-Title">
    <vt:lpwstr>Attachment K - Explanatory Statement - Road Transport (General) (Parking Permit Fees) Determination 2022 (No 2)</vt:lpwstr>
  </property>
  <property fmtid="{D5CDD505-2E9C-101B-9397-08002B2CF9AE}" pid="5" name="Objective-Comment">
    <vt:lpwstr/>
  </property>
  <property fmtid="{D5CDD505-2E9C-101B-9397-08002B2CF9AE}" pid="6" name="Objective-CreationStamp">
    <vt:filetime>2022-08-09T03:26:24Z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2022-08-16T06:07:13Z</vt:filetime>
  </property>
  <property fmtid="{D5CDD505-2E9C-101B-9397-08002B2CF9AE}" pid="10" name="Objective-ModificationStamp">
    <vt:filetime>2022-08-17T07:03:40Z</vt:filetime>
  </property>
  <property fmtid="{D5CDD505-2E9C-101B-9397-08002B2CF9AE}" pid="11" name="Objective-Owner">
    <vt:lpwstr>Jill Slaven</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S2022/01536 - Targeted increases to Road Transport fees and charges - 1 September 2022 - Minister Brief:</vt:lpwstr>
  </property>
  <property fmtid="{D5CDD505-2E9C-101B-9397-08002B2CF9AE}" pid="13" name="Objective-Parent">
    <vt:lpwstr>TCBS - MIN S2022/01536 - Targeted increases to Road Transport fees and charges - 1 September 2022 - Minister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