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F80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959B23" w14:textId="2389538D" w:rsidR="00C17FAB" w:rsidRPr="00D55F6E" w:rsidRDefault="00D5027A">
      <w:pPr>
        <w:pStyle w:val="Billname"/>
        <w:spacing w:before="700"/>
        <w:rPr>
          <w:sz w:val="20"/>
        </w:rPr>
      </w:pPr>
      <w:r>
        <w:t>Public Place Names</w:t>
      </w:r>
      <w:r w:rsidR="00FD75CE">
        <w:t xml:space="preserve"> </w:t>
      </w:r>
      <w:r>
        <w:t>(</w:t>
      </w:r>
      <w:r w:rsidR="00823E22">
        <w:t>Whitlam</w:t>
      </w:r>
      <w:r>
        <w:t>) Determination</w:t>
      </w:r>
      <w:r w:rsidR="00FD75CE">
        <w:t xml:space="preserve"> </w:t>
      </w:r>
      <w:r w:rsidR="00D55F6E">
        <w:t>2022</w:t>
      </w:r>
      <w:r w:rsidR="00FD75CE">
        <w:t xml:space="preserve"> (No</w:t>
      </w:r>
      <w:r w:rsidR="00D55F6E">
        <w:t xml:space="preserve"> 2</w:t>
      </w:r>
      <w:r w:rsidR="00FD75CE">
        <w:t>)</w:t>
      </w:r>
    </w:p>
    <w:p w14:paraId="4A6D38B9" w14:textId="381C31A7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55F6E">
        <w:rPr>
          <w:rFonts w:ascii="Arial" w:hAnsi="Arial" w:cs="Arial"/>
          <w:b/>
          <w:bCs/>
        </w:rPr>
        <w:t>2022</w:t>
      </w:r>
      <w:r w:rsidR="00C17FAB">
        <w:rPr>
          <w:rFonts w:ascii="Arial" w:hAnsi="Arial" w:cs="Arial"/>
          <w:b/>
          <w:bCs/>
        </w:rPr>
        <w:t>–</w:t>
      </w:r>
      <w:r w:rsidR="008C31E7">
        <w:rPr>
          <w:rFonts w:ascii="Arial" w:hAnsi="Arial" w:cs="Arial"/>
          <w:b/>
          <w:bCs/>
        </w:rPr>
        <w:t>220</w:t>
      </w:r>
    </w:p>
    <w:p w14:paraId="5B25F516" w14:textId="0D6761A9" w:rsidR="00C17FAB" w:rsidRDefault="00C17FAB" w:rsidP="00DA3B00">
      <w:pPr>
        <w:pStyle w:val="madeunder"/>
        <w:spacing w:before="300" w:after="0"/>
      </w:pPr>
      <w:r>
        <w:t>made under the</w:t>
      </w:r>
    </w:p>
    <w:p w14:paraId="5A382BB3" w14:textId="77777777" w:rsidR="00C17FAB" w:rsidRDefault="00D5027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 (Minister to determine names</w:t>
      </w:r>
      <w:r w:rsidR="00C17FAB">
        <w:rPr>
          <w:rFonts w:cs="Arial"/>
          <w:sz w:val="20"/>
        </w:rPr>
        <w:t>)</w:t>
      </w:r>
    </w:p>
    <w:p w14:paraId="37F162A5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2622E01" w14:textId="77777777" w:rsidR="00C17FAB" w:rsidRDefault="00C17FAB">
      <w:pPr>
        <w:pStyle w:val="N-line3"/>
        <w:pBdr>
          <w:bottom w:val="none" w:sz="0" w:space="0" w:color="auto"/>
        </w:pBdr>
      </w:pPr>
    </w:p>
    <w:p w14:paraId="4B8BC2F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p w14:paraId="4BC26494" w14:textId="77777777" w:rsidR="00D5027A" w:rsidRPr="00D5027A" w:rsidRDefault="00D5027A" w:rsidP="00D5027A"/>
    <w:bookmarkEnd w:id="0"/>
    <w:p w14:paraId="7B99511D" w14:textId="77777777" w:rsidR="00C17FAB" w:rsidRDefault="00D5027A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Overview</w:t>
      </w:r>
    </w:p>
    <w:p w14:paraId="43C9AD16" w14:textId="77777777" w:rsidR="00BB744F" w:rsidRDefault="00BB744F">
      <w:pPr>
        <w:rPr>
          <w:rFonts w:ascii="Arial" w:hAnsi="Arial" w:cs="Arial"/>
          <w:b/>
        </w:rPr>
      </w:pPr>
    </w:p>
    <w:p w14:paraId="2B020008" w14:textId="77777777" w:rsidR="00BB744F" w:rsidRPr="00BB744F" w:rsidRDefault="00BB744F">
      <w:pPr>
        <w:rPr>
          <w:b/>
          <w:i/>
        </w:rPr>
      </w:pPr>
      <w:r w:rsidRPr="00BB744F">
        <w:rPr>
          <w:b/>
          <w:i/>
        </w:rPr>
        <w:t>Background</w:t>
      </w:r>
    </w:p>
    <w:p w14:paraId="06C800FC" w14:textId="095E2256" w:rsidR="00515C02" w:rsidRPr="00052E11" w:rsidRDefault="00D5027A" w:rsidP="00735204">
      <w:r>
        <w:t xml:space="preserve">The </w:t>
      </w:r>
      <w:r w:rsidRPr="00C05D4B">
        <w:rPr>
          <w:i/>
        </w:rPr>
        <w:t>Public Place Names Act 1989</w:t>
      </w:r>
      <w:r>
        <w:t xml:space="preserve"> </w:t>
      </w:r>
      <w:r w:rsidR="00FC0568">
        <w:t xml:space="preserve">(the </w:t>
      </w:r>
      <w:r w:rsidR="00FC0568" w:rsidRPr="006751D3">
        <w:rPr>
          <w:b/>
          <w:bCs/>
          <w:i/>
        </w:rPr>
        <w:t>Act</w:t>
      </w:r>
      <w:r w:rsidR="00FC0568" w:rsidRPr="00BC616B">
        <w:t>)</w:t>
      </w:r>
      <w:r w:rsidR="00FC0568">
        <w:t xml:space="preserve"> </w:t>
      </w:r>
      <w:r w:rsidR="00735204">
        <w:t>sets out the process and criteria</w:t>
      </w:r>
      <w:r>
        <w:t xml:space="preserve"> for the naming of divisions and public </w:t>
      </w:r>
      <w:r w:rsidRPr="00B86A16">
        <w:t>places</w:t>
      </w:r>
      <w:r w:rsidR="00FC0568">
        <w:t xml:space="preserve">. </w:t>
      </w:r>
      <w:r w:rsidR="00735204">
        <w:t>Section 2 of the Act defines a “public place” as including “an avenue, road, street, geographical feature or place that the public is entitled to use, and any unleased land”.</w:t>
      </w:r>
      <w:r w:rsidR="00E9262C">
        <w:t xml:space="preserve"> </w:t>
      </w:r>
      <w:r w:rsidR="00052E11">
        <w:t xml:space="preserve"> </w:t>
      </w:r>
    </w:p>
    <w:p w14:paraId="41DA815D" w14:textId="77777777" w:rsidR="00735204" w:rsidRDefault="00735204" w:rsidP="00D5027A"/>
    <w:p w14:paraId="76A1A100" w14:textId="77777777" w:rsidR="00FC0568" w:rsidRDefault="00FC0568" w:rsidP="00D5027A">
      <w:r>
        <w:t xml:space="preserve">Section </w:t>
      </w:r>
      <w:r w:rsidR="00D5027A" w:rsidRPr="00B86A16">
        <w:t xml:space="preserve">3 </w:t>
      </w:r>
      <w:r>
        <w:t xml:space="preserve">of the Act gives </w:t>
      </w:r>
      <w:r w:rsidR="00D5027A" w:rsidRPr="00B86A16">
        <w:t xml:space="preserve">the Minister </w:t>
      </w:r>
      <w:r>
        <w:t>the power to</w:t>
      </w:r>
      <w:r w:rsidR="00D5027A" w:rsidRPr="00B86A16">
        <w:t xml:space="preserve"> determine the name of a division or public place. </w:t>
      </w:r>
      <w:r>
        <w:t>The determination of the Minister is a disallowable instrument and as such must be notified</w:t>
      </w:r>
      <w:r w:rsidRPr="00DF60B5">
        <w:t xml:space="preserve"> </w:t>
      </w:r>
      <w:r w:rsidR="008903ED">
        <w:t>i</w:t>
      </w:r>
      <w:r w:rsidR="00ED051D">
        <w:t>n</w:t>
      </w:r>
      <w:r>
        <w:t xml:space="preserve"> the ACT Legislation Register.</w:t>
      </w:r>
    </w:p>
    <w:p w14:paraId="31AA837F" w14:textId="77777777" w:rsidR="00735204" w:rsidRDefault="00735204" w:rsidP="00D5027A"/>
    <w:p w14:paraId="1DD27554" w14:textId="056285A4" w:rsidR="003B0C64" w:rsidRPr="009D6449" w:rsidRDefault="003B0C64" w:rsidP="003B0C64">
      <w:pPr>
        <w:rPr>
          <w:sz w:val="20"/>
        </w:rPr>
      </w:pPr>
      <w:r>
        <w:t xml:space="preserve">The factors that the Minister must have regard to in determining a name are set out in sections 2, 3 and 4 of the Act. Section 3 (3) (a) of the Act requires the Minister to consider the </w:t>
      </w:r>
      <w:r>
        <w:rPr>
          <w:i/>
        </w:rPr>
        <w:t>Public Place Names (Naming of public p</w:t>
      </w:r>
      <w:r w:rsidRPr="00B32837">
        <w:rPr>
          <w:i/>
        </w:rPr>
        <w:t>laces) Guidelines 20</w:t>
      </w:r>
      <w:r>
        <w:rPr>
          <w:i/>
        </w:rPr>
        <w:t>21</w:t>
      </w:r>
      <w:r w:rsidRPr="00B32837">
        <w:t xml:space="preserve"> </w:t>
      </w:r>
      <w:r>
        <w:t>(</w:t>
      </w:r>
      <w:r w:rsidR="006751D3">
        <w:t xml:space="preserve">the </w:t>
      </w:r>
      <w:r w:rsidRPr="006751D3">
        <w:rPr>
          <w:b/>
          <w:bCs/>
          <w:i/>
        </w:rPr>
        <w:t>guidelines</w:t>
      </w:r>
      <w:r>
        <w:t xml:space="preserve">) when naming a public place. The guidelines are made under section 4A of the Act and are </w:t>
      </w:r>
      <w:r w:rsidRPr="00B32837">
        <w:t xml:space="preserve">notified </w:t>
      </w:r>
      <w:r>
        <w:rPr>
          <w:rFonts w:cs="Arial"/>
          <w:bCs/>
          <w:szCs w:val="24"/>
        </w:rPr>
        <w:t xml:space="preserve">at </w:t>
      </w:r>
      <w:hyperlink r:id="rId7" w:history="1">
        <w:r w:rsidR="00FE3535" w:rsidRPr="006F543C">
          <w:rPr>
            <w:rStyle w:val="Hyperlink"/>
            <w:rFonts w:cs="Arial"/>
            <w:szCs w:val="24"/>
          </w:rPr>
          <w:t>www.legislation.act.gov.au/ni/2021-72/</w:t>
        </w:r>
      </w:hyperlink>
      <w:r w:rsidR="009D6449" w:rsidRPr="009D6449">
        <w:rPr>
          <w:rStyle w:val="Hyperlink"/>
          <w:rFonts w:cs="Arial"/>
          <w:szCs w:val="24"/>
          <w:u w:val="none"/>
        </w:rPr>
        <w:t>.</w:t>
      </w:r>
    </w:p>
    <w:p w14:paraId="5009DD63" w14:textId="570DAE8B" w:rsidR="00FC0568" w:rsidRDefault="00FC0568" w:rsidP="00D5027A"/>
    <w:p w14:paraId="257F08B1" w14:textId="77777777" w:rsidR="00735204" w:rsidRPr="00BB744F" w:rsidRDefault="00735204" w:rsidP="00D5027A">
      <w:pPr>
        <w:rPr>
          <w:b/>
          <w:i/>
        </w:rPr>
      </w:pPr>
      <w:r w:rsidRPr="00BB744F">
        <w:rPr>
          <w:b/>
          <w:i/>
        </w:rPr>
        <w:t xml:space="preserve">The </w:t>
      </w:r>
      <w:r w:rsidR="00BB744F" w:rsidRPr="00BB744F">
        <w:rPr>
          <w:b/>
          <w:i/>
        </w:rPr>
        <w:t>D</w:t>
      </w:r>
      <w:r w:rsidRPr="00BB744F">
        <w:rPr>
          <w:b/>
          <w:i/>
        </w:rPr>
        <w:t>etermination</w:t>
      </w:r>
    </w:p>
    <w:p w14:paraId="157D2D18" w14:textId="3B927361" w:rsidR="00FC0568" w:rsidRDefault="00FC0568" w:rsidP="00D55F6E">
      <w:r>
        <w:t xml:space="preserve">The </w:t>
      </w:r>
      <w:r w:rsidR="00D55F6E" w:rsidRPr="00D55F6E">
        <w:rPr>
          <w:i/>
          <w:iCs/>
        </w:rPr>
        <w:t>P</w:t>
      </w:r>
      <w:r w:rsidR="00D55F6E">
        <w:rPr>
          <w:i/>
          <w:iCs/>
        </w:rPr>
        <w:t>ublic P</w:t>
      </w:r>
      <w:r w:rsidR="00D55F6E" w:rsidRPr="00D55F6E">
        <w:rPr>
          <w:i/>
          <w:iCs/>
        </w:rPr>
        <w:t>lace Names (Whitlam) Determination 2022 (No 2)</w:t>
      </w:r>
      <w:r w:rsidR="00D55F6E">
        <w:t xml:space="preserve"> </w:t>
      </w:r>
      <w:r>
        <w:t>determines the name</w:t>
      </w:r>
      <w:r w:rsidR="00D55F6E">
        <w:t>s</w:t>
      </w:r>
      <w:r>
        <w:t xml:space="preserve"> of</w:t>
      </w:r>
      <w:r w:rsidRPr="00B6511E">
        <w:rPr>
          <w:color w:val="FF0000"/>
        </w:rPr>
        <w:t xml:space="preserve"> </w:t>
      </w:r>
      <w:r w:rsidR="009D6449" w:rsidRPr="009D6449">
        <w:t>seven roads</w:t>
      </w:r>
      <w:r w:rsidR="009D6449">
        <w:rPr>
          <w:color w:val="FF0000"/>
        </w:rPr>
        <w:t xml:space="preserve"> </w:t>
      </w:r>
      <w:r w:rsidR="00A14446">
        <w:t>for the public place</w:t>
      </w:r>
      <w:r w:rsidR="009D6449">
        <w:t>s</w:t>
      </w:r>
      <w:r w:rsidR="00A14446">
        <w:t xml:space="preserve"> indicated in the </w:t>
      </w:r>
      <w:r w:rsidR="00AD7166">
        <w:t>diagram</w:t>
      </w:r>
      <w:r w:rsidR="00A14446">
        <w:t xml:space="preserve"> in the schedule to the determination</w:t>
      </w:r>
      <w:r>
        <w:t xml:space="preserve">. </w:t>
      </w:r>
    </w:p>
    <w:p w14:paraId="7E37AD6F" w14:textId="77777777" w:rsidR="00FC0568" w:rsidRDefault="00FC0568" w:rsidP="00FC0568"/>
    <w:p w14:paraId="210AAB1B" w14:textId="7D454B17" w:rsidR="00FC0568" w:rsidRDefault="00FC0568" w:rsidP="00FC0568">
      <w:pPr>
        <w:rPr>
          <w:szCs w:val="24"/>
        </w:rPr>
      </w:pPr>
      <w:r>
        <w:t>The name</w:t>
      </w:r>
      <w:r w:rsidR="009D6449">
        <w:t>s are</w:t>
      </w:r>
      <w:r>
        <w:t xml:space="preserve"> consistent with the </w:t>
      </w:r>
      <w:r w:rsidRPr="00FC0568">
        <w:t xml:space="preserve">theme for </w:t>
      </w:r>
      <w:r w:rsidR="009D6449">
        <w:t xml:space="preserve">Whitlam </w:t>
      </w:r>
      <w:r>
        <w:t xml:space="preserve">which is </w:t>
      </w:r>
      <w:r w:rsidR="009D6449">
        <w:t>‘arts and culture’.</w:t>
      </w:r>
      <w:r>
        <w:t xml:space="preserve"> The purpose of this determination is to</w:t>
      </w:r>
      <w:r w:rsidR="009D6449">
        <w:t xml:space="preserve"> </w:t>
      </w:r>
      <w:r w:rsidR="009D6449" w:rsidRPr="00393620">
        <w:rPr>
          <w:szCs w:val="24"/>
        </w:rPr>
        <w:t xml:space="preserve">commemorate the names of </w:t>
      </w:r>
      <w:r w:rsidR="009D6449">
        <w:rPr>
          <w:szCs w:val="24"/>
        </w:rPr>
        <w:t xml:space="preserve">seven </w:t>
      </w:r>
      <w:r w:rsidR="009D6449" w:rsidRPr="00393620">
        <w:rPr>
          <w:szCs w:val="24"/>
        </w:rPr>
        <w:t>people for their important contribution to Australian cultural life</w:t>
      </w:r>
      <w:r w:rsidR="006C3A62">
        <w:rPr>
          <w:szCs w:val="24"/>
        </w:rPr>
        <w:t xml:space="preserve"> and two non-personal names, recognising Australian broadcasting for children and the Rajah convict quilt. </w:t>
      </w:r>
    </w:p>
    <w:p w14:paraId="1386EE38" w14:textId="77777777" w:rsidR="006C3A62" w:rsidRPr="006751D3" w:rsidRDefault="006C3A62" w:rsidP="00FC0568"/>
    <w:p w14:paraId="1836FF58" w14:textId="77777777" w:rsidR="006C3A62" w:rsidRPr="006751D3" w:rsidRDefault="006C3A62" w:rsidP="006C3A62">
      <w:pPr>
        <w:rPr>
          <w:sz w:val="22"/>
        </w:rPr>
      </w:pPr>
      <w:r w:rsidRPr="00393620">
        <w:rPr>
          <w:szCs w:val="24"/>
        </w:rPr>
        <w:t>This determination is consistent with section 4 (2) (b) and (d) of the Act and the</w:t>
      </w:r>
      <w:r w:rsidRPr="006751D3">
        <w:rPr>
          <w:szCs w:val="24"/>
        </w:rPr>
        <w:t xml:space="preserve"> requirement of the Minister (or delegate) to have regard</w:t>
      </w:r>
      <w:r>
        <w:t xml:space="preserve"> to the names of people who </w:t>
      </w:r>
      <w:r>
        <w:lastRenderedPageBreak/>
        <w:t xml:space="preserve">have made notable contributions to the existence of Australia as a nation and things characteristic of Australia. </w:t>
      </w:r>
      <w:r w:rsidRPr="006751D3">
        <w:t>This determination is also consistent with the guidelines.</w:t>
      </w:r>
    </w:p>
    <w:p w14:paraId="2A1D5C01" w14:textId="77777777" w:rsidR="00993E78" w:rsidRDefault="00993E78" w:rsidP="00FC0568"/>
    <w:p w14:paraId="1F88FFE1" w14:textId="08011755" w:rsidR="00C94D3F" w:rsidRPr="00462131" w:rsidRDefault="00993E78" w:rsidP="00C94D3F">
      <w:r w:rsidRPr="00B32837">
        <w:rPr>
          <w:u w:val="single"/>
        </w:rPr>
        <w:t>Consultation</w:t>
      </w:r>
      <w:r w:rsidR="00C94D3F">
        <w:rPr>
          <w:u w:val="single"/>
        </w:rPr>
        <w:t xml:space="preserve"> </w:t>
      </w:r>
    </w:p>
    <w:p w14:paraId="601F863A" w14:textId="77777777" w:rsidR="006C3A62" w:rsidRPr="00393620" w:rsidRDefault="006C3A62" w:rsidP="006C3A62">
      <w:r w:rsidRPr="00393620">
        <w:t>If a public place is proposed to be named after a particular person</w:t>
      </w:r>
      <w:r>
        <w:t>,</w:t>
      </w:r>
      <w:r w:rsidRPr="00393620">
        <w:t xml:space="preserve"> reasonable steps should be taken to obtain prior permission from the person’s relatives, associates, an appropriate cultural group, or a relevant professional organisation, under clause 8 of the guidelines. Consultation was undertaken in this instance in accordance with the guidelines. </w:t>
      </w:r>
    </w:p>
    <w:p w14:paraId="3B063379" w14:textId="77777777" w:rsidR="006C3A62" w:rsidRDefault="006C3A62" w:rsidP="00E8733B">
      <w:pPr>
        <w:rPr>
          <w:u w:val="single"/>
        </w:rPr>
      </w:pPr>
    </w:p>
    <w:p w14:paraId="1F04C106" w14:textId="7AC036E0" w:rsidR="00E8733B" w:rsidRDefault="00E8733B" w:rsidP="00E8733B">
      <w:pPr>
        <w:rPr>
          <w:u w:val="single"/>
        </w:rPr>
      </w:pPr>
      <w:r>
        <w:rPr>
          <w:u w:val="single"/>
        </w:rPr>
        <w:t>Gender representation</w:t>
      </w:r>
    </w:p>
    <w:p w14:paraId="133A7E14" w14:textId="02986B84" w:rsidR="006C3A62" w:rsidRPr="00393620" w:rsidRDefault="00E8733B" w:rsidP="006C3A62">
      <w:pPr>
        <w:rPr>
          <w:szCs w:val="24"/>
        </w:rPr>
      </w:pPr>
      <w:r w:rsidRPr="00267EC8">
        <w:t xml:space="preserve">Section 3 (2) (b) of the Act requires that the Minister (or delegate) consider whether the names of women are well-represented when making a determination about the naming of a public place. </w:t>
      </w:r>
      <w:r w:rsidR="006C3A62" w:rsidRPr="00393620">
        <w:rPr>
          <w:szCs w:val="24"/>
        </w:rPr>
        <w:t xml:space="preserve">This instrument commemorates </w:t>
      </w:r>
      <w:r w:rsidR="00462131">
        <w:rPr>
          <w:szCs w:val="24"/>
        </w:rPr>
        <w:t xml:space="preserve">the contribution of </w:t>
      </w:r>
      <w:r w:rsidR="006C3A62">
        <w:rPr>
          <w:szCs w:val="24"/>
        </w:rPr>
        <w:t xml:space="preserve">three </w:t>
      </w:r>
      <w:r w:rsidR="006C3A62" w:rsidRPr="00393620">
        <w:rPr>
          <w:szCs w:val="24"/>
        </w:rPr>
        <w:t xml:space="preserve">women and </w:t>
      </w:r>
      <w:r w:rsidR="00462131">
        <w:rPr>
          <w:szCs w:val="24"/>
        </w:rPr>
        <w:t>four</w:t>
      </w:r>
      <w:r w:rsidR="006C3A62">
        <w:rPr>
          <w:szCs w:val="24"/>
        </w:rPr>
        <w:t xml:space="preserve"> </w:t>
      </w:r>
      <w:r w:rsidR="00462131">
        <w:rPr>
          <w:szCs w:val="24"/>
        </w:rPr>
        <w:t>men</w:t>
      </w:r>
      <w:r w:rsidR="00462131" w:rsidRPr="00393620">
        <w:rPr>
          <w:szCs w:val="24"/>
        </w:rPr>
        <w:t>.</w:t>
      </w:r>
      <w:r w:rsidR="00462131">
        <w:rPr>
          <w:szCs w:val="24"/>
        </w:rPr>
        <w:t xml:space="preserve"> One</w:t>
      </w:r>
      <w:r w:rsidR="006C3A62" w:rsidRPr="00393620">
        <w:rPr>
          <w:szCs w:val="24"/>
        </w:rPr>
        <w:t xml:space="preserve"> road is named to commemorate </w:t>
      </w:r>
      <w:r w:rsidR="00DA4B78">
        <w:rPr>
          <w:szCs w:val="24"/>
        </w:rPr>
        <w:t xml:space="preserve">the contribution of </w:t>
      </w:r>
      <w:r w:rsidR="00462131">
        <w:rPr>
          <w:szCs w:val="24"/>
        </w:rPr>
        <w:t xml:space="preserve">three different people and two roads commemorate </w:t>
      </w:r>
      <w:r w:rsidR="006C3A62" w:rsidRPr="00393620">
        <w:rPr>
          <w:szCs w:val="24"/>
        </w:rPr>
        <w:t>non-personal name</w:t>
      </w:r>
      <w:r w:rsidR="00462131">
        <w:rPr>
          <w:szCs w:val="24"/>
        </w:rPr>
        <w:t>s</w:t>
      </w:r>
      <w:r w:rsidR="006C3A62" w:rsidRPr="00393620">
        <w:rPr>
          <w:szCs w:val="24"/>
        </w:rPr>
        <w:t xml:space="preserve">. </w:t>
      </w:r>
    </w:p>
    <w:p w14:paraId="67321734" w14:textId="460381A8" w:rsidR="00E8733B" w:rsidRPr="00462131" w:rsidRDefault="00E8733B" w:rsidP="006C3A62"/>
    <w:p w14:paraId="07B1073A" w14:textId="2DEEF015" w:rsidR="00993E78" w:rsidRPr="00D846CE" w:rsidRDefault="00993E78" w:rsidP="00993E78">
      <w:pPr>
        <w:keepNext/>
        <w:rPr>
          <w:b/>
          <w:bCs/>
          <w:i/>
          <w:iCs/>
        </w:rPr>
      </w:pPr>
      <w:r w:rsidRPr="008E335B">
        <w:rPr>
          <w:u w:val="single"/>
        </w:rPr>
        <w:t xml:space="preserve">Regulatory Impact Statement </w:t>
      </w:r>
      <w:r w:rsidRPr="00161AB9">
        <w:rPr>
          <w:i/>
          <w:iCs/>
          <w:u w:val="single"/>
        </w:rPr>
        <w:t>(</w:t>
      </w:r>
      <w:r w:rsidRPr="00D846CE">
        <w:rPr>
          <w:b/>
          <w:bCs/>
          <w:i/>
          <w:iCs/>
          <w:u w:val="single"/>
        </w:rPr>
        <w:t>RIS</w:t>
      </w:r>
      <w:r w:rsidRPr="00161AB9">
        <w:rPr>
          <w:i/>
          <w:iCs/>
          <w:u w:val="single"/>
        </w:rPr>
        <w:t>)</w:t>
      </w:r>
    </w:p>
    <w:p w14:paraId="2D6EEDAD" w14:textId="7D4BD3AC" w:rsidR="00993E78" w:rsidRDefault="00993E78" w:rsidP="00993E78">
      <w:r>
        <w:t xml:space="preserve">The </w:t>
      </w:r>
      <w:r w:rsidRPr="00070613">
        <w:rPr>
          <w:i/>
        </w:rPr>
        <w:t>Legislation Act 2001</w:t>
      </w:r>
      <w:r>
        <w:t xml:space="preserve"> (</w:t>
      </w:r>
      <w:r w:rsidRPr="006751D3">
        <w:rPr>
          <w:b/>
          <w:bCs/>
          <w:i/>
          <w:iCs/>
        </w:rPr>
        <w:t>Legislation Act</w:t>
      </w:r>
      <w:r w:rsidRPr="00F92413">
        <w:t>)</w:t>
      </w:r>
      <w:r>
        <w:t xml:space="preserve"> requires a RIS for regulations and disallowable instruments subject to specified exceptions. In this case, a RIS </w:t>
      </w:r>
      <w:r w:rsidRPr="008E335B">
        <w:t>is not required</w:t>
      </w:r>
      <w:r>
        <w:t xml:space="preserve"> because the determination does not impose any appreciable costs on the community or part of the community (s</w:t>
      </w:r>
      <w:r w:rsidR="00FE3535">
        <w:t>ection</w:t>
      </w:r>
      <w:r>
        <w:t xml:space="preserve"> 34 (1) of the Legislation Act). Further, a RIS is also not required because, while the determination of place names is culturally and socially significant, it </w:t>
      </w:r>
      <w:r w:rsidRPr="005A4979">
        <w:t>does not adversely affect rights or impose liabilities on a person</w:t>
      </w:r>
      <w:r>
        <w:t xml:space="preserve"> (</w:t>
      </w:r>
      <w:r w:rsidR="00FE3535">
        <w:t>section</w:t>
      </w:r>
      <w:r>
        <w:t xml:space="preserve"> 36 (1) (b) of the Legislation Act)</w:t>
      </w:r>
      <w:r w:rsidRPr="005A4979">
        <w:t>.</w:t>
      </w:r>
      <w:r>
        <w:t xml:space="preserve"> </w:t>
      </w:r>
    </w:p>
    <w:p w14:paraId="13A0C2C4" w14:textId="77777777" w:rsidR="008E335B" w:rsidRPr="00462131" w:rsidRDefault="008E335B" w:rsidP="009B1BB3">
      <w:pPr>
        <w:rPr>
          <w:u w:val="single"/>
        </w:rPr>
      </w:pPr>
    </w:p>
    <w:p w14:paraId="78823EBA" w14:textId="365B8817" w:rsidR="00293DBA" w:rsidRPr="00323857" w:rsidRDefault="00F07B24" w:rsidP="00293DBA">
      <w:pPr>
        <w:keepNext/>
        <w:rPr>
          <w:i/>
          <w:iCs/>
          <w:sz w:val="20"/>
        </w:rPr>
      </w:pPr>
      <w:r w:rsidRPr="008E335B">
        <w:rPr>
          <w:u w:val="single"/>
        </w:rPr>
        <w:t>Human Rights</w:t>
      </w:r>
    </w:p>
    <w:p w14:paraId="126D7445" w14:textId="77777777" w:rsidR="00311AF0" w:rsidRDefault="00311AF0" w:rsidP="009B1BB3">
      <w:r>
        <w:t xml:space="preserve">Section 12 of the </w:t>
      </w:r>
      <w:r w:rsidRPr="00311AF0">
        <w:rPr>
          <w:i/>
        </w:rPr>
        <w:t>Human Rights Act 2004</w:t>
      </w:r>
      <w:r>
        <w:t xml:space="preserve"> creates a right to privacy and reputation. </w:t>
      </w:r>
    </w:p>
    <w:p w14:paraId="0C122BC6" w14:textId="77777777" w:rsidR="00D86C8F" w:rsidRPr="00D86C8F" w:rsidRDefault="00D82060" w:rsidP="005411DB">
      <w:r w:rsidRPr="00D86C8F">
        <w:t>Conceivably,</w:t>
      </w:r>
      <w:r>
        <w:t xml:space="preserve"> </w:t>
      </w:r>
      <w:r w:rsidR="00311AF0">
        <w:t>the</w:t>
      </w:r>
      <w:r w:rsidR="005411DB">
        <w:t xml:space="preserve"> naming of a place </w:t>
      </w:r>
      <w:r w:rsidR="00891926">
        <w:t>has the potential to</w:t>
      </w:r>
      <w:r w:rsidR="005411DB">
        <w:t xml:space="preserve"> infringe the</w:t>
      </w:r>
      <w:r w:rsidR="00311AF0">
        <w:t xml:space="preserve"> right to privacy and reputation of a person after whom a place is named. </w:t>
      </w:r>
      <w:r w:rsidR="00D10A4C" w:rsidRPr="00D86C8F">
        <w:t>In this case</w:t>
      </w:r>
      <w:r w:rsidR="00311AF0">
        <w:t xml:space="preserve"> the process through which places are named en</w:t>
      </w:r>
      <w:r w:rsidR="005411DB">
        <w:t xml:space="preserve">sures that </w:t>
      </w:r>
      <w:r w:rsidR="00637464">
        <w:t>this right is not infringed and</w:t>
      </w:r>
      <w:r w:rsidR="005411DB">
        <w:t xml:space="preserve"> that only </w:t>
      </w:r>
      <w:r w:rsidR="00177B91">
        <w:t>appr</w:t>
      </w:r>
      <w:r w:rsidR="00311AF0">
        <w:t>opriate information</w:t>
      </w:r>
      <w:r w:rsidR="005411DB">
        <w:t xml:space="preserve"> is included</w:t>
      </w:r>
      <w:r w:rsidR="00CC7D1B">
        <w:t xml:space="preserve"> in </w:t>
      </w:r>
      <w:r w:rsidR="006415CE">
        <w:t>a</w:t>
      </w:r>
      <w:r w:rsidR="00CC7D1B">
        <w:t xml:space="preserve"> determination</w:t>
      </w:r>
      <w:r w:rsidR="006149F3">
        <w:t xml:space="preserve">. This process includes the </w:t>
      </w:r>
      <w:r w:rsidR="00891926">
        <w:t xml:space="preserve">consultation </w:t>
      </w:r>
      <w:r w:rsidR="006149F3">
        <w:t>described</w:t>
      </w:r>
      <w:r w:rsidR="00B32837">
        <w:t xml:space="preserve"> above. </w:t>
      </w:r>
      <w:r w:rsidR="00D86C8F" w:rsidRPr="00D86C8F">
        <w:t xml:space="preserve">Additionally, in relation to places named after people, only the names of deceased persons are </w:t>
      </w:r>
      <w:r w:rsidR="00070613">
        <w:t>determined</w:t>
      </w:r>
      <w:r w:rsidR="00D86C8F" w:rsidRPr="00D86C8F">
        <w:t>.</w:t>
      </w:r>
    </w:p>
    <w:p w14:paraId="302600F4" w14:textId="77777777" w:rsidR="005411DB" w:rsidRPr="00F07B24" w:rsidRDefault="005411DB" w:rsidP="00725340"/>
    <w:p w14:paraId="75871A86" w14:textId="77777777" w:rsidR="00993E78" w:rsidRPr="00FC0568" w:rsidRDefault="00993E78" w:rsidP="00993E78">
      <w:pPr>
        <w:rPr>
          <w:u w:val="single"/>
        </w:rPr>
      </w:pPr>
      <w:r w:rsidRPr="00FC0568">
        <w:rPr>
          <w:u w:val="single"/>
        </w:rPr>
        <w:t>Delegation</w:t>
      </w:r>
    </w:p>
    <w:p w14:paraId="5B117426" w14:textId="61046B96" w:rsidR="00993E78" w:rsidRPr="00F969AA" w:rsidRDefault="00993E78" w:rsidP="00993E78">
      <w:r>
        <w:t>This determination is made by a delegate of the</w:t>
      </w:r>
      <w:r w:rsidRPr="00B86A16">
        <w:t xml:space="preserve"> Minister</w:t>
      </w:r>
      <w:r>
        <w:t>. The Minister</w:t>
      </w:r>
      <w:r w:rsidRPr="00B86A16">
        <w:t xml:space="preserve"> has delegated the power under </w:t>
      </w:r>
      <w:r>
        <w:t xml:space="preserve">section 3 of </w:t>
      </w:r>
      <w:r w:rsidRPr="00B86A16">
        <w:t>the</w:t>
      </w:r>
      <w:r>
        <w:t xml:space="preserve"> </w:t>
      </w:r>
      <w:r w:rsidRPr="00FC0568">
        <w:t>Act</w:t>
      </w:r>
      <w:r>
        <w:rPr>
          <w:i/>
        </w:rPr>
        <w:t xml:space="preserve"> </w:t>
      </w:r>
      <w:r w:rsidRPr="00B86A16">
        <w:t xml:space="preserve">to name a division or public place to </w:t>
      </w:r>
      <w:r>
        <w:t>the people</w:t>
      </w:r>
      <w:r w:rsidRPr="00F969AA">
        <w:t xml:space="preserve"> occupying the positions of Director-General and Deputy Director-General of t</w:t>
      </w:r>
      <w:r w:rsidRPr="00B86A16">
        <w:t>he Environment</w:t>
      </w:r>
      <w:r>
        <w:t xml:space="preserve">, </w:t>
      </w:r>
      <w:r w:rsidRPr="00B86A16">
        <w:t xml:space="preserve">Planning </w:t>
      </w:r>
      <w:r>
        <w:t xml:space="preserve">and Sustainable Development </w:t>
      </w:r>
      <w:r w:rsidRPr="00B86A16">
        <w:t>Directorate</w:t>
      </w:r>
      <w:r>
        <w:t xml:space="preserve">, refer to the </w:t>
      </w:r>
      <w:r w:rsidRPr="00C233D3">
        <w:rPr>
          <w:i/>
        </w:rPr>
        <w:t>Legislation (Environment</w:t>
      </w:r>
      <w:r>
        <w:rPr>
          <w:i/>
        </w:rPr>
        <w:t>,</w:t>
      </w:r>
      <w:r w:rsidRPr="00C233D3">
        <w:rPr>
          <w:i/>
        </w:rPr>
        <w:t xml:space="preserve"> Planning</w:t>
      </w:r>
      <w:r>
        <w:rPr>
          <w:i/>
        </w:rPr>
        <w:t xml:space="preserve"> and Sustainable Development </w:t>
      </w:r>
      <w:r w:rsidRPr="00C233D3">
        <w:rPr>
          <w:i/>
        </w:rPr>
        <w:t>Directorate) Delegation 201</w:t>
      </w:r>
      <w:r>
        <w:rPr>
          <w:i/>
        </w:rPr>
        <w:t>8</w:t>
      </w:r>
      <w:r w:rsidRPr="00C233D3">
        <w:rPr>
          <w:i/>
        </w:rPr>
        <w:t xml:space="preserve"> (No </w:t>
      </w:r>
      <w:r>
        <w:rPr>
          <w:i/>
        </w:rPr>
        <w:t>1</w:t>
      </w:r>
      <w:r w:rsidRPr="00C233D3">
        <w:rPr>
          <w:i/>
        </w:rPr>
        <w:t>)</w:t>
      </w:r>
      <w:r w:rsidRPr="00C233D3">
        <w:t>, NI201</w:t>
      </w:r>
      <w:r>
        <w:t>8</w:t>
      </w:r>
      <w:r w:rsidRPr="00C233D3">
        <w:t>-2</w:t>
      </w:r>
      <w:r>
        <w:t>16</w:t>
      </w:r>
      <w:r w:rsidRPr="00B86A16">
        <w:t xml:space="preserve">. </w:t>
      </w:r>
    </w:p>
    <w:p w14:paraId="2309C587" w14:textId="6AF28440" w:rsidR="007979D3" w:rsidRDefault="007979D3" w:rsidP="007979D3"/>
    <w:p w14:paraId="48EB8537" w14:textId="77777777" w:rsidR="00D5027A" w:rsidRPr="006149F3" w:rsidRDefault="006149F3" w:rsidP="00D5027A">
      <w:pPr>
        <w:rPr>
          <w:u w:val="single"/>
        </w:rPr>
      </w:pPr>
      <w:r w:rsidRPr="006149F3">
        <w:rPr>
          <w:u w:val="single"/>
        </w:rPr>
        <w:t xml:space="preserve">Status of </w:t>
      </w:r>
      <w:r w:rsidR="007979D3">
        <w:rPr>
          <w:u w:val="single"/>
        </w:rPr>
        <w:t xml:space="preserve">this </w:t>
      </w:r>
      <w:r w:rsidRPr="006149F3">
        <w:rPr>
          <w:u w:val="single"/>
        </w:rPr>
        <w:t>Explanatory Statement</w:t>
      </w:r>
    </w:p>
    <w:p w14:paraId="0E62592A" w14:textId="77EBDB4A" w:rsidR="008E335B" w:rsidRPr="00462131" w:rsidRDefault="008E335B" w:rsidP="008E335B">
      <w:pPr>
        <w:autoSpaceDE w:val="0"/>
        <w:autoSpaceDN w:val="0"/>
        <w:adjustRightInd w:val="0"/>
        <w:rPr>
          <w:rFonts w:cs="Times-Roman"/>
          <w:lang w:eastAsia="en-AU"/>
        </w:rPr>
      </w:pPr>
      <w:r w:rsidRPr="008E335B">
        <w:rPr>
          <w:rFonts w:cs="Times-Roman"/>
          <w:lang w:eastAsia="en-AU"/>
        </w:rPr>
        <w:t xml:space="preserve">This explanatory statement relates to the </w:t>
      </w:r>
      <w:r w:rsidR="00D55F6E" w:rsidRPr="00D55F6E">
        <w:rPr>
          <w:i/>
          <w:iCs/>
        </w:rPr>
        <w:t>P</w:t>
      </w:r>
      <w:r w:rsidR="00D55F6E">
        <w:rPr>
          <w:i/>
          <w:iCs/>
        </w:rPr>
        <w:t>ublic P</w:t>
      </w:r>
      <w:r w:rsidR="00D55F6E" w:rsidRPr="00D55F6E">
        <w:rPr>
          <w:i/>
          <w:iCs/>
        </w:rPr>
        <w:t>lace Names (Whitlam) Determination 2022 (No 2</w:t>
      </w:r>
      <w:r w:rsidR="00D55F6E">
        <w:rPr>
          <w:i/>
          <w:iCs/>
        </w:rPr>
        <w:t xml:space="preserve">) </w:t>
      </w:r>
      <w:r w:rsidRPr="008E335B">
        <w:rPr>
          <w:rFonts w:cs="Times-Roman"/>
          <w:lang w:eastAsia="en-AU"/>
        </w:rPr>
        <w:t>as made by the delegate of the Minister and presented to the ACT Legislative Assembly</w:t>
      </w:r>
      <w:r w:rsidR="00CE52BE">
        <w:rPr>
          <w:rFonts w:cs="Times-Roman"/>
          <w:lang w:eastAsia="en-AU"/>
        </w:rPr>
        <w:t xml:space="preserve"> (the </w:t>
      </w:r>
      <w:r w:rsidR="00CE52BE" w:rsidRPr="006751D3">
        <w:rPr>
          <w:rFonts w:cs="Times-Roman"/>
          <w:b/>
          <w:bCs/>
          <w:i/>
          <w:iCs/>
          <w:lang w:eastAsia="en-AU"/>
        </w:rPr>
        <w:t>Assembly</w:t>
      </w:r>
      <w:r w:rsidR="00CE52BE">
        <w:rPr>
          <w:rFonts w:cs="Times-Roman"/>
          <w:lang w:eastAsia="en-AU"/>
        </w:rPr>
        <w:t>)</w:t>
      </w:r>
      <w:r w:rsidRPr="008E335B">
        <w:rPr>
          <w:rFonts w:cs="Times-Roman"/>
          <w:lang w:eastAsia="en-AU"/>
        </w:rPr>
        <w:t xml:space="preserve">. It has been prepared in order to assist the reader of the disallowable instrument. It does not form part of the disallowable instrument and has not been endorsed by the Assembly. </w:t>
      </w:r>
    </w:p>
    <w:p w14:paraId="6E034CFD" w14:textId="77777777" w:rsidR="008E335B" w:rsidRDefault="008E335B" w:rsidP="00D5027A"/>
    <w:p w14:paraId="0BC5DD54" w14:textId="77777777" w:rsidR="00D5027A" w:rsidRPr="00BB744F" w:rsidRDefault="00D5027A" w:rsidP="00D5027A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lastRenderedPageBreak/>
        <w:t>Clause Notes</w:t>
      </w:r>
    </w:p>
    <w:p w14:paraId="40C88C06" w14:textId="77777777" w:rsidR="00D5027A" w:rsidRDefault="00D5027A" w:rsidP="00D5027A"/>
    <w:p w14:paraId="68B097F8" w14:textId="484158AB" w:rsidR="00D5027A" w:rsidRPr="00BB744F" w:rsidRDefault="00D5027A" w:rsidP="00D5027A">
      <w:pPr>
        <w:rPr>
          <w:b/>
          <w:i/>
        </w:rPr>
      </w:pPr>
      <w:r w:rsidRPr="00BB744F">
        <w:rPr>
          <w:b/>
          <w:i/>
        </w:rPr>
        <w:t xml:space="preserve">Clause 1 – Name of </w:t>
      </w:r>
      <w:r w:rsidR="00E55ED8">
        <w:rPr>
          <w:b/>
          <w:i/>
        </w:rPr>
        <w:t>i</w:t>
      </w:r>
      <w:r w:rsidRPr="00BB744F">
        <w:rPr>
          <w:b/>
          <w:i/>
        </w:rPr>
        <w:t>nstrument</w:t>
      </w:r>
    </w:p>
    <w:p w14:paraId="59C30478" w14:textId="77777777" w:rsidR="00D5027A" w:rsidRDefault="00D5027A" w:rsidP="00D5027A">
      <w:r>
        <w:t>This clause names the instrument.</w:t>
      </w:r>
    </w:p>
    <w:p w14:paraId="298F67B5" w14:textId="77777777" w:rsidR="00D5027A" w:rsidRDefault="00D5027A" w:rsidP="00D5027A"/>
    <w:p w14:paraId="7D8A44BF" w14:textId="77777777" w:rsidR="00D5027A" w:rsidRPr="00BB744F" w:rsidRDefault="00D5027A" w:rsidP="00D5027A">
      <w:pPr>
        <w:rPr>
          <w:b/>
          <w:i/>
        </w:rPr>
      </w:pPr>
      <w:r w:rsidRPr="00BB744F">
        <w:rPr>
          <w:b/>
          <w:i/>
        </w:rPr>
        <w:t>Clause 2 – Commencement</w:t>
      </w:r>
    </w:p>
    <w:p w14:paraId="3C7C43DB" w14:textId="77777777" w:rsidR="00D5027A" w:rsidRDefault="00D5027A" w:rsidP="00D5027A">
      <w:r>
        <w:t>This clause provides for the commencement of the instrument.</w:t>
      </w:r>
    </w:p>
    <w:p w14:paraId="0643F4C4" w14:textId="77777777" w:rsidR="00D5027A" w:rsidRDefault="00D5027A" w:rsidP="00D5027A"/>
    <w:p w14:paraId="7811AC43" w14:textId="74C878DE" w:rsidR="00D5027A" w:rsidRPr="00462131" w:rsidRDefault="00D5027A" w:rsidP="00D5027A">
      <w:pPr>
        <w:rPr>
          <w:b/>
          <w:i/>
        </w:rPr>
      </w:pPr>
      <w:r w:rsidRPr="00BB744F">
        <w:rPr>
          <w:b/>
          <w:i/>
        </w:rPr>
        <w:t xml:space="preserve">Clause 3 – Determination of </w:t>
      </w:r>
      <w:r w:rsidR="006751D3">
        <w:rPr>
          <w:b/>
          <w:i/>
        </w:rPr>
        <w:t>P</w:t>
      </w:r>
      <w:r w:rsidRPr="00BB744F">
        <w:rPr>
          <w:b/>
          <w:i/>
        </w:rPr>
        <w:t xml:space="preserve">lace </w:t>
      </w:r>
      <w:r w:rsidR="006751D3">
        <w:rPr>
          <w:b/>
          <w:i/>
        </w:rPr>
        <w:t>N</w:t>
      </w:r>
      <w:r w:rsidRPr="00BB744F">
        <w:rPr>
          <w:b/>
          <w:i/>
        </w:rPr>
        <w:t>ames</w:t>
      </w:r>
      <w:r w:rsidR="00C94D3F">
        <w:rPr>
          <w:b/>
          <w:i/>
        </w:rPr>
        <w:t xml:space="preserve"> </w:t>
      </w:r>
    </w:p>
    <w:p w14:paraId="0131F2C5" w14:textId="68022C57" w:rsidR="00D5027A" w:rsidRDefault="00D5027A">
      <w:r>
        <w:t>This clause names the public places as specified in the schedule.</w:t>
      </w:r>
    </w:p>
    <w:sectPr w:rsidR="00D5027A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1264C" w14:textId="77777777" w:rsidR="00F16F76" w:rsidRDefault="00F16F76" w:rsidP="00C17FAB">
      <w:r>
        <w:separator/>
      </w:r>
    </w:p>
  </w:endnote>
  <w:endnote w:type="continuationSeparator" w:id="0">
    <w:p w14:paraId="2E635B62" w14:textId="77777777" w:rsidR="00F16F76" w:rsidRDefault="00F16F76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0426" w14:textId="77777777" w:rsidR="00B31356" w:rsidRDefault="00B3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9851"/>
      <w:docPartObj>
        <w:docPartGallery w:val="Page Numbers (Bottom of Page)"/>
        <w:docPartUnique/>
      </w:docPartObj>
    </w:sdtPr>
    <w:sdtEndPr/>
    <w:sdtContent>
      <w:p w14:paraId="54FF943D" w14:textId="77777777" w:rsidR="00B31356" w:rsidRDefault="00822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F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E6C49F" w14:textId="04513721" w:rsidR="00B31356" w:rsidRPr="001708AD" w:rsidRDefault="001708AD" w:rsidP="001708AD">
    <w:pPr>
      <w:pStyle w:val="Footer"/>
      <w:jc w:val="center"/>
      <w:rPr>
        <w:rFonts w:cs="Arial"/>
        <w:sz w:val="14"/>
      </w:rPr>
    </w:pPr>
    <w:r w:rsidRPr="001708A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8C81" w14:textId="77777777" w:rsidR="00B31356" w:rsidRDefault="00B3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D661" w14:textId="77777777" w:rsidR="00F16F76" w:rsidRDefault="00F16F76" w:rsidP="00C17FAB">
      <w:r>
        <w:separator/>
      </w:r>
    </w:p>
  </w:footnote>
  <w:footnote w:type="continuationSeparator" w:id="0">
    <w:p w14:paraId="10B8B625" w14:textId="77777777" w:rsidR="00F16F76" w:rsidRDefault="00F16F76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81D1" w14:textId="77777777" w:rsidR="00B31356" w:rsidRDefault="00B31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EF61" w14:textId="77777777" w:rsidR="00B31356" w:rsidRDefault="00B31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591F" w14:textId="77777777" w:rsidR="00B31356" w:rsidRDefault="00B3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36589"/>
    <w:rsid w:val="00052E11"/>
    <w:rsid w:val="00062001"/>
    <w:rsid w:val="00070613"/>
    <w:rsid w:val="00082DFD"/>
    <w:rsid w:val="000C1643"/>
    <w:rsid w:val="0013793F"/>
    <w:rsid w:val="00143042"/>
    <w:rsid w:val="00161AB9"/>
    <w:rsid w:val="001708AD"/>
    <w:rsid w:val="00170FCE"/>
    <w:rsid w:val="00177B91"/>
    <w:rsid w:val="001B7F63"/>
    <w:rsid w:val="001D4CA4"/>
    <w:rsid w:val="001D76E5"/>
    <w:rsid w:val="001F1B3C"/>
    <w:rsid w:val="00222B1F"/>
    <w:rsid w:val="00232379"/>
    <w:rsid w:val="00241E75"/>
    <w:rsid w:val="00253390"/>
    <w:rsid w:val="00255558"/>
    <w:rsid w:val="0026084F"/>
    <w:rsid w:val="0028556B"/>
    <w:rsid w:val="00291E2D"/>
    <w:rsid w:val="00293DBA"/>
    <w:rsid w:val="002A19A1"/>
    <w:rsid w:val="002B77E6"/>
    <w:rsid w:val="002D7C60"/>
    <w:rsid w:val="00307E07"/>
    <w:rsid w:val="00311AF0"/>
    <w:rsid w:val="003207E5"/>
    <w:rsid w:val="00323857"/>
    <w:rsid w:val="0033350C"/>
    <w:rsid w:val="00337513"/>
    <w:rsid w:val="00354741"/>
    <w:rsid w:val="00364EA3"/>
    <w:rsid w:val="00394274"/>
    <w:rsid w:val="003A42DD"/>
    <w:rsid w:val="003B0C64"/>
    <w:rsid w:val="00412D82"/>
    <w:rsid w:val="004216E5"/>
    <w:rsid w:val="00422F9B"/>
    <w:rsid w:val="00451036"/>
    <w:rsid w:val="00462131"/>
    <w:rsid w:val="00471512"/>
    <w:rsid w:val="004A4D0D"/>
    <w:rsid w:val="004B5984"/>
    <w:rsid w:val="004C47D5"/>
    <w:rsid w:val="004D45C6"/>
    <w:rsid w:val="00500D62"/>
    <w:rsid w:val="00503F3C"/>
    <w:rsid w:val="00515C02"/>
    <w:rsid w:val="00524137"/>
    <w:rsid w:val="005411DB"/>
    <w:rsid w:val="00562673"/>
    <w:rsid w:val="005A5FC9"/>
    <w:rsid w:val="005E20EF"/>
    <w:rsid w:val="005E4258"/>
    <w:rsid w:val="005F0B6B"/>
    <w:rsid w:val="005F2247"/>
    <w:rsid w:val="005F74DF"/>
    <w:rsid w:val="00602866"/>
    <w:rsid w:val="006059CA"/>
    <w:rsid w:val="00607297"/>
    <w:rsid w:val="00612B3E"/>
    <w:rsid w:val="006149F3"/>
    <w:rsid w:val="00620B4B"/>
    <w:rsid w:val="0063579E"/>
    <w:rsid w:val="00637464"/>
    <w:rsid w:val="006415CE"/>
    <w:rsid w:val="00644031"/>
    <w:rsid w:val="006473AF"/>
    <w:rsid w:val="00664DB8"/>
    <w:rsid w:val="00664FB5"/>
    <w:rsid w:val="006751D3"/>
    <w:rsid w:val="006A0758"/>
    <w:rsid w:val="006B5E26"/>
    <w:rsid w:val="006B6949"/>
    <w:rsid w:val="006C3A62"/>
    <w:rsid w:val="006E6989"/>
    <w:rsid w:val="00725340"/>
    <w:rsid w:val="007346AC"/>
    <w:rsid w:val="00735204"/>
    <w:rsid w:val="0073545C"/>
    <w:rsid w:val="0074623E"/>
    <w:rsid w:val="00762EC8"/>
    <w:rsid w:val="0076712B"/>
    <w:rsid w:val="007711DB"/>
    <w:rsid w:val="007805A5"/>
    <w:rsid w:val="00787F14"/>
    <w:rsid w:val="007979D3"/>
    <w:rsid w:val="007A1613"/>
    <w:rsid w:val="007D7AB1"/>
    <w:rsid w:val="007E0194"/>
    <w:rsid w:val="00814559"/>
    <w:rsid w:val="008227D2"/>
    <w:rsid w:val="00823E22"/>
    <w:rsid w:val="00823E6B"/>
    <w:rsid w:val="00835042"/>
    <w:rsid w:val="00845FDB"/>
    <w:rsid w:val="00876C92"/>
    <w:rsid w:val="008903ED"/>
    <w:rsid w:val="00891926"/>
    <w:rsid w:val="008A2CCB"/>
    <w:rsid w:val="008B66BC"/>
    <w:rsid w:val="008C31E7"/>
    <w:rsid w:val="008C523C"/>
    <w:rsid w:val="008E335B"/>
    <w:rsid w:val="00960893"/>
    <w:rsid w:val="00975BBF"/>
    <w:rsid w:val="0098742E"/>
    <w:rsid w:val="00993E78"/>
    <w:rsid w:val="009B1BB3"/>
    <w:rsid w:val="009C6875"/>
    <w:rsid w:val="009C7FF5"/>
    <w:rsid w:val="009D6449"/>
    <w:rsid w:val="009E302A"/>
    <w:rsid w:val="00A057EB"/>
    <w:rsid w:val="00A14446"/>
    <w:rsid w:val="00A2581B"/>
    <w:rsid w:val="00A749F0"/>
    <w:rsid w:val="00A81FB9"/>
    <w:rsid w:val="00A84743"/>
    <w:rsid w:val="00A84971"/>
    <w:rsid w:val="00A9090C"/>
    <w:rsid w:val="00AD7166"/>
    <w:rsid w:val="00B01433"/>
    <w:rsid w:val="00B31356"/>
    <w:rsid w:val="00B32837"/>
    <w:rsid w:val="00B6511E"/>
    <w:rsid w:val="00B65A5A"/>
    <w:rsid w:val="00B72D26"/>
    <w:rsid w:val="00B83C2F"/>
    <w:rsid w:val="00B87253"/>
    <w:rsid w:val="00B8750F"/>
    <w:rsid w:val="00BA5975"/>
    <w:rsid w:val="00BB744F"/>
    <w:rsid w:val="00BC616B"/>
    <w:rsid w:val="00BE3912"/>
    <w:rsid w:val="00BF0BE1"/>
    <w:rsid w:val="00C00700"/>
    <w:rsid w:val="00C17FAB"/>
    <w:rsid w:val="00C233D3"/>
    <w:rsid w:val="00C23B2D"/>
    <w:rsid w:val="00C24469"/>
    <w:rsid w:val="00C27619"/>
    <w:rsid w:val="00C539AC"/>
    <w:rsid w:val="00C6303E"/>
    <w:rsid w:val="00C65B8F"/>
    <w:rsid w:val="00C74081"/>
    <w:rsid w:val="00C9097F"/>
    <w:rsid w:val="00C94D3F"/>
    <w:rsid w:val="00CC7D1B"/>
    <w:rsid w:val="00CE261C"/>
    <w:rsid w:val="00CE52BE"/>
    <w:rsid w:val="00CE599C"/>
    <w:rsid w:val="00D0094D"/>
    <w:rsid w:val="00D10A4C"/>
    <w:rsid w:val="00D23276"/>
    <w:rsid w:val="00D41A89"/>
    <w:rsid w:val="00D5027A"/>
    <w:rsid w:val="00D52A5D"/>
    <w:rsid w:val="00D55F6E"/>
    <w:rsid w:val="00D5735B"/>
    <w:rsid w:val="00D666F7"/>
    <w:rsid w:val="00D82060"/>
    <w:rsid w:val="00D846CE"/>
    <w:rsid w:val="00D86C8F"/>
    <w:rsid w:val="00DA3B00"/>
    <w:rsid w:val="00DA4B78"/>
    <w:rsid w:val="00DB5215"/>
    <w:rsid w:val="00DB5F86"/>
    <w:rsid w:val="00DD37D7"/>
    <w:rsid w:val="00DE2CDE"/>
    <w:rsid w:val="00DF60B5"/>
    <w:rsid w:val="00DF6BA7"/>
    <w:rsid w:val="00E171C6"/>
    <w:rsid w:val="00E55ED8"/>
    <w:rsid w:val="00E80559"/>
    <w:rsid w:val="00E80611"/>
    <w:rsid w:val="00E8733B"/>
    <w:rsid w:val="00E919C0"/>
    <w:rsid w:val="00E9262C"/>
    <w:rsid w:val="00EA4A93"/>
    <w:rsid w:val="00EC3D6E"/>
    <w:rsid w:val="00ED051D"/>
    <w:rsid w:val="00ED34FF"/>
    <w:rsid w:val="00ED7CCA"/>
    <w:rsid w:val="00EE5A16"/>
    <w:rsid w:val="00EF2C2C"/>
    <w:rsid w:val="00F07B24"/>
    <w:rsid w:val="00F16F76"/>
    <w:rsid w:val="00F76DC2"/>
    <w:rsid w:val="00F84F47"/>
    <w:rsid w:val="00F87706"/>
    <w:rsid w:val="00F92413"/>
    <w:rsid w:val="00FC0568"/>
    <w:rsid w:val="00FD75CE"/>
    <w:rsid w:val="00FE2839"/>
    <w:rsid w:val="00FE3535"/>
    <w:rsid w:val="00FF2D58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5D160"/>
  <w15:docId w15:val="{378673CA-5987-4B25-A8FD-8D9CAEE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D8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6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56"/>
    <w:rPr>
      <w:rFonts w:ascii="Arial" w:hAnsi="Arial"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egislation.act.gov.au/ni/2021-72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4297</Characters>
  <Application>Microsoft Office Word</Application>
  <DocSecurity>0</DocSecurity>
  <Lines>100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2016-02-14T22:32:00Z</cp:lastPrinted>
  <dcterms:created xsi:type="dcterms:W3CDTF">2022-09-13T02:07:00Z</dcterms:created>
  <dcterms:modified xsi:type="dcterms:W3CDTF">2022-09-13T02:07:00Z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A33835502</vt:lpwstr>
  </property>
  <property fmtid="{D5CDD505-2E9C-101B-9397-08002B2CF9AE}" pid="4" name="Objective-Title">
    <vt:lpwstr>Public Place Names (Whitlam) Explanatory Statement 2022 (No 2)</vt:lpwstr>
  </property>
  <property fmtid="{D5CDD505-2E9C-101B-9397-08002B2CF9AE}" pid="5" name="Objective-Comment">
    <vt:lpwstr/>
  </property>
  <property fmtid="{D5CDD505-2E9C-101B-9397-08002B2CF9AE}" pid="6" name="Objective-CreationStamp">
    <vt:filetime>2022-04-28T01:46:55Z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2022-08-23T00:15:18Z</vt:filetime>
  </property>
  <property fmtid="{D5CDD505-2E9C-101B-9397-08002B2CF9AE}" pid="10" name="Objective-ModificationStamp">
    <vt:filetime>2022-09-01T02:36:02Z</vt:filetime>
  </property>
  <property fmtid="{D5CDD505-2E9C-101B-9397-08002B2CF9AE}" pid="11" name="Objective-Owner">
    <vt:lpwstr>Sharon Priestly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Regulator:2015 - Director-General Correspondence:Office of the Surveyor-General:Public Place Names Briefs:22/51965 - Public Place Names (Whitlam) Determination 2022 (No 2):</vt:lpwstr>
  </property>
  <property fmtid="{D5CDD505-2E9C-101B-9397-08002B2CF9AE}" pid="13" name="Objective-Parent">
    <vt:lpwstr>22/51965 - Public Place Names (Whitlam) Determination 2022 (No 2)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1-2022/51965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DMSID">
    <vt:lpwstr>9772919</vt:lpwstr>
  </property>
  <property fmtid="{D5CDD505-2E9C-101B-9397-08002B2CF9AE}" pid="44" name="CHECKEDOUTFROMJMS">
    <vt:lpwstr/>
  </property>
  <property fmtid="{D5CDD505-2E9C-101B-9397-08002B2CF9AE}" pid="45" name="JMSREQUIREDCHECKIN">
    <vt:lpwstr/>
  </property>
</Properties>
</file>