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63B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44632D1" w14:textId="6E84A97F" w:rsidR="00A23BE6" w:rsidRDefault="00A23BE6" w:rsidP="00A23BE6">
      <w:pPr>
        <w:pStyle w:val="Billname"/>
        <w:spacing w:before="700"/>
      </w:pPr>
      <w:bookmarkStart w:id="1" w:name="_Hlk38015389"/>
      <w:bookmarkStart w:id="2" w:name="_Hlk80363894"/>
      <w:r>
        <w:t xml:space="preserve">Road Transport (General) </w:t>
      </w:r>
      <w:r w:rsidR="008E746F">
        <w:t xml:space="preserve">Application of Road Transport Legislation (Deciding Applications for Registration – Taxi) Declaration </w:t>
      </w:r>
      <w:r w:rsidR="00591F53">
        <w:t xml:space="preserve">2022 </w:t>
      </w:r>
      <w:r>
        <w:t xml:space="preserve">(No </w:t>
      </w:r>
      <w:bookmarkEnd w:id="1"/>
      <w:r>
        <w:t>1)</w:t>
      </w:r>
    </w:p>
    <w:bookmarkEnd w:id="2"/>
    <w:p w14:paraId="04183D58" w14:textId="7B35A971" w:rsidR="00A23BE6" w:rsidRDefault="00A23BE6" w:rsidP="00A23BE6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DI2022-</w:t>
      </w:r>
      <w:r w:rsidR="000C0519">
        <w:rPr>
          <w:rFonts w:ascii="Arial" w:hAnsi="Arial" w:cs="Arial"/>
          <w:b/>
          <w:bCs/>
        </w:rPr>
        <w:t>230</w:t>
      </w:r>
    </w:p>
    <w:p w14:paraId="30F5FC09" w14:textId="77777777" w:rsidR="00A23BE6" w:rsidRDefault="00A23BE6" w:rsidP="00A23BE6">
      <w:pPr>
        <w:pStyle w:val="madeunder"/>
        <w:spacing w:before="300" w:after="0"/>
      </w:pPr>
      <w:r>
        <w:t xml:space="preserve">made under the  </w:t>
      </w:r>
    </w:p>
    <w:p w14:paraId="67D2BF68" w14:textId="77777777" w:rsidR="00A23BE6" w:rsidRDefault="00A23BE6" w:rsidP="00A23BE6">
      <w:pPr>
        <w:pStyle w:val="CoverActName"/>
      </w:pPr>
      <w:r w:rsidRPr="0010267F">
        <w:rPr>
          <w:rFonts w:cs="Arial"/>
          <w:i/>
          <w:sz w:val="20"/>
        </w:rPr>
        <w:t>Road Transport (General) Act 1999</w:t>
      </w:r>
      <w:r w:rsidRPr="0010267F">
        <w:rPr>
          <w:rFonts w:cs="Arial"/>
          <w:sz w:val="20"/>
        </w:rPr>
        <w:t>, section 1</w:t>
      </w:r>
      <w:r>
        <w:rPr>
          <w:rFonts w:cs="Arial"/>
          <w:sz w:val="20"/>
        </w:rPr>
        <w:t>3</w:t>
      </w:r>
      <w:r w:rsidRPr="0010267F">
        <w:rPr>
          <w:rFonts w:cs="Arial"/>
          <w:sz w:val="20"/>
        </w:rPr>
        <w:t xml:space="preserve"> (</w:t>
      </w:r>
      <w:r>
        <w:rPr>
          <w:rFonts w:cs="Arial"/>
          <w:sz w:val="20"/>
        </w:rPr>
        <w:t>Power to exclude vehicles, persons or animals from road transport legislation)</w:t>
      </w:r>
    </w:p>
    <w:p w14:paraId="39D24E2E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40E0138" w14:textId="77777777" w:rsidR="00C17FAB" w:rsidRDefault="00C17FAB">
      <w:pPr>
        <w:pStyle w:val="N-line3"/>
        <w:pBdr>
          <w:bottom w:val="none" w:sz="0" w:space="0" w:color="auto"/>
        </w:pBdr>
      </w:pPr>
    </w:p>
    <w:p w14:paraId="3851984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D4B10CB" w14:textId="6BC74B6B" w:rsidR="00C17FAB" w:rsidRDefault="00A23BE6">
      <w:r>
        <w:t xml:space="preserve">This instrument is made under section 13 of the </w:t>
      </w:r>
      <w:r>
        <w:rPr>
          <w:i/>
          <w:iCs/>
        </w:rPr>
        <w:t>Road Transport (General) Act 1999</w:t>
      </w:r>
      <w:r>
        <w:t xml:space="preserve"> (the Act).</w:t>
      </w:r>
    </w:p>
    <w:p w14:paraId="57A53F9B" w14:textId="79860156" w:rsidR="00A23BE6" w:rsidRDefault="00A23BE6"/>
    <w:p w14:paraId="24EE2CE4" w14:textId="124FE28B" w:rsidR="00A23BE6" w:rsidRDefault="00A23BE6">
      <w:r>
        <w:t xml:space="preserve">Section 13 </w:t>
      </w:r>
      <w:r w:rsidR="008D7D2E">
        <w:t xml:space="preserve">of the Act </w:t>
      </w:r>
      <w:r>
        <w:t xml:space="preserve">confers power upon the Minister </w:t>
      </w:r>
      <w:r w:rsidR="0030640C">
        <w:t>to declare that the road transport legislation, or a provision of the road transport legislation, does not apply to a vehicle, person or animal in a place or circumstance stated in the declaration.</w:t>
      </w:r>
    </w:p>
    <w:p w14:paraId="01941EE8" w14:textId="2A7261E1" w:rsidR="0030640C" w:rsidRDefault="0030640C"/>
    <w:p w14:paraId="0121C60A" w14:textId="6E1A2F2B" w:rsidR="0030640C" w:rsidRDefault="0030640C">
      <w:r>
        <w:t>The declaration has effect until it is revoked or, if a period is stated in the declaration, for that period.</w:t>
      </w:r>
    </w:p>
    <w:p w14:paraId="7D907AC8" w14:textId="2AC335BB" w:rsidR="0030640C" w:rsidRDefault="0030640C"/>
    <w:p w14:paraId="1DF11024" w14:textId="5E027071" w:rsidR="0030640C" w:rsidRDefault="0030640C">
      <w:r>
        <w:t>A decla</w:t>
      </w:r>
      <w:r w:rsidR="00495DD5">
        <w:t xml:space="preserve">ration under subsection </w:t>
      </w:r>
      <w:r w:rsidR="0060240D">
        <w:t xml:space="preserve">13 </w:t>
      </w:r>
      <w:r w:rsidR="00495DD5">
        <w:t>(1) is a disallowable instrument.</w:t>
      </w:r>
    </w:p>
    <w:p w14:paraId="3B365269" w14:textId="2E044B74" w:rsidR="00495DD5" w:rsidRDefault="00495DD5" w:rsidP="00495DD5"/>
    <w:p w14:paraId="153308D2" w14:textId="688C842C" w:rsidR="00495DD5" w:rsidRDefault="00495DD5" w:rsidP="00495DD5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Calibri" w:hAnsi="Calibri" w:cs="Calibri"/>
          <w:color w:val="000000"/>
        </w:rPr>
      </w:pPr>
      <w:r>
        <w:rPr>
          <w:color w:val="000000"/>
        </w:rPr>
        <w:t>Road transport legislation is defined in section 6 of the Act and includes any other Act or any regulation prescribed by regulation.</w:t>
      </w:r>
      <w:r w:rsidR="008D7D2E">
        <w:rPr>
          <w:rFonts w:ascii="Calibri" w:hAnsi="Calibri" w:cs="Calibri"/>
          <w:color w:val="000000"/>
        </w:rPr>
        <w:t xml:space="preserve"> </w:t>
      </w:r>
      <w:r>
        <w:rPr>
          <w:color w:val="000000"/>
        </w:rPr>
        <w:t>The </w:t>
      </w:r>
      <w:r w:rsidR="0060240D" w:rsidRPr="0060240D">
        <w:rPr>
          <w:i/>
          <w:iCs/>
          <w:color w:val="000000"/>
        </w:rPr>
        <w:t>Road Transport (Vehicle Registration) Regulation 2000</w:t>
      </w:r>
      <w:r w:rsidR="0060240D">
        <w:rPr>
          <w:i/>
          <w:iCs/>
          <w:color w:val="000000"/>
        </w:rPr>
        <w:t xml:space="preserve"> </w:t>
      </w:r>
      <w:r>
        <w:rPr>
          <w:color w:val="000000"/>
        </w:rPr>
        <w:t>forms part of the road transport legislation.</w:t>
      </w:r>
    </w:p>
    <w:p w14:paraId="75CF7BA7" w14:textId="313D1334" w:rsidR="00495DD5" w:rsidRDefault="00495DD5" w:rsidP="00495DD5">
      <w:pPr>
        <w:rPr>
          <w:color w:val="000000"/>
        </w:rPr>
      </w:pPr>
      <w:r>
        <w:t xml:space="preserve">This instrument </w:t>
      </w:r>
      <w:r w:rsidR="00591F53">
        <w:t>declares</w:t>
      </w:r>
      <w:r>
        <w:t xml:space="preserve"> that section 32B of the </w:t>
      </w:r>
      <w:r w:rsidR="0060240D" w:rsidRPr="0060240D">
        <w:rPr>
          <w:i/>
          <w:iCs/>
          <w:color w:val="000000"/>
        </w:rPr>
        <w:t>Road Transport (Vehicle Registration) Regulation 2000</w:t>
      </w:r>
      <w:r>
        <w:rPr>
          <w:color w:val="000000"/>
        </w:rPr>
        <w:t xml:space="preserve"> is </w:t>
      </w:r>
      <w:r w:rsidR="00FC77CF">
        <w:rPr>
          <w:color w:val="000000"/>
        </w:rPr>
        <w:t>not applied to a number of specified taxi vehicles.</w:t>
      </w:r>
      <w:r w:rsidR="00717971">
        <w:rPr>
          <w:color w:val="000000"/>
        </w:rPr>
        <w:t xml:space="preserve"> </w:t>
      </w:r>
      <w:r w:rsidR="00FC77CF">
        <w:rPr>
          <w:color w:val="000000"/>
        </w:rPr>
        <w:t>This is t</w:t>
      </w:r>
      <w:r w:rsidR="00717971">
        <w:rPr>
          <w:color w:val="000000"/>
        </w:rPr>
        <w:t>o support a number of vehicle operators within the ACT taxi industry who are currently awaiting the delivery of new vehicles</w:t>
      </w:r>
      <w:r w:rsidR="00497DF4">
        <w:rPr>
          <w:color w:val="000000"/>
        </w:rPr>
        <w:t xml:space="preserve">. </w:t>
      </w:r>
    </w:p>
    <w:p w14:paraId="733B31B5" w14:textId="40EEE6E3" w:rsidR="00717971" w:rsidRDefault="00717971" w:rsidP="00495DD5">
      <w:pPr>
        <w:rPr>
          <w:color w:val="000000"/>
        </w:rPr>
      </w:pPr>
    </w:p>
    <w:p w14:paraId="4221C3AE" w14:textId="304CF5A6" w:rsidR="00AF3C03" w:rsidRDefault="00717971" w:rsidP="00AF3C03">
      <w:pPr>
        <w:rPr>
          <w:b/>
          <w:bCs/>
          <w:color w:val="000000"/>
        </w:rPr>
      </w:pPr>
      <w:r>
        <w:rPr>
          <w:b/>
          <w:bCs/>
          <w:color w:val="000000"/>
        </w:rPr>
        <w:t>BACKGROUND</w:t>
      </w:r>
      <w:bookmarkStart w:id="3" w:name="_Hlk72920571"/>
    </w:p>
    <w:p w14:paraId="1378AF4F" w14:textId="2B4E25BB" w:rsidR="00AF3C03" w:rsidRDefault="00AF3C03" w:rsidP="00AF3C03">
      <w:pPr>
        <w:rPr>
          <w:b/>
          <w:bCs/>
          <w:color w:val="000000"/>
        </w:rPr>
      </w:pPr>
    </w:p>
    <w:p w14:paraId="700A3A2E" w14:textId="5852F665" w:rsidR="00AF3C03" w:rsidRDefault="00AF3C03" w:rsidP="00AF3C03">
      <w:pPr>
        <w:rPr>
          <w:color w:val="000000"/>
        </w:rPr>
      </w:pPr>
      <w:r>
        <w:rPr>
          <w:color w:val="000000"/>
        </w:rPr>
        <w:t>Taxis provide an essential service to the ACT community, especially for our vulnerable community members including people with disability and the elderly.</w:t>
      </w:r>
    </w:p>
    <w:p w14:paraId="01C364A6" w14:textId="3FF8F39F" w:rsidR="00AF3C03" w:rsidRDefault="00AF3C03" w:rsidP="00AF3C03">
      <w:pPr>
        <w:rPr>
          <w:color w:val="000000"/>
        </w:rPr>
      </w:pPr>
    </w:p>
    <w:bookmarkEnd w:id="3"/>
    <w:p w14:paraId="68824C78" w14:textId="48421DE8" w:rsidR="00283B2E" w:rsidRDefault="00283B2E" w:rsidP="00283B2E">
      <w:r w:rsidRPr="00283B2E">
        <w:lastRenderedPageBreak/>
        <w:t xml:space="preserve">One of the requirements to be registered as a taxi in the ACT is that vehicles must meet maximum use or age requirements in section 32B of the </w:t>
      </w:r>
      <w:r w:rsidRPr="00283B2E">
        <w:rPr>
          <w:i/>
          <w:iCs/>
        </w:rPr>
        <w:t>Road Transport (Vehicle Registration) Regulation 2000</w:t>
      </w:r>
      <w:r>
        <w:t>.</w:t>
      </w:r>
    </w:p>
    <w:p w14:paraId="2B821E6E" w14:textId="39D630F0" w:rsidR="00C87C68" w:rsidRDefault="00C87C68" w:rsidP="00283B2E"/>
    <w:p w14:paraId="1240DFB0" w14:textId="482E3DB2" w:rsidR="00C87C68" w:rsidRDefault="00C87C68" w:rsidP="00C87C68">
      <w:r>
        <w:t xml:space="preserve">The ACT taxi industry </w:t>
      </w:r>
      <w:r w:rsidR="008D7D2E">
        <w:t>continues to be impacted by COVID-19, including by</w:t>
      </w:r>
      <w:r>
        <w:t xml:space="preserve"> the global supply chain issues causing a worldwide shortage of new vehicles.</w:t>
      </w:r>
    </w:p>
    <w:p w14:paraId="55503492" w14:textId="00FD9E95" w:rsidR="005D38CE" w:rsidRDefault="005D38CE" w:rsidP="00283B2E"/>
    <w:p w14:paraId="1CB96FEE" w14:textId="148CB21E" w:rsidR="005D38CE" w:rsidRPr="00B22ED3" w:rsidRDefault="008D7D2E" w:rsidP="00283B2E">
      <w:r>
        <w:t>Th</w:t>
      </w:r>
      <w:r w:rsidR="005D38CE">
        <w:t>e motor vehicle industry</w:t>
      </w:r>
      <w:r>
        <w:t xml:space="preserve"> is experiencing global manufacturer supply issues</w:t>
      </w:r>
      <w:r w:rsidR="005D38CE">
        <w:t>, which has resulted in many taxi operators being unable to secure new vehicles, in order to meet the age and use requirements under section 32B</w:t>
      </w:r>
      <w:r w:rsidR="00B22ED3">
        <w:t xml:space="preserve"> </w:t>
      </w:r>
      <w:r w:rsidR="00B22ED3" w:rsidRPr="00283B2E">
        <w:t xml:space="preserve">of the </w:t>
      </w:r>
      <w:r w:rsidR="00B22ED3" w:rsidRPr="00283B2E">
        <w:rPr>
          <w:i/>
          <w:iCs/>
        </w:rPr>
        <w:t>Road Transport (Vehicle Registration) Regulation 2000</w:t>
      </w:r>
      <w:r w:rsidR="00B22ED3">
        <w:t>.</w:t>
      </w:r>
    </w:p>
    <w:p w14:paraId="356A87F9" w14:textId="52EF2257" w:rsidR="00B22ED3" w:rsidRDefault="00B22ED3" w:rsidP="00283B2E"/>
    <w:p w14:paraId="2171D217" w14:textId="601A7C69" w:rsidR="009345D2" w:rsidRDefault="00497DF4" w:rsidP="009345D2">
      <w:r>
        <w:t>Three</w:t>
      </w:r>
      <w:r w:rsidR="009345D2">
        <w:t xml:space="preserve"> taxi operators have demonstrated exceptional circumstances in relation to vehicles they have contracted to purchase. These operators’ current vehicles are identified in </w:t>
      </w:r>
      <w:r w:rsidR="008D7D2E">
        <w:t>c</w:t>
      </w:r>
      <w:r w:rsidR="009345D2">
        <w:t xml:space="preserve">lause </w:t>
      </w:r>
      <w:r>
        <w:t>five</w:t>
      </w:r>
      <w:r w:rsidR="009345D2">
        <w:t xml:space="preserve"> of this Disallowable Instrument. </w:t>
      </w:r>
    </w:p>
    <w:p w14:paraId="301B7EF9" w14:textId="29E2F4B8" w:rsidR="00283B2E" w:rsidRDefault="00283B2E" w:rsidP="00283B2E"/>
    <w:p w14:paraId="714DD2C7" w14:textId="77777777" w:rsidR="006F77D0" w:rsidRDefault="006F77D0" w:rsidP="006F77D0">
      <w:pPr>
        <w:pStyle w:val="NormalWeb"/>
        <w:shd w:val="clear" w:color="auto" w:fill="FFFFFF"/>
        <w:spacing w:before="0" w:beforeAutospacing="0" w:after="160" w:afterAutospacing="0" w:line="259" w:lineRule="atLeast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HUMAN RIGHTS IMPLICATIONS</w:t>
      </w:r>
    </w:p>
    <w:p w14:paraId="519C1274" w14:textId="21FBEC8C" w:rsidR="006F77D0" w:rsidRDefault="006F77D0" w:rsidP="006F77D0">
      <w:pPr>
        <w:pStyle w:val="normalweb0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color w:val="000000"/>
        </w:rPr>
        <w:t>During the development of this instrument, due regard was given to its effect in relation to the compatibility with human rights as set out in the </w:t>
      </w:r>
      <w:r>
        <w:rPr>
          <w:i/>
          <w:iCs/>
          <w:color w:val="000000"/>
        </w:rPr>
        <w:t>Human Rights Act 2004</w:t>
      </w:r>
      <w:r>
        <w:rPr>
          <w:color w:val="000000"/>
        </w:rPr>
        <w:t> (HRA).</w:t>
      </w:r>
    </w:p>
    <w:p w14:paraId="112E3341" w14:textId="415C0591" w:rsidR="00473A94" w:rsidRPr="0060240D" w:rsidRDefault="006F77D0" w:rsidP="0060240D">
      <w:pPr>
        <w:pStyle w:val="normalweb0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color w:val="000000"/>
        </w:rPr>
        <w:t> </w:t>
      </w:r>
    </w:p>
    <w:p w14:paraId="6E770A2E" w14:textId="527E8080" w:rsidR="00473A94" w:rsidRPr="00473A94" w:rsidRDefault="00473A94" w:rsidP="00283B2E">
      <w:pPr>
        <w:rPr>
          <w:b/>
          <w:bCs/>
          <w:i/>
          <w:iCs/>
        </w:rPr>
      </w:pPr>
      <w:r w:rsidRPr="00473A94">
        <w:rPr>
          <w:b/>
          <w:bCs/>
          <w:i/>
          <w:iCs/>
        </w:rPr>
        <w:t>The right to work and other work-related rights</w:t>
      </w:r>
    </w:p>
    <w:p w14:paraId="13DF03FA" w14:textId="77777777" w:rsidR="00133058" w:rsidRDefault="00133058" w:rsidP="00283B2E"/>
    <w:p w14:paraId="72E9F1C9" w14:textId="44E17E28" w:rsidR="00591F53" w:rsidRDefault="00591F53" w:rsidP="00591F53">
      <w:r>
        <w:t>This instrument promotes the right to work and other work-related rights (section 27B).</w:t>
      </w:r>
    </w:p>
    <w:p w14:paraId="1E3A2C5F" w14:textId="77777777" w:rsidR="00591F53" w:rsidRDefault="00591F53" w:rsidP="00283B2E"/>
    <w:p w14:paraId="2276A7EE" w14:textId="13EDA0B0" w:rsidR="00133058" w:rsidRDefault="00133058" w:rsidP="00283B2E">
      <w:r>
        <w:t xml:space="preserve">Section 27B of the HRA provides that everyone has the right to work, including: </w:t>
      </w:r>
    </w:p>
    <w:p w14:paraId="1F981F25" w14:textId="4D0605D4" w:rsidR="00283B2E" w:rsidRDefault="00133058" w:rsidP="00133058">
      <w:pPr>
        <w:pStyle w:val="ListParagraph"/>
        <w:numPr>
          <w:ilvl w:val="0"/>
          <w:numId w:val="11"/>
        </w:numPr>
      </w:pPr>
      <w:r>
        <w:t>the right to choose their occupation or profession freely;</w:t>
      </w:r>
    </w:p>
    <w:p w14:paraId="7B1A63B7" w14:textId="3AEC875E" w:rsidR="00133058" w:rsidRDefault="00133058" w:rsidP="00133058">
      <w:pPr>
        <w:pStyle w:val="ListParagraph"/>
        <w:numPr>
          <w:ilvl w:val="0"/>
          <w:numId w:val="11"/>
        </w:numPr>
      </w:pPr>
      <w:r>
        <w:t>the right to the enjoyment of just and favourable conditions of work;</w:t>
      </w:r>
    </w:p>
    <w:p w14:paraId="1F11ED34" w14:textId="4B87CCD4" w:rsidR="00133058" w:rsidRDefault="00133058" w:rsidP="00133058">
      <w:pPr>
        <w:pStyle w:val="ListParagraph"/>
        <w:numPr>
          <w:ilvl w:val="0"/>
          <w:numId w:val="11"/>
        </w:numPr>
      </w:pPr>
      <w:r>
        <w:t>the right to form or join a work-related organisation, including a trade union, with the objective of promoting or protecting their economic or other social interests;</w:t>
      </w:r>
    </w:p>
    <w:p w14:paraId="33C9AE45" w14:textId="26FDBCF8" w:rsidR="00133058" w:rsidRDefault="00133058" w:rsidP="00133058">
      <w:pPr>
        <w:pStyle w:val="ListParagraph"/>
        <w:numPr>
          <w:ilvl w:val="0"/>
          <w:numId w:val="11"/>
        </w:numPr>
      </w:pPr>
      <w:r>
        <w:t>the right to protection against acts of anti-union discrimination in relation to their employment;</w:t>
      </w:r>
    </w:p>
    <w:p w14:paraId="3F2F3B5B" w14:textId="0901E3A6" w:rsidR="00B22ED3" w:rsidRDefault="00133058" w:rsidP="00283B2E">
      <w:pPr>
        <w:pStyle w:val="ListParagraph"/>
        <w:numPr>
          <w:ilvl w:val="0"/>
          <w:numId w:val="11"/>
        </w:numPr>
      </w:pPr>
      <w:r>
        <w:t>everyone is entitled to enjoy these rights without discrimination.</w:t>
      </w:r>
    </w:p>
    <w:p w14:paraId="57894A19" w14:textId="77777777" w:rsidR="00591F53" w:rsidRDefault="00591F53" w:rsidP="00591F53"/>
    <w:p w14:paraId="38C50756" w14:textId="61460DB9" w:rsidR="00591F53" w:rsidRPr="00B22ED3" w:rsidRDefault="00591F53" w:rsidP="00591F53">
      <w:r>
        <w:t>Progressing the instrument to extend the time limit during which existing vehicles can continue to be used as taxis supports the right of the operators of these taxis to work.</w:t>
      </w:r>
    </w:p>
    <w:p w14:paraId="28871C17" w14:textId="77777777" w:rsidR="00B22ED3" w:rsidRPr="00B22ED3" w:rsidRDefault="00B22ED3" w:rsidP="00B22ED3">
      <w:pPr>
        <w:pStyle w:val="ListParagraph"/>
      </w:pPr>
    </w:p>
    <w:p w14:paraId="7AC29ABE" w14:textId="77777777" w:rsidR="00B22ED3" w:rsidRDefault="00B22ED3" w:rsidP="00283B2E">
      <w:pPr>
        <w:rPr>
          <w:b/>
          <w:bCs/>
        </w:rPr>
      </w:pPr>
    </w:p>
    <w:p w14:paraId="121994AF" w14:textId="77777777" w:rsidR="00497DF4" w:rsidRDefault="00497DF4" w:rsidP="00283B2E">
      <w:pPr>
        <w:rPr>
          <w:b/>
          <w:bCs/>
        </w:rPr>
      </w:pPr>
    </w:p>
    <w:p w14:paraId="45F8F788" w14:textId="77777777" w:rsidR="00497DF4" w:rsidRDefault="00497DF4" w:rsidP="00283B2E">
      <w:pPr>
        <w:rPr>
          <w:b/>
          <w:bCs/>
        </w:rPr>
      </w:pPr>
    </w:p>
    <w:p w14:paraId="69EB4125" w14:textId="77777777" w:rsidR="00497DF4" w:rsidRDefault="00497DF4" w:rsidP="00283B2E">
      <w:pPr>
        <w:rPr>
          <w:b/>
          <w:bCs/>
        </w:rPr>
      </w:pPr>
    </w:p>
    <w:p w14:paraId="09930F7A" w14:textId="77777777" w:rsidR="00497DF4" w:rsidRDefault="00497DF4" w:rsidP="00283B2E">
      <w:pPr>
        <w:rPr>
          <w:b/>
          <w:bCs/>
        </w:rPr>
      </w:pPr>
    </w:p>
    <w:p w14:paraId="596300D0" w14:textId="77777777" w:rsidR="00497DF4" w:rsidRDefault="00497DF4" w:rsidP="00283B2E">
      <w:pPr>
        <w:rPr>
          <w:b/>
          <w:bCs/>
        </w:rPr>
      </w:pPr>
    </w:p>
    <w:p w14:paraId="49032D0C" w14:textId="77777777" w:rsidR="00497DF4" w:rsidRDefault="00497DF4" w:rsidP="00283B2E">
      <w:pPr>
        <w:rPr>
          <w:b/>
          <w:bCs/>
        </w:rPr>
      </w:pPr>
    </w:p>
    <w:p w14:paraId="599A0685" w14:textId="77777777" w:rsidR="00497DF4" w:rsidRDefault="00497DF4" w:rsidP="00283B2E">
      <w:pPr>
        <w:rPr>
          <w:b/>
          <w:bCs/>
        </w:rPr>
      </w:pPr>
    </w:p>
    <w:p w14:paraId="5E55CAB6" w14:textId="77777777" w:rsidR="00497DF4" w:rsidRDefault="00497DF4" w:rsidP="00283B2E">
      <w:pPr>
        <w:rPr>
          <w:b/>
          <w:bCs/>
        </w:rPr>
      </w:pPr>
    </w:p>
    <w:p w14:paraId="0B5DBFDC" w14:textId="77777777" w:rsidR="00497DF4" w:rsidRDefault="00497DF4" w:rsidP="00283B2E">
      <w:pPr>
        <w:rPr>
          <w:b/>
          <w:bCs/>
        </w:rPr>
      </w:pPr>
    </w:p>
    <w:p w14:paraId="66964682" w14:textId="77777777" w:rsidR="00497DF4" w:rsidRDefault="00497DF4" w:rsidP="00283B2E">
      <w:pPr>
        <w:rPr>
          <w:b/>
          <w:bCs/>
        </w:rPr>
      </w:pPr>
    </w:p>
    <w:p w14:paraId="47DCD011" w14:textId="26961452" w:rsidR="00283B2E" w:rsidRDefault="00283B2E" w:rsidP="00283B2E">
      <w:pPr>
        <w:rPr>
          <w:b/>
          <w:bCs/>
        </w:rPr>
      </w:pPr>
      <w:r>
        <w:rPr>
          <w:b/>
          <w:bCs/>
        </w:rPr>
        <w:lastRenderedPageBreak/>
        <w:t>CLAUSE NOTES</w:t>
      </w:r>
    </w:p>
    <w:p w14:paraId="76179329" w14:textId="017592B2" w:rsidR="00283B2E" w:rsidRDefault="00283B2E" w:rsidP="00283B2E">
      <w:pPr>
        <w:rPr>
          <w:b/>
          <w:bCs/>
        </w:rPr>
      </w:pPr>
    </w:p>
    <w:p w14:paraId="6FF58213" w14:textId="4E1646C3" w:rsidR="00283B2E" w:rsidRDefault="00283B2E" w:rsidP="00283B2E">
      <w:pPr>
        <w:spacing w:before="120"/>
        <w:rPr>
          <w:b/>
          <w:bCs/>
        </w:rPr>
      </w:pPr>
      <w:r>
        <w:rPr>
          <w:b/>
          <w:bCs/>
        </w:rPr>
        <w:t>Clause 1</w:t>
      </w:r>
      <w:r>
        <w:rPr>
          <w:b/>
          <w:bCs/>
        </w:rPr>
        <w:tab/>
        <w:t>Name of instrument</w:t>
      </w:r>
    </w:p>
    <w:p w14:paraId="47A57D1F" w14:textId="68890C84" w:rsidR="00283B2E" w:rsidRDefault="00283B2E" w:rsidP="00283B2E">
      <w:pPr>
        <w:spacing w:before="120"/>
      </w:pPr>
      <w:r>
        <w:t xml:space="preserve">This clause specifies the name of the instrument. This clause provides that the instrument may be cited </w:t>
      </w:r>
      <w:r w:rsidR="00C65481">
        <w:t xml:space="preserve">as the </w:t>
      </w:r>
      <w:bookmarkStart w:id="4" w:name="_Hlk115854510"/>
      <w:r w:rsidR="00C65481">
        <w:rPr>
          <w:i/>
          <w:iCs/>
        </w:rPr>
        <w:t xml:space="preserve">Road Transport (General) </w:t>
      </w:r>
      <w:r w:rsidR="00591F53" w:rsidRPr="004708D2">
        <w:rPr>
          <w:i/>
          <w:iCs/>
        </w:rPr>
        <w:t>Application of Road Transport Legislation (Deciding Applications for Registration – Taxi) Declaration</w:t>
      </w:r>
      <w:r w:rsidR="00591F53">
        <w:rPr>
          <w:i/>
          <w:iCs/>
        </w:rPr>
        <w:t xml:space="preserve"> 2022</w:t>
      </w:r>
      <w:r w:rsidR="00591F53" w:rsidRPr="004708D2">
        <w:rPr>
          <w:i/>
          <w:iCs/>
        </w:rPr>
        <w:t xml:space="preserve"> (No 1)</w:t>
      </w:r>
      <w:r w:rsidR="00591F53">
        <w:rPr>
          <w:i/>
          <w:iCs/>
        </w:rPr>
        <w:t xml:space="preserve">. </w:t>
      </w:r>
      <w:bookmarkEnd w:id="4"/>
    </w:p>
    <w:p w14:paraId="7A41985E" w14:textId="417F41C3" w:rsidR="00C65481" w:rsidRDefault="00C65481" w:rsidP="00283B2E">
      <w:pPr>
        <w:spacing w:before="120"/>
      </w:pPr>
    </w:p>
    <w:p w14:paraId="4A0ABA2B" w14:textId="3B31123C" w:rsidR="00C65481" w:rsidRDefault="00C65481" w:rsidP="00283B2E">
      <w:pPr>
        <w:spacing w:before="120"/>
        <w:rPr>
          <w:b/>
          <w:bCs/>
        </w:rPr>
      </w:pPr>
      <w:r w:rsidRPr="00D206AC">
        <w:rPr>
          <w:b/>
          <w:bCs/>
        </w:rPr>
        <w:t>Clause 2</w:t>
      </w:r>
      <w:r w:rsidR="00D206AC">
        <w:rPr>
          <w:b/>
          <w:bCs/>
        </w:rPr>
        <w:tab/>
        <w:t>Commencement</w:t>
      </w:r>
    </w:p>
    <w:p w14:paraId="64954BD4" w14:textId="22ADAA52" w:rsidR="00D206AC" w:rsidRDefault="00D206AC" w:rsidP="00283B2E">
      <w:pPr>
        <w:spacing w:before="120"/>
      </w:pPr>
      <w:r>
        <w:t>This clause provides that the instrument commences on</w:t>
      </w:r>
      <w:r w:rsidR="003E0225">
        <w:t xml:space="preserve"> the day after it is notified.</w:t>
      </w:r>
    </w:p>
    <w:p w14:paraId="50F45515" w14:textId="4870F60C" w:rsidR="00D206AC" w:rsidRDefault="00D206AC" w:rsidP="00283B2E">
      <w:pPr>
        <w:spacing w:before="120"/>
      </w:pPr>
    </w:p>
    <w:p w14:paraId="309C0805" w14:textId="1BD87787" w:rsidR="00D206AC" w:rsidRDefault="00D206AC" w:rsidP="00283B2E">
      <w:pPr>
        <w:spacing w:before="120"/>
        <w:rPr>
          <w:b/>
          <w:bCs/>
        </w:rPr>
      </w:pPr>
      <w:r w:rsidRPr="00D206AC">
        <w:rPr>
          <w:b/>
          <w:bCs/>
        </w:rPr>
        <w:t xml:space="preserve">Clause </w:t>
      </w:r>
      <w:r>
        <w:rPr>
          <w:b/>
          <w:bCs/>
        </w:rPr>
        <w:t>3</w:t>
      </w:r>
      <w:r>
        <w:rPr>
          <w:b/>
          <w:bCs/>
        </w:rPr>
        <w:tab/>
      </w:r>
      <w:r w:rsidR="003E0225">
        <w:rPr>
          <w:b/>
          <w:bCs/>
        </w:rPr>
        <w:t>Declaration</w:t>
      </w:r>
    </w:p>
    <w:p w14:paraId="7F4FC392" w14:textId="442418C7" w:rsidR="00133058" w:rsidRDefault="009B5B8C" w:rsidP="00283B2E">
      <w:pPr>
        <w:spacing w:before="120"/>
      </w:pPr>
      <w:r>
        <w:t xml:space="preserve">This clause </w:t>
      </w:r>
      <w:r w:rsidR="008D7D2E">
        <w:t>declares</w:t>
      </w:r>
      <w:r>
        <w:t xml:space="preserve"> that </w:t>
      </w:r>
      <w:bookmarkStart w:id="5" w:name="_Hlk115854627"/>
      <w:r w:rsidR="003E0225">
        <w:t xml:space="preserve">section 32B of the </w:t>
      </w:r>
      <w:r w:rsidR="003E0225" w:rsidRPr="008E17CF">
        <w:rPr>
          <w:i/>
          <w:iCs/>
        </w:rPr>
        <w:t xml:space="preserve">Road Transport (Vehicle Registration) Regulation 2000 </w:t>
      </w:r>
      <w:bookmarkEnd w:id="5"/>
      <w:r w:rsidR="003E0225">
        <w:t xml:space="preserve">does not apply to the vehicles </w:t>
      </w:r>
      <w:r w:rsidR="008D7D2E">
        <w:t>identified</w:t>
      </w:r>
      <w:r w:rsidR="003E0225">
        <w:t xml:space="preserve"> </w:t>
      </w:r>
      <w:r w:rsidR="00497DF4">
        <w:t xml:space="preserve">in clause five of the instrument. </w:t>
      </w:r>
    </w:p>
    <w:p w14:paraId="483610A6" w14:textId="77777777" w:rsidR="00F16D8F" w:rsidRDefault="00F16D8F" w:rsidP="00283B2E">
      <w:pPr>
        <w:spacing w:before="120"/>
      </w:pPr>
    </w:p>
    <w:p w14:paraId="5CE44120" w14:textId="12B2684F" w:rsidR="00497DF4" w:rsidRDefault="009B5B8C" w:rsidP="009B5B8C">
      <w:pPr>
        <w:spacing w:before="120"/>
        <w:ind w:left="1440" w:hanging="1440"/>
      </w:pPr>
      <w:r w:rsidRPr="009B5B8C">
        <w:rPr>
          <w:b/>
          <w:bCs/>
        </w:rPr>
        <w:t>Clause 4</w:t>
      </w:r>
      <w:r>
        <w:tab/>
      </w:r>
      <w:r w:rsidR="00497DF4">
        <w:rPr>
          <w:b/>
          <w:bCs/>
        </w:rPr>
        <w:t>Period of effect of Declaration</w:t>
      </w:r>
    </w:p>
    <w:p w14:paraId="047B3B67" w14:textId="1D35612E" w:rsidR="00497DF4" w:rsidRDefault="00497DF4" w:rsidP="009B5B8C">
      <w:pPr>
        <w:spacing w:before="120"/>
        <w:ind w:left="1440" w:hanging="1440"/>
      </w:pPr>
      <w:r>
        <w:t xml:space="preserve">This clause identifies the period of effect of the declaration. </w:t>
      </w:r>
    </w:p>
    <w:p w14:paraId="3027CD54" w14:textId="77777777" w:rsidR="00497DF4" w:rsidRDefault="00497DF4" w:rsidP="009B5B8C">
      <w:pPr>
        <w:spacing w:before="120"/>
        <w:ind w:left="1440" w:hanging="1440"/>
      </w:pPr>
    </w:p>
    <w:p w14:paraId="505F2599" w14:textId="12FB04C5" w:rsidR="009B5B8C" w:rsidRDefault="00497DF4" w:rsidP="009B5B8C">
      <w:pPr>
        <w:spacing w:before="120"/>
        <w:ind w:left="1440" w:hanging="1440"/>
        <w:rPr>
          <w:b/>
          <w:bCs/>
          <w:color w:val="000000"/>
          <w:shd w:val="clear" w:color="auto" w:fill="FFFFFF"/>
        </w:rPr>
      </w:pPr>
      <w:r>
        <w:rPr>
          <w:b/>
          <w:bCs/>
        </w:rPr>
        <w:t xml:space="preserve">Clause 5 </w:t>
      </w:r>
      <w:r>
        <w:rPr>
          <w:b/>
          <w:bCs/>
        </w:rPr>
        <w:tab/>
      </w:r>
      <w:r w:rsidR="00F16D8F">
        <w:rPr>
          <w:b/>
          <w:bCs/>
        </w:rPr>
        <w:t>Taxi vehicles to which the Declaration applies</w:t>
      </w:r>
      <w:r w:rsidR="00483FC2" w:rsidRPr="00483FC2">
        <w:rPr>
          <w:b/>
          <w:bCs/>
          <w:color w:val="000000"/>
          <w:shd w:val="clear" w:color="auto" w:fill="FFFFFF"/>
        </w:rPr>
        <w:t> </w:t>
      </w:r>
    </w:p>
    <w:p w14:paraId="212C6B0B" w14:textId="483BFA7D" w:rsidR="0025729B" w:rsidRDefault="0025729B" w:rsidP="00F16D8F">
      <w:pPr>
        <w:tabs>
          <w:tab w:val="left" w:pos="1425"/>
        </w:tabs>
        <w:spacing w:before="120"/>
      </w:pPr>
      <w:r>
        <w:t xml:space="preserve">This clause </w:t>
      </w:r>
      <w:r w:rsidR="009345D2">
        <w:t>identifies</w:t>
      </w:r>
      <w:r>
        <w:t xml:space="preserve"> the specific vehicles that the instrument applies to, being the</w:t>
      </w:r>
    </w:p>
    <w:p w14:paraId="149BB769" w14:textId="5451010E" w:rsidR="0025729B" w:rsidRDefault="0025729B" w:rsidP="0025729B">
      <w:pPr>
        <w:tabs>
          <w:tab w:val="left" w:pos="1425"/>
        </w:tabs>
        <w:ind w:left="1440" w:hanging="1440"/>
      </w:pPr>
      <w:r>
        <w:t xml:space="preserve">vehicles whose </w:t>
      </w:r>
      <w:r w:rsidR="009345D2">
        <w:t>operators</w:t>
      </w:r>
      <w:r>
        <w:t xml:space="preserve"> applied for an extension of their taxi’s age and use</w:t>
      </w:r>
    </w:p>
    <w:p w14:paraId="0F354279" w14:textId="5A431319" w:rsidR="004F060D" w:rsidRDefault="0025729B" w:rsidP="0025729B">
      <w:pPr>
        <w:tabs>
          <w:tab w:val="left" w:pos="1425"/>
        </w:tabs>
        <w:rPr>
          <w:color w:val="000000"/>
          <w:shd w:val="clear" w:color="auto" w:fill="FFFFFF"/>
        </w:rPr>
      </w:pPr>
      <w:r>
        <w:t xml:space="preserve">requirements under section 32B of the </w:t>
      </w:r>
      <w:r w:rsidR="008D7D2E" w:rsidRPr="008E17CF">
        <w:rPr>
          <w:i/>
          <w:iCs/>
        </w:rPr>
        <w:t>Road Transport (Vehicle Registration) Regulation 2000</w:t>
      </w:r>
      <w:r w:rsidR="008D7D2E">
        <w:rPr>
          <w:i/>
          <w:iCs/>
        </w:rPr>
        <w:t xml:space="preserve">. </w:t>
      </w:r>
    </w:p>
    <w:p w14:paraId="48EB4D3D" w14:textId="05FEFF18" w:rsidR="0025729B" w:rsidRDefault="0025729B" w:rsidP="0025729B">
      <w:pPr>
        <w:tabs>
          <w:tab w:val="left" w:pos="1425"/>
        </w:tabs>
        <w:rPr>
          <w:color w:val="000000"/>
          <w:shd w:val="clear" w:color="auto" w:fill="FFFFFF"/>
        </w:rPr>
      </w:pPr>
    </w:p>
    <w:p w14:paraId="4815519D" w14:textId="30156F1E" w:rsidR="009B5B8C" w:rsidRDefault="0025729B" w:rsidP="00C87C68">
      <w:pPr>
        <w:tabs>
          <w:tab w:val="left" w:pos="1425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 vehicle details in this clause</w:t>
      </w:r>
      <w:r w:rsidR="00B3026E">
        <w:rPr>
          <w:color w:val="000000"/>
          <w:shd w:val="clear" w:color="auto" w:fill="FFFFFF"/>
        </w:rPr>
        <w:t xml:space="preserve"> include the </w:t>
      </w:r>
      <w:r w:rsidR="008D7D2E">
        <w:rPr>
          <w:color w:val="000000"/>
          <w:shd w:val="clear" w:color="auto" w:fill="FFFFFF"/>
        </w:rPr>
        <w:t xml:space="preserve">current </w:t>
      </w:r>
      <w:r w:rsidR="00B3026E">
        <w:rPr>
          <w:color w:val="000000"/>
          <w:shd w:val="clear" w:color="auto" w:fill="FFFFFF"/>
        </w:rPr>
        <w:t xml:space="preserve">vehicle registration numbers and the </w:t>
      </w:r>
      <w:r w:rsidR="009345D2">
        <w:rPr>
          <w:color w:val="000000"/>
          <w:shd w:val="clear" w:color="auto" w:fill="FFFFFF"/>
        </w:rPr>
        <w:t xml:space="preserve">last four characters of the vehicles </w:t>
      </w:r>
      <w:r w:rsidR="00B3026E">
        <w:rPr>
          <w:color w:val="000000"/>
          <w:shd w:val="clear" w:color="auto" w:fill="FFFFFF"/>
        </w:rPr>
        <w:t xml:space="preserve">Vehicle Identification Number (VIN). </w:t>
      </w:r>
    </w:p>
    <w:p w14:paraId="775A9B44" w14:textId="77777777" w:rsidR="00591F53" w:rsidRDefault="00591F53" w:rsidP="00591F53">
      <w:pPr>
        <w:spacing w:before="120"/>
        <w:rPr>
          <w:b/>
          <w:bCs/>
        </w:rPr>
      </w:pPr>
    </w:p>
    <w:p w14:paraId="798C335F" w14:textId="24D25ABB" w:rsidR="00591F53" w:rsidRDefault="00591F53" w:rsidP="00591F53">
      <w:pPr>
        <w:spacing w:before="120"/>
        <w:rPr>
          <w:b/>
          <w:bCs/>
        </w:rPr>
      </w:pPr>
      <w:r w:rsidRPr="00D206AC">
        <w:rPr>
          <w:b/>
          <w:bCs/>
        </w:rPr>
        <w:t xml:space="preserve">Clause </w:t>
      </w:r>
      <w:r w:rsidR="00497DF4">
        <w:rPr>
          <w:b/>
          <w:bCs/>
        </w:rPr>
        <w:t>6</w:t>
      </w:r>
      <w:r>
        <w:rPr>
          <w:b/>
          <w:bCs/>
        </w:rPr>
        <w:tab/>
        <w:t>Expiry</w:t>
      </w:r>
    </w:p>
    <w:p w14:paraId="129BB5DB" w14:textId="77777777" w:rsidR="00591F53" w:rsidRPr="00AF3C03" w:rsidRDefault="00591F53" w:rsidP="00591F53">
      <w:pPr>
        <w:spacing w:before="120"/>
      </w:pPr>
      <w:r>
        <w:t>This clause provides that the instrument expires on 31 August 2023.</w:t>
      </w:r>
    </w:p>
    <w:p w14:paraId="0C216E2C" w14:textId="77777777" w:rsidR="00591F53" w:rsidRPr="00AF3C03" w:rsidRDefault="00591F53" w:rsidP="00C87C68">
      <w:pPr>
        <w:tabs>
          <w:tab w:val="left" w:pos="1425"/>
        </w:tabs>
      </w:pPr>
    </w:p>
    <w:sectPr w:rsidR="00591F53" w:rsidRPr="00AF3C03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6853" w14:textId="77777777" w:rsidR="003953EE" w:rsidRDefault="003953EE" w:rsidP="00C17FAB">
      <w:r>
        <w:separator/>
      </w:r>
    </w:p>
  </w:endnote>
  <w:endnote w:type="continuationSeparator" w:id="0">
    <w:p w14:paraId="7B738C8B" w14:textId="77777777" w:rsidR="003953EE" w:rsidRDefault="003953EE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83C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AEB7" w14:textId="0A52B503" w:rsidR="00DA3B00" w:rsidRPr="003E5131" w:rsidRDefault="003E5131" w:rsidP="003E5131">
    <w:pPr>
      <w:pStyle w:val="Footer"/>
      <w:jc w:val="center"/>
      <w:rPr>
        <w:rFonts w:cs="Arial"/>
        <w:sz w:val="14"/>
      </w:rPr>
    </w:pPr>
    <w:r w:rsidRPr="003E513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D1C2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8EF9" w14:textId="77777777" w:rsidR="003953EE" w:rsidRDefault="003953EE" w:rsidP="00C17FAB">
      <w:r>
        <w:separator/>
      </w:r>
    </w:p>
  </w:footnote>
  <w:footnote w:type="continuationSeparator" w:id="0">
    <w:p w14:paraId="117B6B58" w14:textId="77777777" w:rsidR="003953EE" w:rsidRDefault="003953EE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FEE0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27C6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8F1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AE2664BA"/>
    <w:lvl w:ilvl="0" w:tplc="B4246224">
      <w:start w:val="1"/>
      <w:numFmt w:val="decimal"/>
      <w:pStyle w:val="CS-Paragraphnumbering"/>
      <w:lvlText w:val="%1."/>
      <w:lvlJc w:val="left"/>
      <w:pPr>
        <w:ind w:left="928" w:hanging="360"/>
      </w:pPr>
      <w:rPr>
        <w:i w:val="0"/>
        <w:iCs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CF32272"/>
    <w:multiLevelType w:val="hybridMultilevel"/>
    <w:tmpl w:val="9AC285A8"/>
    <w:lvl w:ilvl="0" w:tplc="DA1CF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6341447">
    <w:abstractNumId w:val="2"/>
  </w:num>
  <w:num w:numId="2" w16cid:durableId="524829051">
    <w:abstractNumId w:val="0"/>
  </w:num>
  <w:num w:numId="3" w16cid:durableId="779420314">
    <w:abstractNumId w:val="3"/>
  </w:num>
  <w:num w:numId="4" w16cid:durableId="1755005395">
    <w:abstractNumId w:val="7"/>
  </w:num>
  <w:num w:numId="5" w16cid:durableId="657657959">
    <w:abstractNumId w:val="9"/>
  </w:num>
  <w:num w:numId="6" w16cid:durableId="1119682914">
    <w:abstractNumId w:val="1"/>
  </w:num>
  <w:num w:numId="7" w16cid:durableId="2124156105">
    <w:abstractNumId w:val="5"/>
  </w:num>
  <w:num w:numId="8" w16cid:durableId="1296526346">
    <w:abstractNumId w:val="6"/>
  </w:num>
  <w:num w:numId="9" w16cid:durableId="306784981">
    <w:abstractNumId w:val="10"/>
  </w:num>
  <w:num w:numId="10" w16cid:durableId="453139026">
    <w:abstractNumId w:val="4"/>
  </w:num>
  <w:num w:numId="11" w16cid:durableId="1790513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C0519"/>
    <w:rsid w:val="00133058"/>
    <w:rsid w:val="0025729B"/>
    <w:rsid w:val="00283B2E"/>
    <w:rsid w:val="002D7C60"/>
    <w:rsid w:val="0030640C"/>
    <w:rsid w:val="003953EE"/>
    <w:rsid w:val="003B48D5"/>
    <w:rsid w:val="003C24C2"/>
    <w:rsid w:val="003E0225"/>
    <w:rsid w:val="003E5131"/>
    <w:rsid w:val="00473A94"/>
    <w:rsid w:val="00483FC2"/>
    <w:rsid w:val="004932A9"/>
    <w:rsid w:val="00495DD5"/>
    <w:rsid w:val="00497DF4"/>
    <w:rsid w:val="004F060D"/>
    <w:rsid w:val="00591F53"/>
    <w:rsid w:val="005D38CE"/>
    <w:rsid w:val="0060240D"/>
    <w:rsid w:val="00635D33"/>
    <w:rsid w:val="006C5A57"/>
    <w:rsid w:val="006F77D0"/>
    <w:rsid w:val="00717971"/>
    <w:rsid w:val="007346AC"/>
    <w:rsid w:val="00816366"/>
    <w:rsid w:val="008D7D2E"/>
    <w:rsid w:val="008E746F"/>
    <w:rsid w:val="009345D2"/>
    <w:rsid w:val="009508A5"/>
    <w:rsid w:val="009560E1"/>
    <w:rsid w:val="009B5B8C"/>
    <w:rsid w:val="00A23BE6"/>
    <w:rsid w:val="00A55808"/>
    <w:rsid w:val="00AF3C03"/>
    <w:rsid w:val="00B22ED3"/>
    <w:rsid w:val="00B3026E"/>
    <w:rsid w:val="00C17FAB"/>
    <w:rsid w:val="00C65481"/>
    <w:rsid w:val="00C87C68"/>
    <w:rsid w:val="00CE599C"/>
    <w:rsid w:val="00D206AC"/>
    <w:rsid w:val="00DA3B00"/>
    <w:rsid w:val="00F16D8F"/>
    <w:rsid w:val="00F84527"/>
    <w:rsid w:val="00FA4869"/>
    <w:rsid w:val="00FC77CF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AD1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rmalWeb">
    <w:name w:val="Normal (Web)"/>
    <w:basedOn w:val="Normal"/>
    <w:uiPriority w:val="99"/>
    <w:semiHidden/>
    <w:unhideWhenUsed/>
    <w:rsid w:val="00495DD5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CS-Paragraphnumbering">
    <w:name w:val="CS - Paragraph numbering"/>
    <w:basedOn w:val="Normal"/>
    <w:rsid w:val="00AF3C03"/>
    <w:pPr>
      <w:numPr>
        <w:numId w:val="10"/>
      </w:numPr>
      <w:spacing w:after="120" w:line="276" w:lineRule="auto"/>
      <w:ind w:left="567" w:right="-45" w:hanging="567"/>
    </w:pPr>
    <w:rPr>
      <w:rFonts w:asciiTheme="minorHAnsi" w:eastAsiaTheme="minorHAnsi" w:hAnsiTheme="minorHAnsi" w:cstheme="minorBidi"/>
      <w:szCs w:val="24"/>
    </w:rPr>
  </w:style>
  <w:style w:type="paragraph" w:customStyle="1" w:styleId="CSNumbering">
    <w:name w:val="CS Numbering"/>
    <w:basedOn w:val="Normal"/>
    <w:qFormat/>
    <w:rsid w:val="00AF3C03"/>
    <w:pPr>
      <w:widowControl w:val="0"/>
      <w:spacing w:after="240"/>
      <w:ind w:left="720" w:right="-45" w:hanging="360"/>
    </w:pPr>
    <w:rPr>
      <w:rFonts w:asciiTheme="minorHAnsi" w:hAnsiTheme="minorHAnsi"/>
      <w:iCs/>
      <w:szCs w:val="24"/>
      <w:lang w:val="en-US"/>
    </w:rPr>
  </w:style>
  <w:style w:type="paragraph" w:customStyle="1" w:styleId="normalweb0">
    <w:name w:val="normalweb"/>
    <w:basedOn w:val="Normal"/>
    <w:rsid w:val="006F77D0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3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4037</Characters>
  <Application>Microsoft Office Word</Application>
  <DocSecurity>0</DocSecurity>
  <Lines>117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2022-10-11T00:42:00Z</dcterms:created>
  <dcterms:modified xsi:type="dcterms:W3CDTF">2022-10-11T00:42:00Z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A38698042</vt:lpwstr>
  </property>
  <property fmtid="{D5CDD505-2E9C-101B-9397-08002B2CF9AE}" pid="4" name="Objective-Title">
    <vt:lpwstr>Attachment B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2022-09-28T02:41:51Z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2022-10-05T23:34:00Z</vt:filetime>
  </property>
  <property fmtid="{D5CDD505-2E9C-101B-9397-08002B2CF9AE}" pid="10" name="Objective-ModificationStamp">
    <vt:filetime>2022-10-10T21:26:16Z</vt:filetime>
  </property>
  <property fmtid="{D5CDD505-2E9C-101B-9397-08002B2CF9AE}" pid="11" name="Objective-Owner">
    <vt:lpwstr>Georgia Harvey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(Minister):2022 Information Brief (Minister):TCBS - MIN S2022/01801 - Taxi age and use requirements - taxi age extensions - Minister Brief:</vt:lpwstr>
  </property>
  <property fmtid="{D5CDD505-2E9C-101B-9397-08002B2CF9AE}" pid="13" name="Objective-Parent">
    <vt:lpwstr>TCBS - MIN S2022/01801 - Taxi age and use requirements - taxi age extensions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1-2022/20020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