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F06" w:rsidRPr="00461D6D" w:rsidRDefault="006A5F06" w:rsidP="006A5F06">
      <w:pPr>
        <w:autoSpaceDE w:val="0"/>
        <w:autoSpaceDN w:val="0"/>
        <w:adjustRightInd w:val="0"/>
        <w:jc w:val="center"/>
        <w:rPr>
          <w:rFonts w:cs="Arial"/>
          <w:b/>
          <w:bCs/>
          <w:szCs w:val="24"/>
        </w:rPr>
      </w:pPr>
      <w:r w:rsidRPr="00461D6D">
        <w:rPr>
          <w:rFonts w:cs="Arial"/>
          <w:b/>
          <w:bCs/>
          <w:szCs w:val="24"/>
        </w:rPr>
        <w:t>20</w:t>
      </w:r>
      <w:r w:rsidR="00D71116" w:rsidRPr="00461D6D">
        <w:rPr>
          <w:rFonts w:cs="Arial"/>
          <w:b/>
          <w:bCs/>
          <w:szCs w:val="24"/>
        </w:rPr>
        <w:t>22</w:t>
      </w: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jc w:val="center"/>
        <w:rPr>
          <w:rFonts w:cs="Arial"/>
          <w:b/>
          <w:bCs/>
          <w:szCs w:val="24"/>
        </w:rPr>
      </w:pPr>
      <w:r w:rsidRPr="00461D6D">
        <w:rPr>
          <w:rFonts w:cs="Arial"/>
          <w:b/>
          <w:bCs/>
          <w:szCs w:val="24"/>
        </w:rPr>
        <w:t>THE LEGISLATIVE ASSEMBLY FOR THE</w:t>
      </w:r>
    </w:p>
    <w:p w:rsidR="006A5F06" w:rsidRPr="00461D6D" w:rsidRDefault="006A5F06" w:rsidP="006A5F06">
      <w:pPr>
        <w:jc w:val="center"/>
        <w:rPr>
          <w:rFonts w:cs="Arial"/>
          <w:b/>
          <w:bCs/>
          <w:szCs w:val="24"/>
        </w:rPr>
      </w:pPr>
    </w:p>
    <w:p w:rsidR="006A5F06" w:rsidRPr="00461D6D" w:rsidRDefault="006A5F06" w:rsidP="006A5F06">
      <w:pPr>
        <w:autoSpaceDE w:val="0"/>
        <w:autoSpaceDN w:val="0"/>
        <w:adjustRightInd w:val="0"/>
        <w:jc w:val="center"/>
        <w:rPr>
          <w:rFonts w:cs="Arial"/>
          <w:b/>
          <w:bCs/>
          <w:szCs w:val="24"/>
        </w:rPr>
      </w:pPr>
      <w:r w:rsidRPr="00461D6D">
        <w:rPr>
          <w:rFonts w:cs="Arial"/>
          <w:b/>
          <w:bCs/>
          <w:szCs w:val="24"/>
        </w:rPr>
        <w:t>AUSTRALIAN CAPITAL TERRITORY</w:t>
      </w: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rPr>
          <w:rFonts w:cs="Arial"/>
          <w:b/>
          <w:bCs/>
          <w:szCs w:val="24"/>
        </w:rPr>
      </w:pPr>
    </w:p>
    <w:p w:rsidR="006A5F06" w:rsidRPr="00461D6D" w:rsidRDefault="006A5F06" w:rsidP="006A5F06">
      <w:pPr>
        <w:autoSpaceDE w:val="0"/>
        <w:autoSpaceDN w:val="0"/>
        <w:adjustRightInd w:val="0"/>
        <w:rPr>
          <w:rFonts w:cs="Arial"/>
          <w:b/>
          <w:bCs/>
          <w:szCs w:val="24"/>
        </w:rPr>
      </w:pPr>
    </w:p>
    <w:p w:rsidR="006A5F06" w:rsidRPr="00461D6D" w:rsidRDefault="006A5F06" w:rsidP="006A5F06">
      <w:pPr>
        <w:autoSpaceDE w:val="0"/>
        <w:autoSpaceDN w:val="0"/>
        <w:adjustRightInd w:val="0"/>
        <w:rPr>
          <w:rFonts w:cs="Arial"/>
          <w:b/>
          <w:bCs/>
          <w:szCs w:val="24"/>
        </w:rPr>
      </w:pPr>
    </w:p>
    <w:p w:rsidR="006A5F06" w:rsidRPr="00461D6D" w:rsidRDefault="006A5F06" w:rsidP="006A5F06">
      <w:pPr>
        <w:autoSpaceDE w:val="0"/>
        <w:autoSpaceDN w:val="0"/>
        <w:adjustRightInd w:val="0"/>
        <w:spacing w:after="240" w:line="276" w:lineRule="auto"/>
        <w:jc w:val="center"/>
        <w:rPr>
          <w:rFonts w:cs="Arial"/>
          <w:b/>
          <w:bCs/>
          <w:szCs w:val="24"/>
        </w:rPr>
      </w:pPr>
      <w:r w:rsidRPr="00461D6D">
        <w:rPr>
          <w:rFonts w:cs="Arial"/>
          <w:b/>
          <w:bCs/>
          <w:szCs w:val="24"/>
        </w:rPr>
        <w:t xml:space="preserve">CRIMES </w:t>
      </w:r>
      <w:r w:rsidR="003A19A6" w:rsidRPr="00461D6D">
        <w:rPr>
          <w:rFonts w:cs="Arial"/>
          <w:b/>
          <w:bCs/>
          <w:szCs w:val="24"/>
        </w:rPr>
        <w:t>(</w:t>
      </w:r>
      <w:r w:rsidRPr="00461D6D">
        <w:rPr>
          <w:rFonts w:cs="Arial"/>
          <w:b/>
          <w:bCs/>
          <w:szCs w:val="24"/>
        </w:rPr>
        <w:t>SENTENCING</w:t>
      </w:r>
      <w:r w:rsidR="003A19A6" w:rsidRPr="00461D6D">
        <w:rPr>
          <w:rFonts w:cs="Arial"/>
          <w:b/>
          <w:bCs/>
          <w:szCs w:val="24"/>
        </w:rPr>
        <w:t>)</w:t>
      </w:r>
      <w:r w:rsidRPr="00461D6D">
        <w:rPr>
          <w:rFonts w:cs="Arial"/>
          <w:b/>
          <w:bCs/>
          <w:szCs w:val="24"/>
        </w:rPr>
        <w:t xml:space="preserve"> </w:t>
      </w:r>
    </w:p>
    <w:p w:rsidR="006A5F06" w:rsidRPr="00461D6D" w:rsidRDefault="006A5F06" w:rsidP="006A5F06">
      <w:pPr>
        <w:autoSpaceDE w:val="0"/>
        <w:autoSpaceDN w:val="0"/>
        <w:adjustRightInd w:val="0"/>
        <w:spacing w:after="240" w:line="276" w:lineRule="auto"/>
        <w:jc w:val="center"/>
        <w:rPr>
          <w:rFonts w:cs="Arial"/>
          <w:b/>
          <w:bCs/>
          <w:szCs w:val="24"/>
        </w:rPr>
      </w:pPr>
      <w:r w:rsidRPr="00461D6D">
        <w:rPr>
          <w:rFonts w:cs="Arial"/>
          <w:b/>
          <w:bCs/>
          <w:szCs w:val="24"/>
        </w:rPr>
        <w:t>AMENDMENT REGULATION 20</w:t>
      </w:r>
      <w:r w:rsidR="00D71116" w:rsidRPr="00461D6D">
        <w:rPr>
          <w:rFonts w:cs="Arial"/>
          <w:b/>
          <w:bCs/>
          <w:szCs w:val="24"/>
        </w:rPr>
        <w:t>22</w:t>
      </w:r>
      <w:r w:rsidRPr="00461D6D">
        <w:rPr>
          <w:rFonts w:cs="Arial"/>
          <w:b/>
          <w:bCs/>
          <w:szCs w:val="24"/>
        </w:rPr>
        <w:t xml:space="preserve"> (No </w:t>
      </w:r>
      <w:r w:rsidR="00F4499C">
        <w:rPr>
          <w:rFonts w:cs="Arial"/>
          <w:b/>
          <w:bCs/>
          <w:szCs w:val="24"/>
        </w:rPr>
        <w:t>1</w:t>
      </w:r>
      <w:r w:rsidRPr="00461D6D">
        <w:rPr>
          <w:rFonts w:cs="Arial"/>
          <w:b/>
          <w:bCs/>
          <w:szCs w:val="24"/>
        </w:rPr>
        <w:t>)</w:t>
      </w:r>
    </w:p>
    <w:p w:rsidR="006A5F06" w:rsidRPr="00461D6D" w:rsidRDefault="00F4499C" w:rsidP="006A5F06">
      <w:pPr>
        <w:autoSpaceDE w:val="0"/>
        <w:autoSpaceDN w:val="0"/>
        <w:adjustRightInd w:val="0"/>
        <w:spacing w:after="240" w:line="276" w:lineRule="auto"/>
        <w:jc w:val="center"/>
        <w:rPr>
          <w:rFonts w:cs="Arial"/>
          <w:b/>
          <w:bCs/>
          <w:szCs w:val="24"/>
        </w:rPr>
      </w:pPr>
      <w:r>
        <w:rPr>
          <w:rFonts w:cs="Arial"/>
          <w:b/>
          <w:bCs/>
          <w:szCs w:val="24"/>
        </w:rPr>
        <w:t>SL2022-14</w:t>
      </w:r>
    </w:p>
    <w:p w:rsidR="006A5F06" w:rsidRPr="00461D6D" w:rsidRDefault="006A5F06" w:rsidP="006A5F06">
      <w:pPr>
        <w:autoSpaceDE w:val="0"/>
        <w:autoSpaceDN w:val="0"/>
        <w:adjustRightInd w:val="0"/>
        <w:spacing w:after="240" w:line="276" w:lineRule="auto"/>
        <w:jc w:val="center"/>
        <w:rPr>
          <w:rFonts w:cs="Arial"/>
          <w:b/>
          <w:bCs/>
          <w:szCs w:val="24"/>
        </w:rPr>
      </w:pPr>
    </w:p>
    <w:p w:rsidR="006A5F06" w:rsidRPr="00461D6D" w:rsidRDefault="006A5F06" w:rsidP="006A5F06">
      <w:pPr>
        <w:autoSpaceDE w:val="0"/>
        <w:autoSpaceDN w:val="0"/>
        <w:adjustRightInd w:val="0"/>
        <w:spacing w:after="240" w:line="276" w:lineRule="auto"/>
        <w:jc w:val="center"/>
        <w:rPr>
          <w:rFonts w:cs="Arial"/>
          <w:b/>
          <w:bCs/>
          <w:szCs w:val="24"/>
        </w:rPr>
      </w:pPr>
    </w:p>
    <w:p w:rsidR="006A5F06" w:rsidRPr="00461D6D" w:rsidRDefault="006A5F06" w:rsidP="006A5F06">
      <w:pPr>
        <w:autoSpaceDE w:val="0"/>
        <w:autoSpaceDN w:val="0"/>
        <w:adjustRightInd w:val="0"/>
        <w:spacing w:after="240" w:line="276" w:lineRule="auto"/>
        <w:jc w:val="center"/>
        <w:rPr>
          <w:rFonts w:cs="Arial"/>
          <w:b/>
          <w:bCs/>
          <w:szCs w:val="24"/>
        </w:rPr>
      </w:pPr>
    </w:p>
    <w:p w:rsidR="006A5F06" w:rsidRPr="00461D6D" w:rsidRDefault="006A5F06" w:rsidP="006A5F06">
      <w:pPr>
        <w:autoSpaceDE w:val="0"/>
        <w:autoSpaceDN w:val="0"/>
        <w:adjustRightInd w:val="0"/>
        <w:spacing w:after="240" w:line="276" w:lineRule="auto"/>
        <w:jc w:val="center"/>
        <w:rPr>
          <w:rFonts w:cs="Arial"/>
          <w:b/>
          <w:bCs/>
          <w:szCs w:val="24"/>
        </w:rPr>
      </w:pPr>
      <w:r w:rsidRPr="00461D6D">
        <w:rPr>
          <w:rFonts w:cs="Arial"/>
          <w:b/>
          <w:bCs/>
          <w:szCs w:val="24"/>
        </w:rPr>
        <w:t>EXPLANATORY STATEMENT</w:t>
      </w:r>
    </w:p>
    <w:p w:rsidR="006A5F06" w:rsidRPr="00461D6D" w:rsidRDefault="006A5F06" w:rsidP="006A5F06">
      <w:pPr>
        <w:autoSpaceDE w:val="0"/>
        <w:autoSpaceDN w:val="0"/>
        <w:adjustRightInd w:val="0"/>
        <w:spacing w:after="240" w:line="276" w:lineRule="auto"/>
        <w:jc w:val="center"/>
        <w:rPr>
          <w:rFonts w:cs="Arial"/>
          <w:b/>
          <w:bCs/>
          <w:szCs w:val="24"/>
        </w:rPr>
      </w:pPr>
    </w:p>
    <w:p w:rsidR="006A5F06" w:rsidRPr="00461D6D" w:rsidRDefault="006A5F06" w:rsidP="006A5F06">
      <w:pPr>
        <w:autoSpaceDE w:val="0"/>
        <w:autoSpaceDN w:val="0"/>
        <w:adjustRightInd w:val="0"/>
        <w:spacing w:after="240" w:line="276" w:lineRule="auto"/>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autoSpaceDE w:val="0"/>
        <w:autoSpaceDN w:val="0"/>
        <w:adjustRightInd w:val="0"/>
        <w:jc w:val="center"/>
        <w:rPr>
          <w:rFonts w:cs="Arial"/>
          <w:b/>
          <w:bCs/>
          <w:szCs w:val="24"/>
        </w:rPr>
      </w:pPr>
    </w:p>
    <w:p w:rsidR="006A5F06" w:rsidRPr="00461D6D" w:rsidRDefault="006A5F06" w:rsidP="006A5F06">
      <w:pPr>
        <w:jc w:val="right"/>
        <w:rPr>
          <w:rFonts w:cs="Arial"/>
          <w:b/>
          <w:szCs w:val="24"/>
        </w:rPr>
      </w:pPr>
      <w:r w:rsidRPr="00461D6D">
        <w:rPr>
          <w:rFonts w:cs="Arial"/>
          <w:b/>
          <w:szCs w:val="24"/>
        </w:rPr>
        <w:t>Presented by</w:t>
      </w:r>
    </w:p>
    <w:p w:rsidR="006A5F06" w:rsidRPr="00461D6D" w:rsidRDefault="00D71116" w:rsidP="006A5F06">
      <w:pPr>
        <w:jc w:val="right"/>
        <w:rPr>
          <w:rFonts w:cs="Arial"/>
          <w:b/>
          <w:szCs w:val="24"/>
        </w:rPr>
      </w:pPr>
      <w:r w:rsidRPr="00461D6D">
        <w:rPr>
          <w:rFonts w:cs="Arial"/>
          <w:b/>
          <w:szCs w:val="24"/>
        </w:rPr>
        <w:t>Shane Rattenbury</w:t>
      </w:r>
      <w:r w:rsidR="006A5F06" w:rsidRPr="00461D6D">
        <w:rPr>
          <w:rFonts w:cs="Arial"/>
          <w:b/>
          <w:szCs w:val="24"/>
        </w:rPr>
        <w:t xml:space="preserve"> MLA</w:t>
      </w:r>
    </w:p>
    <w:p w:rsidR="006A5F06" w:rsidRPr="00461D6D" w:rsidRDefault="006A5F06" w:rsidP="006A5F06">
      <w:pPr>
        <w:jc w:val="right"/>
        <w:rPr>
          <w:rFonts w:cs="Arial"/>
          <w:b/>
          <w:szCs w:val="24"/>
        </w:rPr>
        <w:sectPr w:rsidR="006A5F06" w:rsidRPr="00461D6D" w:rsidSect="00B573B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461D6D">
        <w:rPr>
          <w:rFonts w:cs="Arial"/>
          <w:b/>
          <w:szCs w:val="24"/>
        </w:rPr>
        <w:t>Attorney-General</w:t>
      </w:r>
    </w:p>
    <w:p w:rsidR="006A5F06" w:rsidRPr="00461D6D" w:rsidRDefault="006A5F06" w:rsidP="006A5F06">
      <w:pPr>
        <w:jc w:val="center"/>
        <w:rPr>
          <w:rFonts w:cs="Arial"/>
          <w:b/>
          <w:szCs w:val="24"/>
        </w:rPr>
      </w:pPr>
      <w:r w:rsidRPr="00461D6D">
        <w:rPr>
          <w:rFonts w:cs="Arial"/>
          <w:b/>
          <w:szCs w:val="24"/>
        </w:rPr>
        <w:lastRenderedPageBreak/>
        <w:t xml:space="preserve">Crimes </w:t>
      </w:r>
      <w:r w:rsidR="00FC459E" w:rsidRPr="00461D6D">
        <w:rPr>
          <w:rFonts w:cs="Arial"/>
          <w:b/>
          <w:szCs w:val="24"/>
        </w:rPr>
        <w:t>(</w:t>
      </w:r>
      <w:r w:rsidRPr="00461D6D">
        <w:rPr>
          <w:rFonts w:cs="Arial"/>
          <w:b/>
          <w:szCs w:val="24"/>
        </w:rPr>
        <w:t>Sentencing</w:t>
      </w:r>
      <w:r w:rsidR="00FC459E" w:rsidRPr="00461D6D">
        <w:rPr>
          <w:rFonts w:cs="Arial"/>
          <w:b/>
          <w:szCs w:val="24"/>
        </w:rPr>
        <w:t>)</w:t>
      </w:r>
      <w:r w:rsidRPr="00461D6D">
        <w:rPr>
          <w:rFonts w:cs="Arial"/>
          <w:b/>
          <w:szCs w:val="24"/>
        </w:rPr>
        <w:t xml:space="preserve"> Amendment Regulation 20</w:t>
      </w:r>
      <w:r w:rsidR="00D71116" w:rsidRPr="00461D6D">
        <w:rPr>
          <w:rFonts w:cs="Arial"/>
          <w:b/>
          <w:szCs w:val="24"/>
        </w:rPr>
        <w:t>22</w:t>
      </w:r>
      <w:r w:rsidRPr="00461D6D">
        <w:rPr>
          <w:rFonts w:cs="Arial"/>
          <w:b/>
          <w:szCs w:val="24"/>
        </w:rPr>
        <w:t xml:space="preserve"> (No </w:t>
      </w:r>
      <w:r w:rsidR="0092144A">
        <w:rPr>
          <w:rFonts w:cs="Arial"/>
          <w:b/>
          <w:szCs w:val="24"/>
        </w:rPr>
        <w:t>1</w:t>
      </w:r>
      <w:r w:rsidRPr="00461D6D">
        <w:rPr>
          <w:rFonts w:cs="Arial"/>
          <w:b/>
          <w:szCs w:val="24"/>
        </w:rPr>
        <w:t>)</w:t>
      </w:r>
    </w:p>
    <w:p w:rsidR="006A5F06" w:rsidRPr="00461D6D" w:rsidRDefault="006A5F06" w:rsidP="006A5F06">
      <w:pPr>
        <w:rPr>
          <w:rFonts w:cs="Arial"/>
          <w:szCs w:val="24"/>
        </w:rPr>
      </w:pPr>
    </w:p>
    <w:p w:rsidR="006A5F06" w:rsidRPr="00461D6D" w:rsidRDefault="006A5F06" w:rsidP="006A5F06">
      <w:pPr>
        <w:rPr>
          <w:rFonts w:cs="Arial"/>
          <w:szCs w:val="24"/>
        </w:rPr>
      </w:pPr>
    </w:p>
    <w:p w:rsidR="006A5F06" w:rsidRPr="00461D6D" w:rsidRDefault="006A5F06" w:rsidP="00461D6D">
      <w:pPr>
        <w:jc w:val="center"/>
        <w:rPr>
          <w:rFonts w:cs="Arial"/>
          <w:b/>
          <w:szCs w:val="24"/>
        </w:rPr>
      </w:pPr>
      <w:r w:rsidRPr="00461D6D">
        <w:rPr>
          <w:rFonts w:cs="Arial"/>
          <w:b/>
          <w:szCs w:val="24"/>
        </w:rPr>
        <w:t>Outline</w:t>
      </w:r>
    </w:p>
    <w:p w:rsidR="006A5F06" w:rsidRPr="00461D6D" w:rsidRDefault="006A5F06" w:rsidP="00461D6D">
      <w:pPr>
        <w:rPr>
          <w:rFonts w:cs="Arial"/>
          <w:szCs w:val="24"/>
        </w:rPr>
      </w:pPr>
    </w:p>
    <w:p w:rsidR="006A5F06" w:rsidRPr="00461D6D" w:rsidRDefault="006A5F06" w:rsidP="00461D6D">
      <w:pPr>
        <w:jc w:val="both"/>
        <w:rPr>
          <w:rFonts w:cs="Arial"/>
          <w:szCs w:val="24"/>
        </w:rPr>
      </w:pPr>
      <w:r w:rsidRPr="00461D6D">
        <w:rPr>
          <w:rFonts w:cs="Arial"/>
          <w:szCs w:val="24"/>
        </w:rPr>
        <w:t xml:space="preserve">The objects of the </w:t>
      </w:r>
      <w:r w:rsidRPr="00461D6D">
        <w:rPr>
          <w:rFonts w:cs="Arial"/>
          <w:i/>
          <w:szCs w:val="24"/>
        </w:rPr>
        <w:t>Crimes (Sentencing) Act 2005</w:t>
      </w:r>
      <w:r w:rsidRPr="00461D6D">
        <w:rPr>
          <w:rFonts w:cs="Arial"/>
          <w:szCs w:val="24"/>
        </w:rPr>
        <w:t xml:space="preserve"> </w:t>
      </w:r>
      <w:r w:rsidR="00D71116" w:rsidRPr="00461D6D">
        <w:rPr>
          <w:rFonts w:cs="Arial"/>
          <w:szCs w:val="24"/>
        </w:rPr>
        <w:t>(the</w:t>
      </w:r>
      <w:r w:rsidR="00F51139" w:rsidRPr="00461D6D">
        <w:rPr>
          <w:rFonts w:cs="Arial"/>
          <w:szCs w:val="24"/>
        </w:rPr>
        <w:t xml:space="preserve"> </w:t>
      </w:r>
      <w:r w:rsidR="00D71116" w:rsidRPr="00461D6D">
        <w:rPr>
          <w:rFonts w:cs="Arial"/>
          <w:szCs w:val="24"/>
        </w:rPr>
        <w:t xml:space="preserve">Act) </w:t>
      </w:r>
      <w:r w:rsidRPr="00461D6D">
        <w:rPr>
          <w:rFonts w:cs="Arial"/>
          <w:szCs w:val="24"/>
        </w:rPr>
        <w:t>are to promote respect for the law and the maintenance of a just and safe society, provide a range of sentencing options, maximise the opportunity for imposing sentences that are constructively adapted to individual offenders, promote flexibility in sentencing and consolidate legislation relating to the imposition of sentences.</w:t>
      </w:r>
    </w:p>
    <w:p w:rsidR="006A5F06" w:rsidRPr="00461D6D" w:rsidRDefault="006A5F06" w:rsidP="00461D6D">
      <w:pPr>
        <w:jc w:val="both"/>
        <w:rPr>
          <w:rFonts w:cs="Arial"/>
          <w:szCs w:val="24"/>
        </w:rPr>
      </w:pPr>
    </w:p>
    <w:p w:rsidR="00461D6D" w:rsidRDefault="00D71116" w:rsidP="00461D6D">
      <w:pPr>
        <w:pStyle w:val="CS-Paragraphnumbering"/>
        <w:numPr>
          <w:ilvl w:val="0"/>
          <w:numId w:val="0"/>
        </w:numPr>
        <w:spacing w:after="0" w:line="240" w:lineRule="auto"/>
        <w:jc w:val="both"/>
        <w:rPr>
          <w:rFonts w:ascii="Arial" w:hAnsi="Arial" w:cs="Arial"/>
        </w:rPr>
      </w:pPr>
      <w:r w:rsidRPr="00461D6D">
        <w:rPr>
          <w:rFonts w:ascii="Arial" w:hAnsi="Arial" w:cs="Arial"/>
        </w:rPr>
        <w:t>Section 136 of the</w:t>
      </w:r>
      <w:r w:rsidR="00F51139" w:rsidRPr="00461D6D">
        <w:rPr>
          <w:rFonts w:ascii="Arial" w:hAnsi="Arial" w:cs="Arial"/>
        </w:rPr>
        <w:t xml:space="preserve"> </w:t>
      </w:r>
      <w:r w:rsidRPr="00461D6D">
        <w:rPr>
          <w:rFonts w:ascii="Arial" w:hAnsi="Arial" w:cs="Arial"/>
        </w:rPr>
        <w:t>Act</w:t>
      </w:r>
      <w:r w:rsidRPr="00461D6D">
        <w:rPr>
          <w:rFonts w:ascii="Arial" w:hAnsi="Arial" w:cs="Arial"/>
          <w:i/>
        </w:rPr>
        <w:t xml:space="preserve"> </w:t>
      </w:r>
      <w:r w:rsidRPr="00461D6D">
        <w:rPr>
          <w:rFonts w:ascii="Arial" w:hAnsi="Arial" w:cs="Arial"/>
        </w:rPr>
        <w:t xml:space="preserve">provides that criminal justice entities may exchange information contained </w:t>
      </w:r>
      <w:r w:rsidR="00510054">
        <w:rPr>
          <w:rFonts w:ascii="Arial" w:hAnsi="Arial" w:cs="Arial"/>
        </w:rPr>
        <w:t>i</w:t>
      </w:r>
      <w:r w:rsidRPr="00461D6D">
        <w:rPr>
          <w:rFonts w:ascii="Arial" w:hAnsi="Arial" w:cs="Arial"/>
        </w:rPr>
        <w:t xml:space="preserve">n their records relating to an offence, including an alleged offence. </w:t>
      </w:r>
    </w:p>
    <w:p w:rsidR="00461D6D" w:rsidRDefault="00461D6D" w:rsidP="00461D6D">
      <w:pPr>
        <w:pStyle w:val="CS-Paragraphnumbering"/>
        <w:numPr>
          <w:ilvl w:val="0"/>
          <w:numId w:val="0"/>
        </w:numPr>
        <w:spacing w:after="0" w:line="240" w:lineRule="auto"/>
        <w:jc w:val="both"/>
        <w:rPr>
          <w:rFonts w:ascii="Arial" w:hAnsi="Arial" w:cs="Arial"/>
        </w:rPr>
      </w:pPr>
    </w:p>
    <w:p w:rsidR="00461D6D" w:rsidRDefault="00D71116" w:rsidP="00461D6D">
      <w:pPr>
        <w:pStyle w:val="CS-Paragraphnumbering"/>
        <w:numPr>
          <w:ilvl w:val="0"/>
          <w:numId w:val="0"/>
        </w:numPr>
        <w:spacing w:after="0" w:line="240" w:lineRule="auto"/>
        <w:jc w:val="both"/>
        <w:rPr>
          <w:rFonts w:ascii="Arial" w:hAnsi="Arial" w:cs="Arial"/>
        </w:rPr>
      </w:pPr>
      <w:r w:rsidRPr="00461D6D">
        <w:rPr>
          <w:rFonts w:ascii="Arial" w:hAnsi="Arial" w:cs="Arial"/>
        </w:rPr>
        <w:t xml:space="preserve">Section 136 of the Act was enacted to address concerns that some agencies had with sharing information with each other on the basis that they might be in breach of their obligations under the National Privacy Principles contained in the </w:t>
      </w:r>
      <w:r w:rsidRPr="00461D6D">
        <w:rPr>
          <w:rFonts w:ascii="Arial" w:hAnsi="Arial" w:cs="Arial"/>
          <w:i/>
        </w:rPr>
        <w:t>Privacy Act 1988</w:t>
      </w:r>
      <w:r w:rsidRPr="00461D6D">
        <w:rPr>
          <w:rFonts w:ascii="Arial" w:hAnsi="Arial" w:cs="Arial"/>
        </w:rPr>
        <w:t xml:space="preserve"> (Cth) (now the Australian Privacy Principles), and that sharing information might otherwise prejudice the effective operation of their agency. </w:t>
      </w:r>
    </w:p>
    <w:p w:rsidR="00D71116" w:rsidRPr="00461D6D" w:rsidRDefault="00D71116" w:rsidP="00461D6D">
      <w:pPr>
        <w:pStyle w:val="CS-Paragraphnumbering"/>
        <w:numPr>
          <w:ilvl w:val="0"/>
          <w:numId w:val="0"/>
        </w:numPr>
        <w:spacing w:after="0" w:line="240" w:lineRule="auto"/>
        <w:jc w:val="both"/>
        <w:rPr>
          <w:rFonts w:ascii="Arial" w:hAnsi="Arial" w:cs="Arial"/>
        </w:rPr>
      </w:pPr>
      <w:r w:rsidRPr="00461D6D">
        <w:rPr>
          <w:rFonts w:ascii="Arial" w:hAnsi="Arial" w:cs="Arial"/>
        </w:rPr>
        <w:t xml:space="preserve"> </w:t>
      </w:r>
    </w:p>
    <w:p w:rsidR="00D71116" w:rsidRPr="00461D6D" w:rsidRDefault="00D71116" w:rsidP="00461D6D">
      <w:pPr>
        <w:pStyle w:val="CS-Paragraphnumbering"/>
        <w:numPr>
          <w:ilvl w:val="0"/>
          <w:numId w:val="0"/>
        </w:numPr>
        <w:spacing w:after="0" w:line="240" w:lineRule="auto"/>
        <w:jc w:val="both"/>
        <w:rPr>
          <w:rFonts w:ascii="Arial" w:hAnsi="Arial" w:cs="Arial"/>
        </w:rPr>
      </w:pPr>
      <w:r w:rsidRPr="00461D6D">
        <w:rPr>
          <w:rFonts w:ascii="Arial" w:hAnsi="Arial" w:cs="Arial"/>
          <w:lang w:eastAsia="en-AU"/>
        </w:rPr>
        <w:t>Section 136 of the</w:t>
      </w:r>
      <w:r w:rsidR="00F51139" w:rsidRPr="00461D6D">
        <w:rPr>
          <w:rFonts w:ascii="Arial" w:hAnsi="Arial" w:cs="Arial"/>
          <w:lang w:eastAsia="en-AU"/>
        </w:rPr>
        <w:t xml:space="preserve"> </w:t>
      </w:r>
      <w:r w:rsidRPr="00461D6D">
        <w:rPr>
          <w:rFonts w:ascii="Arial" w:hAnsi="Arial" w:cs="Arial"/>
          <w:lang w:eastAsia="en-AU"/>
        </w:rPr>
        <w:t>Act puts beyond doubt the ability of criminal justice entities to share information that falls within the scope of the section. Further, it conveys to agencies the strong intention of the ACT Legislative Assembly that they cooperate with each other in the exchange of information relating to the criminal justice system in pursuit of the best practice fulfilment of their respective functions.</w:t>
      </w:r>
    </w:p>
    <w:p w:rsidR="00D71116" w:rsidRPr="00461D6D" w:rsidRDefault="00D71116" w:rsidP="00461D6D">
      <w:pPr>
        <w:jc w:val="both"/>
        <w:rPr>
          <w:rFonts w:cs="Arial"/>
          <w:i/>
          <w:iCs/>
          <w:szCs w:val="24"/>
        </w:rPr>
      </w:pPr>
    </w:p>
    <w:p w:rsidR="00B94F0B" w:rsidRPr="00461D6D" w:rsidRDefault="00B94F0B" w:rsidP="00461D6D">
      <w:pPr>
        <w:jc w:val="both"/>
        <w:rPr>
          <w:rFonts w:cs="Arial"/>
          <w:i/>
          <w:iCs/>
          <w:szCs w:val="24"/>
        </w:rPr>
      </w:pPr>
      <w:r w:rsidRPr="00461D6D">
        <w:rPr>
          <w:rFonts w:cs="Arial"/>
          <w:i/>
          <w:iCs/>
          <w:szCs w:val="24"/>
        </w:rPr>
        <w:t xml:space="preserve">The Sexual Assault (Police) Review Oversight Committee </w:t>
      </w:r>
    </w:p>
    <w:p w:rsidR="000A4120" w:rsidRPr="00461D6D" w:rsidRDefault="000A4120" w:rsidP="00461D6D">
      <w:pPr>
        <w:jc w:val="both"/>
        <w:rPr>
          <w:rFonts w:cs="Arial"/>
          <w:i/>
          <w:iCs/>
          <w:szCs w:val="24"/>
        </w:rPr>
      </w:pPr>
    </w:p>
    <w:p w:rsidR="00F51139" w:rsidRPr="00461D6D" w:rsidRDefault="00AB54AE" w:rsidP="00461D6D">
      <w:pPr>
        <w:jc w:val="both"/>
        <w:rPr>
          <w:rFonts w:cs="Arial"/>
          <w:szCs w:val="24"/>
        </w:rPr>
      </w:pPr>
      <w:r>
        <w:rPr>
          <w:rFonts w:cs="Arial"/>
          <w:szCs w:val="24"/>
        </w:rPr>
        <w:t>One</w:t>
      </w:r>
      <w:r w:rsidRPr="00461D6D">
        <w:rPr>
          <w:rFonts w:cs="Arial"/>
          <w:szCs w:val="24"/>
        </w:rPr>
        <w:t xml:space="preserve"> </w:t>
      </w:r>
      <w:r w:rsidR="00F51139" w:rsidRPr="00461D6D">
        <w:rPr>
          <w:rFonts w:cs="Arial"/>
          <w:szCs w:val="24"/>
        </w:rPr>
        <w:t>purpose of this regulation amendment is to prescribe the Sexual Assault (Police) Review Oversight Committee (the Oversight Committee) as a criminal justice entity.</w:t>
      </w:r>
    </w:p>
    <w:p w:rsidR="00F51139" w:rsidRPr="00461D6D" w:rsidRDefault="00F51139" w:rsidP="00461D6D">
      <w:pPr>
        <w:jc w:val="both"/>
        <w:rPr>
          <w:rFonts w:cs="Arial"/>
          <w:i/>
          <w:iCs/>
          <w:szCs w:val="24"/>
        </w:rPr>
      </w:pPr>
    </w:p>
    <w:p w:rsidR="000A4120" w:rsidRPr="00461D6D" w:rsidRDefault="000A4120" w:rsidP="00461D6D">
      <w:pPr>
        <w:jc w:val="both"/>
        <w:rPr>
          <w:rFonts w:cs="Arial"/>
          <w:szCs w:val="24"/>
        </w:rPr>
      </w:pPr>
      <w:r w:rsidRPr="00461D6D">
        <w:rPr>
          <w:rFonts w:cs="Arial"/>
          <w:szCs w:val="24"/>
        </w:rPr>
        <w:t>On 13 December 2021, the ACT Government released the report, “</w:t>
      </w:r>
      <w:r w:rsidRPr="00AB54AE">
        <w:rPr>
          <w:rFonts w:cs="Arial"/>
          <w:i/>
          <w:iCs/>
          <w:szCs w:val="24"/>
        </w:rPr>
        <w:t>Listen. Take action to prevent, believe and heal</w:t>
      </w:r>
      <w:r w:rsidRPr="00461D6D">
        <w:rPr>
          <w:rFonts w:cs="Arial"/>
          <w:szCs w:val="24"/>
        </w:rPr>
        <w:t xml:space="preserve">” by the Sexual Assault Prevention and Response Steering Committee. One of the recommendations within this report </w:t>
      </w:r>
      <w:r w:rsidR="00AB54AE">
        <w:rPr>
          <w:rFonts w:cs="Arial"/>
          <w:szCs w:val="24"/>
        </w:rPr>
        <w:t>was that</w:t>
      </w:r>
      <w:r w:rsidR="00716751" w:rsidRPr="00461D6D">
        <w:rPr>
          <w:rFonts w:cs="Arial"/>
          <w:szCs w:val="24"/>
        </w:rPr>
        <w:t xml:space="preserve"> the ACT Government establish and fund an independent cross-agency taskforce to undertake a review of all sexual assault cases reported to ACT Policing that were not progressed to charge, including those deemed unfounded, uncleared or withdrawn.</w:t>
      </w:r>
    </w:p>
    <w:p w:rsidR="00716751" w:rsidRPr="00461D6D" w:rsidRDefault="00716751" w:rsidP="00461D6D">
      <w:pPr>
        <w:jc w:val="both"/>
        <w:rPr>
          <w:rFonts w:cs="Arial"/>
          <w:szCs w:val="24"/>
        </w:rPr>
      </w:pPr>
    </w:p>
    <w:p w:rsidR="00716751" w:rsidRPr="00461D6D" w:rsidRDefault="00716751" w:rsidP="00461D6D">
      <w:pPr>
        <w:jc w:val="both"/>
        <w:rPr>
          <w:rFonts w:cs="Arial"/>
          <w:szCs w:val="24"/>
        </w:rPr>
      </w:pPr>
      <w:r w:rsidRPr="00461D6D">
        <w:rPr>
          <w:rFonts w:cs="Arial"/>
          <w:szCs w:val="24"/>
        </w:rPr>
        <w:t>In response to the report, the ACT Government agreed to this recommendation, provided funding and appointed members to the Oversight Committee to lead the review. Of significance, some members of the Oversight Committee are currently prescribed as criminal justice entities</w:t>
      </w:r>
      <w:r w:rsidR="00AB54AE">
        <w:rPr>
          <w:rFonts w:cs="Arial"/>
          <w:szCs w:val="24"/>
        </w:rPr>
        <w:t xml:space="preserve"> in their professional capacities</w:t>
      </w:r>
      <w:r w:rsidRPr="00461D6D">
        <w:rPr>
          <w:rFonts w:cs="Arial"/>
          <w:szCs w:val="24"/>
        </w:rPr>
        <w:t xml:space="preserve">, </w:t>
      </w:r>
      <w:r w:rsidR="00AB54AE">
        <w:rPr>
          <w:rFonts w:cs="Arial"/>
          <w:szCs w:val="24"/>
        </w:rPr>
        <w:t>while</w:t>
      </w:r>
      <w:r w:rsidRPr="00461D6D">
        <w:rPr>
          <w:rFonts w:cs="Arial"/>
          <w:szCs w:val="24"/>
        </w:rPr>
        <w:t xml:space="preserve"> other members </w:t>
      </w:r>
      <w:r w:rsidR="00AB54AE">
        <w:rPr>
          <w:rFonts w:cs="Arial"/>
          <w:szCs w:val="24"/>
        </w:rPr>
        <w:t>are not</w:t>
      </w:r>
      <w:r w:rsidR="00461D6D">
        <w:rPr>
          <w:rFonts w:cs="Arial"/>
          <w:szCs w:val="24"/>
        </w:rPr>
        <w:t xml:space="preserve">. </w:t>
      </w:r>
      <w:r w:rsidRPr="00461D6D">
        <w:rPr>
          <w:rFonts w:cs="Arial"/>
          <w:szCs w:val="24"/>
        </w:rPr>
        <w:t xml:space="preserve"> </w:t>
      </w:r>
    </w:p>
    <w:p w:rsidR="00716751" w:rsidRPr="00461D6D" w:rsidRDefault="00716751" w:rsidP="00461D6D">
      <w:pPr>
        <w:jc w:val="both"/>
        <w:rPr>
          <w:rFonts w:cs="Arial"/>
          <w:szCs w:val="24"/>
        </w:rPr>
      </w:pPr>
    </w:p>
    <w:p w:rsidR="00716751" w:rsidRPr="00461D6D" w:rsidRDefault="00716751" w:rsidP="00461D6D">
      <w:pPr>
        <w:jc w:val="both"/>
        <w:rPr>
          <w:rFonts w:cs="Arial"/>
          <w:szCs w:val="24"/>
        </w:rPr>
      </w:pPr>
      <w:r w:rsidRPr="00461D6D">
        <w:rPr>
          <w:rFonts w:cs="Arial"/>
          <w:szCs w:val="24"/>
        </w:rPr>
        <w:t>As the review will require the sharing of information about an offence, and/or an alleged offence from a police file, the Oversight Committee require</w:t>
      </w:r>
      <w:r w:rsidR="00AB54AE">
        <w:rPr>
          <w:rFonts w:cs="Arial"/>
          <w:szCs w:val="24"/>
        </w:rPr>
        <w:t>s</w:t>
      </w:r>
      <w:r w:rsidRPr="00461D6D">
        <w:rPr>
          <w:rFonts w:cs="Arial"/>
          <w:szCs w:val="24"/>
        </w:rPr>
        <w:t xml:space="preserve"> prescription as a criminal justice entity to overcome any barrier in performing its purpose and function.</w:t>
      </w:r>
      <w:r w:rsidR="00461D6D">
        <w:rPr>
          <w:rFonts w:cs="Arial"/>
          <w:szCs w:val="24"/>
        </w:rPr>
        <w:t xml:space="preserve"> </w:t>
      </w:r>
      <w:r w:rsidR="000B79AE" w:rsidRPr="00461D6D">
        <w:rPr>
          <w:rFonts w:cs="Arial"/>
          <w:szCs w:val="24"/>
        </w:rPr>
        <w:t xml:space="preserve">It is intended that the Oversight Committee’s prescription as a criminal justice entity </w:t>
      </w:r>
      <w:r w:rsidR="000B79AE" w:rsidRPr="00461D6D">
        <w:rPr>
          <w:rFonts w:cs="Arial"/>
          <w:szCs w:val="24"/>
        </w:rPr>
        <w:lastRenderedPageBreak/>
        <w:t>conclude on 30 June 2024</w:t>
      </w:r>
      <w:r w:rsidR="00461D6D">
        <w:rPr>
          <w:rFonts w:cs="Arial"/>
          <w:szCs w:val="24"/>
        </w:rPr>
        <w:t xml:space="preserve"> </w:t>
      </w:r>
      <w:r w:rsidR="00083ABB" w:rsidRPr="00083ABB">
        <w:rPr>
          <w:rFonts w:cs="Arial"/>
          <w:szCs w:val="24"/>
        </w:rPr>
        <w:t>in accordance with the time limited nature of the Committee’s role</w:t>
      </w:r>
      <w:r w:rsidR="000B79AE" w:rsidRPr="00083ABB">
        <w:rPr>
          <w:rFonts w:cs="Arial"/>
          <w:szCs w:val="24"/>
        </w:rPr>
        <w:t>.</w:t>
      </w:r>
    </w:p>
    <w:p w:rsidR="00716751" w:rsidRPr="00461D6D" w:rsidRDefault="00716751" w:rsidP="00461D6D">
      <w:pPr>
        <w:jc w:val="both"/>
        <w:rPr>
          <w:rFonts w:cs="Arial"/>
          <w:szCs w:val="24"/>
        </w:rPr>
      </w:pPr>
    </w:p>
    <w:p w:rsidR="00716751" w:rsidRPr="00461D6D" w:rsidRDefault="00716751" w:rsidP="00461D6D">
      <w:pPr>
        <w:jc w:val="both"/>
        <w:rPr>
          <w:rFonts w:cs="Arial"/>
          <w:i/>
          <w:iCs/>
          <w:szCs w:val="24"/>
        </w:rPr>
      </w:pPr>
      <w:r w:rsidRPr="00461D6D">
        <w:rPr>
          <w:rFonts w:cs="Arial"/>
          <w:i/>
          <w:iCs/>
          <w:szCs w:val="24"/>
        </w:rPr>
        <w:t>Coordinator-General for Family Safety</w:t>
      </w:r>
      <w:r w:rsidR="000B79AE" w:rsidRPr="00461D6D">
        <w:rPr>
          <w:rFonts w:cs="Arial"/>
          <w:i/>
          <w:iCs/>
          <w:szCs w:val="24"/>
        </w:rPr>
        <w:t xml:space="preserve"> and Coordinator-General for the Prevention of Sexual Violence</w:t>
      </w:r>
    </w:p>
    <w:p w:rsidR="000B79AE" w:rsidRPr="00461D6D" w:rsidRDefault="000B79AE" w:rsidP="00461D6D">
      <w:pPr>
        <w:jc w:val="both"/>
        <w:rPr>
          <w:rFonts w:cs="Arial"/>
          <w:szCs w:val="24"/>
        </w:rPr>
      </w:pPr>
    </w:p>
    <w:p w:rsidR="00B94F0B" w:rsidRPr="00461D6D" w:rsidRDefault="000B79AE" w:rsidP="00461D6D">
      <w:pPr>
        <w:jc w:val="both"/>
        <w:rPr>
          <w:rFonts w:cs="Arial"/>
          <w:szCs w:val="24"/>
        </w:rPr>
      </w:pPr>
      <w:r w:rsidRPr="00461D6D">
        <w:rPr>
          <w:rFonts w:cs="Arial"/>
          <w:szCs w:val="24"/>
        </w:rPr>
        <w:t xml:space="preserve">The purpose of this regulation amendment is for the Coordinator-General for Family Safety and the Coordinator-General for the Prevention of Sexual </w:t>
      </w:r>
      <w:r w:rsidR="00AB54AE">
        <w:rPr>
          <w:rFonts w:cs="Arial"/>
          <w:szCs w:val="24"/>
        </w:rPr>
        <w:t>Violence</w:t>
      </w:r>
      <w:r w:rsidRPr="00461D6D">
        <w:rPr>
          <w:rFonts w:cs="Arial"/>
          <w:szCs w:val="24"/>
        </w:rPr>
        <w:t xml:space="preserve"> to be prescribed as criminal justice entities</w:t>
      </w:r>
      <w:r w:rsidR="00461D6D">
        <w:rPr>
          <w:rFonts w:cs="Arial"/>
          <w:szCs w:val="24"/>
        </w:rPr>
        <w:t>. The purpose of these prescriptions is</w:t>
      </w:r>
      <w:r w:rsidRPr="00461D6D">
        <w:rPr>
          <w:rFonts w:cs="Arial"/>
          <w:szCs w:val="24"/>
        </w:rPr>
        <w:t xml:space="preserve"> to support the performance of the</w:t>
      </w:r>
      <w:r w:rsidR="00461D6D">
        <w:rPr>
          <w:rFonts w:cs="Arial"/>
          <w:szCs w:val="24"/>
        </w:rPr>
        <w:t xml:space="preserve"> </w:t>
      </w:r>
      <w:r w:rsidR="00F51139" w:rsidRPr="00461D6D">
        <w:rPr>
          <w:rFonts w:cs="Arial"/>
          <w:szCs w:val="24"/>
        </w:rPr>
        <w:t xml:space="preserve">respective </w:t>
      </w:r>
      <w:r w:rsidRPr="00461D6D">
        <w:rPr>
          <w:rFonts w:cs="Arial"/>
          <w:szCs w:val="24"/>
        </w:rPr>
        <w:t>roles within the area of preventing and responding to domesti</w:t>
      </w:r>
      <w:r w:rsidR="00486BC8">
        <w:rPr>
          <w:rFonts w:cs="Arial"/>
          <w:szCs w:val="24"/>
        </w:rPr>
        <w:t xml:space="preserve">c, </w:t>
      </w:r>
      <w:r w:rsidRPr="00461D6D">
        <w:rPr>
          <w:rFonts w:cs="Arial"/>
          <w:szCs w:val="24"/>
        </w:rPr>
        <w:t xml:space="preserve">family </w:t>
      </w:r>
      <w:r w:rsidR="00486BC8">
        <w:rPr>
          <w:rFonts w:cs="Arial"/>
          <w:szCs w:val="24"/>
        </w:rPr>
        <w:t xml:space="preserve">and sexual </w:t>
      </w:r>
      <w:r w:rsidRPr="00461D6D">
        <w:rPr>
          <w:rFonts w:cs="Arial"/>
          <w:szCs w:val="24"/>
        </w:rPr>
        <w:t>violence, as well as monitoring work across government to progress the implementa</w:t>
      </w:r>
      <w:r w:rsidR="00F51139" w:rsidRPr="00461D6D">
        <w:rPr>
          <w:rFonts w:cs="Arial"/>
          <w:szCs w:val="24"/>
        </w:rPr>
        <w:t xml:space="preserve">tion of the ACT Government’s response to the report by the Sexual Assault Prevention and Response Steering Committee. These prescriptions will also support </w:t>
      </w:r>
      <w:r w:rsidR="00C306FA">
        <w:rPr>
          <w:rFonts w:cs="Arial"/>
          <w:szCs w:val="24"/>
        </w:rPr>
        <w:t>and</w:t>
      </w:r>
      <w:r w:rsidR="00F51139" w:rsidRPr="00461D6D">
        <w:rPr>
          <w:rFonts w:cs="Arial"/>
          <w:szCs w:val="24"/>
        </w:rPr>
        <w:t xml:space="preserve"> promote an awareness among</w:t>
      </w:r>
      <w:r w:rsidR="00461D6D">
        <w:rPr>
          <w:rFonts w:cs="Arial"/>
          <w:szCs w:val="24"/>
        </w:rPr>
        <w:t xml:space="preserve"> other</w:t>
      </w:r>
      <w:r w:rsidR="00F51139" w:rsidRPr="00461D6D">
        <w:rPr>
          <w:rFonts w:cs="Arial"/>
          <w:szCs w:val="24"/>
        </w:rPr>
        <w:t xml:space="preserve"> criminal justice entities that they can proactively share information to support informed and comprehensive systems responses to domestic, family and sexual violence.</w:t>
      </w:r>
    </w:p>
    <w:p w:rsidR="00B94F0B" w:rsidRPr="00461D6D" w:rsidRDefault="00B94F0B" w:rsidP="00461D6D">
      <w:pPr>
        <w:jc w:val="both"/>
        <w:rPr>
          <w:rFonts w:cs="Arial"/>
          <w:i/>
          <w:iCs/>
          <w:szCs w:val="24"/>
        </w:rPr>
      </w:pPr>
    </w:p>
    <w:p w:rsidR="00D71116" w:rsidRPr="00461D6D" w:rsidRDefault="00D71116" w:rsidP="00461D6D">
      <w:pPr>
        <w:jc w:val="both"/>
        <w:rPr>
          <w:rFonts w:cs="Arial"/>
          <w:i/>
          <w:iCs/>
          <w:szCs w:val="24"/>
        </w:rPr>
      </w:pPr>
      <w:r w:rsidRPr="00461D6D">
        <w:rPr>
          <w:rFonts w:cs="Arial"/>
          <w:i/>
          <w:iCs/>
          <w:szCs w:val="24"/>
        </w:rPr>
        <w:t>ACT Civil and Administrative Tribunal</w:t>
      </w:r>
    </w:p>
    <w:p w:rsidR="00D71116" w:rsidRPr="00461D6D" w:rsidRDefault="00D71116" w:rsidP="00461D6D">
      <w:pPr>
        <w:jc w:val="both"/>
        <w:rPr>
          <w:rFonts w:cs="Arial"/>
          <w:szCs w:val="24"/>
        </w:rPr>
      </w:pPr>
    </w:p>
    <w:p w:rsidR="00815AE3" w:rsidRPr="00461D6D" w:rsidRDefault="00AB54AE" w:rsidP="00AB54AE">
      <w:pPr>
        <w:jc w:val="both"/>
        <w:rPr>
          <w:rFonts w:cs="Arial"/>
          <w:szCs w:val="24"/>
        </w:rPr>
      </w:pPr>
      <w:r>
        <w:rPr>
          <w:rFonts w:cs="Arial"/>
          <w:szCs w:val="24"/>
        </w:rPr>
        <w:t xml:space="preserve">Another </w:t>
      </w:r>
      <w:r w:rsidR="00D71116" w:rsidRPr="00461D6D">
        <w:rPr>
          <w:rFonts w:cs="Arial"/>
          <w:szCs w:val="24"/>
        </w:rPr>
        <w:t>purpose of thi</w:t>
      </w:r>
      <w:r w:rsidR="00F51139" w:rsidRPr="00461D6D">
        <w:rPr>
          <w:rFonts w:cs="Arial"/>
          <w:szCs w:val="24"/>
        </w:rPr>
        <w:t>s amendment to the Regulation is to prescribe the ACT Civil and Administrative Tribunal (</w:t>
      </w:r>
      <w:r w:rsidR="00B94F0B" w:rsidRPr="00461D6D">
        <w:rPr>
          <w:rFonts w:cs="Arial"/>
          <w:szCs w:val="24"/>
        </w:rPr>
        <w:t>ACAT</w:t>
      </w:r>
      <w:r w:rsidR="00F51139" w:rsidRPr="00461D6D">
        <w:rPr>
          <w:rFonts w:cs="Arial"/>
          <w:szCs w:val="24"/>
        </w:rPr>
        <w:t>)</w:t>
      </w:r>
      <w:r w:rsidR="00B94F0B" w:rsidRPr="00461D6D">
        <w:rPr>
          <w:rFonts w:cs="Arial"/>
          <w:szCs w:val="24"/>
        </w:rPr>
        <w:t xml:space="preserve"> as a criminal justice entity</w:t>
      </w:r>
      <w:r w:rsidR="00F51139" w:rsidRPr="00461D6D">
        <w:rPr>
          <w:rFonts w:cs="Arial"/>
          <w:szCs w:val="24"/>
        </w:rPr>
        <w:t xml:space="preserve">. </w:t>
      </w:r>
      <w:r w:rsidR="00072DDD" w:rsidRPr="00461D6D">
        <w:rPr>
          <w:rFonts w:cs="Arial"/>
          <w:szCs w:val="24"/>
        </w:rPr>
        <w:t xml:space="preserve">This prescription is done in anticipation of the Affected Persons Register under the </w:t>
      </w:r>
      <w:r w:rsidR="00CC5604">
        <w:rPr>
          <w:rFonts w:cs="Arial"/>
          <w:szCs w:val="24"/>
        </w:rPr>
        <w:br/>
      </w:r>
      <w:r w:rsidR="00072DDD" w:rsidRPr="00461D6D">
        <w:rPr>
          <w:rFonts w:cs="Arial"/>
          <w:i/>
          <w:iCs/>
          <w:szCs w:val="24"/>
        </w:rPr>
        <w:t>Mental Health Act 2015</w:t>
      </w:r>
      <w:r w:rsidR="00072DDD" w:rsidRPr="00461D6D">
        <w:rPr>
          <w:rFonts w:cs="Arial"/>
          <w:szCs w:val="24"/>
        </w:rPr>
        <w:t xml:space="preserve"> being transferred to the Victim</w:t>
      </w:r>
      <w:r w:rsidR="00486BC8">
        <w:rPr>
          <w:rFonts w:cs="Arial"/>
          <w:szCs w:val="24"/>
        </w:rPr>
        <w:t>s</w:t>
      </w:r>
      <w:r w:rsidR="00072DDD" w:rsidRPr="00461D6D">
        <w:rPr>
          <w:rFonts w:cs="Arial"/>
          <w:szCs w:val="24"/>
        </w:rPr>
        <w:t xml:space="preserve"> of Crime Commissioner. The prescription of ACAT as a criminal justice entity will remove the current impediments </w:t>
      </w:r>
      <w:r w:rsidR="00C306FA">
        <w:rPr>
          <w:rFonts w:cs="Arial"/>
          <w:szCs w:val="24"/>
        </w:rPr>
        <w:t>on</w:t>
      </w:r>
      <w:r w:rsidR="00072DDD" w:rsidRPr="00461D6D">
        <w:rPr>
          <w:rFonts w:cs="Arial"/>
          <w:szCs w:val="24"/>
        </w:rPr>
        <w:t xml:space="preserve"> information</w:t>
      </w:r>
      <w:r w:rsidR="00C306FA">
        <w:rPr>
          <w:rFonts w:cs="Arial"/>
          <w:szCs w:val="24"/>
        </w:rPr>
        <w:t xml:space="preserve"> sharing</w:t>
      </w:r>
      <w:r w:rsidR="00072DDD" w:rsidRPr="00461D6D">
        <w:rPr>
          <w:rFonts w:cs="Arial"/>
          <w:szCs w:val="24"/>
        </w:rPr>
        <w:t xml:space="preserve"> with the Victim</w:t>
      </w:r>
      <w:r w:rsidR="00486BC8">
        <w:rPr>
          <w:rFonts w:cs="Arial"/>
          <w:szCs w:val="24"/>
        </w:rPr>
        <w:t>s</w:t>
      </w:r>
      <w:r w:rsidR="00072DDD" w:rsidRPr="00461D6D">
        <w:rPr>
          <w:rFonts w:cs="Arial"/>
          <w:szCs w:val="24"/>
        </w:rPr>
        <w:t xml:space="preserve"> of Crime Commissioner</w:t>
      </w:r>
      <w:r w:rsidR="00C306FA">
        <w:rPr>
          <w:rFonts w:cs="Arial"/>
          <w:szCs w:val="24"/>
        </w:rPr>
        <w:t>, noting that some information is not clearly allowed to be shared under</w:t>
      </w:r>
      <w:r w:rsidR="00072DDD" w:rsidRPr="00461D6D">
        <w:rPr>
          <w:rFonts w:cs="Arial"/>
          <w:szCs w:val="24"/>
        </w:rPr>
        <w:t xml:space="preserve"> other statutory provisions</w:t>
      </w:r>
      <w:r w:rsidR="00C306FA">
        <w:rPr>
          <w:rFonts w:cs="Arial"/>
          <w:szCs w:val="24"/>
        </w:rPr>
        <w:t>. The prescription will promote</w:t>
      </w:r>
      <w:r w:rsidR="00072DDD" w:rsidRPr="00461D6D">
        <w:rPr>
          <w:rFonts w:cs="Arial"/>
          <w:szCs w:val="24"/>
        </w:rPr>
        <w:t xml:space="preserve"> the safety and wellbeing of victims of crime and facilitate the ongoing administration and maintenance of the Affected Persons Register.</w:t>
      </w:r>
    </w:p>
    <w:p w:rsidR="00A27BC4" w:rsidRPr="00461D6D" w:rsidRDefault="00A27BC4" w:rsidP="00461D6D">
      <w:pPr>
        <w:jc w:val="both"/>
        <w:rPr>
          <w:rFonts w:cs="Arial"/>
          <w:szCs w:val="24"/>
        </w:rPr>
      </w:pPr>
    </w:p>
    <w:p w:rsidR="007661D6" w:rsidRPr="00461D6D" w:rsidRDefault="007661D6" w:rsidP="00461D6D">
      <w:pPr>
        <w:autoSpaceDE w:val="0"/>
        <w:autoSpaceDN w:val="0"/>
        <w:adjustRightInd w:val="0"/>
        <w:jc w:val="both"/>
        <w:rPr>
          <w:rFonts w:cs="Arial"/>
          <w:i/>
          <w:iCs/>
          <w:szCs w:val="24"/>
          <w:lang w:eastAsia="en-AU"/>
        </w:rPr>
      </w:pPr>
      <w:r w:rsidRPr="00461D6D">
        <w:rPr>
          <w:rFonts w:cs="Arial"/>
          <w:i/>
          <w:iCs/>
          <w:szCs w:val="24"/>
          <w:lang w:eastAsia="en-AU"/>
        </w:rPr>
        <w:t>Impact on Human Rights</w:t>
      </w:r>
    </w:p>
    <w:p w:rsidR="00AB6D0F" w:rsidRPr="00461D6D" w:rsidRDefault="00AB6D0F" w:rsidP="00461D6D">
      <w:pPr>
        <w:autoSpaceDE w:val="0"/>
        <w:autoSpaceDN w:val="0"/>
        <w:adjustRightInd w:val="0"/>
        <w:jc w:val="both"/>
        <w:rPr>
          <w:rFonts w:cs="Arial"/>
          <w:szCs w:val="24"/>
          <w:lang w:eastAsia="en-AU"/>
        </w:rPr>
      </w:pPr>
    </w:p>
    <w:p w:rsidR="007661D6" w:rsidRPr="00461D6D" w:rsidRDefault="00AB6D0F" w:rsidP="00461D6D">
      <w:pPr>
        <w:autoSpaceDE w:val="0"/>
        <w:autoSpaceDN w:val="0"/>
        <w:adjustRightInd w:val="0"/>
        <w:jc w:val="both"/>
        <w:rPr>
          <w:rFonts w:cs="Arial"/>
          <w:szCs w:val="24"/>
          <w:lang w:eastAsia="en-AU"/>
        </w:rPr>
      </w:pPr>
      <w:r w:rsidRPr="00461D6D">
        <w:rPr>
          <w:rFonts w:cs="Arial"/>
          <w:szCs w:val="24"/>
          <w:lang w:eastAsia="en-AU"/>
        </w:rPr>
        <w:t xml:space="preserve">Section 12 of the </w:t>
      </w:r>
      <w:r w:rsidRPr="00461D6D">
        <w:rPr>
          <w:rFonts w:cs="Arial"/>
          <w:i/>
          <w:iCs/>
          <w:szCs w:val="24"/>
          <w:lang w:eastAsia="en-AU"/>
        </w:rPr>
        <w:t xml:space="preserve">Human Rights Act 2004 </w:t>
      </w:r>
      <w:r w:rsidRPr="00461D6D">
        <w:rPr>
          <w:rFonts w:cs="Arial"/>
          <w:szCs w:val="24"/>
          <w:lang w:eastAsia="en-AU"/>
        </w:rPr>
        <w:t xml:space="preserve">provides that “everyone has a right not to have his or her privacy… interfered with unlawfully or arbitrarily”. </w:t>
      </w:r>
      <w:r w:rsidR="007661D6" w:rsidRPr="00461D6D">
        <w:rPr>
          <w:rFonts w:cs="Arial"/>
          <w:szCs w:val="24"/>
          <w:lang w:eastAsia="en-AU"/>
        </w:rPr>
        <w:t>The disclosure of personal information engages and limits the right to privacy</w:t>
      </w:r>
      <w:r w:rsidR="00A60BEC" w:rsidRPr="00461D6D">
        <w:rPr>
          <w:rFonts w:cs="Arial"/>
          <w:szCs w:val="24"/>
          <w:lang w:eastAsia="en-AU"/>
        </w:rPr>
        <w:t xml:space="preserve"> </w:t>
      </w:r>
      <w:r w:rsidR="007661D6" w:rsidRPr="00461D6D">
        <w:rPr>
          <w:rFonts w:cs="Arial"/>
          <w:szCs w:val="24"/>
          <w:lang w:eastAsia="en-AU"/>
        </w:rPr>
        <w:t xml:space="preserve">contained in section 12 of the </w:t>
      </w:r>
      <w:r w:rsidR="007661D6" w:rsidRPr="00461D6D">
        <w:rPr>
          <w:rFonts w:cs="Arial"/>
          <w:i/>
          <w:iCs/>
          <w:szCs w:val="24"/>
          <w:lang w:eastAsia="en-AU"/>
        </w:rPr>
        <w:t>Human Rights Act 2004</w:t>
      </w:r>
      <w:r w:rsidR="007661D6" w:rsidRPr="00461D6D">
        <w:rPr>
          <w:rFonts w:cs="Arial"/>
          <w:szCs w:val="24"/>
          <w:lang w:eastAsia="en-AU"/>
        </w:rPr>
        <w:t>, which states that “</w:t>
      </w:r>
      <w:r w:rsidR="00A60BEC" w:rsidRPr="00461D6D">
        <w:rPr>
          <w:rFonts w:cs="Arial"/>
          <w:szCs w:val="24"/>
          <w:lang w:eastAsia="en-AU"/>
        </w:rPr>
        <w:t>e</w:t>
      </w:r>
      <w:r w:rsidR="007661D6" w:rsidRPr="00461D6D">
        <w:rPr>
          <w:rFonts w:cs="Arial"/>
          <w:szCs w:val="24"/>
          <w:lang w:eastAsia="en-AU"/>
        </w:rPr>
        <w:t>veryone</w:t>
      </w:r>
      <w:r w:rsidR="00A60BEC" w:rsidRPr="00461D6D">
        <w:rPr>
          <w:rFonts w:cs="Arial"/>
          <w:szCs w:val="24"/>
          <w:lang w:eastAsia="en-AU"/>
        </w:rPr>
        <w:t xml:space="preserve"> </w:t>
      </w:r>
      <w:r w:rsidR="007661D6" w:rsidRPr="00461D6D">
        <w:rPr>
          <w:rFonts w:cs="Arial"/>
          <w:szCs w:val="24"/>
          <w:lang w:eastAsia="en-AU"/>
        </w:rPr>
        <w:t>has the right not to have his or her privacy</w:t>
      </w:r>
      <w:r w:rsidR="00A60BEC" w:rsidRPr="00461D6D">
        <w:rPr>
          <w:rFonts w:cs="Arial"/>
          <w:szCs w:val="24"/>
          <w:lang w:eastAsia="en-AU"/>
        </w:rPr>
        <w:t xml:space="preserve">… </w:t>
      </w:r>
      <w:r w:rsidR="007661D6" w:rsidRPr="00461D6D">
        <w:rPr>
          <w:rFonts w:cs="Arial"/>
          <w:szCs w:val="24"/>
          <w:lang w:eastAsia="en-AU"/>
        </w:rPr>
        <w:t>interfered with unlawfully or</w:t>
      </w:r>
      <w:r w:rsidR="00A60BEC" w:rsidRPr="00461D6D">
        <w:rPr>
          <w:rFonts w:cs="Arial"/>
          <w:szCs w:val="24"/>
          <w:lang w:eastAsia="en-AU"/>
        </w:rPr>
        <w:t xml:space="preserve"> </w:t>
      </w:r>
      <w:r w:rsidR="007661D6" w:rsidRPr="00461D6D">
        <w:rPr>
          <w:rFonts w:cs="Arial"/>
          <w:szCs w:val="24"/>
          <w:lang w:eastAsia="en-AU"/>
        </w:rPr>
        <w:t>arbitrarily”.</w:t>
      </w:r>
    </w:p>
    <w:p w:rsidR="007661D6" w:rsidRPr="00461D6D" w:rsidRDefault="007661D6" w:rsidP="00461D6D">
      <w:pPr>
        <w:autoSpaceDE w:val="0"/>
        <w:autoSpaceDN w:val="0"/>
        <w:adjustRightInd w:val="0"/>
        <w:jc w:val="both"/>
        <w:rPr>
          <w:rFonts w:cs="Arial"/>
          <w:szCs w:val="24"/>
          <w:lang w:eastAsia="en-AU"/>
        </w:rPr>
      </w:pPr>
    </w:p>
    <w:p w:rsidR="007661D6" w:rsidRPr="00461D6D" w:rsidRDefault="007661D6" w:rsidP="00461D6D">
      <w:pPr>
        <w:autoSpaceDE w:val="0"/>
        <w:autoSpaceDN w:val="0"/>
        <w:adjustRightInd w:val="0"/>
        <w:jc w:val="both"/>
        <w:rPr>
          <w:rFonts w:cs="Arial"/>
          <w:i/>
          <w:iCs/>
          <w:szCs w:val="24"/>
          <w:lang w:eastAsia="en-AU"/>
        </w:rPr>
      </w:pPr>
      <w:r w:rsidRPr="00461D6D">
        <w:rPr>
          <w:rFonts w:cs="Arial"/>
          <w:szCs w:val="24"/>
          <w:lang w:eastAsia="en-AU"/>
        </w:rPr>
        <w:t xml:space="preserve">However, the right to privacy is a qualified right and section 28 of the </w:t>
      </w:r>
      <w:r w:rsidRPr="00461D6D">
        <w:rPr>
          <w:rFonts w:cs="Arial"/>
          <w:i/>
          <w:iCs/>
          <w:szCs w:val="24"/>
          <w:lang w:eastAsia="en-AU"/>
        </w:rPr>
        <w:t>Human Rights</w:t>
      </w:r>
    </w:p>
    <w:p w:rsidR="007661D6" w:rsidRPr="00461D6D" w:rsidRDefault="007661D6" w:rsidP="00461D6D">
      <w:pPr>
        <w:autoSpaceDE w:val="0"/>
        <w:autoSpaceDN w:val="0"/>
        <w:adjustRightInd w:val="0"/>
        <w:jc w:val="both"/>
        <w:rPr>
          <w:rFonts w:cs="Arial"/>
          <w:szCs w:val="24"/>
          <w:lang w:eastAsia="en-AU"/>
        </w:rPr>
      </w:pPr>
      <w:r w:rsidRPr="00461D6D">
        <w:rPr>
          <w:rFonts w:cs="Arial"/>
          <w:i/>
          <w:iCs/>
          <w:szCs w:val="24"/>
          <w:lang w:eastAsia="en-AU"/>
        </w:rPr>
        <w:t>Act</w:t>
      </w:r>
      <w:r w:rsidR="00D71116" w:rsidRPr="00461D6D">
        <w:rPr>
          <w:rFonts w:cs="Arial"/>
          <w:i/>
          <w:iCs/>
          <w:szCs w:val="24"/>
          <w:lang w:eastAsia="en-AU"/>
        </w:rPr>
        <w:t xml:space="preserve"> 2004</w:t>
      </w:r>
      <w:r w:rsidRPr="00461D6D">
        <w:rPr>
          <w:rFonts w:cs="Arial"/>
          <w:szCs w:val="24"/>
          <w:lang w:eastAsia="en-AU"/>
        </w:rPr>
        <w:t xml:space="preserve"> provides legislative recognition that human rights may be limited in certain</w:t>
      </w:r>
      <w:r w:rsidR="00A60BEC" w:rsidRPr="00461D6D">
        <w:rPr>
          <w:rFonts w:cs="Arial"/>
          <w:szCs w:val="24"/>
          <w:lang w:eastAsia="en-AU"/>
        </w:rPr>
        <w:t xml:space="preserve"> </w:t>
      </w:r>
      <w:r w:rsidRPr="00461D6D">
        <w:rPr>
          <w:rFonts w:cs="Arial"/>
          <w:szCs w:val="24"/>
          <w:lang w:eastAsia="en-AU"/>
        </w:rPr>
        <w:t>circumstances. Limitations on the right to privacy can be applied where it can be</w:t>
      </w:r>
      <w:r w:rsidR="00A60BEC" w:rsidRPr="00461D6D">
        <w:rPr>
          <w:rFonts w:cs="Arial"/>
          <w:szCs w:val="24"/>
          <w:lang w:eastAsia="en-AU"/>
        </w:rPr>
        <w:t xml:space="preserve"> </w:t>
      </w:r>
      <w:r w:rsidRPr="00461D6D">
        <w:rPr>
          <w:rFonts w:cs="Arial"/>
          <w:szCs w:val="24"/>
          <w:lang w:eastAsia="en-AU"/>
        </w:rPr>
        <w:t>shown that it is necessary in a free and democratic society to do so and if there is a</w:t>
      </w:r>
      <w:r w:rsidR="00A60BEC" w:rsidRPr="00461D6D">
        <w:rPr>
          <w:rFonts w:cs="Arial"/>
          <w:szCs w:val="24"/>
          <w:lang w:eastAsia="en-AU"/>
        </w:rPr>
        <w:t xml:space="preserve"> </w:t>
      </w:r>
      <w:r w:rsidRPr="00461D6D">
        <w:rPr>
          <w:rFonts w:cs="Arial"/>
          <w:szCs w:val="24"/>
          <w:lang w:eastAsia="en-AU"/>
        </w:rPr>
        <w:t>legal basis for such interference.</w:t>
      </w:r>
    </w:p>
    <w:p w:rsidR="007661D6" w:rsidRPr="00461D6D" w:rsidRDefault="007661D6" w:rsidP="00461D6D">
      <w:pPr>
        <w:jc w:val="both"/>
        <w:rPr>
          <w:rFonts w:cs="Arial"/>
          <w:szCs w:val="24"/>
          <w:lang w:eastAsia="en-AU"/>
        </w:rPr>
      </w:pPr>
    </w:p>
    <w:p w:rsidR="00D71116" w:rsidRPr="00461D6D" w:rsidRDefault="007661D6" w:rsidP="00461D6D">
      <w:pPr>
        <w:autoSpaceDE w:val="0"/>
        <w:autoSpaceDN w:val="0"/>
        <w:adjustRightInd w:val="0"/>
        <w:jc w:val="both"/>
        <w:rPr>
          <w:rFonts w:cs="Arial"/>
          <w:szCs w:val="24"/>
          <w:lang w:eastAsia="en-AU"/>
        </w:rPr>
      </w:pPr>
      <w:r w:rsidRPr="00461D6D">
        <w:rPr>
          <w:rFonts w:cs="Arial"/>
          <w:szCs w:val="24"/>
          <w:lang w:eastAsia="en-AU"/>
        </w:rPr>
        <w:t>On balance and considering the factors outlined in section 28, the limitation on the</w:t>
      </w:r>
      <w:r w:rsidR="00A60BEC" w:rsidRPr="00461D6D">
        <w:rPr>
          <w:rFonts w:cs="Arial"/>
          <w:szCs w:val="24"/>
          <w:lang w:eastAsia="en-AU"/>
        </w:rPr>
        <w:t xml:space="preserve"> </w:t>
      </w:r>
      <w:r w:rsidRPr="00461D6D">
        <w:rPr>
          <w:rFonts w:cs="Arial"/>
          <w:szCs w:val="24"/>
          <w:lang w:eastAsia="en-AU"/>
        </w:rPr>
        <w:t xml:space="preserve">right to privacy is justified in this instance. </w:t>
      </w:r>
      <w:r w:rsidR="00D71116" w:rsidRPr="00461D6D">
        <w:rPr>
          <w:rFonts w:cs="Arial"/>
          <w:szCs w:val="24"/>
          <w:lang w:eastAsia="en-AU"/>
        </w:rPr>
        <w:t xml:space="preserve">Allowing the Oversight Committee, the Coordinator-General for Family Safety, the Coordinator-General for the Prevention of Sexual Violence and ACAT to share information with other criminal justice entities in certain circumstances is appropriate and will support the purposes of the </w:t>
      </w:r>
      <w:r w:rsidR="00AB6D0F" w:rsidRPr="00461D6D">
        <w:rPr>
          <w:rFonts w:cs="Arial"/>
          <w:i/>
          <w:iCs/>
          <w:szCs w:val="24"/>
          <w:lang w:eastAsia="en-AU"/>
        </w:rPr>
        <w:t>Crimes (Sentencing) Act 2005</w:t>
      </w:r>
      <w:r w:rsidR="00F51139" w:rsidRPr="00461D6D">
        <w:rPr>
          <w:rFonts w:cs="Arial"/>
          <w:i/>
          <w:iCs/>
          <w:szCs w:val="24"/>
          <w:lang w:eastAsia="en-AU"/>
        </w:rPr>
        <w:t>.</w:t>
      </w:r>
    </w:p>
    <w:p w:rsidR="00A34247" w:rsidRPr="00461D6D" w:rsidRDefault="00A34247" w:rsidP="00461D6D">
      <w:pPr>
        <w:autoSpaceDE w:val="0"/>
        <w:autoSpaceDN w:val="0"/>
        <w:adjustRightInd w:val="0"/>
        <w:jc w:val="both"/>
        <w:rPr>
          <w:rFonts w:cs="Arial"/>
          <w:szCs w:val="24"/>
          <w:lang w:eastAsia="en-AU"/>
        </w:rPr>
      </w:pPr>
    </w:p>
    <w:p w:rsidR="007661D6" w:rsidRDefault="000C0A4A" w:rsidP="00461D6D">
      <w:pPr>
        <w:autoSpaceDE w:val="0"/>
        <w:autoSpaceDN w:val="0"/>
        <w:adjustRightInd w:val="0"/>
        <w:jc w:val="both"/>
        <w:rPr>
          <w:rFonts w:cs="Arial"/>
          <w:szCs w:val="24"/>
          <w:lang w:eastAsia="en-AU"/>
        </w:rPr>
      </w:pPr>
      <w:r w:rsidRPr="00461D6D">
        <w:rPr>
          <w:rFonts w:cs="Arial"/>
          <w:szCs w:val="24"/>
          <w:lang w:eastAsia="en-AU"/>
        </w:rPr>
        <w:t xml:space="preserve">The </w:t>
      </w:r>
      <w:r w:rsidR="00A34247" w:rsidRPr="00461D6D">
        <w:rPr>
          <w:rFonts w:cs="Arial"/>
          <w:szCs w:val="24"/>
          <w:lang w:eastAsia="en-AU"/>
        </w:rPr>
        <w:t xml:space="preserve">purpose is to </w:t>
      </w:r>
      <w:r w:rsidRPr="00461D6D">
        <w:rPr>
          <w:rFonts w:cs="Arial"/>
          <w:szCs w:val="24"/>
          <w:lang w:eastAsia="en-AU"/>
        </w:rPr>
        <w:t>p</w:t>
      </w:r>
      <w:r w:rsidR="00A34247" w:rsidRPr="00461D6D">
        <w:rPr>
          <w:rFonts w:cs="Arial"/>
          <w:szCs w:val="24"/>
          <w:lang w:eastAsia="en-AU"/>
        </w:rPr>
        <w:t>rovide</w:t>
      </w:r>
      <w:r w:rsidRPr="00461D6D">
        <w:rPr>
          <w:rFonts w:cs="Arial"/>
          <w:szCs w:val="24"/>
          <w:lang w:eastAsia="en-AU"/>
        </w:rPr>
        <w:t xml:space="preserve"> authority for criminal justice entities to exchange information to the extent of their responsibilities and </w:t>
      </w:r>
      <w:r w:rsidR="00A34247" w:rsidRPr="00461D6D">
        <w:rPr>
          <w:rFonts w:cs="Arial"/>
          <w:szCs w:val="24"/>
          <w:lang w:eastAsia="en-AU"/>
        </w:rPr>
        <w:t>allow</w:t>
      </w:r>
      <w:r w:rsidRPr="00461D6D">
        <w:rPr>
          <w:rFonts w:cs="Arial"/>
          <w:szCs w:val="24"/>
          <w:lang w:eastAsia="en-AU"/>
        </w:rPr>
        <w:t xml:space="preserve"> for improved information sharing with other agencies in the criminal justice system, which is important and necessary.</w:t>
      </w:r>
      <w:r w:rsidR="00A34247" w:rsidRPr="00461D6D">
        <w:rPr>
          <w:rFonts w:cs="Arial"/>
          <w:szCs w:val="24"/>
          <w:lang w:eastAsia="en-AU"/>
        </w:rPr>
        <w:t xml:space="preserve"> </w:t>
      </w:r>
      <w:r w:rsidR="007661D6" w:rsidRPr="00461D6D">
        <w:rPr>
          <w:rFonts w:cs="Arial"/>
          <w:szCs w:val="24"/>
          <w:lang w:eastAsia="en-AU"/>
        </w:rPr>
        <w:t>The limitation on the right to privacy</w:t>
      </w:r>
      <w:r w:rsidR="00A60BEC" w:rsidRPr="00461D6D">
        <w:rPr>
          <w:rFonts w:cs="Arial"/>
          <w:szCs w:val="24"/>
          <w:lang w:eastAsia="en-AU"/>
        </w:rPr>
        <w:t xml:space="preserve"> </w:t>
      </w:r>
      <w:r w:rsidR="007661D6" w:rsidRPr="00461D6D">
        <w:rPr>
          <w:rFonts w:cs="Arial"/>
          <w:szCs w:val="24"/>
          <w:lang w:eastAsia="en-AU"/>
        </w:rPr>
        <w:t xml:space="preserve">related to the disclosure of personal information </w:t>
      </w:r>
      <w:r w:rsidR="00F579F2" w:rsidRPr="00461D6D">
        <w:rPr>
          <w:rFonts w:cs="Arial"/>
          <w:szCs w:val="24"/>
          <w:lang w:eastAsia="en-AU"/>
        </w:rPr>
        <w:t>between criminal justice entities</w:t>
      </w:r>
      <w:r w:rsidR="007661D6" w:rsidRPr="00461D6D">
        <w:rPr>
          <w:rFonts w:cs="Arial"/>
          <w:szCs w:val="24"/>
          <w:lang w:eastAsia="en-AU"/>
        </w:rPr>
        <w:t xml:space="preserve"> is justified and</w:t>
      </w:r>
      <w:r w:rsidR="00A60BEC" w:rsidRPr="00461D6D">
        <w:rPr>
          <w:rFonts w:cs="Arial"/>
          <w:szCs w:val="24"/>
          <w:lang w:eastAsia="en-AU"/>
        </w:rPr>
        <w:t xml:space="preserve"> </w:t>
      </w:r>
      <w:r w:rsidR="007661D6" w:rsidRPr="00461D6D">
        <w:rPr>
          <w:rFonts w:cs="Arial"/>
          <w:szCs w:val="24"/>
          <w:lang w:eastAsia="en-AU"/>
        </w:rPr>
        <w:t>reasonable for this purpose.</w:t>
      </w:r>
    </w:p>
    <w:p w:rsidR="00E25852" w:rsidRDefault="00E25852" w:rsidP="00461D6D">
      <w:pPr>
        <w:autoSpaceDE w:val="0"/>
        <w:autoSpaceDN w:val="0"/>
        <w:adjustRightInd w:val="0"/>
        <w:jc w:val="both"/>
        <w:rPr>
          <w:rFonts w:cs="Arial"/>
          <w:szCs w:val="24"/>
          <w:lang w:eastAsia="en-AU"/>
        </w:rPr>
      </w:pPr>
    </w:p>
    <w:p w:rsidR="00E25852" w:rsidRPr="00461D6D" w:rsidRDefault="00E25852" w:rsidP="00461D6D">
      <w:pPr>
        <w:autoSpaceDE w:val="0"/>
        <w:autoSpaceDN w:val="0"/>
        <w:adjustRightInd w:val="0"/>
        <w:jc w:val="both"/>
        <w:rPr>
          <w:rFonts w:cs="Arial"/>
          <w:szCs w:val="24"/>
          <w:lang w:eastAsia="en-AU"/>
        </w:rPr>
      </w:pPr>
      <w:r>
        <w:rPr>
          <w:rFonts w:cs="Arial"/>
          <w:szCs w:val="24"/>
          <w:lang w:eastAsia="en-AU"/>
        </w:rPr>
        <w:t>Limitation on rights need to be law</w:t>
      </w:r>
      <w:r w:rsidR="000C5866">
        <w:rPr>
          <w:rFonts w:cs="Arial"/>
          <w:szCs w:val="24"/>
          <w:lang w:eastAsia="en-AU"/>
        </w:rPr>
        <w:t>ful</w:t>
      </w:r>
      <w:r>
        <w:rPr>
          <w:rFonts w:cs="Arial"/>
          <w:szCs w:val="24"/>
          <w:lang w:eastAsia="en-AU"/>
        </w:rPr>
        <w:t xml:space="preserve"> and not arbitrary. Arbitrary refers to a decision or action which is not based on reasonable and relevant identifiable criterion. A law that permits an interference with privacy must be sufficiently precise and confined so as not to give too much discretion to authorities. The regulation designates specific, identified organisations wh</w:t>
      </w:r>
      <w:r w:rsidR="00CC5604">
        <w:rPr>
          <w:rFonts w:cs="Arial"/>
          <w:szCs w:val="24"/>
          <w:lang w:eastAsia="en-AU"/>
        </w:rPr>
        <w:t>ich</w:t>
      </w:r>
      <w:r>
        <w:rPr>
          <w:rFonts w:cs="Arial"/>
          <w:szCs w:val="24"/>
          <w:lang w:eastAsia="en-AU"/>
        </w:rPr>
        <w:t xml:space="preserve"> have a role attached to the function of the criminal justice system as criminal justice entities under section 36 of the </w:t>
      </w:r>
      <w:r>
        <w:rPr>
          <w:rFonts w:cs="Arial"/>
          <w:i/>
          <w:iCs/>
          <w:szCs w:val="24"/>
          <w:lang w:eastAsia="en-AU"/>
        </w:rPr>
        <w:t>Crimes (Sentencing) Act 2005</w:t>
      </w:r>
      <w:r>
        <w:rPr>
          <w:rFonts w:cs="Arial"/>
          <w:szCs w:val="24"/>
          <w:lang w:eastAsia="en-AU"/>
        </w:rPr>
        <w:t xml:space="preserve">. </w:t>
      </w:r>
    </w:p>
    <w:p w:rsidR="007661D6" w:rsidRPr="00461D6D" w:rsidRDefault="007661D6" w:rsidP="00461D6D">
      <w:pPr>
        <w:autoSpaceDE w:val="0"/>
        <w:autoSpaceDN w:val="0"/>
        <w:adjustRightInd w:val="0"/>
        <w:jc w:val="both"/>
        <w:rPr>
          <w:rFonts w:cs="Arial"/>
          <w:szCs w:val="24"/>
          <w:lang w:eastAsia="en-AU"/>
        </w:rPr>
      </w:pPr>
    </w:p>
    <w:p w:rsidR="006E7953" w:rsidRDefault="00AB6D0F" w:rsidP="00461D6D">
      <w:pPr>
        <w:autoSpaceDE w:val="0"/>
        <w:autoSpaceDN w:val="0"/>
        <w:adjustRightInd w:val="0"/>
        <w:jc w:val="both"/>
        <w:rPr>
          <w:rFonts w:cs="Arial"/>
          <w:szCs w:val="24"/>
          <w:lang w:eastAsia="en-AU"/>
        </w:rPr>
      </w:pPr>
      <w:r w:rsidRPr="00461D6D">
        <w:rPr>
          <w:rFonts w:cs="Arial"/>
          <w:szCs w:val="24"/>
          <w:lang w:eastAsia="en-AU"/>
        </w:rPr>
        <w:t>T</w:t>
      </w:r>
      <w:r w:rsidR="007661D6" w:rsidRPr="00461D6D">
        <w:rPr>
          <w:rFonts w:cs="Arial"/>
          <w:szCs w:val="24"/>
          <w:lang w:eastAsia="en-AU"/>
        </w:rPr>
        <w:t>he engagement of the right is limited as the information sharing</w:t>
      </w:r>
      <w:r w:rsidR="00A60BEC" w:rsidRPr="00461D6D">
        <w:rPr>
          <w:rFonts w:cs="Arial"/>
          <w:szCs w:val="24"/>
          <w:lang w:eastAsia="en-AU"/>
        </w:rPr>
        <w:t xml:space="preserve"> </w:t>
      </w:r>
      <w:r w:rsidR="007661D6" w:rsidRPr="00461D6D">
        <w:rPr>
          <w:rFonts w:cs="Arial"/>
          <w:szCs w:val="24"/>
          <w:lang w:eastAsia="en-AU"/>
        </w:rPr>
        <w:t>provisions are restricted and controlled. Prescribing the entities that can</w:t>
      </w:r>
      <w:r w:rsidR="00A60BEC" w:rsidRPr="00461D6D">
        <w:rPr>
          <w:rFonts w:cs="Arial"/>
          <w:szCs w:val="24"/>
          <w:lang w:eastAsia="en-AU"/>
        </w:rPr>
        <w:t xml:space="preserve"> </w:t>
      </w:r>
      <w:r w:rsidR="007661D6" w:rsidRPr="00461D6D">
        <w:rPr>
          <w:rFonts w:cs="Arial"/>
          <w:szCs w:val="24"/>
          <w:lang w:eastAsia="en-AU"/>
        </w:rPr>
        <w:t>receive information ensures that the disclosure does not happen</w:t>
      </w:r>
      <w:r w:rsidR="00A60BEC" w:rsidRPr="00461D6D">
        <w:rPr>
          <w:rFonts w:cs="Arial"/>
          <w:szCs w:val="24"/>
          <w:lang w:eastAsia="en-AU"/>
        </w:rPr>
        <w:t xml:space="preserve"> </w:t>
      </w:r>
      <w:r w:rsidR="001D2FE6" w:rsidRPr="00461D6D">
        <w:rPr>
          <w:rFonts w:cs="Arial"/>
          <w:szCs w:val="24"/>
          <w:lang w:eastAsia="en-AU"/>
        </w:rPr>
        <w:t xml:space="preserve">unlawfully or arbitrarily. </w:t>
      </w:r>
      <w:r w:rsidR="007661D6" w:rsidRPr="00461D6D">
        <w:rPr>
          <w:rFonts w:cs="Arial"/>
          <w:szCs w:val="24"/>
          <w:lang w:eastAsia="en-AU"/>
        </w:rPr>
        <w:t>This is the least restrictive means of supporting the</w:t>
      </w:r>
      <w:r w:rsidR="00A60BEC" w:rsidRPr="00461D6D">
        <w:rPr>
          <w:rFonts w:cs="Arial"/>
          <w:szCs w:val="24"/>
          <w:lang w:eastAsia="en-AU"/>
        </w:rPr>
        <w:t xml:space="preserve"> </w:t>
      </w:r>
      <w:r w:rsidR="007661D6" w:rsidRPr="00461D6D">
        <w:rPr>
          <w:rFonts w:cs="Arial"/>
          <w:szCs w:val="24"/>
          <w:lang w:eastAsia="en-AU"/>
        </w:rPr>
        <w:t xml:space="preserve">purposes of the </w:t>
      </w:r>
      <w:r w:rsidR="00461D6D">
        <w:rPr>
          <w:rFonts w:cs="Arial"/>
          <w:szCs w:val="24"/>
          <w:lang w:eastAsia="en-AU"/>
        </w:rPr>
        <w:t>Act</w:t>
      </w:r>
      <w:r w:rsidR="007661D6" w:rsidRPr="00461D6D">
        <w:rPr>
          <w:rFonts w:cs="Arial"/>
          <w:szCs w:val="24"/>
          <w:lang w:eastAsia="en-AU"/>
        </w:rPr>
        <w:t xml:space="preserve"> and the efficient and effective operation of </w:t>
      </w:r>
      <w:r w:rsidR="001D2FE6" w:rsidRPr="00461D6D">
        <w:rPr>
          <w:rFonts w:cs="Arial"/>
          <w:szCs w:val="24"/>
          <w:lang w:eastAsia="en-AU"/>
        </w:rPr>
        <w:t>information sharing between criminal justice entities.</w:t>
      </w:r>
      <w:r w:rsidR="006E7953">
        <w:rPr>
          <w:rFonts w:cs="Arial"/>
          <w:szCs w:val="24"/>
          <w:lang w:eastAsia="en-AU"/>
        </w:rPr>
        <w:t xml:space="preserve"> </w:t>
      </w:r>
      <w:r w:rsidR="00E3777E">
        <w:rPr>
          <w:rFonts w:cs="Arial"/>
          <w:szCs w:val="24"/>
          <w:lang w:eastAsia="en-AU"/>
        </w:rPr>
        <w:t xml:space="preserve">The prescription of the Sexual Assault (Police) Review Oversight Committee is intended to conclude on 30 June 2024, reflecting the time limited nature of the Committee’s role; while the prescription of the </w:t>
      </w:r>
      <w:r w:rsidR="00025861">
        <w:rPr>
          <w:rFonts w:cs="Arial"/>
          <w:szCs w:val="24"/>
          <w:lang w:eastAsia="en-AU"/>
        </w:rPr>
        <w:t xml:space="preserve">two </w:t>
      </w:r>
      <w:r w:rsidR="00E3777E">
        <w:rPr>
          <w:rFonts w:cs="Arial"/>
          <w:szCs w:val="24"/>
          <w:lang w:eastAsia="en-AU"/>
        </w:rPr>
        <w:t>Coordinator</w:t>
      </w:r>
      <w:r w:rsidR="00CC5604">
        <w:rPr>
          <w:rFonts w:cs="Arial"/>
          <w:szCs w:val="24"/>
          <w:lang w:eastAsia="en-AU"/>
        </w:rPr>
        <w:t>s</w:t>
      </w:r>
      <w:r w:rsidR="00E3777E">
        <w:rPr>
          <w:rFonts w:cs="Arial"/>
          <w:szCs w:val="24"/>
          <w:lang w:eastAsia="en-AU"/>
        </w:rPr>
        <w:t xml:space="preserve">-General and ACAT </w:t>
      </w:r>
      <w:r w:rsidR="00025861">
        <w:rPr>
          <w:rFonts w:cs="Arial"/>
          <w:szCs w:val="24"/>
          <w:lang w:eastAsia="en-AU"/>
        </w:rPr>
        <w:t>are</w:t>
      </w:r>
      <w:r w:rsidR="00E3777E">
        <w:rPr>
          <w:rFonts w:cs="Arial"/>
          <w:szCs w:val="24"/>
          <w:lang w:eastAsia="en-AU"/>
        </w:rPr>
        <w:t xml:space="preserve"> ongoing, reflecting the ongoing role of these entities in the criminal justice system. </w:t>
      </w:r>
      <w:r w:rsidR="006E7953">
        <w:rPr>
          <w:rFonts w:cs="Arial"/>
          <w:szCs w:val="24"/>
          <w:lang w:eastAsia="en-AU"/>
        </w:rPr>
        <w:t>Further, the prescription by regulation is a safeguard as regulations are subject to examination by the Legislative Assembly.</w:t>
      </w:r>
    </w:p>
    <w:p w:rsidR="006E7953" w:rsidRDefault="006E7953" w:rsidP="00461D6D">
      <w:pPr>
        <w:autoSpaceDE w:val="0"/>
        <w:autoSpaceDN w:val="0"/>
        <w:adjustRightInd w:val="0"/>
        <w:jc w:val="both"/>
        <w:rPr>
          <w:rFonts w:cs="Arial"/>
          <w:szCs w:val="24"/>
          <w:lang w:eastAsia="en-AU"/>
        </w:rPr>
      </w:pPr>
    </w:p>
    <w:p w:rsidR="001D2FE6" w:rsidRPr="00461D6D" w:rsidRDefault="007661D6" w:rsidP="00461D6D">
      <w:pPr>
        <w:autoSpaceDE w:val="0"/>
        <w:autoSpaceDN w:val="0"/>
        <w:adjustRightInd w:val="0"/>
        <w:jc w:val="both"/>
        <w:rPr>
          <w:rFonts w:cs="Arial"/>
          <w:b/>
          <w:szCs w:val="24"/>
        </w:rPr>
      </w:pPr>
      <w:r w:rsidRPr="00461D6D">
        <w:rPr>
          <w:rFonts w:cs="Arial"/>
          <w:szCs w:val="24"/>
          <w:lang w:eastAsia="en-AU"/>
        </w:rPr>
        <w:t>For these reasons, the amendment is a proportionate limitation on the right to</w:t>
      </w:r>
      <w:r w:rsidR="00A60BEC" w:rsidRPr="00461D6D">
        <w:rPr>
          <w:rFonts w:cs="Arial"/>
          <w:szCs w:val="24"/>
          <w:lang w:eastAsia="en-AU"/>
        </w:rPr>
        <w:t xml:space="preserve"> </w:t>
      </w:r>
      <w:r w:rsidRPr="00461D6D">
        <w:rPr>
          <w:rFonts w:cs="Arial"/>
          <w:szCs w:val="24"/>
          <w:lang w:eastAsia="en-AU"/>
        </w:rPr>
        <w:t>privacy.</w:t>
      </w:r>
    </w:p>
    <w:p w:rsidR="001D2FE6" w:rsidRPr="00461D6D" w:rsidRDefault="001D2FE6" w:rsidP="00461D6D">
      <w:pPr>
        <w:autoSpaceDE w:val="0"/>
        <w:autoSpaceDN w:val="0"/>
        <w:adjustRightInd w:val="0"/>
        <w:jc w:val="both"/>
        <w:rPr>
          <w:rFonts w:cs="Arial"/>
          <w:b/>
          <w:szCs w:val="24"/>
        </w:rPr>
      </w:pPr>
    </w:p>
    <w:p w:rsidR="006A5F06" w:rsidRPr="00461D6D" w:rsidRDefault="006A5F06" w:rsidP="00461D6D">
      <w:pPr>
        <w:autoSpaceDE w:val="0"/>
        <w:autoSpaceDN w:val="0"/>
        <w:adjustRightInd w:val="0"/>
        <w:jc w:val="center"/>
        <w:rPr>
          <w:rFonts w:cs="Arial"/>
          <w:szCs w:val="24"/>
          <w:lang w:eastAsia="en-AU"/>
        </w:rPr>
      </w:pPr>
      <w:r w:rsidRPr="00461D6D">
        <w:rPr>
          <w:rFonts w:cs="Arial"/>
          <w:b/>
          <w:szCs w:val="24"/>
        </w:rPr>
        <w:t>Detail</w:t>
      </w:r>
    </w:p>
    <w:p w:rsidR="006A5F06" w:rsidRPr="00461D6D" w:rsidRDefault="006A5F06" w:rsidP="00461D6D">
      <w:pPr>
        <w:jc w:val="both"/>
        <w:rPr>
          <w:rFonts w:cs="Arial"/>
          <w:szCs w:val="24"/>
        </w:rPr>
      </w:pPr>
    </w:p>
    <w:p w:rsidR="006A5F06" w:rsidRPr="00461D6D" w:rsidRDefault="00B02F11" w:rsidP="00461D6D">
      <w:pPr>
        <w:jc w:val="both"/>
        <w:rPr>
          <w:rFonts w:cs="Arial"/>
          <w:b/>
          <w:szCs w:val="24"/>
        </w:rPr>
      </w:pPr>
      <w:r w:rsidRPr="00461D6D">
        <w:rPr>
          <w:rFonts w:cs="Arial"/>
          <w:b/>
          <w:szCs w:val="24"/>
        </w:rPr>
        <w:t>Clause 1 – Name of regulation</w:t>
      </w:r>
    </w:p>
    <w:p w:rsidR="006A5F06" w:rsidRPr="00461D6D" w:rsidRDefault="006A5F06" w:rsidP="00461D6D">
      <w:pPr>
        <w:jc w:val="both"/>
        <w:rPr>
          <w:rFonts w:cs="Arial"/>
          <w:szCs w:val="24"/>
        </w:rPr>
      </w:pPr>
      <w:r w:rsidRPr="00461D6D">
        <w:rPr>
          <w:rFonts w:cs="Arial"/>
          <w:szCs w:val="24"/>
        </w:rPr>
        <w:t>This clau</w:t>
      </w:r>
      <w:r w:rsidR="00793B68" w:rsidRPr="00461D6D">
        <w:rPr>
          <w:rFonts w:cs="Arial"/>
          <w:szCs w:val="24"/>
        </w:rPr>
        <w:t>se establishes the name of the R</w:t>
      </w:r>
      <w:r w:rsidRPr="00461D6D">
        <w:rPr>
          <w:rFonts w:cs="Arial"/>
          <w:szCs w:val="24"/>
        </w:rPr>
        <w:t xml:space="preserve">egulation as </w:t>
      </w:r>
      <w:r w:rsidRPr="00461D6D">
        <w:rPr>
          <w:rFonts w:cs="Arial"/>
          <w:i/>
          <w:szCs w:val="24"/>
        </w:rPr>
        <w:t>Crimes (Sentencing) Amendment Regulation 20</w:t>
      </w:r>
      <w:r w:rsidR="00B94F0B" w:rsidRPr="00461D6D">
        <w:rPr>
          <w:rFonts w:cs="Arial"/>
          <w:i/>
          <w:szCs w:val="24"/>
        </w:rPr>
        <w:t>22</w:t>
      </w:r>
      <w:r w:rsidRPr="00461D6D">
        <w:rPr>
          <w:rFonts w:cs="Arial"/>
          <w:i/>
          <w:szCs w:val="24"/>
        </w:rPr>
        <w:t xml:space="preserve"> </w:t>
      </w:r>
      <w:r w:rsidR="00793B68" w:rsidRPr="00461D6D">
        <w:rPr>
          <w:rFonts w:cs="Arial"/>
          <w:i/>
          <w:szCs w:val="24"/>
        </w:rPr>
        <w:t xml:space="preserve">(No </w:t>
      </w:r>
      <w:r w:rsidR="0092144A">
        <w:rPr>
          <w:rFonts w:cs="Arial"/>
          <w:i/>
          <w:szCs w:val="24"/>
        </w:rPr>
        <w:t>1</w:t>
      </w:r>
      <w:r w:rsidRPr="00461D6D">
        <w:rPr>
          <w:rFonts w:cs="Arial"/>
          <w:i/>
          <w:szCs w:val="24"/>
        </w:rPr>
        <w:t>)</w:t>
      </w:r>
      <w:r w:rsidR="00793B68" w:rsidRPr="00461D6D">
        <w:rPr>
          <w:rFonts w:cs="Arial"/>
          <w:szCs w:val="24"/>
        </w:rPr>
        <w:t>.</w:t>
      </w:r>
    </w:p>
    <w:p w:rsidR="006A5F06" w:rsidRPr="00461D6D" w:rsidRDefault="006A5F06" w:rsidP="00461D6D">
      <w:pPr>
        <w:jc w:val="both"/>
        <w:rPr>
          <w:rFonts w:cs="Arial"/>
          <w:b/>
          <w:szCs w:val="24"/>
        </w:rPr>
      </w:pPr>
    </w:p>
    <w:p w:rsidR="006A5F06" w:rsidRPr="00461D6D" w:rsidRDefault="00B02F11" w:rsidP="00461D6D">
      <w:pPr>
        <w:jc w:val="both"/>
        <w:rPr>
          <w:rFonts w:cs="Arial"/>
          <w:b/>
          <w:szCs w:val="24"/>
        </w:rPr>
      </w:pPr>
      <w:r w:rsidRPr="00461D6D">
        <w:rPr>
          <w:rFonts w:cs="Arial"/>
          <w:b/>
          <w:szCs w:val="24"/>
        </w:rPr>
        <w:t xml:space="preserve">Clause 2 – </w:t>
      </w:r>
      <w:r w:rsidR="006A5F06" w:rsidRPr="00461D6D">
        <w:rPr>
          <w:rFonts w:cs="Arial"/>
          <w:b/>
          <w:szCs w:val="24"/>
        </w:rPr>
        <w:t xml:space="preserve">Commencement </w:t>
      </w:r>
    </w:p>
    <w:p w:rsidR="006A5F06" w:rsidRPr="00461D6D" w:rsidRDefault="006A5F06" w:rsidP="00461D6D">
      <w:pPr>
        <w:jc w:val="both"/>
        <w:rPr>
          <w:rFonts w:cs="Arial"/>
          <w:szCs w:val="24"/>
        </w:rPr>
      </w:pPr>
      <w:r w:rsidRPr="00461D6D">
        <w:rPr>
          <w:rFonts w:cs="Arial"/>
          <w:szCs w:val="24"/>
        </w:rPr>
        <w:t xml:space="preserve">This is a formal provision specifying when the </w:t>
      </w:r>
      <w:r w:rsidR="00FC459E" w:rsidRPr="00461D6D">
        <w:rPr>
          <w:rFonts w:cs="Arial"/>
          <w:szCs w:val="24"/>
        </w:rPr>
        <w:t>R</w:t>
      </w:r>
      <w:r w:rsidRPr="00461D6D">
        <w:rPr>
          <w:rFonts w:cs="Arial"/>
          <w:szCs w:val="24"/>
        </w:rPr>
        <w:t>egulation will commence. The Regulation will commence on the day after its notification</w:t>
      </w:r>
      <w:r w:rsidR="00EE0F13" w:rsidRPr="00461D6D">
        <w:rPr>
          <w:rFonts w:cs="Arial"/>
          <w:szCs w:val="24"/>
        </w:rPr>
        <w:t xml:space="preserve"> day</w:t>
      </w:r>
      <w:r w:rsidRPr="00461D6D">
        <w:rPr>
          <w:rFonts w:cs="Arial"/>
          <w:szCs w:val="24"/>
        </w:rPr>
        <w:t xml:space="preserve">. </w:t>
      </w:r>
    </w:p>
    <w:p w:rsidR="006A5F06" w:rsidRPr="00461D6D" w:rsidRDefault="006A5F06" w:rsidP="00461D6D">
      <w:pPr>
        <w:jc w:val="both"/>
        <w:rPr>
          <w:rFonts w:cs="Arial"/>
          <w:b/>
          <w:szCs w:val="24"/>
        </w:rPr>
      </w:pPr>
    </w:p>
    <w:p w:rsidR="006A5F06" w:rsidRPr="00461D6D" w:rsidRDefault="00B02F11" w:rsidP="00461D6D">
      <w:pPr>
        <w:jc w:val="both"/>
        <w:rPr>
          <w:rFonts w:cs="Arial"/>
          <w:b/>
          <w:szCs w:val="24"/>
        </w:rPr>
      </w:pPr>
      <w:r w:rsidRPr="00461D6D">
        <w:rPr>
          <w:rFonts w:cs="Arial"/>
          <w:b/>
          <w:szCs w:val="24"/>
        </w:rPr>
        <w:t xml:space="preserve">Clause 3 – </w:t>
      </w:r>
      <w:r w:rsidR="006A5F06" w:rsidRPr="00461D6D">
        <w:rPr>
          <w:rFonts w:cs="Arial"/>
          <w:b/>
          <w:szCs w:val="24"/>
        </w:rPr>
        <w:t xml:space="preserve">Legislation Amended </w:t>
      </w:r>
    </w:p>
    <w:p w:rsidR="006A5F06" w:rsidRPr="00461D6D" w:rsidRDefault="006A5F06" w:rsidP="00461D6D">
      <w:pPr>
        <w:jc w:val="both"/>
        <w:rPr>
          <w:rFonts w:cs="Arial"/>
          <w:szCs w:val="24"/>
        </w:rPr>
      </w:pPr>
      <w:r w:rsidRPr="00461D6D">
        <w:rPr>
          <w:rFonts w:cs="Arial"/>
          <w:szCs w:val="24"/>
        </w:rPr>
        <w:t xml:space="preserve">This regulation amends the </w:t>
      </w:r>
      <w:r w:rsidRPr="00461D6D">
        <w:rPr>
          <w:rFonts w:cs="Arial"/>
          <w:i/>
          <w:szCs w:val="24"/>
        </w:rPr>
        <w:t xml:space="preserve">Crimes (Sentencing) </w:t>
      </w:r>
      <w:r w:rsidR="00FC459E" w:rsidRPr="00461D6D">
        <w:rPr>
          <w:rFonts w:cs="Arial"/>
          <w:i/>
          <w:szCs w:val="24"/>
        </w:rPr>
        <w:t>Regulation 2006</w:t>
      </w:r>
      <w:r w:rsidR="00FC459E" w:rsidRPr="00461D6D">
        <w:rPr>
          <w:rFonts w:cs="Arial"/>
          <w:szCs w:val="24"/>
        </w:rPr>
        <w:t>.</w:t>
      </w:r>
      <w:r w:rsidRPr="00461D6D">
        <w:rPr>
          <w:rFonts w:cs="Arial"/>
          <w:szCs w:val="24"/>
        </w:rPr>
        <w:t xml:space="preserve"> </w:t>
      </w:r>
    </w:p>
    <w:p w:rsidR="006A5F06" w:rsidRPr="00461D6D" w:rsidRDefault="006A5F06" w:rsidP="00461D6D">
      <w:pPr>
        <w:jc w:val="both"/>
        <w:rPr>
          <w:rFonts w:cs="Arial"/>
          <w:b/>
          <w:szCs w:val="24"/>
        </w:rPr>
      </w:pPr>
    </w:p>
    <w:p w:rsidR="006A5F06" w:rsidRPr="00461D6D" w:rsidRDefault="00B02F11" w:rsidP="00461D6D">
      <w:pPr>
        <w:jc w:val="both"/>
        <w:rPr>
          <w:rFonts w:cs="Arial"/>
          <w:b/>
          <w:szCs w:val="24"/>
        </w:rPr>
      </w:pPr>
      <w:r w:rsidRPr="00461D6D">
        <w:rPr>
          <w:rFonts w:cs="Arial"/>
          <w:b/>
          <w:szCs w:val="24"/>
        </w:rPr>
        <w:t xml:space="preserve">Clause 4 – </w:t>
      </w:r>
      <w:r w:rsidR="00072DDD" w:rsidRPr="00461D6D">
        <w:rPr>
          <w:rFonts w:cs="Arial"/>
          <w:b/>
          <w:szCs w:val="24"/>
        </w:rPr>
        <w:t>New section 3(i) to (l)</w:t>
      </w:r>
      <w:r w:rsidR="006A5F06" w:rsidRPr="00461D6D">
        <w:rPr>
          <w:rFonts w:cs="Arial"/>
          <w:b/>
          <w:szCs w:val="24"/>
        </w:rPr>
        <w:t xml:space="preserve">  </w:t>
      </w:r>
    </w:p>
    <w:p w:rsidR="004D5EDF" w:rsidRPr="00461D6D" w:rsidRDefault="00072DDD" w:rsidP="00461D6D">
      <w:pPr>
        <w:rPr>
          <w:rFonts w:cs="Arial"/>
          <w:szCs w:val="24"/>
        </w:rPr>
      </w:pPr>
      <w:r w:rsidRPr="00461D6D">
        <w:rPr>
          <w:rFonts w:cs="Arial"/>
          <w:szCs w:val="24"/>
        </w:rPr>
        <w:t>This clause inserts:</w:t>
      </w:r>
    </w:p>
    <w:p w:rsidR="00072DDD" w:rsidRPr="00461D6D" w:rsidRDefault="00072DDD" w:rsidP="00461D6D">
      <w:pPr>
        <w:rPr>
          <w:rFonts w:cs="Arial"/>
          <w:szCs w:val="24"/>
        </w:rPr>
      </w:pPr>
      <w:r w:rsidRPr="00461D6D">
        <w:rPr>
          <w:rFonts w:cs="Arial"/>
          <w:szCs w:val="24"/>
        </w:rPr>
        <w:t xml:space="preserve">(i) the ACAT; </w:t>
      </w:r>
    </w:p>
    <w:p w:rsidR="00072DDD" w:rsidRPr="00461D6D" w:rsidRDefault="00072DDD" w:rsidP="00461D6D">
      <w:pPr>
        <w:rPr>
          <w:rFonts w:cs="Arial"/>
          <w:szCs w:val="24"/>
        </w:rPr>
      </w:pPr>
      <w:r w:rsidRPr="00461D6D">
        <w:rPr>
          <w:rFonts w:cs="Arial"/>
          <w:szCs w:val="24"/>
        </w:rPr>
        <w:t xml:space="preserve">(j) the Coordinator-General for Family Safety; </w:t>
      </w:r>
    </w:p>
    <w:p w:rsidR="00072DDD" w:rsidRPr="00461D6D" w:rsidRDefault="00072DDD" w:rsidP="00461D6D">
      <w:pPr>
        <w:rPr>
          <w:rFonts w:cs="Arial"/>
          <w:szCs w:val="24"/>
        </w:rPr>
      </w:pPr>
      <w:r w:rsidRPr="00461D6D">
        <w:rPr>
          <w:rFonts w:cs="Arial"/>
          <w:szCs w:val="24"/>
        </w:rPr>
        <w:t xml:space="preserve">(k) the Coordinator-General for the Prevention of Sexual Violence; </w:t>
      </w:r>
    </w:p>
    <w:p w:rsidR="00072DDD" w:rsidRPr="00461D6D" w:rsidRDefault="00072DDD" w:rsidP="00461D6D">
      <w:pPr>
        <w:rPr>
          <w:rFonts w:cs="Arial"/>
          <w:szCs w:val="24"/>
        </w:rPr>
      </w:pPr>
      <w:r w:rsidRPr="00461D6D">
        <w:rPr>
          <w:rFonts w:cs="Arial"/>
          <w:szCs w:val="24"/>
        </w:rPr>
        <w:t>(l) the body known as the Sexual Assault (Police) Review Oversight Committee.</w:t>
      </w:r>
    </w:p>
    <w:p w:rsidR="00072DDD" w:rsidRPr="00461D6D" w:rsidRDefault="00072DDD" w:rsidP="00461D6D">
      <w:pPr>
        <w:rPr>
          <w:rFonts w:cs="Arial"/>
          <w:szCs w:val="24"/>
        </w:rPr>
      </w:pPr>
    </w:p>
    <w:p w:rsidR="00072DDD" w:rsidRPr="00461D6D" w:rsidRDefault="00072DDD" w:rsidP="00461D6D">
      <w:pPr>
        <w:rPr>
          <w:rFonts w:cs="Arial"/>
          <w:b/>
          <w:bCs/>
          <w:szCs w:val="24"/>
        </w:rPr>
      </w:pPr>
      <w:r w:rsidRPr="00461D6D">
        <w:rPr>
          <w:rFonts w:cs="Arial"/>
          <w:b/>
          <w:bCs/>
          <w:szCs w:val="24"/>
        </w:rPr>
        <w:t>Clause 5 – New section (3)(2)</w:t>
      </w:r>
    </w:p>
    <w:p w:rsidR="00072DDD" w:rsidRPr="00461D6D" w:rsidRDefault="00072DDD" w:rsidP="00461D6D">
      <w:pPr>
        <w:rPr>
          <w:rFonts w:cs="Arial"/>
          <w:szCs w:val="24"/>
        </w:rPr>
      </w:pPr>
      <w:r w:rsidRPr="00461D6D">
        <w:rPr>
          <w:rFonts w:cs="Arial"/>
          <w:szCs w:val="24"/>
        </w:rPr>
        <w:t>This clause inserts:</w:t>
      </w:r>
    </w:p>
    <w:p w:rsidR="00072DDD" w:rsidRPr="00461D6D" w:rsidRDefault="00072DDD" w:rsidP="00461D6D">
      <w:pPr>
        <w:rPr>
          <w:rFonts w:cs="Arial"/>
          <w:szCs w:val="24"/>
        </w:rPr>
      </w:pPr>
      <w:r w:rsidRPr="00461D6D">
        <w:rPr>
          <w:rFonts w:cs="Arial"/>
          <w:szCs w:val="24"/>
        </w:rPr>
        <w:t>(2) Subsection (1)(l) and this subsection expire on 30 June 2024.</w:t>
      </w:r>
    </w:p>
    <w:sectPr w:rsidR="00072DDD" w:rsidRPr="00461D6D" w:rsidSect="004D5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6F0" w:rsidRDefault="00CF76F0" w:rsidP="000B02D7">
      <w:r>
        <w:separator/>
      </w:r>
    </w:p>
  </w:endnote>
  <w:endnote w:type="continuationSeparator" w:id="0">
    <w:p w:rsidR="00CF76F0" w:rsidRDefault="00CF76F0" w:rsidP="000B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725" w:rsidRDefault="00574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73E" w:rsidRDefault="0044073E">
    <w:pPr>
      <w:pStyle w:val="Footer"/>
      <w:jc w:val="right"/>
    </w:pPr>
    <w:r>
      <w:fldChar w:fldCharType="begin"/>
    </w:r>
    <w:r>
      <w:instrText xml:space="preserve"> PAGE   \* MERGEFORMAT </w:instrText>
    </w:r>
    <w:r>
      <w:fldChar w:fldCharType="separate"/>
    </w:r>
    <w:r w:rsidR="00C147FA">
      <w:rPr>
        <w:noProof/>
      </w:rPr>
      <w:t>4</w:t>
    </w:r>
    <w:r>
      <w:fldChar w:fldCharType="end"/>
    </w:r>
  </w:p>
  <w:p w:rsidR="0044073E" w:rsidRPr="003C1A51" w:rsidRDefault="003C1A51" w:rsidP="003C1A51">
    <w:pPr>
      <w:pStyle w:val="Footer"/>
      <w:jc w:val="center"/>
      <w:rPr>
        <w:rFonts w:cs="Arial"/>
        <w:sz w:val="14"/>
      </w:rPr>
    </w:pPr>
    <w:r w:rsidRPr="003C1A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725" w:rsidRDefault="005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6F0" w:rsidRDefault="00CF76F0" w:rsidP="000B02D7">
      <w:r>
        <w:separator/>
      </w:r>
    </w:p>
  </w:footnote>
  <w:footnote w:type="continuationSeparator" w:id="0">
    <w:p w:rsidR="00CF76F0" w:rsidRDefault="00CF76F0" w:rsidP="000B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725" w:rsidRDefault="00574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725" w:rsidRDefault="00574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4725" w:rsidRDefault="00574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4347"/>
    <w:multiLevelType w:val="hybridMultilevel"/>
    <w:tmpl w:val="0CF8D7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8C0773"/>
    <w:multiLevelType w:val="hybridMultilevel"/>
    <w:tmpl w:val="0CF8D7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5872B8"/>
    <w:multiLevelType w:val="hybridMultilevel"/>
    <w:tmpl w:val="DD5CAD62"/>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6B77B2"/>
    <w:multiLevelType w:val="hybridMultilevel"/>
    <w:tmpl w:val="421CBD96"/>
    <w:lvl w:ilvl="0" w:tplc="BE3EC3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3D1117"/>
    <w:multiLevelType w:val="hybridMultilevel"/>
    <w:tmpl w:val="8EF49C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977078319">
    <w:abstractNumId w:val="2"/>
  </w:num>
  <w:num w:numId="2" w16cid:durableId="569075952">
    <w:abstractNumId w:val="1"/>
  </w:num>
  <w:num w:numId="3" w16cid:durableId="2058701117">
    <w:abstractNumId w:val="0"/>
  </w:num>
  <w:num w:numId="4" w16cid:durableId="1897812200">
    <w:abstractNumId w:val="4"/>
  </w:num>
  <w:num w:numId="5" w16cid:durableId="481625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F06"/>
    <w:rsid w:val="00025861"/>
    <w:rsid w:val="0002724F"/>
    <w:rsid w:val="00072DDD"/>
    <w:rsid w:val="000756C0"/>
    <w:rsid w:val="00083ABB"/>
    <w:rsid w:val="000945E9"/>
    <w:rsid w:val="000A4120"/>
    <w:rsid w:val="000B02D7"/>
    <w:rsid w:val="000B79AE"/>
    <w:rsid w:val="000C0A4A"/>
    <w:rsid w:val="000C5866"/>
    <w:rsid w:val="000F39C8"/>
    <w:rsid w:val="00117BE1"/>
    <w:rsid w:val="00141E08"/>
    <w:rsid w:val="00175A16"/>
    <w:rsid w:val="00177DB4"/>
    <w:rsid w:val="001926E4"/>
    <w:rsid w:val="001D2FE6"/>
    <w:rsid w:val="00280858"/>
    <w:rsid w:val="002B5F2C"/>
    <w:rsid w:val="0031414C"/>
    <w:rsid w:val="003151DF"/>
    <w:rsid w:val="003A19A6"/>
    <w:rsid w:val="003C1A51"/>
    <w:rsid w:val="003F2660"/>
    <w:rsid w:val="0044073E"/>
    <w:rsid w:val="00461D6D"/>
    <w:rsid w:val="00483943"/>
    <w:rsid w:val="00486BC8"/>
    <w:rsid w:val="004D5EDF"/>
    <w:rsid w:val="0050534A"/>
    <w:rsid w:val="00510054"/>
    <w:rsid w:val="005125BF"/>
    <w:rsid w:val="00517694"/>
    <w:rsid w:val="00574725"/>
    <w:rsid w:val="005867D1"/>
    <w:rsid w:val="005B7668"/>
    <w:rsid w:val="005F2189"/>
    <w:rsid w:val="00611C0A"/>
    <w:rsid w:val="006603FB"/>
    <w:rsid w:val="00660D0B"/>
    <w:rsid w:val="00670131"/>
    <w:rsid w:val="006820FF"/>
    <w:rsid w:val="006A5F06"/>
    <w:rsid w:val="006E7953"/>
    <w:rsid w:val="00716751"/>
    <w:rsid w:val="00731395"/>
    <w:rsid w:val="0073357D"/>
    <w:rsid w:val="007661D6"/>
    <w:rsid w:val="00783C07"/>
    <w:rsid w:val="00791AF3"/>
    <w:rsid w:val="00793B68"/>
    <w:rsid w:val="007A238C"/>
    <w:rsid w:val="007A282F"/>
    <w:rsid w:val="00800775"/>
    <w:rsid w:val="00815AE3"/>
    <w:rsid w:val="00830577"/>
    <w:rsid w:val="00857E47"/>
    <w:rsid w:val="00891EBF"/>
    <w:rsid w:val="00906376"/>
    <w:rsid w:val="00906EE0"/>
    <w:rsid w:val="00911649"/>
    <w:rsid w:val="0092144A"/>
    <w:rsid w:val="009637CF"/>
    <w:rsid w:val="009F0608"/>
    <w:rsid w:val="00A27BC4"/>
    <w:rsid w:val="00A34247"/>
    <w:rsid w:val="00A46F45"/>
    <w:rsid w:val="00A60BEC"/>
    <w:rsid w:val="00A80308"/>
    <w:rsid w:val="00A95CA4"/>
    <w:rsid w:val="00AB54AE"/>
    <w:rsid w:val="00AB6D0F"/>
    <w:rsid w:val="00AC40D0"/>
    <w:rsid w:val="00AD3EA4"/>
    <w:rsid w:val="00AE74C0"/>
    <w:rsid w:val="00B02F11"/>
    <w:rsid w:val="00B33809"/>
    <w:rsid w:val="00B573B1"/>
    <w:rsid w:val="00B94F0B"/>
    <w:rsid w:val="00BC3CE9"/>
    <w:rsid w:val="00BD3163"/>
    <w:rsid w:val="00BD5452"/>
    <w:rsid w:val="00C147FA"/>
    <w:rsid w:val="00C306FA"/>
    <w:rsid w:val="00C709C6"/>
    <w:rsid w:val="00C846AC"/>
    <w:rsid w:val="00CC5604"/>
    <w:rsid w:val="00CD53D3"/>
    <w:rsid w:val="00CF76F0"/>
    <w:rsid w:val="00D008E9"/>
    <w:rsid w:val="00D1409D"/>
    <w:rsid w:val="00D36B23"/>
    <w:rsid w:val="00D42B24"/>
    <w:rsid w:val="00D71116"/>
    <w:rsid w:val="00D95393"/>
    <w:rsid w:val="00DC47E2"/>
    <w:rsid w:val="00E25852"/>
    <w:rsid w:val="00E3777E"/>
    <w:rsid w:val="00EA631A"/>
    <w:rsid w:val="00EC1091"/>
    <w:rsid w:val="00ED541B"/>
    <w:rsid w:val="00EE0F13"/>
    <w:rsid w:val="00F20AF3"/>
    <w:rsid w:val="00F4499C"/>
    <w:rsid w:val="00F51139"/>
    <w:rsid w:val="00F579F2"/>
    <w:rsid w:val="00F63E76"/>
    <w:rsid w:val="00FC459E"/>
    <w:rsid w:val="00FD1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C06D321-D544-4307-BD73-F5DDEA69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F06"/>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5E9"/>
    <w:rPr>
      <w:rFonts w:ascii="Tahoma" w:hAnsi="Tahoma" w:cs="Tahoma"/>
      <w:sz w:val="16"/>
      <w:szCs w:val="16"/>
    </w:rPr>
  </w:style>
  <w:style w:type="character" w:customStyle="1" w:styleId="BalloonTextChar">
    <w:name w:val="Balloon Text Char"/>
    <w:link w:val="BalloonText"/>
    <w:uiPriority w:val="99"/>
    <w:semiHidden/>
    <w:rsid w:val="000945E9"/>
    <w:rPr>
      <w:rFonts w:ascii="Tahoma" w:hAnsi="Tahoma" w:cs="Tahoma"/>
      <w:sz w:val="16"/>
      <w:szCs w:val="16"/>
      <w:lang w:eastAsia="en-US"/>
    </w:rPr>
  </w:style>
  <w:style w:type="paragraph" w:styleId="Header">
    <w:name w:val="header"/>
    <w:basedOn w:val="Normal"/>
    <w:link w:val="HeaderChar"/>
    <w:uiPriority w:val="99"/>
    <w:unhideWhenUsed/>
    <w:rsid w:val="0044073E"/>
    <w:pPr>
      <w:tabs>
        <w:tab w:val="center" w:pos="4513"/>
        <w:tab w:val="right" w:pos="9026"/>
      </w:tabs>
    </w:pPr>
  </w:style>
  <w:style w:type="character" w:customStyle="1" w:styleId="HeaderChar">
    <w:name w:val="Header Char"/>
    <w:link w:val="Header"/>
    <w:uiPriority w:val="99"/>
    <w:rsid w:val="0044073E"/>
    <w:rPr>
      <w:rFonts w:ascii="Arial" w:hAnsi="Arial"/>
      <w:sz w:val="24"/>
      <w:szCs w:val="22"/>
      <w:lang w:eastAsia="en-US"/>
    </w:rPr>
  </w:style>
  <w:style w:type="paragraph" w:styleId="Footer">
    <w:name w:val="footer"/>
    <w:basedOn w:val="Normal"/>
    <w:link w:val="FooterChar"/>
    <w:uiPriority w:val="99"/>
    <w:unhideWhenUsed/>
    <w:rsid w:val="0044073E"/>
    <w:pPr>
      <w:tabs>
        <w:tab w:val="center" w:pos="4513"/>
        <w:tab w:val="right" w:pos="9026"/>
      </w:tabs>
    </w:pPr>
  </w:style>
  <w:style w:type="character" w:customStyle="1" w:styleId="FooterChar">
    <w:name w:val="Footer Char"/>
    <w:link w:val="Footer"/>
    <w:uiPriority w:val="99"/>
    <w:rsid w:val="0044073E"/>
    <w:rPr>
      <w:rFonts w:ascii="Arial" w:hAnsi="Arial"/>
      <w:sz w:val="24"/>
      <w:szCs w:val="22"/>
      <w:lang w:eastAsia="en-US"/>
    </w:rPr>
  </w:style>
  <w:style w:type="character" w:styleId="CommentReference">
    <w:name w:val="annotation reference"/>
    <w:uiPriority w:val="99"/>
    <w:semiHidden/>
    <w:unhideWhenUsed/>
    <w:rsid w:val="00D95393"/>
    <w:rPr>
      <w:sz w:val="16"/>
      <w:szCs w:val="16"/>
    </w:rPr>
  </w:style>
  <w:style w:type="paragraph" w:styleId="CommentText">
    <w:name w:val="annotation text"/>
    <w:basedOn w:val="Normal"/>
    <w:link w:val="CommentTextChar"/>
    <w:uiPriority w:val="99"/>
    <w:semiHidden/>
    <w:unhideWhenUsed/>
    <w:rsid w:val="00D95393"/>
    <w:rPr>
      <w:sz w:val="20"/>
      <w:szCs w:val="20"/>
    </w:rPr>
  </w:style>
  <w:style w:type="character" w:customStyle="1" w:styleId="CommentTextChar">
    <w:name w:val="Comment Text Char"/>
    <w:link w:val="CommentText"/>
    <w:uiPriority w:val="99"/>
    <w:semiHidden/>
    <w:rsid w:val="00D953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95393"/>
    <w:rPr>
      <w:b/>
      <w:bCs/>
    </w:rPr>
  </w:style>
  <w:style w:type="character" w:customStyle="1" w:styleId="CommentSubjectChar">
    <w:name w:val="Comment Subject Char"/>
    <w:link w:val="CommentSubject"/>
    <w:uiPriority w:val="99"/>
    <w:semiHidden/>
    <w:rsid w:val="00D95393"/>
    <w:rPr>
      <w:rFonts w:ascii="Arial" w:hAnsi="Arial"/>
      <w:b/>
      <w:bCs/>
      <w:lang w:eastAsia="en-US"/>
    </w:rPr>
  </w:style>
  <w:style w:type="paragraph" w:styleId="ListParagraph">
    <w:name w:val="List Paragraph"/>
    <w:basedOn w:val="Normal"/>
    <w:uiPriority w:val="34"/>
    <w:qFormat/>
    <w:rsid w:val="00660D0B"/>
    <w:pPr>
      <w:ind w:left="720"/>
    </w:pPr>
    <w:rPr>
      <w:rFonts w:ascii="Times New Roman" w:hAnsi="Times New Roman"/>
      <w:szCs w:val="24"/>
      <w:lang w:eastAsia="en-AU"/>
    </w:rPr>
  </w:style>
  <w:style w:type="paragraph" w:customStyle="1" w:styleId="CS-Paragraphnumbering">
    <w:name w:val="CS - Paragraph numbering"/>
    <w:basedOn w:val="Normal"/>
    <w:rsid w:val="00D71116"/>
    <w:pPr>
      <w:numPr>
        <w:numId w:val="1"/>
      </w:numPr>
      <w:tabs>
        <w:tab w:val="num" w:pos="360"/>
      </w:tabs>
      <w:spacing w:after="120" w:line="276" w:lineRule="auto"/>
      <w:ind w:left="0" w:right="-45" w:firstLine="0"/>
    </w:pPr>
    <w:rPr>
      <w:rFonts w:ascii="Calibri" w:hAnsi="Calibri"/>
      <w:szCs w:val="24"/>
    </w:rPr>
  </w:style>
  <w:style w:type="paragraph" w:styleId="Revision">
    <w:name w:val="Revision"/>
    <w:hidden/>
    <w:uiPriority w:val="99"/>
    <w:semiHidden/>
    <w:rsid w:val="00E25852"/>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7405</Characters>
  <Application>Microsoft Office Word</Application>
  <DocSecurity>0</DocSecurity>
  <Lines>191</Lines>
  <Paragraphs>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bannister</dc:creator>
  <cp:keywords>2</cp:keywords>
  <cp:lastModifiedBy>PCODCS</cp:lastModifiedBy>
  <cp:revision>4</cp:revision>
  <dcterms:created xsi:type="dcterms:W3CDTF">2022-10-26T00:11:00Z</dcterms:created>
  <dcterms:modified xsi:type="dcterms:W3CDTF">2022-10-26T00:11:00Z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9895564</vt:lpwstr>
  </property>
  <property fmtid="{D5CDD505-2E9C-101B-9397-08002B2CF9AE}" pid="3" name="CHECKEDOUTFROMJMS">
    <vt:lpwstr/>
  </property>
  <property fmtid="{D5CDD505-2E9C-101B-9397-08002B2CF9AE}" pid="4" name="JMSREQUIREDCHECKIN">
    <vt:lpwstr/>
  </property>
</Properties>
</file>