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87CAA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snapToGrid w:val="0"/>
              <w:color w:val="000000"/>
              <w:sz w:val="23"/>
            </w:rPr>
            <w:t>Australian Capital Territory</w:t>
          </w:r>
        </w:smartTag>
      </w:smartTag>
    </w:p>
    <w:p w14:paraId="35734C1E" w14:textId="77777777" w:rsidR="00A969B4" w:rsidRDefault="00A969B4" w:rsidP="00A969B4">
      <w:pPr>
        <w:rPr>
          <w:rFonts w:ascii="Arial" w:hAnsi="Arial"/>
          <w:snapToGrid w:val="0"/>
          <w:color w:val="000000"/>
          <w:sz w:val="23"/>
        </w:rPr>
      </w:pPr>
    </w:p>
    <w:p w14:paraId="233BE3E1" w14:textId="1173EECD" w:rsidR="00A969B4" w:rsidRDefault="00771F2D" w:rsidP="00A969B4">
      <w:pPr>
        <w:rPr>
          <w:rFonts w:ascii="Arial" w:hAnsi="Arial"/>
          <w:b/>
          <w:snapToGrid w:val="0"/>
          <w:color w:val="000000"/>
          <w:sz w:val="40"/>
        </w:rPr>
      </w:pPr>
      <w:r>
        <w:rPr>
          <w:rFonts w:ascii="Arial" w:hAnsi="Arial"/>
          <w:b/>
          <w:snapToGrid w:val="0"/>
          <w:color w:val="000000"/>
          <w:sz w:val="40"/>
        </w:rPr>
        <w:t>Utilities (Annual L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icence </w:t>
      </w:r>
      <w:r>
        <w:rPr>
          <w:rFonts w:ascii="Arial" w:hAnsi="Arial"/>
          <w:b/>
          <w:snapToGrid w:val="0"/>
          <w:color w:val="000000"/>
          <w:sz w:val="40"/>
        </w:rPr>
        <w:t>F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ees </w:t>
      </w:r>
      <w:r>
        <w:rPr>
          <w:rFonts w:ascii="Arial" w:hAnsi="Arial"/>
          <w:b/>
          <w:snapToGrid w:val="0"/>
          <w:color w:val="000000"/>
          <w:sz w:val="40"/>
        </w:rPr>
        <w:t>D</w:t>
      </w:r>
      <w:r w:rsidR="00A969B4">
        <w:rPr>
          <w:rFonts w:ascii="Arial" w:hAnsi="Arial"/>
          <w:b/>
          <w:snapToGrid w:val="0"/>
          <w:color w:val="000000"/>
          <w:sz w:val="40"/>
        </w:rPr>
        <w:t>etermination</w:t>
      </w:r>
      <w:r w:rsidR="004E2D35">
        <w:rPr>
          <w:rFonts w:ascii="Arial" w:hAnsi="Arial"/>
          <w:b/>
          <w:snapToGrid w:val="0"/>
          <w:color w:val="000000"/>
          <w:sz w:val="40"/>
        </w:rPr>
        <w:t xml:space="preserve"> 20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2</w:t>
      </w:r>
      <w:r w:rsidR="001E0E73">
        <w:rPr>
          <w:rFonts w:ascii="Arial" w:hAnsi="Arial"/>
          <w:b/>
          <w:snapToGrid w:val="0"/>
          <w:color w:val="000000"/>
          <w:sz w:val="40"/>
        </w:rPr>
        <w:t>–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3</w:t>
      </w:r>
      <w:r w:rsidR="00A969B4">
        <w:rPr>
          <w:rFonts w:ascii="Arial" w:hAnsi="Arial"/>
          <w:b/>
          <w:snapToGrid w:val="0"/>
          <w:color w:val="000000"/>
          <w:sz w:val="40"/>
        </w:rPr>
        <w:t xml:space="preserve">) </w:t>
      </w:r>
      <w:r w:rsidR="00C3708F">
        <w:rPr>
          <w:rFonts w:ascii="Arial" w:hAnsi="Arial"/>
          <w:b/>
          <w:snapToGrid w:val="0"/>
          <w:color w:val="000000"/>
          <w:sz w:val="40"/>
        </w:rPr>
        <w:t>N</w:t>
      </w:r>
      <w:r w:rsidR="00A969B4">
        <w:rPr>
          <w:rFonts w:ascii="Arial" w:hAnsi="Arial"/>
          <w:b/>
          <w:snapToGrid w:val="0"/>
          <w:color w:val="000000"/>
          <w:sz w:val="40"/>
        </w:rPr>
        <w:t>otice 20</w:t>
      </w:r>
      <w:r w:rsidR="00D76529">
        <w:rPr>
          <w:rFonts w:ascii="Arial" w:hAnsi="Arial"/>
          <w:b/>
          <w:snapToGrid w:val="0"/>
          <w:color w:val="000000"/>
          <w:sz w:val="40"/>
        </w:rPr>
        <w:t>2</w:t>
      </w:r>
      <w:r w:rsidR="009A046B">
        <w:rPr>
          <w:rFonts w:ascii="Arial" w:hAnsi="Arial"/>
          <w:b/>
          <w:snapToGrid w:val="0"/>
          <w:color w:val="000000"/>
          <w:sz w:val="40"/>
        </w:rPr>
        <w:t>2</w:t>
      </w:r>
    </w:p>
    <w:p w14:paraId="4BA2056E" w14:textId="77777777" w:rsidR="00A969B4" w:rsidRDefault="00A969B4" w:rsidP="00A969B4">
      <w:pPr>
        <w:rPr>
          <w:rFonts w:ascii="Arial" w:hAnsi="Arial"/>
          <w:b/>
          <w:snapToGrid w:val="0"/>
          <w:color w:val="000000"/>
          <w:sz w:val="32"/>
        </w:rPr>
      </w:pPr>
    </w:p>
    <w:p w14:paraId="21B72CDF" w14:textId="3DECA5AC" w:rsidR="00A969B4" w:rsidRDefault="00A969B4" w:rsidP="00A969B4">
      <w:pPr>
        <w:rPr>
          <w:rFonts w:ascii="Arial" w:hAnsi="Arial"/>
          <w:b/>
          <w:snapToGrid w:val="0"/>
          <w:color w:val="000000"/>
        </w:rPr>
      </w:pPr>
      <w:r>
        <w:rPr>
          <w:rFonts w:ascii="Arial" w:hAnsi="Arial"/>
          <w:b/>
          <w:snapToGrid w:val="0"/>
          <w:color w:val="000000"/>
        </w:rPr>
        <w:t>Notifiable Instrument NI20</w:t>
      </w:r>
      <w:r w:rsidR="00D76529">
        <w:rPr>
          <w:rFonts w:ascii="Arial" w:hAnsi="Arial"/>
          <w:b/>
          <w:snapToGrid w:val="0"/>
          <w:color w:val="000000"/>
        </w:rPr>
        <w:t>2</w:t>
      </w:r>
      <w:r w:rsidR="009A046B">
        <w:rPr>
          <w:rFonts w:ascii="Arial" w:hAnsi="Arial"/>
          <w:b/>
          <w:snapToGrid w:val="0"/>
          <w:color w:val="000000"/>
        </w:rPr>
        <w:t>2</w:t>
      </w:r>
      <w:r w:rsidR="001E0E73">
        <w:rPr>
          <w:rFonts w:ascii="Arial" w:hAnsi="Arial"/>
          <w:b/>
          <w:snapToGrid w:val="0"/>
          <w:color w:val="000000"/>
        </w:rPr>
        <w:t>–</w:t>
      </w:r>
      <w:r w:rsidR="00EC06BF">
        <w:rPr>
          <w:rFonts w:ascii="Arial" w:hAnsi="Arial"/>
          <w:b/>
          <w:snapToGrid w:val="0"/>
          <w:color w:val="000000"/>
        </w:rPr>
        <w:t>551</w:t>
      </w:r>
    </w:p>
    <w:p w14:paraId="0B412DAC" w14:textId="77777777" w:rsidR="00A969B4" w:rsidRDefault="00A969B4" w:rsidP="00A969B4">
      <w:pPr>
        <w:rPr>
          <w:rFonts w:ascii="Arial" w:hAnsi="Arial"/>
          <w:b/>
          <w:snapToGrid w:val="0"/>
          <w:color w:val="000000"/>
        </w:rPr>
      </w:pPr>
    </w:p>
    <w:p w14:paraId="5E81DDF9" w14:textId="77777777" w:rsidR="00A969B4" w:rsidRDefault="00A969B4" w:rsidP="00A969B4">
      <w:pPr>
        <w:rPr>
          <w:rFonts w:ascii="Arial" w:hAnsi="Arial"/>
          <w:snapToGrid w:val="0"/>
          <w:color w:val="000000"/>
        </w:rPr>
      </w:pPr>
      <w:r>
        <w:rPr>
          <w:rFonts w:ascii="Arial" w:hAnsi="Arial"/>
          <w:snapToGrid w:val="0"/>
          <w:color w:val="000000"/>
        </w:rPr>
        <w:t>made under the</w:t>
      </w:r>
    </w:p>
    <w:p w14:paraId="372D8607" w14:textId="77777777" w:rsidR="00A969B4" w:rsidRPr="00A449EA" w:rsidRDefault="00A969B4" w:rsidP="003D39DB">
      <w:pPr>
        <w:pStyle w:val="CoverActName"/>
        <w:jc w:val="left"/>
        <w:rPr>
          <w:sz w:val="20"/>
        </w:rPr>
      </w:pPr>
      <w:r w:rsidRPr="00A449EA">
        <w:rPr>
          <w:i/>
          <w:iCs/>
          <w:sz w:val="20"/>
        </w:rPr>
        <w:t xml:space="preserve">Utilities Act </w:t>
      </w:r>
      <w:r w:rsidRPr="000A198E">
        <w:rPr>
          <w:i/>
          <w:iCs/>
          <w:sz w:val="20"/>
        </w:rPr>
        <w:t>2000</w:t>
      </w:r>
      <w:r w:rsidRPr="00A449EA">
        <w:rPr>
          <w:i/>
          <w:sz w:val="20"/>
        </w:rPr>
        <w:t xml:space="preserve">, </w:t>
      </w:r>
      <w:r w:rsidRPr="00A449EA">
        <w:rPr>
          <w:sz w:val="20"/>
        </w:rPr>
        <w:t>s 52 (Public notice of licence decisions) (see also s 45 (Determination of fee) and s 53 (Public access to licences etc))</w:t>
      </w:r>
    </w:p>
    <w:p w14:paraId="687B9BF3" w14:textId="77777777" w:rsidR="00BE27A7" w:rsidRDefault="00BE27A7" w:rsidP="00BE27A7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91A9836" w14:textId="77777777" w:rsidR="00BE27A7" w:rsidRDefault="00BE27A7" w:rsidP="00BE27A7">
      <w:pPr>
        <w:pStyle w:val="N-line3"/>
        <w:pBdr>
          <w:bottom w:val="none" w:sz="0" w:space="0" w:color="auto"/>
        </w:pBdr>
      </w:pPr>
    </w:p>
    <w:p w14:paraId="3C4E2EC7" w14:textId="77777777" w:rsidR="00BE27A7" w:rsidRDefault="00BE27A7" w:rsidP="00BE27A7">
      <w:pPr>
        <w:pStyle w:val="N-line3"/>
        <w:pBdr>
          <w:top w:val="single" w:sz="12" w:space="1" w:color="auto"/>
          <w:bottom w:val="none" w:sz="0" w:space="0" w:color="auto"/>
        </w:pBdr>
      </w:pPr>
    </w:p>
    <w:p w14:paraId="1E6555FF" w14:textId="0AB67134" w:rsidR="00BE27A7" w:rsidRPr="00AD7131" w:rsidRDefault="00BE27A7" w:rsidP="00BE27A7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4</w:t>
      </w:r>
      <w:r w:rsidR="005D6E34" w:rsidRPr="00AD7131">
        <w:rPr>
          <w:rFonts w:asciiTheme="minorHAnsi" w:hAnsiTheme="minorHAnsi" w:cs="Arial"/>
          <w:szCs w:val="24"/>
        </w:rPr>
        <w:t>5(1)</w:t>
      </w:r>
      <w:r w:rsidRPr="00AD7131">
        <w:rPr>
          <w:rFonts w:asciiTheme="minorHAnsi" w:hAnsiTheme="minorHAnsi" w:cs="Arial"/>
          <w:szCs w:val="24"/>
        </w:rPr>
        <w:t xml:space="preserve"> of the </w:t>
      </w:r>
      <w:r w:rsidRPr="00AD7131">
        <w:rPr>
          <w:rFonts w:asciiTheme="minorHAnsi" w:hAnsiTheme="minorHAnsi" w:cs="Arial"/>
          <w:i/>
          <w:szCs w:val="24"/>
        </w:rPr>
        <w:t>Utilities Act 2000</w:t>
      </w:r>
      <w:r w:rsidRPr="00AD7131">
        <w:rPr>
          <w:rFonts w:asciiTheme="minorHAnsi" w:hAnsiTheme="minorHAnsi" w:cs="Arial"/>
          <w:szCs w:val="24"/>
        </w:rPr>
        <w:t xml:space="preserve"> </w:t>
      </w:r>
      <w:r w:rsidR="00842F3B" w:rsidRPr="00AD7131">
        <w:rPr>
          <w:rFonts w:asciiTheme="minorHAnsi" w:hAnsiTheme="minorHAnsi" w:cs="Arial"/>
          <w:szCs w:val="24"/>
        </w:rPr>
        <w:t xml:space="preserve">(Utilities Act) </w:t>
      </w:r>
      <w:r w:rsidRPr="00AD7131">
        <w:rPr>
          <w:rFonts w:asciiTheme="minorHAnsi" w:hAnsiTheme="minorHAnsi" w:cs="Arial"/>
          <w:szCs w:val="24"/>
        </w:rPr>
        <w:t>gives the Independent Competition and Regulatory Commission</w:t>
      </w:r>
      <w:r w:rsidR="00842F3B" w:rsidRPr="00AD7131">
        <w:rPr>
          <w:rFonts w:asciiTheme="minorHAnsi" w:hAnsiTheme="minorHAnsi" w:cs="Arial"/>
          <w:szCs w:val="24"/>
        </w:rPr>
        <w:t xml:space="preserve"> (</w:t>
      </w:r>
      <w:r w:rsidR="009A046B">
        <w:rPr>
          <w:rFonts w:asciiTheme="minorHAnsi" w:hAnsiTheme="minorHAnsi" w:cs="Arial"/>
          <w:szCs w:val="24"/>
        </w:rPr>
        <w:t>c</w:t>
      </w:r>
      <w:r w:rsidR="00842F3B" w:rsidRPr="00AD7131">
        <w:rPr>
          <w:rFonts w:asciiTheme="minorHAnsi" w:hAnsiTheme="minorHAnsi" w:cs="Arial"/>
          <w:szCs w:val="24"/>
        </w:rPr>
        <w:t>ommission)</w:t>
      </w:r>
      <w:r w:rsidRPr="00AD7131">
        <w:rPr>
          <w:rFonts w:asciiTheme="minorHAnsi" w:hAnsiTheme="minorHAnsi" w:cs="Arial"/>
          <w:szCs w:val="24"/>
        </w:rPr>
        <w:t xml:space="preserve"> the </w:t>
      </w:r>
      <w:r w:rsidR="000D19B8">
        <w:rPr>
          <w:rFonts w:asciiTheme="minorHAnsi" w:hAnsiTheme="minorHAnsi" w:cs="Arial"/>
          <w:szCs w:val="24"/>
        </w:rPr>
        <w:t>authority</w:t>
      </w:r>
      <w:r w:rsidRPr="00AD7131">
        <w:rPr>
          <w:rFonts w:asciiTheme="minorHAnsi" w:hAnsiTheme="minorHAnsi" w:cs="Arial"/>
          <w:szCs w:val="24"/>
        </w:rPr>
        <w:t xml:space="preserve"> to determine the annual licence fee payable by each utility</w:t>
      </w:r>
      <w:r w:rsidR="007156D0" w:rsidRPr="00AD7131">
        <w:rPr>
          <w:rFonts w:asciiTheme="minorHAnsi" w:hAnsiTheme="minorHAnsi" w:cs="Arial"/>
          <w:szCs w:val="24"/>
        </w:rPr>
        <w:t xml:space="preserve"> licensed to provide a utility service in the ACT</w:t>
      </w:r>
      <w:r w:rsidRPr="00AD7131">
        <w:rPr>
          <w:rFonts w:asciiTheme="minorHAnsi" w:hAnsiTheme="minorHAnsi" w:cs="Arial"/>
          <w:szCs w:val="24"/>
        </w:rPr>
        <w:t xml:space="preserve">. </w:t>
      </w:r>
    </w:p>
    <w:p w14:paraId="30A0D8FA" w14:textId="77777777" w:rsidR="00BE27A7" w:rsidRPr="00AD7131" w:rsidRDefault="00BE27A7" w:rsidP="00BE27A7">
      <w:pPr>
        <w:rPr>
          <w:rFonts w:asciiTheme="minorHAnsi" w:hAnsiTheme="minorHAnsi" w:cs="Arial"/>
          <w:szCs w:val="24"/>
        </w:rPr>
      </w:pPr>
    </w:p>
    <w:p w14:paraId="25B0B149" w14:textId="65488E31" w:rsidR="000801D4" w:rsidRPr="00AD7131" w:rsidRDefault="00BE27A7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Section 52(1)(i) of the</w:t>
      </w:r>
      <w:r w:rsidR="00842F3B" w:rsidRPr="00AD7131">
        <w:rPr>
          <w:rFonts w:asciiTheme="minorHAnsi" w:hAnsiTheme="minorHAnsi" w:cs="Arial"/>
          <w:szCs w:val="24"/>
        </w:rPr>
        <w:t xml:space="preserve"> Utilities Act</w:t>
      </w:r>
      <w:r w:rsidRPr="00AD7131">
        <w:rPr>
          <w:rFonts w:asciiTheme="minorHAnsi" w:hAnsiTheme="minorHAnsi" w:cs="Arial"/>
          <w:szCs w:val="24"/>
        </w:rPr>
        <w:t xml:space="preserve"> requires the </w:t>
      </w:r>
      <w:r w:rsidR="009A046B">
        <w:rPr>
          <w:rFonts w:asciiTheme="minorHAnsi" w:hAnsiTheme="minorHAnsi" w:cs="Arial"/>
          <w:szCs w:val="24"/>
        </w:rPr>
        <w:t>c</w:t>
      </w:r>
      <w:r w:rsidR="00842F3B" w:rsidRPr="00AD7131">
        <w:rPr>
          <w:rFonts w:asciiTheme="minorHAnsi" w:hAnsiTheme="minorHAnsi" w:cs="Arial"/>
          <w:szCs w:val="24"/>
        </w:rPr>
        <w:t>ommission</w:t>
      </w:r>
      <w:r w:rsidRPr="00AD7131">
        <w:rPr>
          <w:rFonts w:asciiTheme="minorHAnsi" w:hAnsiTheme="minorHAnsi" w:cs="Arial"/>
          <w:szCs w:val="24"/>
        </w:rPr>
        <w:t xml:space="preserve"> to prepare a notice </w:t>
      </w:r>
      <w:r w:rsidR="005D6E34" w:rsidRPr="00AD7131">
        <w:rPr>
          <w:rFonts w:asciiTheme="minorHAnsi" w:hAnsiTheme="minorHAnsi" w:cs="Arial"/>
          <w:szCs w:val="24"/>
        </w:rPr>
        <w:t xml:space="preserve">upon making a determination of a fee under section 45. </w:t>
      </w:r>
      <w:r w:rsidRPr="00AD7131">
        <w:rPr>
          <w:rFonts w:asciiTheme="minorHAnsi" w:hAnsiTheme="minorHAnsi" w:cs="Arial"/>
          <w:szCs w:val="24"/>
        </w:rPr>
        <w:t xml:space="preserve">The </w:t>
      </w:r>
      <w:r w:rsidR="005D6E34" w:rsidRPr="00AD7131">
        <w:rPr>
          <w:rFonts w:asciiTheme="minorHAnsi" w:hAnsiTheme="minorHAnsi" w:cs="Arial"/>
          <w:szCs w:val="24"/>
        </w:rPr>
        <w:t xml:space="preserve">notice </w:t>
      </w:r>
      <w:r w:rsidRPr="00AD7131">
        <w:rPr>
          <w:rFonts w:asciiTheme="minorHAnsi" w:hAnsiTheme="minorHAnsi" w:cs="Arial"/>
          <w:szCs w:val="24"/>
        </w:rPr>
        <w:t xml:space="preserve">is a </w:t>
      </w:r>
      <w:r w:rsidR="005D6E34" w:rsidRPr="00AD7131">
        <w:rPr>
          <w:rFonts w:asciiTheme="minorHAnsi" w:hAnsiTheme="minorHAnsi" w:cs="Arial"/>
          <w:szCs w:val="24"/>
        </w:rPr>
        <w:t>notifiable</w:t>
      </w:r>
      <w:r w:rsidRPr="00AD7131">
        <w:rPr>
          <w:rFonts w:asciiTheme="minorHAnsi" w:hAnsiTheme="minorHAnsi" w:cs="Arial"/>
          <w:szCs w:val="24"/>
        </w:rPr>
        <w:t xml:space="preserve"> instrument.</w:t>
      </w:r>
    </w:p>
    <w:p w14:paraId="068DF56B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0F0CD0AF" w14:textId="1BE21D83"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three licensees subject to an annual licence fee</w:t>
      </w:r>
      <w:r w:rsidR="001E0E73">
        <w:rPr>
          <w:rFonts w:asciiTheme="minorHAnsi" w:hAnsiTheme="minorHAnsi" w:cs="Arial"/>
          <w:szCs w:val="24"/>
        </w:rPr>
        <w:t xml:space="preserve"> for 20</w:t>
      </w:r>
      <w:r w:rsidR="00D76529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2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3</w:t>
      </w:r>
      <w:r w:rsidRPr="00AD7131">
        <w:rPr>
          <w:rFonts w:asciiTheme="minorHAnsi" w:hAnsiTheme="minorHAnsi" w:cs="Arial"/>
          <w:szCs w:val="24"/>
        </w:rPr>
        <w:t xml:space="preserve"> are:</w:t>
      </w:r>
    </w:p>
    <w:p w14:paraId="79AE6FA2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33FDA48B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East Australia Pipe Line Limited (gas transmission services);</w:t>
      </w:r>
    </w:p>
    <w:p w14:paraId="249E4ABB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Icon Water Limited (water and sewerage services); and</w:t>
      </w:r>
    </w:p>
    <w:p w14:paraId="67A5A06D" w14:textId="77777777" w:rsidR="00C3708F" w:rsidRPr="00AD7131" w:rsidRDefault="00C3708F" w:rsidP="00C3708F">
      <w:pPr>
        <w:pStyle w:val="ListParagraph"/>
        <w:numPr>
          <w:ilvl w:val="0"/>
          <w:numId w:val="19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TransGrid (electricity transmission services).</w:t>
      </w:r>
    </w:p>
    <w:p w14:paraId="58087427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575CCDFD" w14:textId="398C7A25" w:rsidR="00C3708F" w:rsidRPr="00AD7131" w:rsidRDefault="00C3708F" w:rsidP="00C3708F">
      <w:p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licence fee payable by each licensed utility is the amount considered by the </w:t>
      </w:r>
      <w:r w:rsidR="009A046B">
        <w:rPr>
          <w:rFonts w:asciiTheme="minorHAnsi" w:hAnsiTheme="minorHAnsi" w:cs="Arial"/>
          <w:szCs w:val="24"/>
        </w:rPr>
        <w:t>c</w:t>
      </w:r>
      <w:r w:rsidRPr="00AD7131">
        <w:rPr>
          <w:rFonts w:asciiTheme="minorHAnsi" w:hAnsiTheme="minorHAnsi" w:cs="Arial"/>
          <w:szCs w:val="24"/>
        </w:rPr>
        <w:t>ommission to be a reasonable contribution towards the costs incurred, or expected to be incurred for 20</w:t>
      </w:r>
      <w:r w:rsidR="00D76529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2</w:t>
      </w:r>
      <w:r w:rsidR="001E0E73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szCs w:val="24"/>
        </w:rPr>
        <w:t>2</w:t>
      </w:r>
      <w:r w:rsidR="009A046B">
        <w:rPr>
          <w:rFonts w:asciiTheme="minorHAnsi" w:hAnsiTheme="minorHAnsi" w:cs="Arial"/>
          <w:szCs w:val="24"/>
        </w:rPr>
        <w:t>3</w:t>
      </w:r>
      <w:r w:rsidRPr="00AD7131">
        <w:rPr>
          <w:rFonts w:asciiTheme="minorHAnsi" w:hAnsiTheme="minorHAnsi" w:cs="Arial"/>
          <w:szCs w:val="24"/>
        </w:rPr>
        <w:t xml:space="preserve"> in relation to the regulation of utility services provided by the licensees by:</w:t>
      </w:r>
    </w:p>
    <w:p w14:paraId="1E574A3D" w14:textId="77777777" w:rsidR="00C3708F" w:rsidRPr="00AD7131" w:rsidRDefault="00C3708F" w:rsidP="00C3708F">
      <w:pPr>
        <w:rPr>
          <w:rFonts w:asciiTheme="minorHAnsi" w:hAnsiTheme="minorHAnsi" w:cs="Arial"/>
          <w:szCs w:val="24"/>
        </w:rPr>
      </w:pPr>
    </w:p>
    <w:p w14:paraId="15C7CC25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Independent Competition and Regulatory Commission</w:t>
      </w:r>
      <w:r w:rsidR="00E952A4">
        <w:rPr>
          <w:rFonts w:asciiTheme="minorHAnsi" w:hAnsiTheme="minorHAnsi" w:cs="Arial"/>
          <w:szCs w:val="24"/>
        </w:rPr>
        <w:t xml:space="preserve"> (Commission)</w:t>
      </w:r>
      <w:r w:rsidRPr="00AD7131">
        <w:rPr>
          <w:rFonts w:asciiTheme="minorHAnsi" w:hAnsiTheme="minorHAnsi" w:cs="Arial"/>
          <w:szCs w:val="24"/>
        </w:rPr>
        <w:t xml:space="preserve">, </w:t>
      </w:r>
    </w:p>
    <w:p w14:paraId="2CEF73F2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 xml:space="preserve">the </w:t>
      </w:r>
      <w:r w:rsidR="00CA37DC">
        <w:rPr>
          <w:rFonts w:asciiTheme="minorHAnsi" w:hAnsiTheme="minorHAnsi" w:cs="Arial"/>
          <w:szCs w:val="24"/>
        </w:rPr>
        <w:t xml:space="preserve">Utilities </w:t>
      </w:r>
      <w:r w:rsidR="007E6E24">
        <w:rPr>
          <w:rFonts w:asciiTheme="minorHAnsi" w:hAnsiTheme="minorHAnsi" w:cs="Arial"/>
          <w:szCs w:val="24"/>
        </w:rPr>
        <w:t>T</w:t>
      </w:r>
      <w:r w:rsidRPr="00AD7131">
        <w:rPr>
          <w:rFonts w:asciiTheme="minorHAnsi" w:hAnsiTheme="minorHAnsi" w:cs="Arial"/>
          <w:szCs w:val="24"/>
        </w:rPr>
        <w:t xml:space="preserve">echnical </w:t>
      </w:r>
      <w:r w:rsidR="007E6E24">
        <w:rPr>
          <w:rFonts w:asciiTheme="minorHAnsi" w:hAnsiTheme="minorHAnsi" w:cs="Arial"/>
          <w:szCs w:val="24"/>
        </w:rPr>
        <w:t>R</w:t>
      </w:r>
      <w:r w:rsidRPr="00AD7131">
        <w:rPr>
          <w:rFonts w:asciiTheme="minorHAnsi" w:hAnsiTheme="minorHAnsi" w:cs="Arial"/>
          <w:szCs w:val="24"/>
        </w:rPr>
        <w:t>egulator</w:t>
      </w:r>
      <w:r w:rsidR="00CA37DC">
        <w:rPr>
          <w:rFonts w:asciiTheme="minorHAnsi" w:hAnsiTheme="minorHAnsi" w:cs="Arial"/>
          <w:szCs w:val="24"/>
        </w:rPr>
        <w:t xml:space="preserve"> (UTR)</w:t>
      </w:r>
      <w:r w:rsidRPr="00AD7131">
        <w:rPr>
          <w:rFonts w:asciiTheme="minorHAnsi" w:hAnsiTheme="minorHAnsi" w:cs="Arial"/>
          <w:szCs w:val="24"/>
        </w:rPr>
        <w:t xml:space="preserve">; and </w:t>
      </w:r>
    </w:p>
    <w:p w14:paraId="793FCFD8" w14:textId="77777777" w:rsidR="00C3708F" w:rsidRPr="00AD7131" w:rsidRDefault="00C3708F" w:rsidP="00C3708F">
      <w:pPr>
        <w:pStyle w:val="ListParagraph"/>
        <w:numPr>
          <w:ilvl w:val="0"/>
          <w:numId w:val="20"/>
        </w:numPr>
        <w:rPr>
          <w:rFonts w:asciiTheme="minorHAnsi" w:hAnsiTheme="minorHAnsi" w:cs="Arial"/>
          <w:szCs w:val="24"/>
        </w:rPr>
      </w:pPr>
      <w:r w:rsidRPr="00AD7131">
        <w:rPr>
          <w:rFonts w:asciiTheme="minorHAnsi" w:hAnsiTheme="minorHAnsi" w:cs="Arial"/>
          <w:szCs w:val="24"/>
        </w:rPr>
        <w:t>the ACT Civil and Administrative Tribunal</w:t>
      </w:r>
      <w:r w:rsidR="00E952A4">
        <w:rPr>
          <w:rFonts w:asciiTheme="minorHAnsi" w:hAnsiTheme="minorHAnsi" w:cs="Arial"/>
          <w:szCs w:val="24"/>
        </w:rPr>
        <w:t xml:space="preserve"> (ACAT)</w:t>
      </w:r>
      <w:r w:rsidRPr="00AD7131">
        <w:rPr>
          <w:rFonts w:asciiTheme="minorHAnsi" w:hAnsiTheme="minorHAnsi" w:cs="Arial"/>
          <w:szCs w:val="24"/>
        </w:rPr>
        <w:t>.</w:t>
      </w:r>
    </w:p>
    <w:p w14:paraId="201595DF" w14:textId="77777777" w:rsidR="00A93867" w:rsidRPr="00AD7131" w:rsidRDefault="00A93867" w:rsidP="00A93867">
      <w:pPr>
        <w:rPr>
          <w:rFonts w:asciiTheme="minorHAnsi" w:hAnsiTheme="minorHAnsi" w:cs="Arial"/>
          <w:iCs/>
          <w:szCs w:val="24"/>
        </w:rPr>
      </w:pPr>
    </w:p>
    <w:p w14:paraId="77233DFC" w14:textId="5F8168A3" w:rsidR="00A93867" w:rsidRPr="00AD7131" w:rsidRDefault="000801D4" w:rsidP="00BE27A7">
      <w:pPr>
        <w:rPr>
          <w:rFonts w:asciiTheme="minorHAnsi" w:hAnsiTheme="minorHAnsi"/>
          <w:iCs/>
          <w:szCs w:val="24"/>
        </w:rPr>
      </w:pPr>
      <w:r w:rsidRPr="00AD7131">
        <w:rPr>
          <w:rFonts w:asciiTheme="minorHAnsi" w:hAnsiTheme="minorHAnsi" w:cs="Arial"/>
          <w:iCs/>
          <w:szCs w:val="24"/>
        </w:rPr>
        <w:t>Where there is an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 of estimated costs</w:t>
      </w:r>
      <w:r w:rsidR="007E6E24">
        <w:rPr>
          <w:rFonts w:asciiTheme="minorHAnsi" w:hAnsiTheme="minorHAnsi" w:cs="Arial"/>
          <w:iCs/>
          <w:szCs w:val="24"/>
        </w:rPr>
        <w:t xml:space="preserve"> for 20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1</w:t>
      </w:r>
      <w:r w:rsidR="007E6E24">
        <w:rPr>
          <w:rFonts w:asciiTheme="minorHAnsi" w:hAnsiTheme="minorHAnsi" w:cs="Arial"/>
          <w:szCs w:val="24"/>
        </w:rPr>
        <w:t>–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2</w:t>
      </w:r>
      <w:r w:rsidRPr="00AD7131">
        <w:rPr>
          <w:rFonts w:asciiTheme="minorHAnsi" w:hAnsiTheme="minorHAnsi" w:cs="Arial"/>
          <w:iCs/>
          <w:szCs w:val="24"/>
        </w:rPr>
        <w:t>, the licence fee determination process provides for an adjustment of the licence fee</w:t>
      </w:r>
      <w:r w:rsidR="007E6E24">
        <w:rPr>
          <w:rFonts w:asciiTheme="minorHAnsi" w:hAnsiTheme="minorHAnsi" w:cs="Arial"/>
          <w:iCs/>
          <w:szCs w:val="24"/>
        </w:rPr>
        <w:t xml:space="preserve"> payable</w:t>
      </w:r>
      <w:r w:rsidRPr="00AD7131">
        <w:rPr>
          <w:rFonts w:asciiTheme="minorHAnsi" w:hAnsiTheme="minorHAnsi" w:cs="Arial"/>
          <w:iCs/>
          <w:szCs w:val="24"/>
        </w:rPr>
        <w:t xml:space="preserve"> in the </w:t>
      </w:r>
      <w:r w:rsidR="007E6E24">
        <w:rPr>
          <w:rFonts w:asciiTheme="minorHAnsi" w:hAnsiTheme="minorHAnsi" w:cs="Arial"/>
          <w:iCs/>
          <w:szCs w:val="24"/>
        </w:rPr>
        <w:t>20</w:t>
      </w:r>
      <w:r w:rsidR="00D76529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2</w:t>
      </w:r>
      <w:r w:rsidR="007E6E24">
        <w:rPr>
          <w:rFonts w:asciiTheme="minorHAnsi" w:hAnsiTheme="minorHAnsi" w:cs="Arial"/>
          <w:szCs w:val="24"/>
        </w:rPr>
        <w:t>–</w:t>
      </w:r>
      <w:r w:rsidR="001C7795">
        <w:rPr>
          <w:rFonts w:asciiTheme="minorHAnsi" w:hAnsiTheme="minorHAnsi" w:cs="Arial"/>
          <w:iCs/>
          <w:szCs w:val="24"/>
        </w:rPr>
        <w:t>2</w:t>
      </w:r>
      <w:r w:rsidR="009A046B">
        <w:rPr>
          <w:rFonts w:asciiTheme="minorHAnsi" w:hAnsiTheme="minorHAnsi" w:cs="Arial"/>
          <w:iCs/>
          <w:szCs w:val="24"/>
        </w:rPr>
        <w:t>3</w:t>
      </w:r>
      <w:r w:rsidR="007E6E24">
        <w:rPr>
          <w:rFonts w:asciiTheme="minorHAnsi" w:hAnsiTheme="minorHAnsi" w:cs="Arial"/>
          <w:iCs/>
          <w:szCs w:val="24"/>
        </w:rPr>
        <w:t xml:space="preserve"> year</w:t>
      </w:r>
      <w:r w:rsidRPr="00AD7131">
        <w:rPr>
          <w:rFonts w:asciiTheme="minorHAnsi" w:hAnsiTheme="minorHAnsi" w:cs="Arial"/>
          <w:iCs/>
          <w:szCs w:val="24"/>
        </w:rPr>
        <w:t xml:space="preserve"> to account for this over</w:t>
      </w:r>
      <w:r w:rsidR="001E0E73">
        <w:rPr>
          <w:rFonts w:asciiTheme="minorHAnsi" w:hAnsiTheme="minorHAnsi" w:cs="Arial"/>
          <w:iCs/>
          <w:szCs w:val="24"/>
        </w:rPr>
        <w:t>- or under-</w:t>
      </w:r>
      <w:r w:rsidRPr="00AD7131">
        <w:rPr>
          <w:rFonts w:asciiTheme="minorHAnsi" w:hAnsiTheme="minorHAnsi" w:cs="Arial"/>
          <w:iCs/>
          <w:szCs w:val="24"/>
        </w:rPr>
        <w:t>estimation</w:t>
      </w:r>
      <w:r w:rsidRPr="00AD7131">
        <w:rPr>
          <w:rFonts w:asciiTheme="minorHAnsi" w:hAnsiTheme="minorHAnsi"/>
          <w:iCs/>
          <w:szCs w:val="24"/>
        </w:rPr>
        <w:t xml:space="preserve">. </w:t>
      </w:r>
    </w:p>
    <w:sectPr w:rsidR="00A93867" w:rsidRPr="00AD7131" w:rsidSect="009261B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7" w:h="16839" w:code="9"/>
      <w:pgMar w:top="1134" w:right="1800" w:bottom="993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57F441" w14:textId="77777777" w:rsidR="00AD51D2" w:rsidRDefault="00AD51D2">
      <w:r>
        <w:separator/>
      </w:r>
    </w:p>
  </w:endnote>
  <w:endnote w:type="continuationSeparator" w:id="0">
    <w:p w14:paraId="1566AE15" w14:textId="77777777" w:rsidR="00AD51D2" w:rsidRDefault="00AD5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,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EACDE" w14:textId="77777777" w:rsidR="00E44024" w:rsidRDefault="003E472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4402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9DA873B" w14:textId="77777777" w:rsidR="00E44024" w:rsidRDefault="00E4402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8D41F" w14:textId="77777777" w:rsidR="00E44024" w:rsidRDefault="00E44024">
    <w:pPr>
      <w:pStyle w:val="Footer"/>
      <w:framePr w:wrap="around" w:vAnchor="text" w:hAnchor="margin" w:xAlign="right" w:y="1"/>
      <w:rPr>
        <w:rStyle w:val="PageNumber"/>
      </w:rPr>
    </w:pPr>
  </w:p>
  <w:p w14:paraId="218E63EF" w14:textId="06E5FD0F" w:rsidR="00E44024" w:rsidRPr="005C15A4" w:rsidRDefault="005C15A4" w:rsidP="005C15A4">
    <w:pPr>
      <w:pStyle w:val="Footer"/>
      <w:ind w:right="360"/>
      <w:jc w:val="center"/>
      <w:rPr>
        <w:rFonts w:cs="Arial"/>
        <w:sz w:val="14"/>
      </w:rPr>
    </w:pPr>
    <w:r w:rsidRPr="005C15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2C69DD" w14:textId="77777777" w:rsidR="005C15A4" w:rsidRDefault="005C15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58BBA" w14:textId="77777777" w:rsidR="00AD51D2" w:rsidRDefault="00AD51D2">
      <w:r>
        <w:separator/>
      </w:r>
    </w:p>
  </w:footnote>
  <w:footnote w:type="continuationSeparator" w:id="0">
    <w:p w14:paraId="533654A2" w14:textId="77777777" w:rsidR="00AD51D2" w:rsidRDefault="00AD5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76E93" w14:textId="77777777" w:rsidR="005C15A4" w:rsidRDefault="005C15A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86A02" w14:textId="77777777" w:rsidR="005C15A4" w:rsidRDefault="005C15A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8D47F" w14:textId="77777777" w:rsidR="005C15A4" w:rsidRDefault="005C15A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8E67BC"/>
    <w:multiLevelType w:val="hybridMultilevel"/>
    <w:tmpl w:val="B1BE5000"/>
    <w:lvl w:ilvl="0" w:tplc="B950C2F8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593"/>
        </w:tabs>
        <w:ind w:left="159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313"/>
        </w:tabs>
        <w:ind w:left="231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033"/>
        </w:tabs>
        <w:ind w:left="303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753"/>
        </w:tabs>
        <w:ind w:left="375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473"/>
        </w:tabs>
        <w:ind w:left="447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193"/>
        </w:tabs>
        <w:ind w:left="519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913"/>
        </w:tabs>
        <w:ind w:left="591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633"/>
        </w:tabs>
        <w:ind w:left="6633" w:hanging="360"/>
      </w:pPr>
      <w:rPr>
        <w:rFonts w:ascii="Wingdings" w:hAnsi="Wingdings" w:hint="default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73053E7"/>
    <w:multiLevelType w:val="hybridMultilevel"/>
    <w:tmpl w:val="F3CC6F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331EE1"/>
    <w:multiLevelType w:val="hybridMultilevel"/>
    <w:tmpl w:val="C1A4639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6F09A4"/>
    <w:multiLevelType w:val="hybridMultilevel"/>
    <w:tmpl w:val="17903E5A"/>
    <w:lvl w:ilvl="0" w:tplc="198C4F58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B563F11"/>
    <w:multiLevelType w:val="hybridMultilevel"/>
    <w:tmpl w:val="6C30E192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2006C76"/>
    <w:multiLevelType w:val="hybridMultilevel"/>
    <w:tmpl w:val="78D4E70E"/>
    <w:lvl w:ilvl="0" w:tplc="0C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12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3" w15:restartNumberingAfterBreak="0">
    <w:nsid w:val="3CA11E9C"/>
    <w:multiLevelType w:val="hybridMultilevel"/>
    <w:tmpl w:val="FEEC507A"/>
    <w:lvl w:ilvl="0" w:tplc="B950C2F8">
      <w:start w:val="1"/>
      <w:numFmt w:val="bullet"/>
      <w:lvlText w:val=""/>
      <w:lvlJc w:val="left"/>
      <w:pPr>
        <w:tabs>
          <w:tab w:val="num" w:pos="66"/>
        </w:tabs>
        <w:ind w:left="6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146"/>
        </w:tabs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1866"/>
        </w:tabs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586"/>
        </w:tabs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306"/>
        </w:tabs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026"/>
        </w:tabs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4746"/>
        </w:tabs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466"/>
        </w:tabs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186"/>
        </w:tabs>
        <w:ind w:left="6186" w:hanging="360"/>
      </w:pPr>
      <w:rPr>
        <w:rFonts w:ascii="Wingdings" w:hAnsi="Wingdings" w:hint="default"/>
      </w:rPr>
    </w:lvl>
  </w:abstractNum>
  <w:abstractNum w:abstractNumId="14" w15:restartNumberingAfterBreak="0">
    <w:nsid w:val="5CF45078"/>
    <w:multiLevelType w:val="hybridMultilevel"/>
    <w:tmpl w:val="AB36B260"/>
    <w:lvl w:ilvl="0" w:tplc="198C4F58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3E769F"/>
    <w:multiLevelType w:val="hybridMultilevel"/>
    <w:tmpl w:val="A24EF724"/>
    <w:lvl w:ilvl="0" w:tplc="A3404612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D6B7686"/>
    <w:multiLevelType w:val="multilevel"/>
    <w:tmpl w:val="17903E5A"/>
    <w:lvl w:ilvl="0">
      <w:start w:val="1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70971A44"/>
    <w:multiLevelType w:val="multilevel"/>
    <w:tmpl w:val="C4242E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9" w15:restartNumberingAfterBreak="0">
    <w:nsid w:val="7F0E0720"/>
    <w:multiLevelType w:val="hybridMultilevel"/>
    <w:tmpl w:val="FA1A3A2C"/>
    <w:lvl w:ilvl="0" w:tplc="66B82D06">
      <w:start w:val="1"/>
      <w:numFmt w:val="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1275594091">
    <w:abstractNumId w:val="2"/>
  </w:num>
  <w:num w:numId="2" w16cid:durableId="1489441244">
    <w:abstractNumId w:val="0"/>
  </w:num>
  <w:num w:numId="3" w16cid:durableId="1135610203">
    <w:abstractNumId w:val="4"/>
  </w:num>
  <w:num w:numId="4" w16cid:durableId="58134637">
    <w:abstractNumId w:val="12"/>
  </w:num>
  <w:num w:numId="5" w16cid:durableId="227040176">
    <w:abstractNumId w:val="17"/>
  </w:num>
  <w:num w:numId="6" w16cid:durableId="1888839063">
    <w:abstractNumId w:val="1"/>
  </w:num>
  <w:num w:numId="7" w16cid:durableId="1879581388">
    <w:abstractNumId w:val="10"/>
  </w:num>
  <w:num w:numId="8" w16cid:durableId="881093782">
    <w:abstractNumId w:val="11"/>
  </w:num>
  <w:num w:numId="9" w16cid:durableId="1375614418">
    <w:abstractNumId w:val="19"/>
  </w:num>
  <w:num w:numId="10" w16cid:durableId="783767974">
    <w:abstractNumId w:val="8"/>
  </w:num>
  <w:num w:numId="11" w16cid:durableId="1328898163">
    <w:abstractNumId w:val="14"/>
  </w:num>
  <w:num w:numId="12" w16cid:durableId="1219976487">
    <w:abstractNumId w:val="7"/>
  </w:num>
  <w:num w:numId="13" w16cid:durableId="1784953346">
    <w:abstractNumId w:val="16"/>
  </w:num>
  <w:num w:numId="14" w16cid:durableId="282659458">
    <w:abstractNumId w:val="13"/>
  </w:num>
  <w:num w:numId="15" w16cid:durableId="423964712">
    <w:abstractNumId w:val="3"/>
  </w:num>
  <w:num w:numId="16" w16cid:durableId="1859347213">
    <w:abstractNumId w:val="15"/>
  </w:num>
  <w:num w:numId="17" w16cid:durableId="2077122479">
    <w:abstractNumId w:val="18"/>
  </w:num>
  <w:num w:numId="18" w16cid:durableId="473760449">
    <w:abstractNumId w:val="9"/>
  </w:num>
  <w:num w:numId="19" w16cid:durableId="439450125">
    <w:abstractNumId w:val="6"/>
  </w:num>
  <w:num w:numId="20" w16cid:durableId="6671747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529"/>
    <w:rsid w:val="00003C34"/>
    <w:rsid w:val="00012AE8"/>
    <w:rsid w:val="00026E13"/>
    <w:rsid w:val="00027A85"/>
    <w:rsid w:val="000510A0"/>
    <w:rsid w:val="000512FC"/>
    <w:rsid w:val="0005219B"/>
    <w:rsid w:val="000801D4"/>
    <w:rsid w:val="00080E8F"/>
    <w:rsid w:val="00084466"/>
    <w:rsid w:val="000979C7"/>
    <w:rsid w:val="000A198E"/>
    <w:rsid w:val="000B42FD"/>
    <w:rsid w:val="000B4ACD"/>
    <w:rsid w:val="000D19B8"/>
    <w:rsid w:val="000D4BD5"/>
    <w:rsid w:val="000D4F12"/>
    <w:rsid w:val="000F1C88"/>
    <w:rsid w:val="000F236E"/>
    <w:rsid w:val="0010520E"/>
    <w:rsid w:val="00132439"/>
    <w:rsid w:val="00161137"/>
    <w:rsid w:val="00164257"/>
    <w:rsid w:val="00183FB5"/>
    <w:rsid w:val="001937BE"/>
    <w:rsid w:val="00195DB6"/>
    <w:rsid w:val="001A1093"/>
    <w:rsid w:val="001A489F"/>
    <w:rsid w:val="001B01A9"/>
    <w:rsid w:val="001C7795"/>
    <w:rsid w:val="001D2B36"/>
    <w:rsid w:val="001D3F9E"/>
    <w:rsid w:val="001D7CDD"/>
    <w:rsid w:val="001E0E73"/>
    <w:rsid w:val="001E3BA2"/>
    <w:rsid w:val="0021542B"/>
    <w:rsid w:val="0023212E"/>
    <w:rsid w:val="00233021"/>
    <w:rsid w:val="00234E1F"/>
    <w:rsid w:val="0024228C"/>
    <w:rsid w:val="00256B64"/>
    <w:rsid w:val="00274328"/>
    <w:rsid w:val="00304073"/>
    <w:rsid w:val="00311253"/>
    <w:rsid w:val="00312A60"/>
    <w:rsid w:val="00322E42"/>
    <w:rsid w:val="00327FAE"/>
    <w:rsid w:val="00356548"/>
    <w:rsid w:val="003608C7"/>
    <w:rsid w:val="00373294"/>
    <w:rsid w:val="00384F3B"/>
    <w:rsid w:val="003968DE"/>
    <w:rsid w:val="003B5198"/>
    <w:rsid w:val="003C17A5"/>
    <w:rsid w:val="003D39DB"/>
    <w:rsid w:val="003D664E"/>
    <w:rsid w:val="003E4726"/>
    <w:rsid w:val="003E500C"/>
    <w:rsid w:val="0043590B"/>
    <w:rsid w:val="00470138"/>
    <w:rsid w:val="004709D9"/>
    <w:rsid w:val="00481B10"/>
    <w:rsid w:val="00484A42"/>
    <w:rsid w:val="004C51AA"/>
    <w:rsid w:val="004E2C78"/>
    <w:rsid w:val="004E2D35"/>
    <w:rsid w:val="004F7119"/>
    <w:rsid w:val="00561AE4"/>
    <w:rsid w:val="00562CC1"/>
    <w:rsid w:val="00567609"/>
    <w:rsid w:val="0058208E"/>
    <w:rsid w:val="00586CA6"/>
    <w:rsid w:val="005A2E58"/>
    <w:rsid w:val="005A4E8E"/>
    <w:rsid w:val="005C15A4"/>
    <w:rsid w:val="005C2D4D"/>
    <w:rsid w:val="005D28B2"/>
    <w:rsid w:val="005D6E34"/>
    <w:rsid w:val="005D72F2"/>
    <w:rsid w:val="00646595"/>
    <w:rsid w:val="00665320"/>
    <w:rsid w:val="0066773E"/>
    <w:rsid w:val="00672E56"/>
    <w:rsid w:val="00677C53"/>
    <w:rsid w:val="006951E3"/>
    <w:rsid w:val="006A11BF"/>
    <w:rsid w:val="006A2161"/>
    <w:rsid w:val="006D762E"/>
    <w:rsid w:val="006E1E20"/>
    <w:rsid w:val="006F25AD"/>
    <w:rsid w:val="006F4194"/>
    <w:rsid w:val="007025B5"/>
    <w:rsid w:val="007027D0"/>
    <w:rsid w:val="007118CF"/>
    <w:rsid w:val="007147D7"/>
    <w:rsid w:val="007156D0"/>
    <w:rsid w:val="007355D8"/>
    <w:rsid w:val="007667F4"/>
    <w:rsid w:val="00771F2D"/>
    <w:rsid w:val="007807D2"/>
    <w:rsid w:val="007907D4"/>
    <w:rsid w:val="007978EE"/>
    <w:rsid w:val="007E6E24"/>
    <w:rsid w:val="007F22ED"/>
    <w:rsid w:val="00803551"/>
    <w:rsid w:val="0082790F"/>
    <w:rsid w:val="00842F3B"/>
    <w:rsid w:val="00854D32"/>
    <w:rsid w:val="0086127F"/>
    <w:rsid w:val="00865BA5"/>
    <w:rsid w:val="00866A1F"/>
    <w:rsid w:val="00877024"/>
    <w:rsid w:val="00882BE7"/>
    <w:rsid w:val="008A2934"/>
    <w:rsid w:val="008A5623"/>
    <w:rsid w:val="008A61AA"/>
    <w:rsid w:val="008E1B59"/>
    <w:rsid w:val="008F2147"/>
    <w:rsid w:val="008F347C"/>
    <w:rsid w:val="008F4750"/>
    <w:rsid w:val="0090620F"/>
    <w:rsid w:val="00912C44"/>
    <w:rsid w:val="0091727F"/>
    <w:rsid w:val="0092088D"/>
    <w:rsid w:val="009208B7"/>
    <w:rsid w:val="009261BE"/>
    <w:rsid w:val="009323C1"/>
    <w:rsid w:val="009632C6"/>
    <w:rsid w:val="0099012A"/>
    <w:rsid w:val="009A046B"/>
    <w:rsid w:val="009B1492"/>
    <w:rsid w:val="009C5E96"/>
    <w:rsid w:val="009D1F09"/>
    <w:rsid w:val="009E0A36"/>
    <w:rsid w:val="009E2243"/>
    <w:rsid w:val="009F10F8"/>
    <w:rsid w:val="00A169AA"/>
    <w:rsid w:val="00A23201"/>
    <w:rsid w:val="00A4286F"/>
    <w:rsid w:val="00A43B49"/>
    <w:rsid w:val="00A442C1"/>
    <w:rsid w:val="00A61DC9"/>
    <w:rsid w:val="00A62329"/>
    <w:rsid w:val="00A87E8E"/>
    <w:rsid w:val="00A93867"/>
    <w:rsid w:val="00A969B4"/>
    <w:rsid w:val="00AA0798"/>
    <w:rsid w:val="00AC5A6A"/>
    <w:rsid w:val="00AD441F"/>
    <w:rsid w:val="00AD4D51"/>
    <w:rsid w:val="00AD51D2"/>
    <w:rsid w:val="00AD7131"/>
    <w:rsid w:val="00AD7C25"/>
    <w:rsid w:val="00AE0390"/>
    <w:rsid w:val="00AE13F0"/>
    <w:rsid w:val="00AF1775"/>
    <w:rsid w:val="00B121E2"/>
    <w:rsid w:val="00B15EE4"/>
    <w:rsid w:val="00B32B71"/>
    <w:rsid w:val="00B4248C"/>
    <w:rsid w:val="00B550D2"/>
    <w:rsid w:val="00B57D5C"/>
    <w:rsid w:val="00B71E8A"/>
    <w:rsid w:val="00B731D9"/>
    <w:rsid w:val="00B7544B"/>
    <w:rsid w:val="00B83CA7"/>
    <w:rsid w:val="00B852A3"/>
    <w:rsid w:val="00B95F8C"/>
    <w:rsid w:val="00BE27A7"/>
    <w:rsid w:val="00BF2D0D"/>
    <w:rsid w:val="00C16D42"/>
    <w:rsid w:val="00C3708F"/>
    <w:rsid w:val="00C8124C"/>
    <w:rsid w:val="00C8253A"/>
    <w:rsid w:val="00C90842"/>
    <w:rsid w:val="00CA173A"/>
    <w:rsid w:val="00CA1CDD"/>
    <w:rsid w:val="00CA37DC"/>
    <w:rsid w:val="00CD1BC0"/>
    <w:rsid w:val="00CE1601"/>
    <w:rsid w:val="00CE1ABF"/>
    <w:rsid w:val="00D00C2E"/>
    <w:rsid w:val="00D12AC0"/>
    <w:rsid w:val="00D20ED2"/>
    <w:rsid w:val="00D621E5"/>
    <w:rsid w:val="00D623F1"/>
    <w:rsid w:val="00D6301C"/>
    <w:rsid w:val="00D76529"/>
    <w:rsid w:val="00D8584B"/>
    <w:rsid w:val="00DB1B59"/>
    <w:rsid w:val="00DC5773"/>
    <w:rsid w:val="00DD1714"/>
    <w:rsid w:val="00DE32BA"/>
    <w:rsid w:val="00DE5ABB"/>
    <w:rsid w:val="00DF5F3F"/>
    <w:rsid w:val="00E00D20"/>
    <w:rsid w:val="00E07D6E"/>
    <w:rsid w:val="00E15D64"/>
    <w:rsid w:val="00E165C2"/>
    <w:rsid w:val="00E27214"/>
    <w:rsid w:val="00E30B5E"/>
    <w:rsid w:val="00E33C25"/>
    <w:rsid w:val="00E44024"/>
    <w:rsid w:val="00E45CE0"/>
    <w:rsid w:val="00E50DDF"/>
    <w:rsid w:val="00E552DE"/>
    <w:rsid w:val="00E75C5C"/>
    <w:rsid w:val="00E83512"/>
    <w:rsid w:val="00E952A4"/>
    <w:rsid w:val="00EB4C93"/>
    <w:rsid w:val="00EC06BF"/>
    <w:rsid w:val="00EC2964"/>
    <w:rsid w:val="00EC3E32"/>
    <w:rsid w:val="00EC64D1"/>
    <w:rsid w:val="00ED5BCD"/>
    <w:rsid w:val="00ED67ED"/>
    <w:rsid w:val="00EF4CE0"/>
    <w:rsid w:val="00EF71D4"/>
    <w:rsid w:val="00F05D10"/>
    <w:rsid w:val="00F20585"/>
    <w:rsid w:val="00F2257A"/>
    <w:rsid w:val="00F3526D"/>
    <w:rsid w:val="00F40A93"/>
    <w:rsid w:val="00F92F6D"/>
    <w:rsid w:val="00FA007E"/>
    <w:rsid w:val="00FA6267"/>
    <w:rsid w:val="00FB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7751B34A"/>
  <w15:docId w15:val="{6DF4317B-087A-4333-9A5F-A54FFC690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261BE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261B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9261B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9261B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9261B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qFormat/>
    <w:rsid w:val="009261BE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9261B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9261B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261B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261B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9261B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9261BE"/>
    <w:pPr>
      <w:spacing w:before="180" w:after="60"/>
      <w:jc w:val="both"/>
    </w:pPr>
  </w:style>
  <w:style w:type="paragraph" w:customStyle="1" w:styleId="CoverActName">
    <w:name w:val="CoverActNam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9261BE"/>
    <w:pPr>
      <w:tabs>
        <w:tab w:val="left" w:pos="2880"/>
      </w:tabs>
    </w:pPr>
  </w:style>
  <w:style w:type="paragraph" w:customStyle="1" w:styleId="Apara">
    <w:name w:val="A para"/>
    <w:basedOn w:val="Normal"/>
    <w:rsid w:val="009261BE"/>
    <w:pPr>
      <w:numPr>
        <w:ilvl w:val="6"/>
        <w:numId w:val="1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9261BE"/>
    <w:pPr>
      <w:numPr>
        <w:ilvl w:val="7"/>
        <w:numId w:val="1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9261BE"/>
    <w:pPr>
      <w:numPr>
        <w:ilvl w:val="8"/>
        <w:numId w:val="1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9261B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9261BE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9261B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9261BE"/>
  </w:style>
  <w:style w:type="paragraph" w:customStyle="1" w:styleId="CoverInForce">
    <w:name w:val="CoverInForce"/>
    <w:basedOn w:val="Normal"/>
    <w:rsid w:val="009261B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9261B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9261B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9261BE"/>
  </w:style>
  <w:style w:type="paragraph" w:customStyle="1" w:styleId="Aparabullet">
    <w:name w:val="A para bullet"/>
    <w:basedOn w:val="Normal"/>
    <w:rsid w:val="009261BE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9261BE"/>
  </w:style>
  <w:style w:type="paragraph" w:styleId="TOC2">
    <w:name w:val="toc 2"/>
    <w:basedOn w:val="Normal"/>
    <w:next w:val="Normal"/>
    <w:autoRedefine/>
    <w:semiHidden/>
    <w:rsid w:val="009261BE"/>
    <w:pPr>
      <w:ind w:left="240"/>
    </w:pPr>
  </w:style>
  <w:style w:type="paragraph" w:styleId="TOC3">
    <w:name w:val="toc 3"/>
    <w:basedOn w:val="Normal"/>
    <w:next w:val="Normal"/>
    <w:autoRedefine/>
    <w:semiHidden/>
    <w:rsid w:val="009261BE"/>
    <w:pPr>
      <w:ind w:left="480"/>
    </w:pPr>
  </w:style>
  <w:style w:type="paragraph" w:styleId="TOC4">
    <w:name w:val="toc 4"/>
    <w:basedOn w:val="Normal"/>
    <w:next w:val="Normal"/>
    <w:autoRedefine/>
    <w:semiHidden/>
    <w:rsid w:val="009261BE"/>
    <w:pPr>
      <w:ind w:left="720"/>
    </w:pPr>
  </w:style>
  <w:style w:type="paragraph" w:styleId="TOC5">
    <w:name w:val="toc 5"/>
    <w:basedOn w:val="Normal"/>
    <w:next w:val="Normal"/>
    <w:autoRedefine/>
    <w:semiHidden/>
    <w:rsid w:val="009261BE"/>
    <w:pPr>
      <w:ind w:left="960"/>
    </w:pPr>
  </w:style>
  <w:style w:type="paragraph" w:styleId="TOC6">
    <w:name w:val="toc 6"/>
    <w:basedOn w:val="Normal"/>
    <w:next w:val="Normal"/>
    <w:autoRedefine/>
    <w:semiHidden/>
    <w:rsid w:val="009261BE"/>
    <w:pPr>
      <w:ind w:left="1200"/>
    </w:pPr>
  </w:style>
  <w:style w:type="paragraph" w:styleId="TOC7">
    <w:name w:val="toc 7"/>
    <w:basedOn w:val="Normal"/>
    <w:next w:val="Normal"/>
    <w:autoRedefine/>
    <w:semiHidden/>
    <w:rsid w:val="009261BE"/>
    <w:pPr>
      <w:ind w:left="1440"/>
    </w:pPr>
  </w:style>
  <w:style w:type="paragraph" w:styleId="TOC8">
    <w:name w:val="toc 8"/>
    <w:basedOn w:val="Normal"/>
    <w:next w:val="Normal"/>
    <w:autoRedefine/>
    <w:semiHidden/>
    <w:rsid w:val="009261BE"/>
    <w:pPr>
      <w:ind w:left="1680"/>
    </w:pPr>
  </w:style>
  <w:style w:type="paragraph" w:styleId="TOC9">
    <w:name w:val="toc 9"/>
    <w:basedOn w:val="Normal"/>
    <w:next w:val="Normal"/>
    <w:autoRedefine/>
    <w:semiHidden/>
    <w:rsid w:val="009261BE"/>
    <w:pPr>
      <w:ind w:left="1920"/>
    </w:pPr>
  </w:style>
  <w:style w:type="character" w:styleId="Hyperlink">
    <w:name w:val="Hyperlink"/>
    <w:basedOn w:val="DefaultParagraphFont"/>
    <w:rsid w:val="009261BE"/>
    <w:rPr>
      <w:color w:val="0000FF"/>
      <w:u w:val="single"/>
    </w:rPr>
  </w:style>
  <w:style w:type="paragraph" w:styleId="BodyTextIndent">
    <w:name w:val="Body Text Indent"/>
    <w:basedOn w:val="Normal"/>
    <w:rsid w:val="009261BE"/>
    <w:pPr>
      <w:spacing w:before="120" w:after="60"/>
      <w:ind w:left="709"/>
    </w:pPr>
  </w:style>
  <w:style w:type="paragraph" w:customStyle="1" w:styleId="Minister">
    <w:name w:val="Minister"/>
    <w:basedOn w:val="Normal"/>
    <w:rsid w:val="009261B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9261B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9261B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9261BE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9261B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9261BE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9261B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9261BE"/>
  </w:style>
  <w:style w:type="paragraph" w:customStyle="1" w:styleId="BodyText1">
    <w:name w:val="Body Text 1"/>
    <w:basedOn w:val="Normal"/>
    <w:rsid w:val="009261BE"/>
    <w:pPr>
      <w:spacing w:before="240"/>
      <w:ind w:left="709"/>
      <w:jc w:val="both"/>
    </w:pPr>
    <w:rPr>
      <w:rFonts w:ascii="Arial" w:hAnsi="Arial" w:cs="Arial"/>
      <w:sz w:val="22"/>
      <w:szCs w:val="22"/>
    </w:rPr>
  </w:style>
  <w:style w:type="paragraph" w:customStyle="1" w:styleId="xl25">
    <w:name w:val="xl25"/>
    <w:basedOn w:val="Normal"/>
    <w:rsid w:val="009261BE"/>
    <w:pPr>
      <w:spacing w:before="100" w:beforeAutospacing="1" w:after="100" w:afterAutospacing="1"/>
    </w:pPr>
    <w:rPr>
      <w:szCs w:val="24"/>
    </w:rPr>
  </w:style>
  <w:style w:type="paragraph" w:customStyle="1" w:styleId="xl26">
    <w:name w:val="xl26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7">
    <w:name w:val="xl27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8">
    <w:name w:val="xl2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29">
    <w:name w:val="xl29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30">
    <w:name w:val="xl30"/>
    <w:basedOn w:val="Normal"/>
    <w:rsid w:val="009261BE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1">
    <w:name w:val="xl31"/>
    <w:basedOn w:val="Normal"/>
    <w:rsid w:val="009261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2">
    <w:name w:val="xl32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3">
    <w:name w:val="xl33"/>
    <w:basedOn w:val="Normal"/>
    <w:rsid w:val="009261BE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4">
    <w:name w:val="xl34"/>
    <w:basedOn w:val="Normal"/>
    <w:rsid w:val="009261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5">
    <w:name w:val="xl35"/>
    <w:basedOn w:val="Normal"/>
    <w:rsid w:val="009261BE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6">
    <w:name w:val="xl36"/>
    <w:basedOn w:val="Normal"/>
    <w:rsid w:val="009261B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7">
    <w:name w:val="xl37"/>
    <w:basedOn w:val="Normal"/>
    <w:rsid w:val="009261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8">
    <w:name w:val="xl38"/>
    <w:basedOn w:val="Normal"/>
    <w:rsid w:val="009261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39">
    <w:name w:val="xl39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0">
    <w:name w:val="xl40"/>
    <w:basedOn w:val="Normal"/>
    <w:rsid w:val="009261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1">
    <w:name w:val="xl41"/>
    <w:basedOn w:val="Normal"/>
    <w:rsid w:val="009261BE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2">
    <w:name w:val="xl42"/>
    <w:basedOn w:val="Normal"/>
    <w:rsid w:val="009261BE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3">
    <w:name w:val="xl43"/>
    <w:basedOn w:val="Normal"/>
    <w:rsid w:val="009261BE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4">
    <w:name w:val="xl44"/>
    <w:basedOn w:val="Normal"/>
    <w:rsid w:val="009261BE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5">
    <w:name w:val="xl45"/>
    <w:basedOn w:val="Normal"/>
    <w:rsid w:val="009261BE"/>
    <w:pPr>
      <w:pBdr>
        <w:bottom w:val="single" w:sz="8" w:space="0" w:color="auto"/>
      </w:pBdr>
      <w:spacing w:before="100" w:beforeAutospacing="1" w:after="100" w:afterAutospacing="1"/>
    </w:pPr>
    <w:rPr>
      <w:rFonts w:ascii="TimesNewRoman,Bold" w:hAnsi="TimesNewRoman,Bold"/>
      <w:b/>
      <w:bCs/>
      <w:sz w:val="32"/>
      <w:szCs w:val="32"/>
    </w:rPr>
  </w:style>
  <w:style w:type="paragraph" w:customStyle="1" w:styleId="xl46">
    <w:name w:val="xl46"/>
    <w:basedOn w:val="Normal"/>
    <w:rsid w:val="009261B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7">
    <w:name w:val="xl47"/>
    <w:basedOn w:val="Normal"/>
    <w:rsid w:val="009261BE"/>
    <w:pPr>
      <w:pBdr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48">
    <w:name w:val="xl48"/>
    <w:basedOn w:val="Normal"/>
    <w:rsid w:val="009261BE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font5">
    <w:name w:val="font5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color w:val="000000"/>
      <w:sz w:val="16"/>
      <w:szCs w:val="16"/>
    </w:rPr>
  </w:style>
  <w:style w:type="paragraph" w:customStyle="1" w:styleId="font6">
    <w:name w:val="font6"/>
    <w:basedOn w:val="Normal"/>
    <w:rsid w:val="009261BE"/>
    <w:pPr>
      <w:spacing w:before="100" w:beforeAutospacing="1" w:after="100" w:afterAutospacing="1"/>
    </w:pPr>
    <w:rPr>
      <w:rFonts w:ascii="Tahoma" w:eastAsia="Arial Unicode MS" w:hAnsi="Tahoma" w:cs="Tahoma"/>
      <w:b/>
      <w:bCs/>
      <w:color w:val="000000"/>
      <w:sz w:val="16"/>
      <w:szCs w:val="16"/>
    </w:rPr>
  </w:style>
  <w:style w:type="paragraph" w:styleId="EndnoteText">
    <w:name w:val="endnote text"/>
    <w:basedOn w:val="Normal"/>
    <w:semiHidden/>
    <w:rsid w:val="009261BE"/>
    <w:rPr>
      <w:sz w:val="20"/>
    </w:rPr>
  </w:style>
  <w:style w:type="character" w:styleId="EndnoteReference">
    <w:name w:val="endnote reference"/>
    <w:basedOn w:val="DefaultParagraphFont"/>
    <w:semiHidden/>
    <w:rsid w:val="009261BE"/>
    <w:rPr>
      <w:vertAlign w:val="superscript"/>
    </w:rPr>
  </w:style>
  <w:style w:type="paragraph" w:styleId="BalloonText">
    <w:name w:val="Balloon Text"/>
    <w:basedOn w:val="Normal"/>
    <w:semiHidden/>
    <w:rsid w:val="009261B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9261BE"/>
    <w:pPr>
      <w:spacing w:before="100" w:beforeAutospacing="1" w:after="100" w:afterAutospacing="1"/>
    </w:pPr>
    <w:rPr>
      <w:szCs w:val="24"/>
      <w:lang w:eastAsia="en-AU"/>
    </w:rPr>
  </w:style>
  <w:style w:type="paragraph" w:styleId="ListParagraph">
    <w:name w:val="List Paragraph"/>
    <w:basedOn w:val="Normal"/>
    <w:uiPriority w:val="34"/>
    <w:qFormat/>
    <w:rsid w:val="00866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4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7B115-7F69-4045-85B7-6D9566066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1400</Characters>
  <Application>Microsoft Office Word</Application>
  <DocSecurity>0</DocSecurity>
  <Lines>40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1637</CharactersWithSpaces>
  <SharedDoc>false</SharedDoc>
  <HLinks>
    <vt:vector size="12" baseType="variant">
      <vt:variant>
        <vt:i4>8323196</vt:i4>
      </vt:variant>
      <vt:variant>
        <vt:i4>3</vt:i4>
      </vt:variant>
      <vt:variant>
        <vt:i4>0</vt:i4>
      </vt:variant>
      <vt:variant>
        <vt:i4>5</vt:i4>
      </vt:variant>
      <vt:variant>
        <vt:lpwstr>http://www.legislation.act.gov.au/</vt:lpwstr>
      </vt:variant>
      <vt:variant>
        <vt:lpwstr/>
      </vt:variant>
      <vt:variant>
        <vt:i4>6750261</vt:i4>
      </vt:variant>
      <vt:variant>
        <vt:i4>0</vt:i4>
      </vt:variant>
      <vt:variant>
        <vt:i4>0</vt:i4>
      </vt:variant>
      <vt:variant>
        <vt:i4>5</vt:i4>
      </vt:variant>
      <vt:variant>
        <vt:lpwstr>http://www.icrc.act.gov.au/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Ofiana, Jen</dc:creator>
  <cp:lastModifiedBy>PCODCS</cp:lastModifiedBy>
  <cp:revision>4</cp:revision>
  <cp:lastPrinted>2014-09-24T06:07:00Z</cp:lastPrinted>
  <dcterms:created xsi:type="dcterms:W3CDTF">2022-10-28T05:03:00Z</dcterms:created>
  <dcterms:modified xsi:type="dcterms:W3CDTF">2022-10-28T05:03:00Z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A39099854</vt:lpwstr>
  </property>
  <property fmtid="{D5CDD505-2E9C-101B-9397-08002B2CF9AE}" pid="4" name="Objective-Title">
    <vt:lpwstr>2022-23 Annual Licence Fees Determination (Explanatory statement)</vt:lpwstr>
  </property>
  <property fmtid="{D5CDD505-2E9C-101B-9397-08002B2CF9AE}" pid="5" name="Objective-Comment">
    <vt:lpwstr/>
  </property>
  <property fmtid="{D5CDD505-2E9C-101B-9397-08002B2CF9AE}" pid="6" name="Objective-CreationStamp">
    <vt:filetime>2022-10-19T23:06:10Z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2022-10-19T23:57:22Z</vt:filetime>
  </property>
  <property fmtid="{D5CDD505-2E9C-101B-9397-08002B2CF9AE}" pid="11" name="Objective-Owner">
    <vt:lpwstr>Ryan Ostopowicz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Levies:2022-23 Fees and Levies:07 Instruments:Fee:</vt:lpwstr>
  </property>
  <property fmtid="{D5CDD505-2E9C-101B-9397-08002B2CF9AE}" pid="13" name="Objective-Parent">
    <vt:lpwstr>Fee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1.1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1-2022/64755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CRA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/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ICRC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