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4B4AD" w14:textId="77777777" w:rsidR="00790FE4" w:rsidRPr="008C3B92" w:rsidRDefault="00790FE4" w:rsidP="007F3D56">
      <w:pPr>
        <w:spacing w:after="0"/>
        <w:rPr>
          <w:rFonts w:ascii="Arial" w:hAnsi="Arial" w:cs="Arial"/>
          <w:b/>
          <w:bCs/>
          <w:sz w:val="24"/>
          <w:szCs w:val="24"/>
        </w:rPr>
      </w:pPr>
    </w:p>
    <w:p w14:paraId="42440CF1" w14:textId="77777777" w:rsidR="00790FE4" w:rsidRPr="008C3B92" w:rsidRDefault="00790FE4" w:rsidP="007F3D56">
      <w:pPr>
        <w:spacing w:after="0"/>
        <w:rPr>
          <w:rFonts w:ascii="Arial" w:hAnsi="Arial" w:cs="Arial"/>
          <w:b/>
          <w:bCs/>
          <w:sz w:val="24"/>
          <w:szCs w:val="24"/>
        </w:rPr>
      </w:pPr>
    </w:p>
    <w:p w14:paraId="47B146F4" w14:textId="237BF2D4" w:rsidR="00BB387E" w:rsidRPr="00BB387E" w:rsidRDefault="00414BA9" w:rsidP="00BB387E">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B27DD8">
        <w:rPr>
          <w:rFonts w:ascii="Arial" w:hAnsi="Arial" w:cs="Arial"/>
          <w:b/>
          <w:bCs/>
          <w:sz w:val="24"/>
          <w:szCs w:val="24"/>
        </w:rPr>
        <w:t>2</w:t>
      </w:r>
    </w:p>
    <w:p w14:paraId="76FBCA77" w14:textId="77777777" w:rsidR="00BB387E" w:rsidRPr="00BB387E" w:rsidRDefault="00BB387E" w:rsidP="00BB387E">
      <w:pPr>
        <w:spacing w:after="0"/>
        <w:jc w:val="center"/>
        <w:rPr>
          <w:rFonts w:ascii="Arial" w:hAnsi="Arial" w:cs="Arial"/>
          <w:b/>
          <w:sz w:val="24"/>
          <w:szCs w:val="24"/>
        </w:rPr>
      </w:pPr>
    </w:p>
    <w:p w14:paraId="3493308A" w14:textId="77777777" w:rsidR="00BB387E" w:rsidRPr="00BB387E" w:rsidRDefault="00BB387E" w:rsidP="00BB387E">
      <w:pPr>
        <w:spacing w:after="0"/>
        <w:jc w:val="center"/>
        <w:rPr>
          <w:rFonts w:ascii="Arial" w:hAnsi="Arial" w:cs="Arial"/>
          <w:b/>
          <w:sz w:val="24"/>
          <w:szCs w:val="24"/>
        </w:rPr>
      </w:pPr>
    </w:p>
    <w:p w14:paraId="0DB9FAF9" w14:textId="77777777" w:rsidR="00BB387E" w:rsidRPr="00BB387E" w:rsidRDefault="00BB387E" w:rsidP="00BB387E">
      <w:pPr>
        <w:spacing w:after="0"/>
        <w:jc w:val="center"/>
        <w:rPr>
          <w:rFonts w:ascii="Arial" w:hAnsi="Arial" w:cs="Arial"/>
          <w:b/>
          <w:sz w:val="24"/>
          <w:szCs w:val="24"/>
        </w:rPr>
      </w:pPr>
    </w:p>
    <w:p w14:paraId="32DDD7F5" w14:textId="77777777" w:rsidR="00BB387E" w:rsidRPr="00BB387E" w:rsidRDefault="00BB387E" w:rsidP="00BB387E">
      <w:pPr>
        <w:spacing w:after="0"/>
        <w:jc w:val="center"/>
        <w:rPr>
          <w:rFonts w:ascii="Arial" w:hAnsi="Arial" w:cs="Arial"/>
          <w:b/>
          <w:sz w:val="24"/>
          <w:szCs w:val="24"/>
        </w:rPr>
      </w:pPr>
    </w:p>
    <w:p w14:paraId="03B2A002" w14:textId="77777777" w:rsidR="00BB387E" w:rsidRPr="00BB387E" w:rsidRDefault="00BB387E" w:rsidP="00BB387E">
      <w:pPr>
        <w:spacing w:after="0"/>
        <w:jc w:val="center"/>
        <w:rPr>
          <w:rFonts w:ascii="Arial" w:hAnsi="Arial" w:cs="Arial"/>
          <w:b/>
          <w:bCs/>
          <w:sz w:val="24"/>
          <w:szCs w:val="24"/>
        </w:rPr>
      </w:pPr>
    </w:p>
    <w:p w14:paraId="76B12392" w14:textId="77777777" w:rsidR="00BB387E" w:rsidRPr="00BB387E" w:rsidRDefault="00BB387E" w:rsidP="00BB387E">
      <w:pPr>
        <w:spacing w:after="0"/>
        <w:jc w:val="center"/>
        <w:rPr>
          <w:rFonts w:ascii="Arial" w:hAnsi="Arial" w:cs="Arial"/>
          <w:b/>
          <w:bCs/>
          <w:sz w:val="24"/>
          <w:szCs w:val="24"/>
        </w:rPr>
      </w:pPr>
    </w:p>
    <w:p w14:paraId="04AE96BF" w14:textId="77777777" w:rsidR="00BB387E" w:rsidRPr="00BB387E" w:rsidRDefault="00BB387E" w:rsidP="00BB387E">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38D9D6DC" w14:textId="77777777" w:rsidR="00BB387E" w:rsidRPr="00BB387E" w:rsidRDefault="00BB387E" w:rsidP="00BB387E">
      <w:pPr>
        <w:spacing w:after="0"/>
        <w:jc w:val="center"/>
        <w:rPr>
          <w:rFonts w:ascii="Arial" w:hAnsi="Arial" w:cs="Arial"/>
          <w:b/>
          <w:sz w:val="24"/>
          <w:szCs w:val="24"/>
        </w:rPr>
      </w:pPr>
      <w:r w:rsidRPr="00BB387E">
        <w:rPr>
          <w:rFonts w:ascii="Arial" w:hAnsi="Arial" w:cs="Arial"/>
          <w:b/>
          <w:bCs/>
          <w:sz w:val="24"/>
          <w:szCs w:val="24"/>
        </w:rPr>
        <w:t>AUSTRALIAN CAPITAL TERRITORY</w:t>
      </w:r>
    </w:p>
    <w:p w14:paraId="1814759D" w14:textId="77777777" w:rsidR="00BB387E" w:rsidRPr="00BB387E" w:rsidRDefault="00BB387E" w:rsidP="00BB387E">
      <w:pPr>
        <w:spacing w:after="0"/>
        <w:jc w:val="center"/>
        <w:rPr>
          <w:rFonts w:ascii="Arial" w:hAnsi="Arial" w:cs="Arial"/>
          <w:b/>
          <w:sz w:val="24"/>
          <w:szCs w:val="24"/>
        </w:rPr>
      </w:pPr>
    </w:p>
    <w:p w14:paraId="63F0CAA5" w14:textId="77777777" w:rsidR="00BB387E" w:rsidRPr="00BB387E" w:rsidRDefault="00BB387E" w:rsidP="00BB387E">
      <w:pPr>
        <w:spacing w:after="0"/>
        <w:jc w:val="center"/>
        <w:rPr>
          <w:rFonts w:ascii="Arial" w:hAnsi="Arial" w:cs="Arial"/>
          <w:b/>
          <w:sz w:val="24"/>
          <w:szCs w:val="24"/>
        </w:rPr>
      </w:pPr>
    </w:p>
    <w:p w14:paraId="279B0824" w14:textId="77777777" w:rsidR="00BB387E" w:rsidRPr="00BB387E" w:rsidRDefault="00BB387E" w:rsidP="00BB387E">
      <w:pPr>
        <w:spacing w:after="0"/>
        <w:jc w:val="center"/>
        <w:rPr>
          <w:rFonts w:ascii="Arial" w:hAnsi="Arial" w:cs="Arial"/>
          <w:b/>
          <w:sz w:val="24"/>
          <w:szCs w:val="24"/>
        </w:rPr>
      </w:pPr>
    </w:p>
    <w:p w14:paraId="01940BA6" w14:textId="77777777" w:rsidR="00BB387E" w:rsidRPr="00BB387E" w:rsidRDefault="00BB387E" w:rsidP="00BB387E">
      <w:pPr>
        <w:spacing w:after="0"/>
        <w:jc w:val="center"/>
        <w:rPr>
          <w:rFonts w:ascii="Arial" w:hAnsi="Arial" w:cs="Arial"/>
          <w:b/>
          <w:sz w:val="24"/>
          <w:szCs w:val="24"/>
        </w:rPr>
      </w:pPr>
    </w:p>
    <w:p w14:paraId="278F861F" w14:textId="77777777" w:rsidR="00BB387E" w:rsidRPr="00BB387E" w:rsidRDefault="00BB387E" w:rsidP="00BB387E">
      <w:pPr>
        <w:spacing w:after="0"/>
        <w:jc w:val="center"/>
        <w:rPr>
          <w:rFonts w:ascii="Arial" w:hAnsi="Arial" w:cs="Arial"/>
          <w:b/>
          <w:sz w:val="24"/>
          <w:szCs w:val="24"/>
        </w:rPr>
      </w:pPr>
    </w:p>
    <w:p w14:paraId="48190A2F" w14:textId="77777777" w:rsidR="00BB387E" w:rsidRPr="00BB387E" w:rsidRDefault="00BB387E" w:rsidP="00BB387E">
      <w:pPr>
        <w:spacing w:after="0"/>
        <w:jc w:val="center"/>
        <w:rPr>
          <w:rFonts w:ascii="Arial" w:hAnsi="Arial" w:cs="Arial"/>
          <w:b/>
          <w:sz w:val="24"/>
          <w:szCs w:val="24"/>
        </w:rPr>
      </w:pPr>
    </w:p>
    <w:p w14:paraId="03A897E3" w14:textId="77777777" w:rsidR="00BB387E" w:rsidRPr="00BB387E" w:rsidRDefault="00BB387E" w:rsidP="00BB387E">
      <w:pPr>
        <w:spacing w:after="0"/>
        <w:jc w:val="center"/>
        <w:rPr>
          <w:rFonts w:ascii="Arial" w:hAnsi="Arial" w:cs="Arial"/>
          <w:b/>
          <w:sz w:val="24"/>
          <w:szCs w:val="24"/>
        </w:rPr>
      </w:pPr>
    </w:p>
    <w:p w14:paraId="75D7A359" w14:textId="77777777" w:rsidR="00BB387E" w:rsidRPr="00BB387E" w:rsidRDefault="00BB387E" w:rsidP="00BB387E">
      <w:pPr>
        <w:spacing w:after="0"/>
        <w:jc w:val="center"/>
        <w:rPr>
          <w:rFonts w:ascii="Arial" w:hAnsi="Arial" w:cs="Arial"/>
          <w:b/>
          <w:sz w:val="24"/>
          <w:szCs w:val="24"/>
        </w:rPr>
      </w:pPr>
    </w:p>
    <w:p w14:paraId="6CA27CE6" w14:textId="77777777" w:rsidR="00BB387E" w:rsidRPr="00BB387E" w:rsidRDefault="00BB387E" w:rsidP="00BB387E">
      <w:pPr>
        <w:spacing w:after="0"/>
        <w:jc w:val="center"/>
        <w:rPr>
          <w:rFonts w:ascii="Arial" w:hAnsi="Arial" w:cs="Arial"/>
          <w:b/>
          <w:sz w:val="24"/>
          <w:szCs w:val="24"/>
        </w:rPr>
      </w:pPr>
    </w:p>
    <w:p w14:paraId="309E6F3A" w14:textId="77777777" w:rsidR="00BB387E" w:rsidRPr="00BB387E" w:rsidRDefault="00BB387E" w:rsidP="00BB387E">
      <w:pPr>
        <w:spacing w:after="0"/>
        <w:jc w:val="center"/>
        <w:rPr>
          <w:rFonts w:ascii="Arial" w:hAnsi="Arial" w:cs="Arial"/>
          <w:b/>
          <w:sz w:val="24"/>
          <w:szCs w:val="24"/>
        </w:rPr>
      </w:pPr>
    </w:p>
    <w:p w14:paraId="69918477" w14:textId="1E9D7FF9" w:rsidR="00741C4A" w:rsidRPr="00741C4A" w:rsidRDefault="00B27DD8" w:rsidP="00741C4A">
      <w:pPr>
        <w:spacing w:after="0"/>
        <w:jc w:val="center"/>
        <w:rPr>
          <w:rFonts w:ascii="Arial" w:hAnsi="Arial" w:cs="Arial"/>
          <w:b/>
          <w:bCs/>
          <w:sz w:val="24"/>
          <w:szCs w:val="24"/>
        </w:rPr>
      </w:pPr>
      <w:r>
        <w:rPr>
          <w:rFonts w:ascii="Arial" w:hAnsi="Arial" w:cs="Arial"/>
          <w:b/>
          <w:bCs/>
          <w:sz w:val="24"/>
          <w:szCs w:val="24"/>
        </w:rPr>
        <w:t>Long Service Leave (Portable Schemes) Amendment</w:t>
      </w:r>
      <w:r w:rsidR="006D7F01" w:rsidRPr="00741C4A">
        <w:rPr>
          <w:rFonts w:ascii="Arial" w:hAnsi="Arial" w:cs="Arial"/>
          <w:b/>
          <w:bCs/>
          <w:sz w:val="24"/>
          <w:szCs w:val="24"/>
        </w:rPr>
        <w:t xml:space="preserve"> </w:t>
      </w:r>
      <w:r w:rsidR="00741C4A" w:rsidRPr="00741C4A">
        <w:rPr>
          <w:rFonts w:ascii="Arial" w:hAnsi="Arial" w:cs="Arial"/>
          <w:b/>
          <w:bCs/>
          <w:sz w:val="24"/>
          <w:szCs w:val="24"/>
        </w:rPr>
        <w:t>B</w:t>
      </w:r>
      <w:r w:rsidR="00C1746F">
        <w:rPr>
          <w:rFonts w:ascii="Arial" w:hAnsi="Arial" w:cs="Arial"/>
          <w:b/>
          <w:bCs/>
          <w:sz w:val="24"/>
          <w:szCs w:val="24"/>
        </w:rPr>
        <w:t>ill</w:t>
      </w:r>
      <w:r w:rsidR="00741C4A" w:rsidRPr="00741C4A">
        <w:rPr>
          <w:rFonts w:ascii="Arial" w:hAnsi="Arial" w:cs="Arial"/>
          <w:b/>
          <w:bCs/>
          <w:sz w:val="24"/>
          <w:szCs w:val="24"/>
        </w:rPr>
        <w:t xml:space="preserve"> </w:t>
      </w:r>
      <w:r w:rsidR="00414BA9" w:rsidRPr="00741C4A">
        <w:rPr>
          <w:rFonts w:ascii="Arial" w:hAnsi="Arial" w:cs="Arial"/>
          <w:b/>
          <w:bCs/>
          <w:sz w:val="24"/>
          <w:szCs w:val="24"/>
        </w:rPr>
        <w:t>20</w:t>
      </w:r>
      <w:r w:rsidR="00414BA9">
        <w:rPr>
          <w:rFonts w:ascii="Arial" w:hAnsi="Arial" w:cs="Arial"/>
          <w:b/>
          <w:bCs/>
          <w:sz w:val="24"/>
          <w:szCs w:val="24"/>
        </w:rPr>
        <w:t>2</w:t>
      </w:r>
      <w:r w:rsidR="00965F0B">
        <w:rPr>
          <w:rFonts w:ascii="Arial" w:hAnsi="Arial" w:cs="Arial"/>
          <w:b/>
          <w:bCs/>
          <w:sz w:val="24"/>
          <w:szCs w:val="24"/>
        </w:rPr>
        <w:t>2</w:t>
      </w:r>
    </w:p>
    <w:p w14:paraId="19F3C407" w14:textId="77777777" w:rsidR="00BB387E" w:rsidRPr="00BB387E" w:rsidRDefault="00BB387E" w:rsidP="00BB387E">
      <w:pPr>
        <w:spacing w:after="0"/>
        <w:jc w:val="center"/>
        <w:rPr>
          <w:rFonts w:ascii="Arial" w:hAnsi="Arial" w:cs="Arial"/>
          <w:b/>
          <w:bCs/>
          <w:sz w:val="24"/>
          <w:szCs w:val="24"/>
        </w:rPr>
      </w:pPr>
    </w:p>
    <w:p w14:paraId="37B3F0B9" w14:textId="77777777" w:rsidR="00BB387E" w:rsidRPr="00BB387E" w:rsidRDefault="00BB387E" w:rsidP="00BB387E">
      <w:pPr>
        <w:spacing w:after="0"/>
        <w:jc w:val="center"/>
        <w:rPr>
          <w:rFonts w:ascii="Arial" w:hAnsi="Arial" w:cs="Arial"/>
          <w:b/>
          <w:sz w:val="24"/>
          <w:szCs w:val="24"/>
        </w:rPr>
      </w:pPr>
    </w:p>
    <w:p w14:paraId="0D26BB2F" w14:textId="77777777" w:rsidR="00BB387E" w:rsidRPr="00BB387E" w:rsidRDefault="00BB387E" w:rsidP="00BB387E">
      <w:pPr>
        <w:spacing w:after="0"/>
        <w:jc w:val="center"/>
        <w:rPr>
          <w:rFonts w:ascii="Arial" w:hAnsi="Arial" w:cs="Arial"/>
          <w:b/>
          <w:bCs/>
          <w:sz w:val="24"/>
          <w:szCs w:val="24"/>
        </w:rPr>
      </w:pPr>
    </w:p>
    <w:p w14:paraId="588053E2" w14:textId="77777777" w:rsidR="00BC3EF0" w:rsidRDefault="00BB387E" w:rsidP="00BB387E">
      <w:pPr>
        <w:spacing w:after="0"/>
        <w:jc w:val="center"/>
        <w:rPr>
          <w:rFonts w:ascii="Arial" w:hAnsi="Arial" w:cs="Arial"/>
          <w:b/>
          <w:bCs/>
          <w:sz w:val="24"/>
          <w:szCs w:val="24"/>
        </w:rPr>
      </w:pPr>
      <w:r w:rsidRPr="00BB387E">
        <w:rPr>
          <w:rFonts w:ascii="Arial" w:hAnsi="Arial" w:cs="Arial"/>
          <w:b/>
          <w:bCs/>
          <w:sz w:val="24"/>
          <w:szCs w:val="24"/>
        </w:rPr>
        <w:t>EXPLANATORY STATEMENT</w:t>
      </w:r>
      <w:r w:rsidR="00BC3EF0">
        <w:rPr>
          <w:rFonts w:ascii="Arial" w:hAnsi="Arial" w:cs="Arial"/>
          <w:b/>
          <w:bCs/>
          <w:sz w:val="24"/>
          <w:szCs w:val="24"/>
        </w:rPr>
        <w:t xml:space="preserve"> </w:t>
      </w:r>
    </w:p>
    <w:p w14:paraId="06C942D2" w14:textId="5211A683" w:rsidR="00BC3EF0" w:rsidRDefault="00BC3EF0" w:rsidP="00BB387E">
      <w:pPr>
        <w:spacing w:after="0"/>
        <w:jc w:val="center"/>
        <w:rPr>
          <w:rFonts w:ascii="Arial" w:hAnsi="Arial" w:cs="Arial"/>
          <w:b/>
          <w:bCs/>
          <w:sz w:val="24"/>
          <w:szCs w:val="24"/>
        </w:rPr>
      </w:pPr>
      <w:r>
        <w:rPr>
          <w:rFonts w:ascii="Arial" w:hAnsi="Arial" w:cs="Arial"/>
          <w:b/>
          <w:bCs/>
          <w:sz w:val="24"/>
          <w:szCs w:val="24"/>
        </w:rPr>
        <w:t>and</w:t>
      </w:r>
    </w:p>
    <w:p w14:paraId="21E7A29D" w14:textId="03EF1A1B" w:rsidR="00BB387E" w:rsidRDefault="00BC3EF0" w:rsidP="00BB387E">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00B32D69" w14:textId="797A78E0" w:rsidR="00BC3EF0" w:rsidRPr="00BB387E" w:rsidRDefault="00BC3EF0" w:rsidP="00BB387E">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4E561EC7" w14:textId="77777777" w:rsidR="00BB387E" w:rsidRPr="00BB387E" w:rsidRDefault="00BB387E" w:rsidP="00BB387E">
      <w:pPr>
        <w:spacing w:after="0"/>
        <w:jc w:val="center"/>
        <w:rPr>
          <w:rFonts w:ascii="Arial" w:hAnsi="Arial" w:cs="Arial"/>
          <w:b/>
          <w:sz w:val="24"/>
          <w:szCs w:val="24"/>
        </w:rPr>
      </w:pPr>
    </w:p>
    <w:p w14:paraId="58E7858B" w14:textId="77777777" w:rsidR="00BB387E" w:rsidRPr="00BB387E" w:rsidRDefault="00BB387E" w:rsidP="00BB387E">
      <w:pPr>
        <w:spacing w:after="0"/>
        <w:jc w:val="center"/>
        <w:rPr>
          <w:rFonts w:ascii="Arial" w:hAnsi="Arial" w:cs="Arial"/>
          <w:b/>
          <w:sz w:val="24"/>
          <w:szCs w:val="24"/>
        </w:rPr>
      </w:pPr>
    </w:p>
    <w:p w14:paraId="44FB09C0" w14:textId="77777777" w:rsidR="00BB387E" w:rsidRPr="00BB387E" w:rsidRDefault="00BB387E" w:rsidP="00BB387E">
      <w:pPr>
        <w:spacing w:after="0"/>
        <w:jc w:val="center"/>
        <w:rPr>
          <w:rFonts w:ascii="Arial" w:hAnsi="Arial" w:cs="Arial"/>
          <w:b/>
          <w:sz w:val="24"/>
          <w:szCs w:val="24"/>
        </w:rPr>
      </w:pPr>
    </w:p>
    <w:p w14:paraId="6DB1E5EF" w14:textId="77777777" w:rsidR="00BB387E" w:rsidRPr="00BB387E" w:rsidRDefault="00BB387E" w:rsidP="00BB387E">
      <w:pPr>
        <w:spacing w:after="0"/>
        <w:jc w:val="center"/>
        <w:rPr>
          <w:rFonts w:ascii="Arial" w:hAnsi="Arial" w:cs="Arial"/>
          <w:b/>
          <w:sz w:val="24"/>
          <w:szCs w:val="24"/>
        </w:rPr>
      </w:pPr>
    </w:p>
    <w:p w14:paraId="5CCF0433" w14:textId="77777777" w:rsidR="00BB387E" w:rsidRPr="00BB387E" w:rsidRDefault="00BB387E" w:rsidP="00BB387E">
      <w:pPr>
        <w:keepNext/>
        <w:widowControl w:val="0"/>
        <w:spacing w:after="0"/>
        <w:jc w:val="center"/>
        <w:outlineLvl w:val="7"/>
        <w:rPr>
          <w:rFonts w:ascii="Arial" w:hAnsi="Arial" w:cs="Arial"/>
          <w:b/>
          <w:bCs/>
          <w:sz w:val="24"/>
          <w:szCs w:val="24"/>
        </w:rPr>
      </w:pPr>
    </w:p>
    <w:p w14:paraId="0CE0F478" w14:textId="77777777" w:rsidR="00BB387E" w:rsidRPr="00BB387E" w:rsidRDefault="00BB387E" w:rsidP="00BB387E">
      <w:pPr>
        <w:keepNext/>
        <w:widowControl w:val="0"/>
        <w:spacing w:after="0"/>
        <w:jc w:val="center"/>
        <w:outlineLvl w:val="7"/>
        <w:rPr>
          <w:rFonts w:ascii="Arial" w:hAnsi="Arial" w:cs="Arial"/>
          <w:b/>
          <w:bCs/>
          <w:sz w:val="24"/>
          <w:szCs w:val="24"/>
        </w:rPr>
      </w:pPr>
    </w:p>
    <w:p w14:paraId="2D0F4E33" w14:textId="77777777" w:rsidR="00BB387E" w:rsidRPr="00BB387E" w:rsidRDefault="00BB387E" w:rsidP="00BB387E">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5BBE2D1D" w14:textId="6FDA62E9" w:rsidR="00BB387E" w:rsidRDefault="00B27DD8" w:rsidP="00BB387E">
      <w:pPr>
        <w:spacing w:after="0"/>
        <w:ind w:right="686"/>
        <w:jc w:val="right"/>
        <w:rPr>
          <w:rFonts w:ascii="Arial" w:hAnsi="Arial" w:cs="Arial"/>
          <w:b/>
          <w:bCs/>
          <w:sz w:val="24"/>
          <w:szCs w:val="24"/>
        </w:rPr>
      </w:pPr>
      <w:r>
        <w:rPr>
          <w:rFonts w:ascii="Arial" w:hAnsi="Arial" w:cs="Arial"/>
          <w:b/>
          <w:bCs/>
          <w:sz w:val="24"/>
          <w:szCs w:val="24"/>
        </w:rPr>
        <w:t xml:space="preserve">Mick Gentleman </w:t>
      </w:r>
      <w:r w:rsidR="00E954A1">
        <w:rPr>
          <w:rFonts w:ascii="Arial" w:hAnsi="Arial" w:cs="Arial"/>
          <w:b/>
          <w:bCs/>
          <w:sz w:val="24"/>
          <w:szCs w:val="24"/>
        </w:rPr>
        <w:t>MLA</w:t>
      </w:r>
    </w:p>
    <w:p w14:paraId="28118483" w14:textId="5D9123EE" w:rsidR="00B27DD8" w:rsidRPr="00BB387E" w:rsidRDefault="00B27DD8" w:rsidP="00BB387E">
      <w:pPr>
        <w:spacing w:after="0"/>
        <w:ind w:right="686"/>
        <w:jc w:val="right"/>
        <w:rPr>
          <w:rFonts w:ascii="Arial" w:hAnsi="Arial" w:cs="Arial"/>
          <w:b/>
          <w:bCs/>
          <w:sz w:val="24"/>
          <w:szCs w:val="24"/>
        </w:rPr>
      </w:pPr>
      <w:r>
        <w:rPr>
          <w:rFonts w:ascii="Arial" w:hAnsi="Arial" w:cs="Arial"/>
          <w:b/>
          <w:bCs/>
          <w:sz w:val="24"/>
          <w:szCs w:val="24"/>
        </w:rPr>
        <w:t>Minister for Industrial Relations and Workplace Safety</w:t>
      </w:r>
    </w:p>
    <w:p w14:paraId="29D58DC6" w14:textId="77777777" w:rsidR="00DC5912" w:rsidRPr="008C3B92" w:rsidRDefault="00DC5912">
      <w:pPr>
        <w:spacing w:after="0" w:line="240" w:lineRule="auto"/>
        <w:rPr>
          <w:rFonts w:ascii="Arial" w:hAnsi="Arial" w:cs="Arial"/>
          <w:b/>
          <w:bCs/>
          <w:sz w:val="24"/>
          <w:szCs w:val="24"/>
          <w:u w:val="single"/>
        </w:rPr>
        <w:sectPr w:rsidR="00DC5912" w:rsidRPr="008C3B92" w:rsidSect="00DC5912">
          <w:headerReference w:type="even" r:id="rId9"/>
          <w:headerReference w:type="default" r:id="rId10"/>
          <w:footerReference w:type="even" r:id="rId11"/>
          <w:footerReference w:type="default" r:id="rId12"/>
          <w:headerReference w:type="first" r:id="rId13"/>
          <w:footerReference w:type="first" r:id="rId14"/>
          <w:pgSz w:w="11906" w:h="16838"/>
          <w:pgMar w:top="1276" w:right="1440" w:bottom="1440" w:left="1440" w:header="709" w:footer="675" w:gutter="0"/>
          <w:pgNumType w:start="1"/>
          <w:cols w:space="708"/>
          <w:docGrid w:linePitch="360"/>
        </w:sectPr>
      </w:pPr>
      <w:r w:rsidRPr="008C3B92">
        <w:rPr>
          <w:rFonts w:ascii="Arial" w:hAnsi="Arial" w:cs="Arial"/>
          <w:b/>
          <w:bCs/>
          <w:sz w:val="24"/>
          <w:szCs w:val="24"/>
          <w:u w:val="single"/>
        </w:rPr>
        <w:br w:type="page"/>
      </w:r>
    </w:p>
    <w:p w14:paraId="00ACAF6A" w14:textId="2256B363" w:rsidR="00ED3B77" w:rsidRPr="00BB387E" w:rsidRDefault="00B27DD8" w:rsidP="008C225D">
      <w:pPr>
        <w:pStyle w:val="Heading1"/>
        <w:jc w:val="center"/>
      </w:pPr>
      <w:r>
        <w:lastRenderedPageBreak/>
        <w:t xml:space="preserve">Long Service Leave (Portable Schemes) Amendment </w:t>
      </w:r>
      <w:r w:rsidR="00ED3B77" w:rsidRPr="00BB387E">
        <w:t>B</w:t>
      </w:r>
      <w:r w:rsidR="00C1746F">
        <w:t>ill</w:t>
      </w:r>
      <w:r w:rsidR="00ED3B77" w:rsidRPr="00BB387E">
        <w:t xml:space="preserve"> </w:t>
      </w:r>
      <w:r w:rsidR="005B7158" w:rsidRPr="00BB387E">
        <w:t>20</w:t>
      </w:r>
      <w:r w:rsidR="005B7158">
        <w:t>2</w:t>
      </w:r>
      <w:r>
        <w:t>2</w:t>
      </w:r>
    </w:p>
    <w:p w14:paraId="7BCE1DB4" w14:textId="77777777" w:rsidR="004412E1" w:rsidRDefault="004412E1" w:rsidP="007F3D56">
      <w:pPr>
        <w:spacing w:after="0"/>
        <w:contextualSpacing/>
        <w:rPr>
          <w:rFonts w:ascii="Arial" w:hAnsi="Arial" w:cs="Arial"/>
          <w:bCs/>
          <w:sz w:val="24"/>
          <w:szCs w:val="24"/>
        </w:rPr>
      </w:pPr>
    </w:p>
    <w:p w14:paraId="157D43A5" w14:textId="77777777" w:rsidR="004412E1" w:rsidRDefault="004412E1" w:rsidP="007F3D56">
      <w:pPr>
        <w:spacing w:after="0"/>
        <w:contextualSpacing/>
        <w:rPr>
          <w:rFonts w:ascii="Arial" w:hAnsi="Arial" w:cs="Arial"/>
          <w:bCs/>
          <w:sz w:val="24"/>
          <w:szCs w:val="24"/>
        </w:rPr>
      </w:pPr>
    </w:p>
    <w:p w14:paraId="1C55190C" w14:textId="63B0ECE7" w:rsidR="00790FE4" w:rsidRPr="00834FC9" w:rsidRDefault="00834FC9" w:rsidP="007F3D56">
      <w:pPr>
        <w:spacing w:after="0"/>
        <w:contextualSpacing/>
        <w:rPr>
          <w:rFonts w:ascii="Arial" w:hAnsi="Arial" w:cs="Arial"/>
          <w:bCs/>
          <w:sz w:val="24"/>
          <w:szCs w:val="24"/>
        </w:rPr>
      </w:pPr>
      <w:r w:rsidRPr="00834FC9">
        <w:rPr>
          <w:rFonts w:ascii="Arial" w:hAnsi="Arial" w:cs="Arial"/>
          <w:bCs/>
          <w:sz w:val="24"/>
          <w:szCs w:val="24"/>
        </w:rPr>
        <w:t xml:space="preserve">The Bill </w:t>
      </w:r>
      <w:r w:rsidRPr="00834FC9">
        <w:rPr>
          <w:rFonts w:ascii="Arial" w:hAnsi="Arial" w:cs="Arial"/>
          <w:b/>
          <w:sz w:val="24"/>
          <w:szCs w:val="24"/>
        </w:rPr>
        <w:t>is</w:t>
      </w:r>
      <w:r w:rsidRPr="00834FC9">
        <w:rPr>
          <w:rFonts w:ascii="Arial" w:hAnsi="Arial" w:cs="Arial"/>
          <w:bCs/>
          <w:sz w:val="24"/>
          <w:szCs w:val="24"/>
        </w:rPr>
        <w:t xml:space="preserve"> </w:t>
      </w:r>
      <w:r w:rsidRPr="00732142">
        <w:rPr>
          <w:rFonts w:ascii="Arial" w:hAnsi="Arial" w:cs="Arial"/>
          <w:b/>
          <w:sz w:val="24"/>
          <w:szCs w:val="24"/>
        </w:rPr>
        <w:t>not</w:t>
      </w:r>
      <w:r w:rsidRPr="00834FC9">
        <w:rPr>
          <w:rFonts w:ascii="Arial" w:hAnsi="Arial" w:cs="Arial"/>
          <w:bCs/>
          <w:sz w:val="24"/>
          <w:szCs w:val="24"/>
        </w:rPr>
        <w:t xml:space="preserve"> 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Pr="00834FC9">
        <w:rPr>
          <w:rFonts w:ascii="Arial" w:hAnsi="Arial" w:cs="Arial"/>
          <w:bCs/>
          <w:sz w:val="24"/>
          <w:szCs w:val="24"/>
        </w:rPr>
        <w:t>.</w:t>
      </w:r>
    </w:p>
    <w:p w14:paraId="5E661B03" w14:textId="77777777" w:rsidR="004412E1" w:rsidRDefault="004412E1" w:rsidP="008C225D">
      <w:pPr>
        <w:pStyle w:val="Heading2"/>
      </w:pPr>
    </w:p>
    <w:p w14:paraId="29C29316" w14:textId="0198CFBC" w:rsidR="007B6A78" w:rsidRDefault="003323FA" w:rsidP="008C225D">
      <w:pPr>
        <w:pStyle w:val="Heading2"/>
      </w:pPr>
      <w:r>
        <w:t>OVERVIEW OF THE BILL</w:t>
      </w:r>
    </w:p>
    <w:p w14:paraId="59279090" w14:textId="4218D40D" w:rsidR="007B6A78" w:rsidRDefault="00B27DD8" w:rsidP="004D0E75">
      <w:pPr>
        <w:spacing w:after="120"/>
        <w:ind w:right="-45"/>
        <w:rPr>
          <w:rFonts w:ascii="Arial" w:hAnsi="Arial" w:cs="Arial"/>
          <w:iCs/>
          <w:sz w:val="24"/>
          <w:szCs w:val="24"/>
        </w:rPr>
      </w:pPr>
      <w:r>
        <w:rPr>
          <w:rFonts w:ascii="Arial" w:hAnsi="Arial" w:cs="Arial"/>
          <w:iCs/>
          <w:sz w:val="24"/>
          <w:szCs w:val="24"/>
        </w:rPr>
        <w:t xml:space="preserve">The </w:t>
      </w:r>
      <w:r>
        <w:rPr>
          <w:rFonts w:ascii="Arial" w:hAnsi="Arial" w:cs="Arial"/>
          <w:i/>
          <w:sz w:val="24"/>
          <w:szCs w:val="24"/>
        </w:rPr>
        <w:t>Long Service Leave (Portable Schemes) Act 2009</w:t>
      </w:r>
      <w:r>
        <w:rPr>
          <w:rFonts w:ascii="Arial" w:hAnsi="Arial" w:cs="Arial"/>
          <w:iCs/>
          <w:sz w:val="24"/>
          <w:szCs w:val="24"/>
        </w:rPr>
        <w:t xml:space="preserve"> (the Act) establishes portable long service leave for the following four industries: building and construction; contract cleaning; community sector; and security.</w:t>
      </w:r>
    </w:p>
    <w:p w14:paraId="4D8BD163" w14:textId="6C97C7E7" w:rsidR="00B27DD8" w:rsidRDefault="00B27DD8" w:rsidP="004D0E75">
      <w:pPr>
        <w:spacing w:after="120"/>
        <w:ind w:right="-45"/>
        <w:rPr>
          <w:rFonts w:ascii="Arial" w:hAnsi="Arial" w:cs="Arial"/>
          <w:iCs/>
          <w:sz w:val="24"/>
          <w:szCs w:val="24"/>
        </w:rPr>
      </w:pPr>
      <w:r>
        <w:rPr>
          <w:rFonts w:ascii="Arial" w:hAnsi="Arial" w:cs="Arial"/>
          <w:iCs/>
          <w:sz w:val="24"/>
          <w:szCs w:val="24"/>
        </w:rPr>
        <w:t xml:space="preserve">The Building and Construction Scheme came into effect in 1981, the Contract Cleaning </w:t>
      </w:r>
      <w:r w:rsidRPr="007278CB">
        <w:rPr>
          <w:rFonts w:ascii="Arial" w:hAnsi="Arial" w:cs="Arial"/>
          <w:iCs/>
          <w:sz w:val="24"/>
          <w:szCs w:val="24"/>
        </w:rPr>
        <w:t>Scheme</w:t>
      </w:r>
      <w:r>
        <w:rPr>
          <w:rFonts w:ascii="Arial" w:hAnsi="Arial" w:cs="Arial"/>
          <w:iCs/>
          <w:sz w:val="24"/>
          <w:szCs w:val="24"/>
        </w:rPr>
        <w:t xml:space="preserve"> in 2000, the Community Sector Scheme in 2010, and the Security Scheme in 2013. All schemes are prescribed in schedules to the Act.</w:t>
      </w:r>
    </w:p>
    <w:p w14:paraId="6CB29309" w14:textId="77777777" w:rsidR="000030C8" w:rsidRDefault="00B27DD8" w:rsidP="000030C8">
      <w:pPr>
        <w:spacing w:after="120"/>
        <w:ind w:right="-45"/>
        <w:rPr>
          <w:rFonts w:ascii="Arial" w:hAnsi="Arial" w:cs="Arial"/>
          <w:iCs/>
          <w:sz w:val="24"/>
          <w:szCs w:val="24"/>
        </w:rPr>
      </w:pPr>
      <w:r>
        <w:rPr>
          <w:rFonts w:ascii="Arial" w:hAnsi="Arial" w:cs="Arial"/>
          <w:iCs/>
          <w:sz w:val="24"/>
          <w:szCs w:val="24"/>
        </w:rPr>
        <w:t xml:space="preserve">The purpose of the Long Service Leave </w:t>
      </w:r>
      <w:r w:rsidR="004D20C1">
        <w:rPr>
          <w:rFonts w:ascii="Arial" w:hAnsi="Arial" w:cs="Arial"/>
          <w:iCs/>
          <w:sz w:val="24"/>
          <w:szCs w:val="24"/>
        </w:rPr>
        <w:t xml:space="preserve">(Portable Schemes) </w:t>
      </w:r>
      <w:r w:rsidR="00962F49">
        <w:rPr>
          <w:rFonts w:ascii="Arial" w:hAnsi="Arial" w:cs="Arial"/>
          <w:iCs/>
          <w:sz w:val="24"/>
          <w:szCs w:val="24"/>
        </w:rPr>
        <w:t>Amendment</w:t>
      </w:r>
      <w:r w:rsidR="004D20C1">
        <w:rPr>
          <w:rFonts w:ascii="Arial" w:hAnsi="Arial" w:cs="Arial"/>
          <w:iCs/>
          <w:sz w:val="24"/>
          <w:szCs w:val="24"/>
        </w:rPr>
        <w:t xml:space="preserve"> Bill 2022 is to</w:t>
      </w:r>
      <w:r w:rsidR="000030C8">
        <w:rPr>
          <w:rFonts w:ascii="Arial" w:hAnsi="Arial" w:cs="Arial"/>
          <w:iCs/>
          <w:sz w:val="24"/>
          <w:szCs w:val="24"/>
        </w:rPr>
        <w:t>:</w:t>
      </w:r>
    </w:p>
    <w:p w14:paraId="7E88F0DD" w14:textId="58937249" w:rsidR="00C1746F" w:rsidRPr="000030C8" w:rsidRDefault="000030C8" w:rsidP="000030C8">
      <w:pPr>
        <w:pStyle w:val="ListParagraph"/>
        <w:numPr>
          <w:ilvl w:val="0"/>
          <w:numId w:val="4"/>
        </w:numPr>
        <w:spacing w:after="120"/>
        <w:ind w:right="-45"/>
        <w:rPr>
          <w:rFonts w:ascii="Arial" w:hAnsi="Arial" w:cs="Arial"/>
          <w:iCs/>
          <w:sz w:val="24"/>
          <w:szCs w:val="24"/>
        </w:rPr>
      </w:pPr>
      <w:r w:rsidRPr="000030C8">
        <w:rPr>
          <w:rFonts w:ascii="Arial" w:hAnsi="Arial" w:cs="Arial"/>
          <w:iCs/>
          <w:sz w:val="24"/>
          <w:szCs w:val="24"/>
        </w:rPr>
        <w:t>expand</w:t>
      </w:r>
      <w:r w:rsidR="004D20C1" w:rsidRPr="000030C8">
        <w:rPr>
          <w:rFonts w:ascii="Arial" w:hAnsi="Arial" w:cs="Arial"/>
          <w:iCs/>
          <w:sz w:val="24"/>
          <w:szCs w:val="24"/>
        </w:rPr>
        <w:t xml:space="preserve"> </w:t>
      </w:r>
      <w:r w:rsidRPr="000030C8">
        <w:rPr>
          <w:rFonts w:ascii="Arial" w:hAnsi="Arial" w:cs="Arial"/>
          <w:iCs/>
          <w:sz w:val="24"/>
          <w:szCs w:val="24"/>
        </w:rPr>
        <w:t xml:space="preserve">access to portable long service leave, under </w:t>
      </w:r>
      <w:r w:rsidR="004D20C1" w:rsidRPr="000030C8">
        <w:rPr>
          <w:rFonts w:ascii="Arial" w:hAnsi="Arial" w:cs="Arial"/>
          <w:iCs/>
          <w:sz w:val="24"/>
          <w:szCs w:val="24"/>
        </w:rPr>
        <w:t>the</w:t>
      </w:r>
      <w:r>
        <w:rPr>
          <w:rFonts w:ascii="Arial" w:hAnsi="Arial" w:cs="Arial"/>
          <w:iCs/>
          <w:sz w:val="24"/>
          <w:szCs w:val="24"/>
        </w:rPr>
        <w:t xml:space="preserve"> Act, </w:t>
      </w:r>
      <w:r w:rsidR="004D20C1" w:rsidRPr="000030C8">
        <w:rPr>
          <w:rFonts w:ascii="Arial" w:hAnsi="Arial" w:cs="Arial"/>
          <w:iCs/>
          <w:sz w:val="24"/>
          <w:szCs w:val="24"/>
        </w:rPr>
        <w:t xml:space="preserve">to workers in the </w:t>
      </w:r>
      <w:r>
        <w:rPr>
          <w:rFonts w:ascii="Arial" w:hAnsi="Arial" w:cs="Arial"/>
          <w:iCs/>
          <w:sz w:val="24"/>
          <w:szCs w:val="24"/>
        </w:rPr>
        <w:t>h</w:t>
      </w:r>
      <w:r w:rsidR="004D20C1" w:rsidRPr="000030C8">
        <w:rPr>
          <w:rFonts w:ascii="Arial" w:hAnsi="Arial" w:cs="Arial"/>
          <w:iCs/>
          <w:sz w:val="24"/>
          <w:szCs w:val="24"/>
        </w:rPr>
        <w:t xml:space="preserve">airdressing and </w:t>
      </w:r>
      <w:r>
        <w:rPr>
          <w:rFonts w:ascii="Arial" w:hAnsi="Arial" w:cs="Arial"/>
          <w:iCs/>
          <w:sz w:val="24"/>
          <w:szCs w:val="24"/>
        </w:rPr>
        <w:t>b</w:t>
      </w:r>
      <w:r w:rsidR="004D20C1" w:rsidRPr="000030C8">
        <w:rPr>
          <w:rFonts w:ascii="Arial" w:hAnsi="Arial" w:cs="Arial"/>
          <w:iCs/>
          <w:sz w:val="24"/>
          <w:szCs w:val="24"/>
        </w:rPr>
        <w:t xml:space="preserve">eauty </w:t>
      </w:r>
      <w:r>
        <w:rPr>
          <w:rFonts w:ascii="Arial" w:hAnsi="Arial" w:cs="Arial"/>
          <w:iCs/>
          <w:sz w:val="24"/>
          <w:szCs w:val="24"/>
        </w:rPr>
        <w:t>s</w:t>
      </w:r>
      <w:r w:rsidR="004D20C1" w:rsidRPr="000030C8">
        <w:rPr>
          <w:rFonts w:ascii="Arial" w:hAnsi="Arial" w:cs="Arial"/>
          <w:iCs/>
          <w:sz w:val="24"/>
          <w:szCs w:val="24"/>
        </w:rPr>
        <w:t xml:space="preserve">ervices industry and </w:t>
      </w:r>
      <w:r>
        <w:rPr>
          <w:rFonts w:ascii="Arial" w:hAnsi="Arial" w:cs="Arial"/>
          <w:iCs/>
          <w:sz w:val="24"/>
          <w:szCs w:val="24"/>
        </w:rPr>
        <w:t>the a</w:t>
      </w:r>
      <w:r w:rsidR="004D20C1" w:rsidRPr="000030C8">
        <w:rPr>
          <w:rFonts w:ascii="Arial" w:hAnsi="Arial" w:cs="Arial"/>
          <w:iCs/>
          <w:sz w:val="24"/>
          <w:szCs w:val="24"/>
        </w:rPr>
        <w:t xml:space="preserve">ccommodation and </w:t>
      </w:r>
      <w:r>
        <w:rPr>
          <w:rFonts w:ascii="Arial" w:hAnsi="Arial" w:cs="Arial"/>
          <w:iCs/>
          <w:sz w:val="24"/>
          <w:szCs w:val="24"/>
        </w:rPr>
        <w:t>f</w:t>
      </w:r>
      <w:r w:rsidR="004D20C1" w:rsidRPr="000030C8">
        <w:rPr>
          <w:rFonts w:ascii="Arial" w:hAnsi="Arial" w:cs="Arial"/>
          <w:iCs/>
          <w:sz w:val="24"/>
          <w:szCs w:val="24"/>
        </w:rPr>
        <w:t xml:space="preserve">ood </w:t>
      </w:r>
      <w:r>
        <w:rPr>
          <w:rFonts w:ascii="Arial" w:hAnsi="Arial" w:cs="Arial"/>
          <w:iCs/>
          <w:sz w:val="24"/>
          <w:szCs w:val="24"/>
        </w:rPr>
        <w:t>s</w:t>
      </w:r>
      <w:r w:rsidR="004D20C1" w:rsidRPr="000030C8">
        <w:rPr>
          <w:rFonts w:ascii="Arial" w:hAnsi="Arial" w:cs="Arial"/>
          <w:iCs/>
          <w:sz w:val="24"/>
          <w:szCs w:val="24"/>
        </w:rPr>
        <w:t xml:space="preserve">ervices </w:t>
      </w:r>
      <w:r>
        <w:rPr>
          <w:rFonts w:ascii="Arial" w:hAnsi="Arial" w:cs="Arial"/>
          <w:iCs/>
          <w:sz w:val="24"/>
          <w:szCs w:val="24"/>
        </w:rPr>
        <w:t>i</w:t>
      </w:r>
      <w:r w:rsidR="004D20C1" w:rsidRPr="000030C8">
        <w:rPr>
          <w:rFonts w:ascii="Arial" w:hAnsi="Arial" w:cs="Arial"/>
          <w:iCs/>
          <w:sz w:val="24"/>
          <w:szCs w:val="24"/>
        </w:rPr>
        <w:t>ndustry</w:t>
      </w:r>
      <w:r w:rsidRPr="000030C8">
        <w:rPr>
          <w:rFonts w:ascii="Arial" w:hAnsi="Arial" w:cs="Arial"/>
          <w:iCs/>
          <w:sz w:val="24"/>
          <w:szCs w:val="24"/>
        </w:rPr>
        <w:t xml:space="preserve"> </w:t>
      </w:r>
      <w:r w:rsidR="00C1746F" w:rsidRPr="000030C8">
        <w:rPr>
          <w:rFonts w:ascii="Arial" w:hAnsi="Arial" w:cs="Arial"/>
          <w:iCs/>
          <w:sz w:val="24"/>
          <w:szCs w:val="24"/>
        </w:rPr>
        <w:t xml:space="preserve">to deliver on the </w:t>
      </w:r>
      <w:r w:rsidR="00C1746F" w:rsidRPr="000030C8">
        <w:rPr>
          <w:rFonts w:ascii="Arial" w:hAnsi="Arial" w:cs="Arial"/>
          <w:i/>
          <w:sz w:val="24"/>
          <w:szCs w:val="24"/>
        </w:rPr>
        <w:t>Parliamentary and Governing Agreement for the 10</w:t>
      </w:r>
      <w:r w:rsidR="00C1746F" w:rsidRPr="000030C8">
        <w:rPr>
          <w:rFonts w:ascii="Arial" w:hAnsi="Arial" w:cs="Arial"/>
          <w:i/>
          <w:sz w:val="24"/>
          <w:szCs w:val="24"/>
          <w:vertAlign w:val="superscript"/>
        </w:rPr>
        <w:t>th</w:t>
      </w:r>
      <w:r w:rsidR="00C1746F" w:rsidRPr="000030C8">
        <w:rPr>
          <w:rFonts w:ascii="Arial" w:hAnsi="Arial" w:cs="Arial"/>
          <w:i/>
          <w:sz w:val="24"/>
          <w:szCs w:val="24"/>
        </w:rPr>
        <w:t xml:space="preserve"> Legislative Assembly</w:t>
      </w:r>
      <w:r w:rsidR="00C1746F" w:rsidRPr="000030C8">
        <w:rPr>
          <w:rFonts w:ascii="Arial" w:hAnsi="Arial" w:cs="Arial"/>
          <w:iCs/>
          <w:sz w:val="24"/>
          <w:szCs w:val="24"/>
        </w:rPr>
        <w:t xml:space="preserve"> commitment to “amend the portable long service leave schemes to ensure more workers receive fair entitlements as they move jobs in their profession”</w:t>
      </w:r>
    </w:p>
    <w:p w14:paraId="5656E073" w14:textId="22B6894E" w:rsidR="007278CB" w:rsidRDefault="004F3506" w:rsidP="00962F49">
      <w:pPr>
        <w:pStyle w:val="ListParagraph"/>
        <w:numPr>
          <w:ilvl w:val="0"/>
          <w:numId w:val="4"/>
        </w:numPr>
        <w:spacing w:after="120"/>
        <w:ind w:right="-45"/>
        <w:rPr>
          <w:rFonts w:ascii="Arial" w:hAnsi="Arial" w:cs="Arial"/>
          <w:iCs/>
          <w:sz w:val="24"/>
          <w:szCs w:val="24"/>
        </w:rPr>
      </w:pPr>
      <w:r>
        <w:rPr>
          <w:rFonts w:ascii="Arial" w:hAnsi="Arial" w:cs="Arial"/>
          <w:iCs/>
          <w:sz w:val="24"/>
          <w:szCs w:val="24"/>
        </w:rPr>
        <w:t xml:space="preserve">amend the Act </w:t>
      </w:r>
      <w:r w:rsidR="000030C8">
        <w:rPr>
          <w:rFonts w:ascii="Arial" w:hAnsi="Arial" w:cs="Arial"/>
          <w:iCs/>
          <w:sz w:val="24"/>
          <w:szCs w:val="24"/>
        </w:rPr>
        <w:t xml:space="preserve">to incorporate </w:t>
      </w:r>
      <w:r>
        <w:rPr>
          <w:rFonts w:ascii="Arial" w:hAnsi="Arial" w:cs="Arial"/>
          <w:iCs/>
          <w:sz w:val="24"/>
          <w:szCs w:val="24"/>
        </w:rPr>
        <w:t xml:space="preserve">the </w:t>
      </w:r>
      <w:r w:rsidR="000878C4">
        <w:rPr>
          <w:rFonts w:ascii="Arial" w:hAnsi="Arial" w:cs="Arial"/>
          <w:iCs/>
          <w:sz w:val="24"/>
          <w:szCs w:val="24"/>
        </w:rPr>
        <w:t xml:space="preserve">hairdressing and beauty services industry and </w:t>
      </w:r>
      <w:r w:rsidR="000030C8">
        <w:rPr>
          <w:rFonts w:ascii="Arial" w:hAnsi="Arial" w:cs="Arial"/>
          <w:iCs/>
          <w:sz w:val="24"/>
          <w:szCs w:val="24"/>
        </w:rPr>
        <w:t xml:space="preserve">the </w:t>
      </w:r>
      <w:r w:rsidR="000878C4">
        <w:rPr>
          <w:rFonts w:ascii="Arial" w:hAnsi="Arial" w:cs="Arial"/>
          <w:iCs/>
          <w:sz w:val="24"/>
          <w:szCs w:val="24"/>
        </w:rPr>
        <w:t xml:space="preserve">accommodation and food services industry </w:t>
      </w:r>
      <w:r w:rsidR="005A6360">
        <w:rPr>
          <w:rFonts w:ascii="Arial" w:hAnsi="Arial" w:cs="Arial"/>
          <w:iCs/>
          <w:sz w:val="24"/>
          <w:szCs w:val="24"/>
        </w:rPr>
        <w:t xml:space="preserve">within the </w:t>
      </w:r>
      <w:r w:rsidR="000030C8">
        <w:rPr>
          <w:rFonts w:ascii="Arial" w:hAnsi="Arial" w:cs="Arial"/>
          <w:iCs/>
          <w:sz w:val="24"/>
          <w:szCs w:val="24"/>
        </w:rPr>
        <w:t>C</w:t>
      </w:r>
      <w:r w:rsidR="005A6360">
        <w:rPr>
          <w:rFonts w:ascii="Arial" w:hAnsi="Arial" w:cs="Arial"/>
          <w:iCs/>
          <w:sz w:val="24"/>
          <w:szCs w:val="24"/>
        </w:rPr>
        <w:t xml:space="preserve">ontract </w:t>
      </w:r>
      <w:r w:rsidR="000030C8">
        <w:rPr>
          <w:rFonts w:ascii="Arial" w:hAnsi="Arial" w:cs="Arial"/>
          <w:iCs/>
          <w:sz w:val="24"/>
          <w:szCs w:val="24"/>
        </w:rPr>
        <w:t>C</w:t>
      </w:r>
      <w:r w:rsidR="005A6360">
        <w:rPr>
          <w:rFonts w:ascii="Arial" w:hAnsi="Arial" w:cs="Arial"/>
          <w:iCs/>
          <w:sz w:val="24"/>
          <w:szCs w:val="24"/>
        </w:rPr>
        <w:t xml:space="preserve">leaning </w:t>
      </w:r>
      <w:r w:rsidR="000030C8">
        <w:rPr>
          <w:rFonts w:ascii="Arial" w:hAnsi="Arial" w:cs="Arial"/>
          <w:iCs/>
          <w:sz w:val="24"/>
          <w:szCs w:val="24"/>
        </w:rPr>
        <w:t>I</w:t>
      </w:r>
      <w:r w:rsidR="005A6360">
        <w:rPr>
          <w:rFonts w:ascii="Arial" w:hAnsi="Arial" w:cs="Arial"/>
          <w:iCs/>
          <w:sz w:val="24"/>
          <w:szCs w:val="24"/>
        </w:rPr>
        <w:t>ndustry</w:t>
      </w:r>
      <w:r w:rsidR="000030C8">
        <w:rPr>
          <w:rFonts w:ascii="Arial" w:hAnsi="Arial" w:cs="Arial"/>
          <w:iCs/>
          <w:sz w:val="24"/>
          <w:szCs w:val="24"/>
        </w:rPr>
        <w:t xml:space="preserve"> Scheme, </w:t>
      </w:r>
      <w:r w:rsidR="005A6360">
        <w:rPr>
          <w:rFonts w:ascii="Arial" w:hAnsi="Arial" w:cs="Arial"/>
          <w:iCs/>
          <w:sz w:val="24"/>
          <w:szCs w:val="24"/>
        </w:rPr>
        <w:t>renamed the “Services Industry Scheme”</w:t>
      </w:r>
      <w:r w:rsidR="00083ABF">
        <w:rPr>
          <w:rFonts w:ascii="Arial" w:hAnsi="Arial" w:cs="Arial"/>
          <w:iCs/>
          <w:sz w:val="24"/>
          <w:szCs w:val="24"/>
        </w:rPr>
        <w:t>, and consequential technical amendments to the Act to support the expanded scheme and renaming</w:t>
      </w:r>
      <w:r w:rsidR="008F1E61">
        <w:rPr>
          <w:rFonts w:ascii="Arial" w:hAnsi="Arial" w:cs="Arial"/>
          <w:iCs/>
          <w:sz w:val="24"/>
          <w:szCs w:val="24"/>
        </w:rPr>
        <w:t xml:space="preserve">. These consequential, technical amendments, continue existing arrangements </w:t>
      </w:r>
      <w:r w:rsidR="002F0389">
        <w:rPr>
          <w:rFonts w:ascii="Arial" w:hAnsi="Arial" w:cs="Arial"/>
          <w:iCs/>
          <w:sz w:val="24"/>
          <w:szCs w:val="24"/>
        </w:rPr>
        <w:t xml:space="preserve">for the expanded industries </w:t>
      </w:r>
      <w:r w:rsidR="008F1E61">
        <w:rPr>
          <w:rFonts w:ascii="Arial" w:hAnsi="Arial" w:cs="Arial"/>
          <w:iCs/>
          <w:sz w:val="24"/>
          <w:szCs w:val="24"/>
        </w:rPr>
        <w:t>within the Act</w:t>
      </w:r>
      <w:r w:rsidR="002F0389">
        <w:rPr>
          <w:rFonts w:ascii="Arial" w:hAnsi="Arial" w:cs="Arial"/>
          <w:iCs/>
          <w:sz w:val="24"/>
          <w:szCs w:val="24"/>
        </w:rPr>
        <w:t>, including</w:t>
      </w:r>
      <w:r w:rsidR="008F1E61">
        <w:rPr>
          <w:rFonts w:ascii="Arial" w:hAnsi="Arial" w:cs="Arial"/>
          <w:iCs/>
          <w:sz w:val="24"/>
          <w:szCs w:val="24"/>
        </w:rPr>
        <w:t xml:space="preserve"> </w:t>
      </w:r>
      <w:r w:rsidR="002F0389">
        <w:rPr>
          <w:rFonts w:ascii="Arial" w:hAnsi="Arial" w:cs="Arial"/>
          <w:iCs/>
          <w:sz w:val="24"/>
          <w:szCs w:val="24"/>
        </w:rPr>
        <w:t>to give effect to reciprocating State arrangements under a corresponding law in relation to payments of long service leave</w:t>
      </w:r>
    </w:p>
    <w:p w14:paraId="7173517C" w14:textId="20C0ABD9" w:rsidR="005A6360" w:rsidRDefault="005A6360" w:rsidP="00962F49">
      <w:pPr>
        <w:pStyle w:val="ListParagraph"/>
        <w:numPr>
          <w:ilvl w:val="0"/>
          <w:numId w:val="4"/>
        </w:numPr>
        <w:spacing w:after="120"/>
        <w:ind w:right="-45"/>
        <w:rPr>
          <w:rFonts w:ascii="Arial" w:hAnsi="Arial" w:cs="Arial"/>
          <w:iCs/>
          <w:sz w:val="24"/>
          <w:szCs w:val="24"/>
        </w:rPr>
      </w:pPr>
      <w:r>
        <w:rPr>
          <w:rFonts w:ascii="Arial" w:hAnsi="Arial" w:cs="Arial"/>
          <w:iCs/>
          <w:sz w:val="24"/>
          <w:szCs w:val="24"/>
        </w:rPr>
        <w:t xml:space="preserve">correct legacy delegation arrangements relating to the employment of staff by the ACT Long Service Leave Authority (the Authority), clarifying the Chief Executive Officer’s powers to employ staff of the Authority under the </w:t>
      </w:r>
      <w:r>
        <w:rPr>
          <w:rFonts w:ascii="Arial" w:hAnsi="Arial" w:cs="Arial"/>
          <w:i/>
          <w:sz w:val="24"/>
          <w:szCs w:val="24"/>
        </w:rPr>
        <w:t>Public Sector Management Act 1994</w:t>
      </w:r>
    </w:p>
    <w:p w14:paraId="3A1CCE0B" w14:textId="3DDE995D" w:rsidR="004D20C1" w:rsidRDefault="004F0F71" w:rsidP="00962F49">
      <w:pPr>
        <w:pStyle w:val="ListParagraph"/>
        <w:numPr>
          <w:ilvl w:val="0"/>
          <w:numId w:val="4"/>
        </w:numPr>
        <w:spacing w:after="120"/>
        <w:ind w:right="-45"/>
        <w:rPr>
          <w:rFonts w:ascii="Arial" w:hAnsi="Arial" w:cs="Arial"/>
          <w:iCs/>
          <w:sz w:val="24"/>
          <w:szCs w:val="24"/>
        </w:rPr>
      </w:pPr>
      <w:r>
        <w:rPr>
          <w:rFonts w:ascii="Arial" w:hAnsi="Arial" w:cs="Arial"/>
          <w:iCs/>
          <w:sz w:val="24"/>
          <w:szCs w:val="24"/>
        </w:rPr>
        <w:t>correct delegation arrangements for the purposes of the default insurance fund advisory committee</w:t>
      </w:r>
      <w:r w:rsidR="000030C8">
        <w:rPr>
          <w:rFonts w:ascii="Arial" w:hAnsi="Arial" w:cs="Arial"/>
          <w:iCs/>
          <w:sz w:val="24"/>
          <w:szCs w:val="24"/>
        </w:rPr>
        <w:t xml:space="preserve"> under the </w:t>
      </w:r>
      <w:r w:rsidR="000030C8">
        <w:rPr>
          <w:rFonts w:ascii="Arial" w:hAnsi="Arial" w:cs="Arial"/>
          <w:i/>
          <w:sz w:val="24"/>
          <w:szCs w:val="24"/>
        </w:rPr>
        <w:t>Workers Compensation Act 1951</w:t>
      </w:r>
      <w:r w:rsidR="00EE5B16">
        <w:rPr>
          <w:rFonts w:ascii="Arial" w:hAnsi="Arial" w:cs="Arial"/>
          <w:iCs/>
          <w:sz w:val="24"/>
          <w:szCs w:val="24"/>
        </w:rPr>
        <w:t>,</w:t>
      </w:r>
      <w:r>
        <w:rPr>
          <w:rFonts w:ascii="Arial" w:hAnsi="Arial" w:cs="Arial"/>
          <w:iCs/>
          <w:sz w:val="24"/>
          <w:szCs w:val="24"/>
        </w:rPr>
        <w:t xml:space="preserve"> and</w:t>
      </w:r>
    </w:p>
    <w:p w14:paraId="0F8F2B21" w14:textId="0E9DB921" w:rsidR="004F0F71" w:rsidRDefault="004F0F71" w:rsidP="00962F49">
      <w:pPr>
        <w:pStyle w:val="ListParagraph"/>
        <w:numPr>
          <w:ilvl w:val="0"/>
          <w:numId w:val="4"/>
        </w:numPr>
        <w:spacing w:after="120"/>
        <w:ind w:right="-45"/>
        <w:rPr>
          <w:rFonts w:ascii="Arial" w:hAnsi="Arial" w:cs="Arial"/>
          <w:iCs/>
          <w:sz w:val="24"/>
          <w:szCs w:val="24"/>
        </w:rPr>
      </w:pPr>
      <w:r>
        <w:rPr>
          <w:rFonts w:ascii="Arial" w:hAnsi="Arial" w:cs="Arial"/>
          <w:iCs/>
          <w:sz w:val="24"/>
          <w:szCs w:val="24"/>
        </w:rPr>
        <w:t xml:space="preserve">transfer delegation </w:t>
      </w:r>
      <w:r w:rsidR="000030C8">
        <w:rPr>
          <w:rFonts w:ascii="Arial" w:hAnsi="Arial" w:cs="Arial"/>
          <w:iCs/>
          <w:sz w:val="24"/>
          <w:szCs w:val="24"/>
        </w:rPr>
        <w:t>arrangements</w:t>
      </w:r>
      <w:r>
        <w:rPr>
          <w:rFonts w:ascii="Arial" w:hAnsi="Arial" w:cs="Arial"/>
          <w:iCs/>
          <w:sz w:val="24"/>
          <w:szCs w:val="24"/>
        </w:rPr>
        <w:t xml:space="preserve"> for the appointment of authorised officers </w:t>
      </w:r>
      <w:r w:rsidR="000030C8">
        <w:rPr>
          <w:rFonts w:ascii="Arial" w:hAnsi="Arial" w:cs="Arial"/>
          <w:iCs/>
          <w:sz w:val="24"/>
          <w:szCs w:val="24"/>
        </w:rPr>
        <w:t xml:space="preserve">under the </w:t>
      </w:r>
      <w:r w:rsidR="000030C8">
        <w:rPr>
          <w:rFonts w:ascii="Arial" w:hAnsi="Arial" w:cs="Arial"/>
          <w:i/>
          <w:sz w:val="24"/>
          <w:szCs w:val="24"/>
        </w:rPr>
        <w:t>Labour Hire Licensing Act 2020</w:t>
      </w:r>
      <w:r w:rsidR="000030C8">
        <w:rPr>
          <w:rFonts w:ascii="Arial" w:hAnsi="Arial" w:cs="Arial"/>
          <w:iCs/>
          <w:sz w:val="24"/>
          <w:szCs w:val="24"/>
        </w:rPr>
        <w:t xml:space="preserve"> </w:t>
      </w:r>
      <w:r>
        <w:rPr>
          <w:rFonts w:ascii="Arial" w:hAnsi="Arial" w:cs="Arial"/>
          <w:iCs/>
          <w:sz w:val="24"/>
          <w:szCs w:val="24"/>
        </w:rPr>
        <w:t>from the Director-General to the Labour Hire Licensing Commissioner.</w:t>
      </w:r>
      <w:r w:rsidR="000030C8">
        <w:rPr>
          <w:rFonts w:ascii="Arial" w:hAnsi="Arial" w:cs="Arial"/>
          <w:iCs/>
          <w:sz w:val="24"/>
          <w:szCs w:val="24"/>
        </w:rPr>
        <w:t xml:space="preserve"> </w:t>
      </w:r>
    </w:p>
    <w:p w14:paraId="11D103C6" w14:textId="77777777" w:rsidR="004412E1" w:rsidRDefault="004412E1" w:rsidP="004A5AD8">
      <w:pPr>
        <w:spacing w:after="120"/>
        <w:ind w:right="-45"/>
        <w:rPr>
          <w:rFonts w:ascii="Arial" w:hAnsi="Arial" w:cs="Arial"/>
          <w:iCs/>
          <w:sz w:val="24"/>
          <w:szCs w:val="24"/>
        </w:rPr>
      </w:pPr>
    </w:p>
    <w:p w14:paraId="7D462AC1" w14:textId="77777777" w:rsidR="00EE5B16" w:rsidRDefault="00EE5B16" w:rsidP="004A5AD8">
      <w:pPr>
        <w:spacing w:after="120"/>
        <w:ind w:right="-45"/>
        <w:rPr>
          <w:rFonts w:ascii="Arial" w:hAnsi="Arial" w:cs="Arial"/>
          <w:iCs/>
          <w:sz w:val="24"/>
          <w:szCs w:val="24"/>
        </w:rPr>
      </w:pPr>
    </w:p>
    <w:p w14:paraId="31E2AAEC" w14:textId="1FAE502A" w:rsidR="00EF3931" w:rsidRDefault="000030C8" w:rsidP="004A5AD8">
      <w:pPr>
        <w:spacing w:after="120"/>
        <w:ind w:right="-45"/>
        <w:rPr>
          <w:rFonts w:ascii="Arial" w:hAnsi="Arial" w:cs="Arial"/>
          <w:iCs/>
          <w:sz w:val="24"/>
          <w:szCs w:val="24"/>
        </w:rPr>
      </w:pPr>
      <w:r>
        <w:rPr>
          <w:rFonts w:ascii="Arial" w:hAnsi="Arial" w:cs="Arial"/>
          <w:iCs/>
          <w:sz w:val="24"/>
          <w:szCs w:val="24"/>
        </w:rPr>
        <w:lastRenderedPageBreak/>
        <w:t>The</w:t>
      </w:r>
      <w:r w:rsidR="001E0764" w:rsidRPr="004A5AD8">
        <w:rPr>
          <w:rFonts w:ascii="Arial" w:hAnsi="Arial" w:cs="Arial"/>
          <w:iCs/>
          <w:sz w:val="24"/>
          <w:szCs w:val="24"/>
        </w:rPr>
        <w:t xml:space="preserve"> types of work covered under the hairdressing and beauty services industry include</w:t>
      </w:r>
      <w:r w:rsidR="00EF3931">
        <w:rPr>
          <w:rFonts w:ascii="Arial" w:hAnsi="Arial" w:cs="Arial"/>
          <w:iCs/>
          <w:sz w:val="24"/>
          <w:szCs w:val="24"/>
        </w:rPr>
        <w:t>:</w:t>
      </w:r>
    </w:p>
    <w:p w14:paraId="7296E564" w14:textId="5FC3DD40" w:rsidR="001E0764" w:rsidRPr="00EF3931" w:rsidRDefault="001E0764" w:rsidP="00EF3931">
      <w:pPr>
        <w:pStyle w:val="ListParagraph"/>
        <w:numPr>
          <w:ilvl w:val="0"/>
          <w:numId w:val="13"/>
        </w:numPr>
        <w:spacing w:after="120"/>
        <w:ind w:right="-45"/>
        <w:rPr>
          <w:rFonts w:ascii="Arial" w:hAnsi="Arial" w:cs="Arial"/>
          <w:iCs/>
          <w:sz w:val="24"/>
          <w:szCs w:val="24"/>
        </w:rPr>
      </w:pPr>
      <w:r w:rsidRPr="00EF3931">
        <w:rPr>
          <w:rFonts w:ascii="Arial" w:hAnsi="Arial" w:cs="Arial"/>
          <w:iCs/>
          <w:sz w:val="24"/>
          <w:szCs w:val="24"/>
        </w:rPr>
        <w:t>barbers, beauty services, electrolysis services, hairdressing services, make-up services, nail care and skin care services and tanning services</w:t>
      </w:r>
      <w:r w:rsidR="00EF3931" w:rsidRPr="00EF3931">
        <w:rPr>
          <w:rFonts w:ascii="Arial" w:hAnsi="Arial" w:cs="Arial"/>
          <w:iCs/>
          <w:sz w:val="24"/>
          <w:szCs w:val="24"/>
        </w:rPr>
        <w:t>.</w:t>
      </w:r>
    </w:p>
    <w:p w14:paraId="1EED44E3" w14:textId="77777777" w:rsidR="004412E1" w:rsidRDefault="004412E1" w:rsidP="004A5AD8">
      <w:pPr>
        <w:spacing w:after="120"/>
        <w:ind w:right="-45"/>
        <w:rPr>
          <w:rFonts w:ascii="Arial" w:hAnsi="Arial" w:cs="Arial"/>
          <w:iCs/>
          <w:sz w:val="24"/>
          <w:szCs w:val="24"/>
        </w:rPr>
      </w:pPr>
    </w:p>
    <w:p w14:paraId="53504DFB" w14:textId="743B3857" w:rsidR="001E0764" w:rsidRPr="004A5AD8" w:rsidRDefault="00C7708F" w:rsidP="004A5AD8">
      <w:pPr>
        <w:spacing w:after="120"/>
        <w:ind w:right="-45"/>
        <w:rPr>
          <w:rFonts w:ascii="Arial" w:hAnsi="Arial" w:cs="Arial"/>
          <w:iCs/>
          <w:sz w:val="24"/>
          <w:szCs w:val="24"/>
        </w:rPr>
      </w:pPr>
      <w:r>
        <w:rPr>
          <w:rFonts w:ascii="Arial" w:hAnsi="Arial" w:cs="Arial"/>
          <w:iCs/>
          <w:sz w:val="24"/>
          <w:szCs w:val="24"/>
        </w:rPr>
        <w:t>T</w:t>
      </w:r>
      <w:r w:rsidR="001E0764" w:rsidRPr="004A5AD8">
        <w:rPr>
          <w:rFonts w:ascii="Arial" w:hAnsi="Arial" w:cs="Arial"/>
          <w:iCs/>
          <w:sz w:val="24"/>
          <w:szCs w:val="24"/>
        </w:rPr>
        <w:t>he types of work covered under the accommodation and food services industry include:</w:t>
      </w:r>
    </w:p>
    <w:p w14:paraId="4ACC7EEF" w14:textId="2FD99D98" w:rsidR="001E0764" w:rsidRPr="004A5AD8" w:rsidRDefault="001E0764" w:rsidP="004A5AD8">
      <w:pPr>
        <w:pStyle w:val="ListParagraph"/>
        <w:numPr>
          <w:ilvl w:val="0"/>
          <w:numId w:val="4"/>
        </w:numPr>
        <w:spacing w:after="120"/>
        <w:ind w:right="-45"/>
        <w:rPr>
          <w:rFonts w:ascii="Arial" w:hAnsi="Arial" w:cs="Arial"/>
          <w:iCs/>
          <w:sz w:val="24"/>
          <w:szCs w:val="24"/>
        </w:rPr>
      </w:pPr>
      <w:r w:rsidRPr="004A5AD8">
        <w:rPr>
          <w:rFonts w:ascii="Arial" w:hAnsi="Arial" w:cs="Arial"/>
          <w:iCs/>
          <w:sz w:val="24"/>
          <w:szCs w:val="24"/>
        </w:rPr>
        <w:t>accommodation services covering camping ground operation, caravan park operation, holiday house/flat operation, hotel/motel/resort operation, serviced apartments, youth hostel operation</w:t>
      </w:r>
      <w:r w:rsidR="00EE5B16">
        <w:rPr>
          <w:rFonts w:ascii="Arial" w:hAnsi="Arial" w:cs="Arial"/>
          <w:iCs/>
          <w:sz w:val="24"/>
          <w:szCs w:val="24"/>
        </w:rPr>
        <w:t>,</w:t>
      </w:r>
      <w:r w:rsidR="00C7708F">
        <w:rPr>
          <w:rFonts w:ascii="Arial" w:hAnsi="Arial" w:cs="Arial"/>
          <w:iCs/>
          <w:sz w:val="24"/>
          <w:szCs w:val="24"/>
        </w:rPr>
        <w:t xml:space="preserve"> and</w:t>
      </w:r>
    </w:p>
    <w:p w14:paraId="222E6E1E" w14:textId="77777777" w:rsidR="001E0764" w:rsidRPr="004A5AD8" w:rsidRDefault="001E0764" w:rsidP="004A5AD8">
      <w:pPr>
        <w:pStyle w:val="ListParagraph"/>
        <w:numPr>
          <w:ilvl w:val="0"/>
          <w:numId w:val="4"/>
        </w:numPr>
        <w:spacing w:after="120"/>
        <w:ind w:right="-45"/>
        <w:rPr>
          <w:rFonts w:ascii="Arial" w:hAnsi="Arial" w:cs="Arial"/>
          <w:iCs/>
          <w:sz w:val="24"/>
          <w:szCs w:val="24"/>
        </w:rPr>
      </w:pPr>
      <w:r w:rsidRPr="004A5AD8">
        <w:rPr>
          <w:rFonts w:ascii="Arial" w:hAnsi="Arial" w:cs="Arial"/>
          <w:iCs/>
          <w:sz w:val="24"/>
          <w:szCs w:val="24"/>
        </w:rPr>
        <w:t>food services covering cafes, restaurants and takeaway food services, pubs, taverns and bars and clubs.</w:t>
      </w:r>
    </w:p>
    <w:p w14:paraId="1F40E313" w14:textId="77777777" w:rsidR="001E0764" w:rsidRPr="001E0764" w:rsidRDefault="001E0764" w:rsidP="001E0764">
      <w:pPr>
        <w:spacing w:after="120"/>
        <w:ind w:right="-45"/>
        <w:rPr>
          <w:rFonts w:ascii="Arial" w:hAnsi="Arial" w:cs="Arial"/>
          <w:iCs/>
          <w:sz w:val="24"/>
          <w:szCs w:val="24"/>
        </w:rPr>
      </w:pPr>
    </w:p>
    <w:p w14:paraId="5D5C6C0D" w14:textId="6D5714C2" w:rsidR="00E65AA5" w:rsidRDefault="00AC59DF" w:rsidP="00414921">
      <w:pPr>
        <w:rPr>
          <w:rFonts w:ascii="Arial" w:hAnsi="Arial" w:cs="Arial"/>
          <w:b/>
          <w:sz w:val="24"/>
          <w:szCs w:val="24"/>
        </w:rPr>
      </w:pPr>
      <w:r w:rsidRPr="00AC59DF">
        <w:rPr>
          <w:rFonts w:ascii="Arial" w:hAnsi="Arial" w:cs="Arial"/>
          <w:b/>
          <w:sz w:val="24"/>
          <w:szCs w:val="24"/>
        </w:rPr>
        <w:t>CONSULTATION ON THE PROPOSED APPROACH</w:t>
      </w:r>
    </w:p>
    <w:p w14:paraId="30D3D08E" w14:textId="62900509" w:rsidR="000A6E81" w:rsidRPr="000A6E81" w:rsidRDefault="00C7708F" w:rsidP="007278CB">
      <w:pPr>
        <w:spacing w:after="120"/>
        <w:ind w:right="-45"/>
        <w:rPr>
          <w:rFonts w:ascii="Arial" w:hAnsi="Arial" w:cs="Arial"/>
          <w:iCs/>
          <w:sz w:val="24"/>
          <w:szCs w:val="24"/>
        </w:rPr>
      </w:pPr>
      <w:r>
        <w:rPr>
          <w:rFonts w:ascii="Arial" w:hAnsi="Arial" w:cs="Arial"/>
          <w:iCs/>
          <w:sz w:val="24"/>
          <w:szCs w:val="24"/>
        </w:rPr>
        <w:t xml:space="preserve">In considering the expansion of the Act to the hairdressing and beauty services industry and the accommodation and food services industry the ACT Government undertook a consultation process. </w:t>
      </w:r>
      <w:r w:rsidR="000A6E81" w:rsidRPr="000A6E81">
        <w:rPr>
          <w:rFonts w:ascii="Arial" w:hAnsi="Arial" w:cs="Arial"/>
          <w:iCs/>
          <w:sz w:val="24"/>
          <w:szCs w:val="24"/>
        </w:rPr>
        <w:t>The consultation process comprised:</w:t>
      </w:r>
    </w:p>
    <w:p w14:paraId="468C914F" w14:textId="2386FB68" w:rsidR="000A6E81" w:rsidRPr="000A6E81" w:rsidRDefault="00C7708F" w:rsidP="000A6E81">
      <w:pPr>
        <w:pStyle w:val="ListParagraph"/>
        <w:numPr>
          <w:ilvl w:val="0"/>
          <w:numId w:val="5"/>
        </w:numPr>
        <w:spacing w:after="120"/>
        <w:ind w:right="-45"/>
        <w:rPr>
          <w:rFonts w:ascii="Arial" w:hAnsi="Arial" w:cs="Arial"/>
          <w:iCs/>
          <w:sz w:val="24"/>
          <w:szCs w:val="24"/>
        </w:rPr>
      </w:pPr>
      <w:r>
        <w:rPr>
          <w:rFonts w:ascii="Arial" w:hAnsi="Arial" w:cs="Arial"/>
          <w:iCs/>
          <w:sz w:val="24"/>
          <w:szCs w:val="24"/>
        </w:rPr>
        <w:t>release of</w:t>
      </w:r>
      <w:r w:rsidR="000A6E81" w:rsidRPr="000A6E81">
        <w:rPr>
          <w:rFonts w:ascii="Arial" w:hAnsi="Arial" w:cs="Arial"/>
          <w:iCs/>
          <w:sz w:val="24"/>
          <w:szCs w:val="24"/>
        </w:rPr>
        <w:t xml:space="preserve"> a consultation paper on the Workplace Safety and Industrial Relation</w:t>
      </w:r>
      <w:r>
        <w:rPr>
          <w:rFonts w:ascii="Arial" w:hAnsi="Arial" w:cs="Arial"/>
          <w:iCs/>
          <w:sz w:val="24"/>
          <w:szCs w:val="24"/>
        </w:rPr>
        <w:t xml:space="preserve">s, Chief Minister, Treasury and Economic Development Directorate </w:t>
      </w:r>
      <w:r w:rsidR="000A6E81" w:rsidRPr="000A6E81">
        <w:rPr>
          <w:rFonts w:ascii="Arial" w:hAnsi="Arial" w:cs="Arial"/>
          <w:iCs/>
          <w:sz w:val="24"/>
          <w:szCs w:val="24"/>
        </w:rPr>
        <w:t xml:space="preserve">website inviting submissions from the community </w:t>
      </w:r>
    </w:p>
    <w:p w14:paraId="03D2A013" w14:textId="5C83BD30" w:rsidR="000A6E81" w:rsidRPr="000A6E81" w:rsidRDefault="000A6E81" w:rsidP="000A6E81">
      <w:pPr>
        <w:pStyle w:val="ListParagraph"/>
        <w:numPr>
          <w:ilvl w:val="0"/>
          <w:numId w:val="5"/>
        </w:numPr>
        <w:spacing w:after="120"/>
        <w:ind w:right="-45"/>
        <w:rPr>
          <w:rFonts w:ascii="Arial" w:hAnsi="Arial" w:cs="Arial"/>
          <w:iCs/>
          <w:sz w:val="24"/>
          <w:szCs w:val="24"/>
        </w:rPr>
      </w:pPr>
      <w:r w:rsidRPr="000A6E81">
        <w:rPr>
          <w:rFonts w:ascii="Arial" w:hAnsi="Arial" w:cs="Arial"/>
          <w:iCs/>
          <w:sz w:val="24"/>
          <w:szCs w:val="24"/>
        </w:rPr>
        <w:t>writing to stakeholder groups, including industry associations and peak bodies, unions and other business and employee representatives, to advise of the consultation process and invite submissions in response to the proposal</w:t>
      </w:r>
    </w:p>
    <w:p w14:paraId="1D0316E1" w14:textId="1AEE9E30" w:rsidR="000A6E81" w:rsidRDefault="000A6E81" w:rsidP="000A6E81">
      <w:pPr>
        <w:pStyle w:val="ListParagraph"/>
        <w:numPr>
          <w:ilvl w:val="0"/>
          <w:numId w:val="5"/>
        </w:numPr>
        <w:spacing w:after="120"/>
        <w:ind w:right="-45"/>
        <w:rPr>
          <w:rFonts w:ascii="Arial" w:hAnsi="Arial" w:cs="Arial"/>
          <w:iCs/>
          <w:sz w:val="24"/>
          <w:szCs w:val="24"/>
        </w:rPr>
      </w:pPr>
      <w:r w:rsidRPr="000A6E81">
        <w:rPr>
          <w:rFonts w:ascii="Arial" w:hAnsi="Arial" w:cs="Arial"/>
          <w:iCs/>
          <w:sz w:val="24"/>
          <w:szCs w:val="24"/>
        </w:rPr>
        <w:t>conducting stakeholder engagement sessions with industry and employee representative groups</w:t>
      </w:r>
      <w:r w:rsidR="00EE5B16">
        <w:rPr>
          <w:rFonts w:ascii="Arial" w:hAnsi="Arial" w:cs="Arial"/>
          <w:iCs/>
          <w:sz w:val="24"/>
          <w:szCs w:val="24"/>
        </w:rPr>
        <w:t>,</w:t>
      </w:r>
      <w:r w:rsidR="00C7708F">
        <w:rPr>
          <w:rFonts w:ascii="Arial" w:hAnsi="Arial" w:cs="Arial"/>
          <w:iCs/>
          <w:sz w:val="24"/>
          <w:szCs w:val="24"/>
        </w:rPr>
        <w:t xml:space="preserve"> and</w:t>
      </w:r>
    </w:p>
    <w:p w14:paraId="370BBB24" w14:textId="1B9FF260" w:rsidR="00C62B3C" w:rsidRDefault="00C7708F" w:rsidP="000A6E81">
      <w:pPr>
        <w:pStyle w:val="ListParagraph"/>
        <w:numPr>
          <w:ilvl w:val="0"/>
          <w:numId w:val="5"/>
        </w:numPr>
        <w:spacing w:after="120"/>
        <w:ind w:right="-45"/>
        <w:rPr>
          <w:rFonts w:ascii="Arial" w:hAnsi="Arial" w:cs="Arial"/>
          <w:iCs/>
          <w:sz w:val="24"/>
          <w:szCs w:val="24"/>
        </w:rPr>
      </w:pPr>
      <w:r>
        <w:rPr>
          <w:rFonts w:ascii="Arial" w:hAnsi="Arial" w:cs="Arial"/>
          <w:iCs/>
          <w:sz w:val="24"/>
          <w:szCs w:val="24"/>
        </w:rPr>
        <w:t>e</w:t>
      </w:r>
      <w:r w:rsidR="00C62B3C" w:rsidRPr="00C62B3C">
        <w:rPr>
          <w:rFonts w:ascii="Arial" w:hAnsi="Arial" w:cs="Arial"/>
          <w:iCs/>
          <w:sz w:val="24"/>
          <w:szCs w:val="24"/>
        </w:rPr>
        <w:t>ngagement with employer and employee representat</w:t>
      </w:r>
      <w:r w:rsidR="00C62B3C">
        <w:rPr>
          <w:rFonts w:ascii="Arial" w:hAnsi="Arial" w:cs="Arial"/>
          <w:iCs/>
          <w:sz w:val="24"/>
          <w:szCs w:val="24"/>
        </w:rPr>
        <w:t>ives</w:t>
      </w:r>
      <w:r w:rsidR="00C62B3C" w:rsidRPr="00C62B3C">
        <w:rPr>
          <w:rFonts w:ascii="Arial" w:hAnsi="Arial" w:cs="Arial"/>
          <w:iCs/>
          <w:sz w:val="24"/>
          <w:szCs w:val="24"/>
        </w:rPr>
        <w:t xml:space="preserve"> through the </w:t>
      </w:r>
      <w:r w:rsidR="00C62B3C">
        <w:rPr>
          <w:rFonts w:ascii="Arial" w:hAnsi="Arial" w:cs="Arial"/>
          <w:iCs/>
          <w:sz w:val="24"/>
          <w:szCs w:val="24"/>
        </w:rPr>
        <w:t>ACT</w:t>
      </w:r>
      <w:r w:rsidR="00EE5B16">
        <w:rPr>
          <w:rFonts w:ascii="Arial" w:hAnsi="Arial" w:cs="Arial"/>
          <w:iCs/>
          <w:sz w:val="24"/>
          <w:szCs w:val="24"/>
        </w:rPr>
        <w:t> </w:t>
      </w:r>
      <w:r w:rsidR="00C62B3C" w:rsidRPr="00C62B3C">
        <w:rPr>
          <w:rFonts w:ascii="Arial" w:hAnsi="Arial" w:cs="Arial"/>
          <w:iCs/>
          <w:sz w:val="24"/>
          <w:szCs w:val="24"/>
        </w:rPr>
        <w:t>Work Health and Safety Council</w:t>
      </w:r>
      <w:r w:rsidR="00C62B3C">
        <w:rPr>
          <w:rFonts w:ascii="Arial" w:hAnsi="Arial" w:cs="Arial"/>
          <w:iCs/>
          <w:sz w:val="24"/>
          <w:szCs w:val="24"/>
        </w:rPr>
        <w:t>.</w:t>
      </w:r>
    </w:p>
    <w:p w14:paraId="5A4C477E" w14:textId="629AF350" w:rsidR="007278CB" w:rsidRDefault="007278CB" w:rsidP="000A6E81">
      <w:pPr>
        <w:spacing w:after="120"/>
        <w:ind w:right="-45"/>
        <w:rPr>
          <w:rFonts w:ascii="Arial" w:hAnsi="Arial" w:cs="Arial"/>
          <w:iCs/>
          <w:sz w:val="24"/>
          <w:szCs w:val="24"/>
        </w:rPr>
      </w:pPr>
      <w:r w:rsidRPr="000A6E81">
        <w:rPr>
          <w:rFonts w:ascii="Arial" w:hAnsi="Arial" w:cs="Arial"/>
          <w:iCs/>
          <w:sz w:val="24"/>
          <w:szCs w:val="24"/>
        </w:rPr>
        <w:t>The outcome of stakeholder consultation, which included written submissions on the publicly released consultation paper</w:t>
      </w:r>
      <w:r>
        <w:rPr>
          <w:rStyle w:val="FootnoteReference"/>
          <w:rFonts w:ascii="Arial" w:hAnsi="Arial"/>
          <w:iCs/>
          <w:sz w:val="24"/>
          <w:szCs w:val="24"/>
        </w:rPr>
        <w:footnoteReference w:id="2"/>
      </w:r>
      <w:r w:rsidRPr="000A6E81">
        <w:rPr>
          <w:rFonts w:ascii="Arial" w:hAnsi="Arial" w:cs="Arial"/>
          <w:iCs/>
          <w:sz w:val="24"/>
          <w:szCs w:val="24"/>
        </w:rPr>
        <w:t xml:space="preserve"> and verbal feedback at stakeholder </w:t>
      </w:r>
      <w:r w:rsidR="00660A33">
        <w:rPr>
          <w:rFonts w:ascii="Arial" w:hAnsi="Arial" w:cs="Arial"/>
          <w:iCs/>
          <w:sz w:val="24"/>
          <w:szCs w:val="24"/>
        </w:rPr>
        <w:t xml:space="preserve">engagement </w:t>
      </w:r>
      <w:r w:rsidRPr="000A6E81">
        <w:rPr>
          <w:rFonts w:ascii="Arial" w:hAnsi="Arial" w:cs="Arial"/>
          <w:iCs/>
          <w:sz w:val="24"/>
          <w:szCs w:val="24"/>
        </w:rPr>
        <w:t>sessions, was divergent</w:t>
      </w:r>
      <w:r w:rsidR="00C7708F">
        <w:rPr>
          <w:rFonts w:ascii="Arial" w:hAnsi="Arial" w:cs="Arial"/>
          <w:iCs/>
          <w:sz w:val="24"/>
          <w:szCs w:val="24"/>
        </w:rPr>
        <w:t>;</w:t>
      </w:r>
      <w:r w:rsidRPr="000A6E81">
        <w:rPr>
          <w:rFonts w:ascii="Arial" w:hAnsi="Arial" w:cs="Arial"/>
          <w:iCs/>
          <w:sz w:val="24"/>
          <w:szCs w:val="24"/>
        </w:rPr>
        <w:t xml:space="preserve"> with employee groups in favour of expanding the</w:t>
      </w:r>
      <w:r w:rsidR="000878C4">
        <w:rPr>
          <w:rFonts w:ascii="Arial" w:hAnsi="Arial" w:cs="Arial"/>
          <w:iCs/>
          <w:sz w:val="24"/>
          <w:szCs w:val="24"/>
        </w:rPr>
        <w:t xml:space="preserve"> </w:t>
      </w:r>
      <w:r w:rsidR="00660A33">
        <w:rPr>
          <w:rFonts w:ascii="Arial" w:hAnsi="Arial" w:cs="Arial"/>
          <w:iCs/>
          <w:sz w:val="24"/>
          <w:szCs w:val="24"/>
        </w:rPr>
        <w:t>long service leave portable s</w:t>
      </w:r>
      <w:r w:rsidR="00660A33" w:rsidRPr="000A6E81">
        <w:rPr>
          <w:rFonts w:ascii="Arial" w:hAnsi="Arial" w:cs="Arial"/>
          <w:iCs/>
          <w:sz w:val="24"/>
          <w:szCs w:val="24"/>
        </w:rPr>
        <w:t xml:space="preserve">chemes </w:t>
      </w:r>
      <w:r w:rsidRPr="000A6E81">
        <w:rPr>
          <w:rFonts w:ascii="Arial" w:hAnsi="Arial" w:cs="Arial"/>
          <w:iCs/>
          <w:sz w:val="24"/>
          <w:szCs w:val="24"/>
        </w:rPr>
        <w:t>and employer/industry groups against any proposed expansion of the schemes.</w:t>
      </w:r>
    </w:p>
    <w:p w14:paraId="2C664574" w14:textId="41690E29" w:rsidR="000878C4" w:rsidRPr="000A6E81" w:rsidRDefault="00660A33" w:rsidP="000A6E81">
      <w:pPr>
        <w:spacing w:after="120"/>
        <w:ind w:right="-45"/>
        <w:rPr>
          <w:rFonts w:ascii="Arial" w:hAnsi="Arial" w:cs="Arial"/>
          <w:iCs/>
          <w:sz w:val="24"/>
          <w:szCs w:val="24"/>
        </w:rPr>
      </w:pPr>
      <w:r>
        <w:rPr>
          <w:rFonts w:ascii="Arial" w:hAnsi="Arial" w:cs="Arial"/>
          <w:iCs/>
          <w:sz w:val="24"/>
          <w:szCs w:val="24"/>
        </w:rPr>
        <w:t>Stakeholder views were considered in establishing the scope of the industries to be covered by expansion of the long service leave portable schemes.</w:t>
      </w:r>
    </w:p>
    <w:p w14:paraId="1DB4617A" w14:textId="77777777" w:rsidR="004412E1" w:rsidRDefault="004412E1" w:rsidP="008C225D">
      <w:pPr>
        <w:pStyle w:val="Heading2"/>
      </w:pPr>
    </w:p>
    <w:p w14:paraId="1A2BA5E1" w14:textId="0F7885DE" w:rsidR="00790FE4" w:rsidRDefault="00503AAB" w:rsidP="008C225D">
      <w:pPr>
        <w:pStyle w:val="Heading2"/>
      </w:pPr>
      <w:r>
        <w:t xml:space="preserve">CONSISTENCY WITH </w:t>
      </w:r>
      <w:r w:rsidR="00790FE4" w:rsidRPr="008C225D">
        <w:t>HUMAN RIGHTS</w:t>
      </w:r>
    </w:p>
    <w:p w14:paraId="1918D628" w14:textId="7D88A9FB" w:rsidR="00C753C2" w:rsidRPr="00414921" w:rsidRDefault="00C753C2" w:rsidP="007D660F">
      <w:pPr>
        <w:rPr>
          <w:rFonts w:ascii="Arial" w:hAnsi="Arial" w:cs="Arial"/>
          <w:b/>
          <w:bCs/>
          <w:iCs/>
          <w:sz w:val="24"/>
          <w:szCs w:val="24"/>
        </w:rPr>
      </w:pPr>
      <w:r w:rsidRPr="00414921">
        <w:rPr>
          <w:rFonts w:ascii="Arial" w:hAnsi="Arial" w:cs="Arial"/>
          <w:b/>
          <w:bCs/>
          <w:iCs/>
          <w:sz w:val="24"/>
          <w:szCs w:val="24"/>
        </w:rPr>
        <w:t xml:space="preserve">Rights </w:t>
      </w:r>
      <w:r w:rsidR="00B4677A">
        <w:rPr>
          <w:rFonts w:ascii="Arial" w:hAnsi="Arial" w:cs="Arial"/>
          <w:b/>
          <w:bCs/>
          <w:iCs/>
          <w:sz w:val="24"/>
          <w:szCs w:val="24"/>
        </w:rPr>
        <w:t>promoted</w:t>
      </w:r>
    </w:p>
    <w:p w14:paraId="4FDC346C" w14:textId="36313B90" w:rsidR="0072133A" w:rsidRDefault="0072133A" w:rsidP="00414921">
      <w:pPr>
        <w:rPr>
          <w:rFonts w:ascii="Arial" w:hAnsi="Arial" w:cs="Arial"/>
          <w:iCs/>
          <w:sz w:val="24"/>
          <w:szCs w:val="24"/>
        </w:rPr>
      </w:pPr>
      <w:r>
        <w:rPr>
          <w:rFonts w:ascii="Arial" w:hAnsi="Arial" w:cs="Arial"/>
          <w:iCs/>
          <w:sz w:val="24"/>
          <w:szCs w:val="24"/>
        </w:rPr>
        <w:t xml:space="preserve">The Bill may be considered to engage </w:t>
      </w:r>
      <w:r w:rsidR="00C7708F">
        <w:rPr>
          <w:rFonts w:ascii="Arial" w:hAnsi="Arial" w:cs="Arial"/>
          <w:iCs/>
          <w:sz w:val="24"/>
          <w:szCs w:val="24"/>
        </w:rPr>
        <w:t xml:space="preserve">and promote </w:t>
      </w:r>
      <w:r>
        <w:rPr>
          <w:rFonts w:ascii="Arial" w:hAnsi="Arial" w:cs="Arial"/>
          <w:iCs/>
          <w:sz w:val="24"/>
          <w:szCs w:val="24"/>
        </w:rPr>
        <w:t xml:space="preserve">the following rights under the </w:t>
      </w:r>
      <w:r>
        <w:rPr>
          <w:rFonts w:ascii="Arial" w:hAnsi="Arial" w:cs="Arial"/>
          <w:i/>
          <w:sz w:val="24"/>
          <w:szCs w:val="24"/>
        </w:rPr>
        <w:t>Human Rights Act 2004</w:t>
      </w:r>
      <w:r>
        <w:rPr>
          <w:rFonts w:ascii="Arial" w:hAnsi="Arial" w:cs="Arial"/>
          <w:iCs/>
          <w:sz w:val="24"/>
          <w:szCs w:val="24"/>
        </w:rPr>
        <w:t>:</w:t>
      </w:r>
    </w:p>
    <w:p w14:paraId="48EEE4CF" w14:textId="5C704266" w:rsidR="0072133A" w:rsidRDefault="00EB6DC0" w:rsidP="00EB6DC0">
      <w:pPr>
        <w:pStyle w:val="ListParagraph"/>
        <w:numPr>
          <w:ilvl w:val="0"/>
          <w:numId w:val="11"/>
        </w:numPr>
        <w:spacing w:after="120"/>
        <w:ind w:left="714" w:hanging="357"/>
        <w:rPr>
          <w:rFonts w:ascii="Arial" w:hAnsi="Arial" w:cs="Arial"/>
          <w:iCs/>
          <w:sz w:val="24"/>
          <w:szCs w:val="24"/>
        </w:rPr>
      </w:pPr>
      <w:r>
        <w:rPr>
          <w:rFonts w:ascii="Arial" w:hAnsi="Arial" w:cs="Arial"/>
          <w:iCs/>
          <w:sz w:val="24"/>
          <w:szCs w:val="24"/>
        </w:rPr>
        <w:t xml:space="preserve">Right to </w:t>
      </w:r>
      <w:r w:rsidR="00B4677A">
        <w:rPr>
          <w:rFonts w:ascii="Arial" w:hAnsi="Arial" w:cs="Arial"/>
          <w:iCs/>
          <w:sz w:val="24"/>
          <w:szCs w:val="24"/>
        </w:rPr>
        <w:t>w</w:t>
      </w:r>
      <w:r>
        <w:rPr>
          <w:rFonts w:ascii="Arial" w:hAnsi="Arial" w:cs="Arial"/>
          <w:iCs/>
          <w:sz w:val="24"/>
          <w:szCs w:val="24"/>
        </w:rPr>
        <w:t xml:space="preserve">ork and </w:t>
      </w:r>
      <w:r w:rsidR="00B4677A">
        <w:rPr>
          <w:rFonts w:ascii="Arial" w:hAnsi="Arial" w:cs="Arial"/>
          <w:iCs/>
          <w:sz w:val="24"/>
          <w:szCs w:val="24"/>
        </w:rPr>
        <w:t>w</w:t>
      </w:r>
      <w:r>
        <w:rPr>
          <w:rFonts w:ascii="Arial" w:hAnsi="Arial" w:cs="Arial"/>
          <w:iCs/>
          <w:sz w:val="24"/>
          <w:szCs w:val="24"/>
        </w:rPr>
        <w:t>ork-</w:t>
      </w:r>
      <w:r w:rsidR="00B4677A">
        <w:rPr>
          <w:rFonts w:ascii="Arial" w:hAnsi="Arial" w:cs="Arial"/>
          <w:iCs/>
          <w:sz w:val="24"/>
          <w:szCs w:val="24"/>
        </w:rPr>
        <w:t>r</w:t>
      </w:r>
      <w:r>
        <w:rPr>
          <w:rFonts w:ascii="Arial" w:hAnsi="Arial" w:cs="Arial"/>
          <w:iCs/>
          <w:sz w:val="24"/>
          <w:szCs w:val="24"/>
        </w:rPr>
        <w:t xml:space="preserve">elated </w:t>
      </w:r>
      <w:r w:rsidR="00B4677A">
        <w:rPr>
          <w:rFonts w:ascii="Arial" w:hAnsi="Arial" w:cs="Arial"/>
          <w:iCs/>
          <w:sz w:val="24"/>
          <w:szCs w:val="24"/>
        </w:rPr>
        <w:t>r</w:t>
      </w:r>
      <w:r>
        <w:rPr>
          <w:rFonts w:ascii="Arial" w:hAnsi="Arial" w:cs="Arial"/>
          <w:iCs/>
          <w:sz w:val="24"/>
          <w:szCs w:val="24"/>
        </w:rPr>
        <w:t>ights</w:t>
      </w:r>
      <w:r w:rsidR="00B4677A">
        <w:rPr>
          <w:rFonts w:ascii="Arial" w:hAnsi="Arial" w:cs="Arial"/>
          <w:iCs/>
          <w:sz w:val="24"/>
          <w:szCs w:val="24"/>
        </w:rPr>
        <w:t>;</w:t>
      </w:r>
    </w:p>
    <w:p w14:paraId="189A07C6" w14:textId="0CB7F6E0" w:rsidR="00B4677A" w:rsidRDefault="00B4677A" w:rsidP="00B4677A">
      <w:pPr>
        <w:pStyle w:val="ListParagraph"/>
        <w:numPr>
          <w:ilvl w:val="0"/>
          <w:numId w:val="11"/>
        </w:numPr>
        <w:rPr>
          <w:rFonts w:ascii="Arial" w:hAnsi="Arial" w:cs="Arial"/>
          <w:iCs/>
          <w:sz w:val="24"/>
          <w:szCs w:val="24"/>
        </w:rPr>
      </w:pPr>
      <w:r w:rsidRPr="00B4677A">
        <w:rPr>
          <w:rFonts w:ascii="Arial" w:hAnsi="Arial" w:cs="Arial"/>
          <w:iCs/>
          <w:sz w:val="24"/>
          <w:szCs w:val="24"/>
        </w:rPr>
        <w:t>Right to recognition, equality and non-discrimination</w:t>
      </w:r>
      <w:r>
        <w:rPr>
          <w:rFonts w:ascii="Arial" w:hAnsi="Arial" w:cs="Arial"/>
          <w:iCs/>
          <w:sz w:val="24"/>
          <w:szCs w:val="24"/>
        </w:rPr>
        <w:t>.</w:t>
      </w:r>
    </w:p>
    <w:p w14:paraId="0886A853" w14:textId="77777777" w:rsidR="00B4677A" w:rsidRPr="00B4677A" w:rsidRDefault="00B4677A" w:rsidP="00B4677A">
      <w:pPr>
        <w:pStyle w:val="ListParagraph"/>
        <w:rPr>
          <w:rFonts w:ascii="Arial" w:hAnsi="Arial" w:cs="Arial"/>
          <w:iCs/>
          <w:sz w:val="24"/>
          <w:szCs w:val="24"/>
        </w:rPr>
      </w:pPr>
    </w:p>
    <w:p w14:paraId="0925EFF3" w14:textId="58172369" w:rsidR="00B4677A" w:rsidRPr="00BC3EF0" w:rsidRDefault="00B4677A" w:rsidP="00414921">
      <w:pPr>
        <w:rPr>
          <w:rFonts w:ascii="Arial" w:hAnsi="Arial" w:cs="Arial"/>
          <w:b/>
          <w:bCs/>
          <w:i/>
          <w:sz w:val="24"/>
          <w:szCs w:val="24"/>
        </w:rPr>
      </w:pPr>
      <w:r w:rsidRPr="00B4677A">
        <w:rPr>
          <w:rFonts w:ascii="Arial" w:hAnsi="Arial" w:cs="Arial"/>
          <w:b/>
          <w:bCs/>
          <w:i/>
          <w:sz w:val="24"/>
          <w:szCs w:val="24"/>
        </w:rPr>
        <w:t>Right to Work and Work-Related Rights</w:t>
      </w:r>
      <w:r w:rsidRPr="00B4677A" w:rsidDel="00B4677A">
        <w:rPr>
          <w:rFonts w:ascii="Arial" w:hAnsi="Arial" w:cs="Arial"/>
          <w:b/>
          <w:bCs/>
          <w:i/>
          <w:sz w:val="24"/>
          <w:szCs w:val="24"/>
        </w:rPr>
        <w:t xml:space="preserve"> </w:t>
      </w:r>
    </w:p>
    <w:p w14:paraId="665778EC" w14:textId="73DF3E72" w:rsidR="002F60EA" w:rsidRDefault="00EB6DC0" w:rsidP="00414921">
      <w:pPr>
        <w:rPr>
          <w:rFonts w:ascii="Arial" w:hAnsi="Arial" w:cs="Arial"/>
          <w:iCs/>
          <w:sz w:val="24"/>
          <w:szCs w:val="24"/>
        </w:rPr>
      </w:pPr>
      <w:r>
        <w:rPr>
          <w:rFonts w:ascii="Arial" w:hAnsi="Arial" w:cs="Arial"/>
          <w:iCs/>
          <w:sz w:val="24"/>
          <w:szCs w:val="24"/>
        </w:rPr>
        <w:t xml:space="preserve">The </w:t>
      </w:r>
      <w:r w:rsidRPr="002F60EA">
        <w:rPr>
          <w:rFonts w:ascii="Arial" w:hAnsi="Arial" w:cs="Arial"/>
          <w:iCs/>
          <w:sz w:val="24"/>
          <w:szCs w:val="24"/>
        </w:rPr>
        <w:t xml:space="preserve">Long Service Leave (Portable Schemes) </w:t>
      </w:r>
      <w:r w:rsidR="002F60EA" w:rsidRPr="002F60EA">
        <w:rPr>
          <w:rFonts w:ascii="Arial" w:hAnsi="Arial" w:cs="Arial"/>
          <w:iCs/>
          <w:sz w:val="24"/>
          <w:szCs w:val="24"/>
        </w:rPr>
        <w:t>Amendment Bill 2022</w:t>
      </w:r>
      <w:r>
        <w:rPr>
          <w:rFonts w:ascii="Arial" w:hAnsi="Arial" w:cs="Arial"/>
          <w:iCs/>
          <w:sz w:val="24"/>
          <w:szCs w:val="24"/>
        </w:rPr>
        <w:t xml:space="preserve"> </w:t>
      </w:r>
      <w:r w:rsidR="002F60EA">
        <w:rPr>
          <w:rFonts w:ascii="Arial" w:hAnsi="Arial" w:cs="Arial"/>
          <w:iCs/>
          <w:sz w:val="24"/>
          <w:szCs w:val="24"/>
        </w:rPr>
        <w:t>positively engages</w:t>
      </w:r>
      <w:r w:rsidR="00C7708F">
        <w:rPr>
          <w:rFonts w:ascii="Arial" w:hAnsi="Arial" w:cs="Arial"/>
          <w:iCs/>
          <w:sz w:val="24"/>
          <w:szCs w:val="24"/>
        </w:rPr>
        <w:t xml:space="preserve"> and </w:t>
      </w:r>
      <w:r w:rsidR="002F60EA">
        <w:rPr>
          <w:rFonts w:ascii="Arial" w:hAnsi="Arial" w:cs="Arial"/>
          <w:iCs/>
          <w:sz w:val="24"/>
          <w:szCs w:val="24"/>
        </w:rPr>
        <w:t xml:space="preserve">promotes the right to work and work-related rights for employees in the </w:t>
      </w:r>
      <w:r w:rsidR="00010999">
        <w:rPr>
          <w:rFonts w:ascii="Arial" w:hAnsi="Arial" w:cs="Arial"/>
          <w:iCs/>
          <w:sz w:val="24"/>
          <w:szCs w:val="24"/>
        </w:rPr>
        <w:t>h</w:t>
      </w:r>
      <w:r>
        <w:rPr>
          <w:rFonts w:ascii="Arial" w:hAnsi="Arial" w:cs="Arial"/>
          <w:iCs/>
          <w:sz w:val="24"/>
          <w:szCs w:val="24"/>
        </w:rPr>
        <w:t xml:space="preserve">airdressing and </w:t>
      </w:r>
      <w:r w:rsidR="00010999">
        <w:rPr>
          <w:rFonts w:ascii="Arial" w:hAnsi="Arial" w:cs="Arial"/>
          <w:iCs/>
          <w:sz w:val="24"/>
          <w:szCs w:val="24"/>
        </w:rPr>
        <w:t>b</w:t>
      </w:r>
      <w:r>
        <w:rPr>
          <w:rFonts w:ascii="Arial" w:hAnsi="Arial" w:cs="Arial"/>
          <w:iCs/>
          <w:sz w:val="24"/>
          <w:szCs w:val="24"/>
        </w:rPr>
        <w:t xml:space="preserve">eauty </w:t>
      </w:r>
      <w:r w:rsidR="00010999">
        <w:rPr>
          <w:rFonts w:ascii="Arial" w:hAnsi="Arial" w:cs="Arial"/>
          <w:iCs/>
          <w:sz w:val="24"/>
          <w:szCs w:val="24"/>
        </w:rPr>
        <w:t>s</w:t>
      </w:r>
      <w:r>
        <w:rPr>
          <w:rFonts w:ascii="Arial" w:hAnsi="Arial" w:cs="Arial"/>
          <w:iCs/>
          <w:sz w:val="24"/>
          <w:szCs w:val="24"/>
        </w:rPr>
        <w:t xml:space="preserve">ervices </w:t>
      </w:r>
      <w:r w:rsidR="00010999">
        <w:rPr>
          <w:rFonts w:ascii="Arial" w:hAnsi="Arial" w:cs="Arial"/>
          <w:iCs/>
          <w:sz w:val="24"/>
          <w:szCs w:val="24"/>
        </w:rPr>
        <w:t>i</w:t>
      </w:r>
      <w:r>
        <w:rPr>
          <w:rFonts w:ascii="Arial" w:hAnsi="Arial" w:cs="Arial"/>
          <w:iCs/>
          <w:sz w:val="24"/>
          <w:szCs w:val="24"/>
        </w:rPr>
        <w:t xml:space="preserve">ndustry and </w:t>
      </w:r>
      <w:r w:rsidR="00010999">
        <w:rPr>
          <w:rFonts w:ascii="Arial" w:hAnsi="Arial" w:cs="Arial"/>
          <w:iCs/>
          <w:sz w:val="24"/>
          <w:szCs w:val="24"/>
        </w:rPr>
        <w:t>the a</w:t>
      </w:r>
      <w:r>
        <w:rPr>
          <w:rFonts w:ascii="Arial" w:hAnsi="Arial" w:cs="Arial"/>
          <w:iCs/>
          <w:sz w:val="24"/>
          <w:szCs w:val="24"/>
        </w:rPr>
        <w:t xml:space="preserve">ccommodation and </w:t>
      </w:r>
      <w:r w:rsidR="00010999">
        <w:rPr>
          <w:rFonts w:ascii="Arial" w:hAnsi="Arial" w:cs="Arial"/>
          <w:iCs/>
          <w:sz w:val="24"/>
          <w:szCs w:val="24"/>
        </w:rPr>
        <w:t>f</w:t>
      </w:r>
      <w:r>
        <w:rPr>
          <w:rFonts w:ascii="Arial" w:hAnsi="Arial" w:cs="Arial"/>
          <w:iCs/>
          <w:sz w:val="24"/>
          <w:szCs w:val="24"/>
        </w:rPr>
        <w:t xml:space="preserve">ood </w:t>
      </w:r>
      <w:r w:rsidR="00010999">
        <w:rPr>
          <w:rFonts w:ascii="Arial" w:hAnsi="Arial" w:cs="Arial"/>
          <w:iCs/>
          <w:sz w:val="24"/>
          <w:szCs w:val="24"/>
        </w:rPr>
        <w:t>s</w:t>
      </w:r>
      <w:r>
        <w:rPr>
          <w:rFonts w:ascii="Arial" w:hAnsi="Arial" w:cs="Arial"/>
          <w:iCs/>
          <w:sz w:val="24"/>
          <w:szCs w:val="24"/>
        </w:rPr>
        <w:t xml:space="preserve">ervices </w:t>
      </w:r>
      <w:r w:rsidR="00010999">
        <w:rPr>
          <w:rFonts w:ascii="Arial" w:hAnsi="Arial" w:cs="Arial"/>
          <w:iCs/>
          <w:sz w:val="24"/>
          <w:szCs w:val="24"/>
        </w:rPr>
        <w:t>i</w:t>
      </w:r>
      <w:r>
        <w:rPr>
          <w:rFonts w:ascii="Arial" w:hAnsi="Arial" w:cs="Arial"/>
          <w:iCs/>
          <w:sz w:val="24"/>
          <w:szCs w:val="24"/>
        </w:rPr>
        <w:t>ndustr</w:t>
      </w:r>
      <w:r w:rsidR="002F60EA">
        <w:rPr>
          <w:rFonts w:ascii="Arial" w:hAnsi="Arial" w:cs="Arial"/>
          <w:iCs/>
          <w:sz w:val="24"/>
          <w:szCs w:val="24"/>
        </w:rPr>
        <w:t>y</w:t>
      </w:r>
      <w:r w:rsidR="001D48C6">
        <w:rPr>
          <w:rFonts w:ascii="Arial" w:hAnsi="Arial" w:cs="Arial"/>
          <w:iCs/>
          <w:sz w:val="24"/>
          <w:szCs w:val="24"/>
        </w:rPr>
        <w:t>.</w:t>
      </w:r>
    </w:p>
    <w:p w14:paraId="01E9F4D9" w14:textId="28E2C8F6" w:rsidR="001A7184" w:rsidRDefault="001A7184" w:rsidP="00414921">
      <w:pPr>
        <w:rPr>
          <w:rFonts w:ascii="Arial" w:hAnsi="Arial" w:cs="Arial"/>
          <w:iCs/>
          <w:sz w:val="24"/>
          <w:szCs w:val="24"/>
        </w:rPr>
      </w:pPr>
      <w:r>
        <w:rPr>
          <w:rFonts w:ascii="Arial" w:hAnsi="Arial" w:cs="Arial"/>
          <w:bCs/>
          <w:sz w:val="24"/>
          <w:szCs w:val="24"/>
        </w:rPr>
        <w:t xml:space="preserve">A </w:t>
      </w:r>
      <w:r w:rsidRPr="001A7184">
        <w:rPr>
          <w:rFonts w:ascii="Arial" w:hAnsi="Arial" w:cs="Arial"/>
          <w:bCs/>
          <w:sz w:val="24"/>
          <w:szCs w:val="24"/>
        </w:rPr>
        <w:t xml:space="preserve">very high proportion of workers in these </w:t>
      </w:r>
      <w:r>
        <w:rPr>
          <w:rFonts w:ascii="Arial" w:hAnsi="Arial" w:cs="Arial"/>
          <w:bCs/>
          <w:sz w:val="24"/>
          <w:szCs w:val="24"/>
        </w:rPr>
        <w:t>industries are</w:t>
      </w:r>
      <w:r w:rsidRPr="001A7184">
        <w:rPr>
          <w:rFonts w:ascii="Arial" w:hAnsi="Arial" w:cs="Arial"/>
          <w:bCs/>
          <w:sz w:val="24"/>
          <w:szCs w:val="24"/>
        </w:rPr>
        <w:t xml:space="preserve"> unable to access traditional long service leave entitlements</w:t>
      </w:r>
      <w:r>
        <w:rPr>
          <w:rFonts w:ascii="Arial" w:hAnsi="Arial" w:cs="Arial"/>
          <w:bCs/>
          <w:sz w:val="24"/>
          <w:szCs w:val="24"/>
        </w:rPr>
        <w:t>.</w:t>
      </w:r>
    </w:p>
    <w:p w14:paraId="2F822F2C" w14:textId="7EDB7947" w:rsidR="00376166" w:rsidRPr="00AB26A5" w:rsidRDefault="002F60EA" w:rsidP="007B7C0C">
      <w:pPr>
        <w:rPr>
          <w:rFonts w:ascii="Arial" w:hAnsi="Arial" w:cs="Arial"/>
          <w:iCs/>
          <w:sz w:val="24"/>
          <w:szCs w:val="24"/>
        </w:rPr>
      </w:pPr>
      <w:r>
        <w:rPr>
          <w:rFonts w:ascii="Arial" w:hAnsi="Arial" w:cs="Arial"/>
          <w:iCs/>
          <w:sz w:val="24"/>
          <w:szCs w:val="24"/>
        </w:rPr>
        <w:t xml:space="preserve">The Bill provides workers in these industries with access to </w:t>
      </w:r>
      <w:r w:rsidR="001A7184">
        <w:rPr>
          <w:rFonts w:ascii="Arial" w:hAnsi="Arial" w:cs="Arial"/>
          <w:iCs/>
          <w:sz w:val="24"/>
          <w:szCs w:val="24"/>
        </w:rPr>
        <w:t xml:space="preserve">leave </w:t>
      </w:r>
      <w:r>
        <w:rPr>
          <w:rFonts w:ascii="Arial" w:hAnsi="Arial" w:cs="Arial"/>
          <w:iCs/>
          <w:sz w:val="24"/>
          <w:szCs w:val="24"/>
        </w:rPr>
        <w:t xml:space="preserve">entitlements afforded to workers in industries with </w:t>
      </w:r>
      <w:r w:rsidR="001A7184">
        <w:rPr>
          <w:rFonts w:ascii="Arial" w:hAnsi="Arial" w:cs="Arial"/>
          <w:iCs/>
          <w:sz w:val="24"/>
          <w:szCs w:val="24"/>
        </w:rPr>
        <w:t>comparable</w:t>
      </w:r>
      <w:r>
        <w:rPr>
          <w:rFonts w:ascii="Arial" w:hAnsi="Arial" w:cs="Arial"/>
          <w:iCs/>
          <w:sz w:val="24"/>
          <w:szCs w:val="24"/>
        </w:rPr>
        <w:t xml:space="preserve"> rates </w:t>
      </w:r>
      <w:r w:rsidR="001A7184">
        <w:rPr>
          <w:rFonts w:ascii="Arial" w:hAnsi="Arial" w:cs="Arial"/>
          <w:iCs/>
          <w:sz w:val="24"/>
          <w:szCs w:val="24"/>
        </w:rPr>
        <w:t xml:space="preserve">of </w:t>
      </w:r>
      <w:r>
        <w:rPr>
          <w:rFonts w:ascii="Arial" w:hAnsi="Arial" w:cs="Arial"/>
          <w:iCs/>
          <w:sz w:val="24"/>
          <w:szCs w:val="24"/>
        </w:rPr>
        <w:t>job mobility and insecure work.</w:t>
      </w:r>
    </w:p>
    <w:p w14:paraId="2E85F302" w14:textId="77777777" w:rsidR="008F55DD" w:rsidRPr="008F55DD" w:rsidRDefault="008F55DD" w:rsidP="007B7C0C">
      <w:pPr>
        <w:pStyle w:val="ListParagraph"/>
        <w:spacing w:after="120"/>
        <w:ind w:left="0"/>
        <w:rPr>
          <w:rFonts w:ascii="Arial" w:hAnsi="Arial" w:cs="Arial"/>
          <w:bCs/>
          <w:sz w:val="24"/>
          <w:szCs w:val="24"/>
        </w:rPr>
      </w:pPr>
      <w:r w:rsidRPr="008F55DD">
        <w:rPr>
          <w:rFonts w:ascii="Arial" w:hAnsi="Arial" w:cs="Arial"/>
          <w:bCs/>
          <w:sz w:val="24"/>
          <w:szCs w:val="24"/>
        </w:rPr>
        <w:t xml:space="preserve">Long service leave is well established in Australia with a high degree of consensus regarding its benefits. Long service leave enables employees to recover their energies and return to work renewed, refreshed, and reinvigorated, after long periods of service. There are many well recognised positive impacts to supporting long service leave for employers and employees, including improved employee health and wellbeing, which in turn contributes to improved productivity. </w:t>
      </w:r>
    </w:p>
    <w:p w14:paraId="31EE3953" w14:textId="1B19ED03" w:rsidR="001E0764" w:rsidRPr="001E0764" w:rsidRDefault="001E0764" w:rsidP="007B7C0C">
      <w:pPr>
        <w:pStyle w:val="ListParagraph"/>
        <w:spacing w:after="120"/>
        <w:ind w:left="0"/>
        <w:rPr>
          <w:rFonts w:ascii="Arial" w:hAnsi="Arial" w:cs="Arial"/>
          <w:bCs/>
          <w:sz w:val="24"/>
          <w:szCs w:val="24"/>
        </w:rPr>
      </w:pPr>
      <w:r w:rsidRPr="001E0764">
        <w:rPr>
          <w:rFonts w:ascii="Arial" w:hAnsi="Arial" w:cs="Arial"/>
          <w:bCs/>
          <w:sz w:val="24"/>
          <w:szCs w:val="24"/>
        </w:rPr>
        <w:t>Increased mobility in employment has meant that long service leave in its traditional form has become inaccessible to many workers.</w:t>
      </w:r>
    </w:p>
    <w:p w14:paraId="21BC1F27" w14:textId="5297BF62" w:rsidR="001E0764" w:rsidRPr="00BD58A2" w:rsidRDefault="001E0764" w:rsidP="007B7C0C">
      <w:pPr>
        <w:pStyle w:val="ListParagraph"/>
        <w:spacing w:after="120"/>
        <w:ind w:left="0"/>
        <w:rPr>
          <w:rFonts w:ascii="Arial" w:hAnsi="Arial" w:cs="Arial"/>
          <w:bCs/>
          <w:sz w:val="24"/>
          <w:szCs w:val="24"/>
        </w:rPr>
      </w:pPr>
      <w:r w:rsidRPr="001E0764">
        <w:rPr>
          <w:rFonts w:ascii="Arial" w:hAnsi="Arial" w:cs="Arial"/>
          <w:bCs/>
          <w:sz w:val="24"/>
          <w:szCs w:val="24"/>
        </w:rPr>
        <w:t>Workforce mobility is high across Australia with 9.5</w:t>
      </w:r>
      <w:r w:rsidR="00FE1D85">
        <w:rPr>
          <w:rFonts w:ascii="Arial" w:hAnsi="Arial" w:cs="Arial"/>
          <w:bCs/>
          <w:sz w:val="24"/>
          <w:szCs w:val="24"/>
        </w:rPr>
        <w:t xml:space="preserve"> per cent</w:t>
      </w:r>
      <w:r w:rsidRPr="001E0764">
        <w:rPr>
          <w:rFonts w:ascii="Arial" w:hAnsi="Arial" w:cs="Arial"/>
          <w:bCs/>
          <w:sz w:val="24"/>
          <w:szCs w:val="24"/>
        </w:rPr>
        <w:t xml:space="preserve"> of employed people during the year ending February 2022 changing jobs, the highest rate since 2012</w:t>
      </w:r>
      <w:r w:rsidR="00BD58A2">
        <w:rPr>
          <w:rFonts w:ascii="Arial" w:hAnsi="Arial" w:cs="Arial"/>
          <w:bCs/>
          <w:sz w:val="24"/>
          <w:szCs w:val="24"/>
        </w:rPr>
        <w:t>.</w:t>
      </w:r>
      <w:r w:rsidR="00BD58A2">
        <w:rPr>
          <w:rStyle w:val="FootnoteReference"/>
          <w:rFonts w:ascii="Arial" w:hAnsi="Arial"/>
          <w:bCs/>
          <w:sz w:val="24"/>
          <w:szCs w:val="24"/>
        </w:rPr>
        <w:footnoteReference w:id="3"/>
      </w:r>
      <w:r w:rsidR="00BD58A2">
        <w:rPr>
          <w:rFonts w:ascii="Arial" w:hAnsi="Arial" w:cs="Arial"/>
          <w:bCs/>
          <w:sz w:val="24"/>
          <w:szCs w:val="24"/>
        </w:rPr>
        <w:t xml:space="preserve"> </w:t>
      </w:r>
      <w:r w:rsidRPr="00BD58A2">
        <w:rPr>
          <w:rFonts w:ascii="Arial" w:hAnsi="Arial" w:cs="Arial"/>
          <w:bCs/>
          <w:sz w:val="24"/>
          <w:szCs w:val="24"/>
        </w:rPr>
        <w:t>Around one in five left their job within less than one year and more than a third of employed people left their job within the past one to four years.</w:t>
      </w:r>
      <w:r w:rsidR="00BD58A2">
        <w:rPr>
          <w:rStyle w:val="FootnoteReference"/>
          <w:rFonts w:ascii="Arial" w:hAnsi="Arial"/>
          <w:bCs/>
          <w:sz w:val="24"/>
          <w:szCs w:val="24"/>
        </w:rPr>
        <w:footnoteReference w:id="4"/>
      </w:r>
      <w:r w:rsidR="00BD58A2">
        <w:rPr>
          <w:rFonts w:ascii="Arial" w:hAnsi="Arial" w:cs="Arial"/>
          <w:bCs/>
          <w:sz w:val="24"/>
          <w:szCs w:val="24"/>
        </w:rPr>
        <w:t xml:space="preserve"> </w:t>
      </w:r>
      <w:r w:rsidRPr="00BD58A2">
        <w:rPr>
          <w:rFonts w:ascii="Arial" w:hAnsi="Arial" w:cs="Arial"/>
          <w:bCs/>
          <w:sz w:val="24"/>
          <w:szCs w:val="24"/>
        </w:rPr>
        <w:t xml:space="preserve">Relevantly, traditional long service leave entitlements in the Territory accrue at seven years’ service under the </w:t>
      </w:r>
      <w:r w:rsidRPr="00065704">
        <w:rPr>
          <w:rFonts w:ascii="Arial" w:hAnsi="Arial" w:cs="Arial"/>
          <w:bCs/>
          <w:i/>
          <w:iCs/>
          <w:sz w:val="24"/>
          <w:szCs w:val="24"/>
        </w:rPr>
        <w:t>Long Service Leave Act 1976</w:t>
      </w:r>
      <w:r w:rsidRPr="00BD58A2">
        <w:rPr>
          <w:rFonts w:ascii="Arial" w:hAnsi="Arial" w:cs="Arial"/>
          <w:bCs/>
          <w:sz w:val="24"/>
          <w:szCs w:val="24"/>
        </w:rPr>
        <w:t xml:space="preserve"> (1976 LSL Act).</w:t>
      </w:r>
    </w:p>
    <w:p w14:paraId="6D5C0DB9" w14:textId="1321A0B6" w:rsidR="00065704" w:rsidRDefault="001E0764" w:rsidP="007B7C0C">
      <w:pPr>
        <w:pStyle w:val="ListParagraph"/>
        <w:spacing w:after="120"/>
        <w:ind w:left="0"/>
        <w:rPr>
          <w:rFonts w:ascii="Arial" w:hAnsi="Arial" w:cs="Arial"/>
          <w:bCs/>
          <w:sz w:val="24"/>
          <w:szCs w:val="24"/>
        </w:rPr>
      </w:pPr>
      <w:r w:rsidRPr="001E0764">
        <w:rPr>
          <w:rFonts w:ascii="Arial" w:hAnsi="Arial" w:cs="Arial"/>
          <w:bCs/>
          <w:sz w:val="24"/>
          <w:szCs w:val="24"/>
        </w:rPr>
        <w:t>Job mobility is one factor that influences job security and equity in access to long service leave entitlements, however there are a number of other relevant factors such as the prevalence of short-term/temporary contracts, casualisation or part-time rates, companies wrapping up and the proportion of female workers.</w:t>
      </w:r>
      <w:r w:rsidR="00065704">
        <w:rPr>
          <w:rFonts w:ascii="Arial" w:hAnsi="Arial" w:cs="Arial"/>
          <w:bCs/>
          <w:sz w:val="24"/>
          <w:szCs w:val="24"/>
        </w:rPr>
        <w:t xml:space="preserve"> </w:t>
      </w:r>
      <w:r w:rsidR="00065704" w:rsidRPr="001E0764">
        <w:rPr>
          <w:rFonts w:ascii="Arial" w:hAnsi="Arial" w:cs="Arial"/>
          <w:bCs/>
          <w:sz w:val="24"/>
          <w:szCs w:val="24"/>
        </w:rPr>
        <w:t xml:space="preserve">The ACT was </w:t>
      </w:r>
      <w:r w:rsidR="00065704" w:rsidRPr="001E0764">
        <w:rPr>
          <w:rFonts w:ascii="Arial" w:hAnsi="Arial" w:cs="Arial"/>
          <w:bCs/>
          <w:sz w:val="24"/>
          <w:szCs w:val="24"/>
        </w:rPr>
        <w:lastRenderedPageBreak/>
        <w:t>reported as having the highest job mobility rate at 12.8</w:t>
      </w:r>
      <w:r w:rsidR="00FE1D85">
        <w:rPr>
          <w:rFonts w:ascii="Arial" w:hAnsi="Arial" w:cs="Arial"/>
          <w:bCs/>
          <w:sz w:val="24"/>
          <w:szCs w:val="24"/>
        </w:rPr>
        <w:t xml:space="preserve"> per cent</w:t>
      </w:r>
      <w:r w:rsidR="00065704" w:rsidRPr="001E0764">
        <w:rPr>
          <w:rFonts w:ascii="Arial" w:hAnsi="Arial" w:cs="Arial"/>
          <w:bCs/>
          <w:sz w:val="24"/>
          <w:szCs w:val="24"/>
        </w:rPr>
        <w:t>, followed by Western Australia and the Northern Territory</w:t>
      </w:r>
      <w:r w:rsidR="00065704">
        <w:rPr>
          <w:rFonts w:ascii="Arial" w:hAnsi="Arial" w:cs="Arial"/>
          <w:bCs/>
          <w:sz w:val="24"/>
          <w:szCs w:val="24"/>
        </w:rPr>
        <w:t>.</w:t>
      </w:r>
      <w:r w:rsidR="00065704">
        <w:rPr>
          <w:rStyle w:val="FootnoteReference"/>
          <w:rFonts w:ascii="Arial" w:hAnsi="Arial"/>
          <w:bCs/>
          <w:sz w:val="24"/>
          <w:szCs w:val="24"/>
        </w:rPr>
        <w:footnoteReference w:id="5"/>
      </w:r>
    </w:p>
    <w:p w14:paraId="0B0886D7" w14:textId="1B3FD1F9" w:rsidR="008B63B9" w:rsidRDefault="008B63B9" w:rsidP="007B7C0C">
      <w:pPr>
        <w:pStyle w:val="ListParagraph"/>
        <w:spacing w:after="120"/>
        <w:ind w:left="0"/>
        <w:rPr>
          <w:rFonts w:ascii="Arial" w:hAnsi="Arial" w:cs="Arial"/>
          <w:bCs/>
          <w:sz w:val="24"/>
          <w:szCs w:val="24"/>
        </w:rPr>
      </w:pPr>
      <w:r w:rsidRPr="001E0764">
        <w:rPr>
          <w:rFonts w:ascii="Arial" w:hAnsi="Arial" w:cs="Arial"/>
          <w:bCs/>
          <w:sz w:val="24"/>
          <w:szCs w:val="24"/>
        </w:rPr>
        <w:t xml:space="preserve">Portable long service leave was introduced to </w:t>
      </w:r>
      <w:r w:rsidR="00FE1D85">
        <w:rPr>
          <w:rFonts w:ascii="Arial" w:hAnsi="Arial" w:cs="Arial"/>
          <w:bCs/>
          <w:sz w:val="24"/>
          <w:szCs w:val="24"/>
        </w:rPr>
        <w:t xml:space="preserve">promote equity of access </w:t>
      </w:r>
      <w:r w:rsidRPr="001E0764">
        <w:rPr>
          <w:rFonts w:ascii="Arial" w:hAnsi="Arial" w:cs="Arial"/>
          <w:bCs/>
          <w:sz w:val="24"/>
          <w:szCs w:val="24"/>
        </w:rPr>
        <w:t xml:space="preserve">by allowing workers to port their long service leave entitlements between employers within a covered industry. </w:t>
      </w:r>
      <w:r>
        <w:rPr>
          <w:rFonts w:ascii="Arial" w:hAnsi="Arial" w:cs="Arial"/>
          <w:bCs/>
          <w:sz w:val="24"/>
          <w:szCs w:val="24"/>
        </w:rPr>
        <w:t>The expansion of the Act to include the hairdressing and beauty services industry and the accommodation and food service industry seeks to further address inequit</w:t>
      </w:r>
      <w:r w:rsidR="00FE1D85">
        <w:rPr>
          <w:rFonts w:ascii="Arial" w:hAnsi="Arial" w:cs="Arial"/>
          <w:bCs/>
          <w:sz w:val="24"/>
          <w:szCs w:val="24"/>
        </w:rPr>
        <w:t>y in access to long service leave</w:t>
      </w:r>
      <w:r>
        <w:rPr>
          <w:rFonts w:ascii="Arial" w:hAnsi="Arial" w:cs="Arial"/>
          <w:bCs/>
          <w:sz w:val="24"/>
          <w:szCs w:val="24"/>
        </w:rPr>
        <w:t>.</w:t>
      </w:r>
    </w:p>
    <w:p w14:paraId="612995E8" w14:textId="77777777" w:rsidR="008B63B9" w:rsidRPr="00AD1303" w:rsidRDefault="008B63B9" w:rsidP="007B7C0C">
      <w:pPr>
        <w:pStyle w:val="ListParagraph"/>
        <w:spacing w:after="120"/>
        <w:ind w:left="0"/>
        <w:rPr>
          <w:rFonts w:ascii="Arial" w:hAnsi="Arial" w:cs="Arial"/>
          <w:bCs/>
          <w:sz w:val="24"/>
          <w:szCs w:val="24"/>
        </w:rPr>
      </w:pPr>
      <w:r>
        <w:rPr>
          <w:rFonts w:ascii="Arial" w:hAnsi="Arial" w:cs="Arial"/>
          <w:bCs/>
          <w:sz w:val="24"/>
          <w:szCs w:val="24"/>
        </w:rPr>
        <w:t>Portable long service leave, unlike traditional long service leave, allows for breaks in service where a worker would not lose accumulated leave and can continue to accumulate long service leave on recommencing employment in a covered industry.</w:t>
      </w:r>
    </w:p>
    <w:p w14:paraId="25074F6E" w14:textId="4634803B" w:rsidR="006B7E8A" w:rsidRDefault="006B7E8A" w:rsidP="007B7C0C">
      <w:pPr>
        <w:pStyle w:val="ListParagraph"/>
        <w:spacing w:after="120"/>
        <w:ind w:left="0"/>
        <w:rPr>
          <w:rFonts w:ascii="Arial" w:hAnsi="Arial" w:cs="Arial"/>
          <w:bCs/>
          <w:sz w:val="24"/>
          <w:szCs w:val="24"/>
        </w:rPr>
      </w:pPr>
      <w:r w:rsidRPr="008F55DD">
        <w:rPr>
          <w:rFonts w:ascii="Arial" w:hAnsi="Arial" w:cs="Arial"/>
          <w:bCs/>
          <w:sz w:val="24"/>
          <w:szCs w:val="24"/>
        </w:rPr>
        <w:t xml:space="preserve">By recognising and encouraging loyalty and professional development within these industries, the schemes benefit employees by facilitating sustainable career paths while providing a variety of work opportunities. The schemes in turn benefit employers and consumers by encouraging the retention of skilled workers within the industry. </w:t>
      </w:r>
    </w:p>
    <w:p w14:paraId="2814121B" w14:textId="121B193B" w:rsidR="006B7E8A" w:rsidRDefault="008B63B9" w:rsidP="007B7C0C">
      <w:pPr>
        <w:pStyle w:val="ListParagraph"/>
        <w:spacing w:after="120"/>
        <w:ind w:left="0"/>
        <w:rPr>
          <w:rFonts w:ascii="Arial" w:hAnsi="Arial" w:cs="Arial"/>
          <w:bCs/>
          <w:sz w:val="24"/>
          <w:szCs w:val="24"/>
        </w:rPr>
      </w:pPr>
      <w:r>
        <w:rPr>
          <w:rFonts w:ascii="Arial" w:hAnsi="Arial" w:cs="Arial"/>
          <w:bCs/>
          <w:sz w:val="24"/>
          <w:szCs w:val="24"/>
        </w:rPr>
        <w:t>Noting a</w:t>
      </w:r>
      <w:r w:rsidRPr="001A7184">
        <w:rPr>
          <w:rFonts w:ascii="Arial" w:hAnsi="Arial" w:cs="Arial"/>
          <w:bCs/>
          <w:sz w:val="24"/>
          <w:szCs w:val="24"/>
        </w:rPr>
        <w:t xml:space="preserve"> proportion of workers in sectors</w:t>
      </w:r>
      <w:r>
        <w:rPr>
          <w:rFonts w:ascii="Arial" w:hAnsi="Arial" w:cs="Arial"/>
          <w:bCs/>
          <w:sz w:val="24"/>
          <w:szCs w:val="24"/>
        </w:rPr>
        <w:t xml:space="preserve"> such as hairdressing and beauty services and accommodation and food services are limited in their ability</w:t>
      </w:r>
      <w:r w:rsidRPr="001A7184">
        <w:rPr>
          <w:rFonts w:ascii="Arial" w:hAnsi="Arial" w:cs="Arial"/>
          <w:bCs/>
          <w:sz w:val="24"/>
          <w:szCs w:val="24"/>
        </w:rPr>
        <w:t xml:space="preserve"> to access traditional long service leave entitlements </w:t>
      </w:r>
      <w:r>
        <w:rPr>
          <w:rFonts w:ascii="Arial" w:hAnsi="Arial" w:cs="Arial"/>
          <w:bCs/>
          <w:sz w:val="24"/>
          <w:szCs w:val="24"/>
        </w:rPr>
        <w:t xml:space="preserve">it is recognised that </w:t>
      </w:r>
      <w:r w:rsidR="005A6CE0">
        <w:rPr>
          <w:rFonts w:ascii="Arial" w:hAnsi="Arial" w:cs="Arial"/>
          <w:bCs/>
          <w:sz w:val="24"/>
          <w:szCs w:val="24"/>
        </w:rPr>
        <w:t>there may be an</w:t>
      </w:r>
      <w:r>
        <w:rPr>
          <w:rFonts w:ascii="Arial" w:hAnsi="Arial" w:cs="Arial"/>
          <w:bCs/>
          <w:sz w:val="24"/>
          <w:szCs w:val="24"/>
        </w:rPr>
        <w:t xml:space="preserve"> </w:t>
      </w:r>
      <w:r w:rsidR="00497048">
        <w:rPr>
          <w:rFonts w:ascii="Arial" w:hAnsi="Arial" w:cs="Arial"/>
          <w:bCs/>
          <w:sz w:val="24"/>
          <w:szCs w:val="24"/>
        </w:rPr>
        <w:t>adjustment</w:t>
      </w:r>
      <w:r>
        <w:rPr>
          <w:rFonts w:ascii="Arial" w:hAnsi="Arial" w:cs="Arial"/>
          <w:bCs/>
          <w:sz w:val="24"/>
          <w:szCs w:val="24"/>
        </w:rPr>
        <w:t xml:space="preserve"> in </w:t>
      </w:r>
      <w:r w:rsidR="00497048">
        <w:rPr>
          <w:rFonts w:ascii="Arial" w:hAnsi="Arial" w:cs="Arial"/>
          <w:bCs/>
          <w:sz w:val="24"/>
          <w:szCs w:val="24"/>
        </w:rPr>
        <w:t xml:space="preserve">short term business operating expenses and how businesses account for leave entitlements </w:t>
      </w:r>
      <w:r w:rsidRPr="001A7184">
        <w:rPr>
          <w:rFonts w:ascii="Arial" w:hAnsi="Arial" w:cs="Arial"/>
          <w:bCs/>
          <w:sz w:val="24"/>
          <w:szCs w:val="24"/>
        </w:rPr>
        <w:t xml:space="preserve">due to the fact that contingent </w:t>
      </w:r>
      <w:r>
        <w:rPr>
          <w:rFonts w:ascii="Arial" w:hAnsi="Arial" w:cs="Arial"/>
          <w:bCs/>
          <w:sz w:val="24"/>
          <w:szCs w:val="24"/>
        </w:rPr>
        <w:t>long service leave</w:t>
      </w:r>
      <w:r w:rsidRPr="001A7184">
        <w:rPr>
          <w:rFonts w:ascii="Arial" w:hAnsi="Arial" w:cs="Arial"/>
          <w:bCs/>
          <w:sz w:val="24"/>
          <w:szCs w:val="24"/>
        </w:rPr>
        <w:t xml:space="preserve"> liabilities </w:t>
      </w:r>
      <w:r w:rsidR="00497048">
        <w:rPr>
          <w:rFonts w:ascii="Arial" w:hAnsi="Arial" w:cs="Arial"/>
          <w:bCs/>
          <w:sz w:val="24"/>
          <w:szCs w:val="24"/>
        </w:rPr>
        <w:t xml:space="preserve">arising under the 1976 Act </w:t>
      </w:r>
      <w:r w:rsidRPr="001A7184">
        <w:rPr>
          <w:rFonts w:ascii="Arial" w:hAnsi="Arial" w:cs="Arial"/>
          <w:bCs/>
          <w:sz w:val="24"/>
          <w:szCs w:val="24"/>
        </w:rPr>
        <w:t xml:space="preserve">are only required to be recorded after five years </w:t>
      </w:r>
      <w:r w:rsidR="00497048">
        <w:rPr>
          <w:rFonts w:ascii="Arial" w:hAnsi="Arial" w:cs="Arial"/>
          <w:bCs/>
          <w:sz w:val="24"/>
          <w:szCs w:val="24"/>
        </w:rPr>
        <w:t xml:space="preserve">of service not quarterly as per the Act. </w:t>
      </w:r>
      <w:r w:rsidR="008F1E61">
        <w:rPr>
          <w:rFonts w:ascii="Arial" w:hAnsi="Arial" w:cs="Arial"/>
          <w:bCs/>
          <w:sz w:val="24"/>
          <w:szCs w:val="24"/>
        </w:rPr>
        <w:t>However, i</w:t>
      </w:r>
      <w:r w:rsidR="00497048">
        <w:rPr>
          <w:rFonts w:ascii="Arial" w:hAnsi="Arial" w:cs="Arial"/>
          <w:bCs/>
          <w:sz w:val="24"/>
          <w:szCs w:val="24"/>
        </w:rPr>
        <w:t xml:space="preserve">t is further noted that </w:t>
      </w:r>
      <w:r w:rsidR="00965F0B">
        <w:rPr>
          <w:rFonts w:ascii="Arial" w:hAnsi="Arial" w:cs="Arial"/>
          <w:bCs/>
          <w:sz w:val="24"/>
          <w:szCs w:val="24"/>
        </w:rPr>
        <w:t xml:space="preserve">a high </w:t>
      </w:r>
      <w:r w:rsidR="00497048">
        <w:rPr>
          <w:rFonts w:ascii="Arial" w:hAnsi="Arial" w:cs="Arial"/>
          <w:bCs/>
          <w:sz w:val="24"/>
          <w:szCs w:val="24"/>
        </w:rPr>
        <w:t xml:space="preserve">proportion of workers in </w:t>
      </w:r>
      <w:r w:rsidR="00FE1D85">
        <w:rPr>
          <w:rFonts w:ascii="Arial" w:hAnsi="Arial" w:cs="Arial"/>
          <w:bCs/>
          <w:sz w:val="24"/>
          <w:szCs w:val="24"/>
        </w:rPr>
        <w:t xml:space="preserve">the </w:t>
      </w:r>
      <w:r w:rsidR="00965F0B">
        <w:rPr>
          <w:rFonts w:ascii="Arial" w:hAnsi="Arial" w:cs="Arial"/>
          <w:bCs/>
          <w:sz w:val="24"/>
          <w:szCs w:val="24"/>
        </w:rPr>
        <w:t>hairdressing and beauty services industry and accommodation and food services industry</w:t>
      </w:r>
      <w:r w:rsidRPr="001A7184">
        <w:rPr>
          <w:rFonts w:ascii="Arial" w:hAnsi="Arial" w:cs="Arial"/>
          <w:bCs/>
          <w:sz w:val="24"/>
          <w:szCs w:val="24"/>
        </w:rPr>
        <w:t xml:space="preserve"> are </w:t>
      </w:r>
      <w:r w:rsidR="008F1E61">
        <w:rPr>
          <w:rFonts w:ascii="Arial" w:hAnsi="Arial" w:cs="Arial"/>
          <w:bCs/>
          <w:sz w:val="24"/>
          <w:szCs w:val="24"/>
        </w:rPr>
        <w:t xml:space="preserve">limited in accessing their </w:t>
      </w:r>
      <w:r w:rsidR="00965F0B">
        <w:rPr>
          <w:rFonts w:ascii="Arial" w:hAnsi="Arial" w:cs="Arial"/>
          <w:bCs/>
          <w:sz w:val="24"/>
          <w:szCs w:val="24"/>
        </w:rPr>
        <w:t xml:space="preserve">leave </w:t>
      </w:r>
      <w:r w:rsidR="008F1E61">
        <w:rPr>
          <w:rFonts w:ascii="Arial" w:hAnsi="Arial" w:cs="Arial"/>
          <w:bCs/>
          <w:sz w:val="24"/>
          <w:szCs w:val="24"/>
        </w:rPr>
        <w:t xml:space="preserve">entitlements, </w:t>
      </w:r>
      <w:r w:rsidR="00965F0B">
        <w:rPr>
          <w:rFonts w:ascii="Arial" w:hAnsi="Arial" w:cs="Arial"/>
          <w:bCs/>
          <w:sz w:val="24"/>
          <w:szCs w:val="24"/>
        </w:rPr>
        <w:t xml:space="preserve">as </w:t>
      </w:r>
      <w:r w:rsidR="008F1E61">
        <w:rPr>
          <w:rFonts w:ascii="Arial" w:hAnsi="Arial" w:cs="Arial"/>
          <w:bCs/>
          <w:sz w:val="24"/>
          <w:szCs w:val="24"/>
        </w:rPr>
        <w:t xml:space="preserve">these liabilities are </w:t>
      </w:r>
      <w:r w:rsidRPr="001A7184">
        <w:rPr>
          <w:rFonts w:ascii="Arial" w:hAnsi="Arial" w:cs="Arial"/>
          <w:bCs/>
          <w:sz w:val="24"/>
          <w:szCs w:val="24"/>
        </w:rPr>
        <w:t xml:space="preserve">largely never paid with workers leaving their employer before they </w:t>
      </w:r>
      <w:r w:rsidR="00965F0B">
        <w:rPr>
          <w:rFonts w:ascii="Arial" w:hAnsi="Arial" w:cs="Arial"/>
          <w:bCs/>
          <w:sz w:val="24"/>
          <w:szCs w:val="24"/>
        </w:rPr>
        <w:t xml:space="preserve">are eligible to access </w:t>
      </w:r>
      <w:r w:rsidRPr="001A7184">
        <w:rPr>
          <w:rFonts w:ascii="Arial" w:hAnsi="Arial" w:cs="Arial"/>
          <w:bCs/>
          <w:sz w:val="24"/>
          <w:szCs w:val="24"/>
        </w:rPr>
        <w:t>accrue</w:t>
      </w:r>
      <w:r w:rsidR="00965F0B">
        <w:rPr>
          <w:rFonts w:ascii="Arial" w:hAnsi="Arial" w:cs="Arial"/>
          <w:bCs/>
          <w:sz w:val="24"/>
          <w:szCs w:val="24"/>
        </w:rPr>
        <w:t>d</w:t>
      </w:r>
      <w:r w:rsidRPr="001A7184">
        <w:rPr>
          <w:rFonts w:ascii="Arial" w:hAnsi="Arial" w:cs="Arial"/>
          <w:bCs/>
          <w:sz w:val="24"/>
          <w:szCs w:val="24"/>
        </w:rPr>
        <w:t xml:space="preserve"> long service leave</w:t>
      </w:r>
      <w:r>
        <w:rPr>
          <w:rFonts w:ascii="Arial" w:hAnsi="Arial" w:cs="Arial"/>
          <w:bCs/>
          <w:sz w:val="24"/>
          <w:szCs w:val="24"/>
        </w:rPr>
        <w:t>.</w:t>
      </w:r>
    </w:p>
    <w:p w14:paraId="06B8B088" w14:textId="77777777" w:rsidR="006B7E8A" w:rsidRPr="00AB26A5" w:rsidRDefault="006B7E8A" w:rsidP="007B7C0C">
      <w:pPr>
        <w:pStyle w:val="ListParagraph"/>
        <w:spacing w:after="120"/>
        <w:ind w:left="0"/>
        <w:rPr>
          <w:rFonts w:ascii="Arial" w:hAnsi="Arial" w:cs="Arial"/>
          <w:bCs/>
          <w:sz w:val="24"/>
          <w:szCs w:val="24"/>
        </w:rPr>
      </w:pPr>
      <w:r>
        <w:rPr>
          <w:rFonts w:ascii="Arial" w:hAnsi="Arial" w:cs="Arial"/>
          <w:bCs/>
          <w:sz w:val="24"/>
          <w:szCs w:val="24"/>
        </w:rPr>
        <w:t>Experience from introducing other regulatory frameworks that require compliance with workplace laws and standards shows this has a flow on effect of increasing general compliance.</w:t>
      </w:r>
    </w:p>
    <w:p w14:paraId="76591690" w14:textId="77777777" w:rsidR="006B7E8A" w:rsidRPr="00AB26A5" w:rsidRDefault="006B7E8A" w:rsidP="007B7C0C">
      <w:pPr>
        <w:pStyle w:val="ListParagraph"/>
        <w:spacing w:after="120"/>
        <w:ind w:left="0"/>
        <w:rPr>
          <w:rFonts w:ascii="Arial" w:hAnsi="Arial" w:cs="Arial"/>
          <w:bCs/>
          <w:sz w:val="24"/>
          <w:szCs w:val="24"/>
        </w:rPr>
      </w:pPr>
      <w:r>
        <w:rPr>
          <w:rFonts w:ascii="Arial" w:hAnsi="Arial" w:cs="Arial"/>
          <w:bCs/>
          <w:sz w:val="24"/>
          <w:szCs w:val="24"/>
        </w:rPr>
        <w:t>Arrangements under the long service leave portable schemes allow administering authorities to identify broad, systematic compliance issues and ensure workers receive their workplace entitlements.</w:t>
      </w:r>
    </w:p>
    <w:p w14:paraId="26D4C8D6" w14:textId="52214C55" w:rsidR="00C97367" w:rsidRDefault="00C97367" w:rsidP="007B7C0C">
      <w:pPr>
        <w:pStyle w:val="ListParagraph"/>
        <w:spacing w:after="120"/>
        <w:ind w:left="0"/>
        <w:rPr>
          <w:rFonts w:ascii="Arial" w:hAnsi="Arial" w:cs="Arial"/>
          <w:bCs/>
          <w:sz w:val="24"/>
          <w:szCs w:val="24"/>
        </w:rPr>
      </w:pPr>
      <w:r>
        <w:rPr>
          <w:rFonts w:ascii="Arial" w:hAnsi="Arial" w:cs="Arial"/>
          <w:bCs/>
          <w:sz w:val="24"/>
          <w:szCs w:val="24"/>
        </w:rPr>
        <w:t>A</w:t>
      </w:r>
      <w:r w:rsidRPr="001E0764">
        <w:rPr>
          <w:rFonts w:ascii="Arial" w:hAnsi="Arial" w:cs="Arial"/>
          <w:bCs/>
          <w:sz w:val="24"/>
          <w:szCs w:val="24"/>
        </w:rPr>
        <w:t xml:space="preserve"> transition period of two years for commencement of the expanded coverage </w:t>
      </w:r>
      <w:r>
        <w:rPr>
          <w:rFonts w:ascii="Arial" w:hAnsi="Arial" w:cs="Arial"/>
          <w:bCs/>
          <w:sz w:val="24"/>
          <w:szCs w:val="24"/>
        </w:rPr>
        <w:t>is proposed</w:t>
      </w:r>
      <w:r w:rsidRPr="001E0764">
        <w:rPr>
          <w:rFonts w:ascii="Arial" w:hAnsi="Arial" w:cs="Arial"/>
          <w:bCs/>
          <w:sz w:val="24"/>
          <w:szCs w:val="24"/>
        </w:rPr>
        <w:t xml:space="preserve"> to allow time for businesses and workers in the new industries to prepare </w:t>
      </w:r>
      <w:r w:rsidR="008F1E61">
        <w:rPr>
          <w:rFonts w:ascii="Arial" w:hAnsi="Arial" w:cs="Arial"/>
          <w:bCs/>
          <w:sz w:val="24"/>
          <w:szCs w:val="24"/>
        </w:rPr>
        <w:t xml:space="preserve">for the changes and </w:t>
      </w:r>
      <w:r w:rsidRPr="001E0764">
        <w:rPr>
          <w:rFonts w:ascii="Arial" w:hAnsi="Arial" w:cs="Arial"/>
          <w:bCs/>
          <w:sz w:val="24"/>
          <w:szCs w:val="24"/>
        </w:rPr>
        <w:t>register with the A</w:t>
      </w:r>
      <w:r w:rsidR="00AA7458">
        <w:rPr>
          <w:rFonts w:ascii="Arial" w:hAnsi="Arial" w:cs="Arial"/>
          <w:bCs/>
          <w:sz w:val="24"/>
          <w:szCs w:val="24"/>
        </w:rPr>
        <w:t>uthority</w:t>
      </w:r>
      <w:r w:rsidR="008F1E61">
        <w:rPr>
          <w:rFonts w:ascii="Arial" w:hAnsi="Arial" w:cs="Arial"/>
          <w:bCs/>
          <w:sz w:val="24"/>
          <w:szCs w:val="24"/>
        </w:rPr>
        <w:t>. It is further designed to</w:t>
      </w:r>
      <w:r w:rsidRPr="001E0764">
        <w:rPr>
          <w:rFonts w:ascii="Arial" w:hAnsi="Arial" w:cs="Arial"/>
          <w:bCs/>
          <w:sz w:val="24"/>
          <w:szCs w:val="24"/>
        </w:rPr>
        <w:t xml:space="preserve"> ensure that the </w:t>
      </w:r>
      <w:r w:rsidR="00AA7458">
        <w:rPr>
          <w:rFonts w:ascii="Arial" w:hAnsi="Arial" w:cs="Arial"/>
          <w:bCs/>
          <w:sz w:val="24"/>
          <w:szCs w:val="24"/>
        </w:rPr>
        <w:t>Authority</w:t>
      </w:r>
      <w:r w:rsidR="00EF3931">
        <w:rPr>
          <w:rFonts w:ascii="Arial" w:hAnsi="Arial" w:cs="Arial"/>
          <w:bCs/>
          <w:sz w:val="24"/>
          <w:szCs w:val="24"/>
        </w:rPr>
        <w:t>’s</w:t>
      </w:r>
      <w:r w:rsidRPr="001E0764">
        <w:rPr>
          <w:rFonts w:ascii="Arial" w:hAnsi="Arial" w:cs="Arial"/>
          <w:bCs/>
          <w:sz w:val="24"/>
          <w:szCs w:val="24"/>
        </w:rPr>
        <w:t xml:space="preserve"> </w:t>
      </w:r>
      <w:r w:rsidR="008F1E61">
        <w:rPr>
          <w:rFonts w:ascii="Arial" w:hAnsi="Arial" w:cs="Arial"/>
          <w:bCs/>
          <w:sz w:val="24"/>
          <w:szCs w:val="24"/>
        </w:rPr>
        <w:t xml:space="preserve">information technology </w:t>
      </w:r>
      <w:r w:rsidRPr="001E0764">
        <w:rPr>
          <w:rFonts w:ascii="Arial" w:hAnsi="Arial" w:cs="Arial"/>
          <w:bCs/>
          <w:sz w:val="24"/>
          <w:szCs w:val="24"/>
        </w:rPr>
        <w:t>systems and administrative services are ready for the new entrants to the schemes. This is considered necessary given the size of the proposed increase to the schemes.</w:t>
      </w:r>
    </w:p>
    <w:p w14:paraId="22D18178" w14:textId="6CEAC197" w:rsidR="006B7E8A" w:rsidRPr="00AB26A5" w:rsidRDefault="006B7E8A" w:rsidP="007B7C0C">
      <w:pPr>
        <w:pStyle w:val="ListParagraph"/>
        <w:spacing w:after="120"/>
        <w:ind w:left="0"/>
        <w:rPr>
          <w:rFonts w:ascii="Arial" w:hAnsi="Arial" w:cs="Arial"/>
          <w:bCs/>
          <w:sz w:val="24"/>
          <w:szCs w:val="24"/>
        </w:rPr>
      </w:pPr>
      <w:r>
        <w:rPr>
          <w:rFonts w:ascii="Arial" w:hAnsi="Arial" w:cs="Arial"/>
          <w:bCs/>
          <w:sz w:val="24"/>
          <w:szCs w:val="24"/>
        </w:rPr>
        <w:t>The expansion of the long service leave portable schemes to the hairdressing and beauty services industry and the accommodation and food services industry does not have a</w:t>
      </w:r>
      <w:r w:rsidR="008F1E61">
        <w:rPr>
          <w:rFonts w:ascii="Arial" w:hAnsi="Arial" w:cs="Arial"/>
          <w:bCs/>
          <w:sz w:val="24"/>
          <w:szCs w:val="24"/>
        </w:rPr>
        <w:t>n</w:t>
      </w:r>
      <w:r>
        <w:rPr>
          <w:rFonts w:ascii="Arial" w:hAnsi="Arial" w:cs="Arial"/>
          <w:bCs/>
          <w:sz w:val="24"/>
          <w:szCs w:val="24"/>
        </w:rPr>
        <w:t xml:space="preserve"> ACT Government budget impact</w:t>
      </w:r>
      <w:r w:rsidR="007B7C0C">
        <w:rPr>
          <w:rFonts w:ascii="Arial" w:hAnsi="Arial" w:cs="Arial"/>
          <w:bCs/>
          <w:sz w:val="24"/>
          <w:szCs w:val="24"/>
        </w:rPr>
        <w:t>.</w:t>
      </w:r>
    </w:p>
    <w:p w14:paraId="065340A2" w14:textId="34A3A228" w:rsidR="00B4677A" w:rsidRDefault="00B4677A" w:rsidP="00B4677A">
      <w:pPr>
        <w:rPr>
          <w:rFonts w:ascii="Arial" w:hAnsi="Arial" w:cs="Arial"/>
          <w:b/>
          <w:bCs/>
          <w:i/>
          <w:iCs/>
          <w:sz w:val="24"/>
          <w:szCs w:val="24"/>
        </w:rPr>
      </w:pPr>
    </w:p>
    <w:p w14:paraId="0490BB71" w14:textId="77777777" w:rsidR="00FE1D85" w:rsidRPr="00B4677A" w:rsidRDefault="00FE1D85" w:rsidP="00B4677A">
      <w:pPr>
        <w:rPr>
          <w:rFonts w:ascii="Arial" w:hAnsi="Arial" w:cs="Arial"/>
          <w:b/>
          <w:bCs/>
          <w:i/>
          <w:iCs/>
          <w:sz w:val="24"/>
          <w:szCs w:val="24"/>
        </w:rPr>
      </w:pPr>
    </w:p>
    <w:p w14:paraId="22A8D715" w14:textId="7D786476" w:rsidR="008902B9" w:rsidRPr="00BC3EF0" w:rsidRDefault="00CD06D6" w:rsidP="00B4677A">
      <w:pPr>
        <w:rPr>
          <w:rFonts w:ascii="Arial" w:hAnsi="Arial" w:cs="Arial"/>
          <w:b/>
          <w:bCs/>
          <w:i/>
          <w:sz w:val="24"/>
          <w:szCs w:val="24"/>
        </w:rPr>
      </w:pPr>
      <w:r w:rsidRPr="006F1222">
        <w:rPr>
          <w:rFonts w:ascii="Arial" w:hAnsi="Arial" w:cs="Arial"/>
          <w:b/>
          <w:bCs/>
          <w:i/>
          <w:sz w:val="24"/>
          <w:szCs w:val="24"/>
        </w:rPr>
        <w:lastRenderedPageBreak/>
        <w:t xml:space="preserve">Right to equality and non-discrimination </w:t>
      </w:r>
    </w:p>
    <w:p w14:paraId="42500171" w14:textId="5612C2DD" w:rsidR="008902B9" w:rsidRDefault="008902B9" w:rsidP="008902B9">
      <w:pPr>
        <w:rPr>
          <w:rFonts w:ascii="Arial" w:hAnsi="Arial" w:cs="Arial"/>
          <w:iCs/>
          <w:sz w:val="24"/>
          <w:szCs w:val="24"/>
        </w:rPr>
      </w:pPr>
      <w:r>
        <w:rPr>
          <w:rFonts w:ascii="Arial" w:hAnsi="Arial" w:cs="Arial"/>
          <w:iCs/>
          <w:sz w:val="24"/>
          <w:szCs w:val="24"/>
        </w:rPr>
        <w:t xml:space="preserve">The </w:t>
      </w:r>
      <w:r w:rsidRPr="002F60EA">
        <w:rPr>
          <w:rFonts w:ascii="Arial" w:hAnsi="Arial" w:cs="Arial"/>
          <w:iCs/>
          <w:sz w:val="24"/>
          <w:szCs w:val="24"/>
        </w:rPr>
        <w:t>Long Service Leave (Portable Schemes) Amendment Bill 2022</w:t>
      </w:r>
      <w:r>
        <w:rPr>
          <w:rFonts w:ascii="Arial" w:hAnsi="Arial" w:cs="Arial"/>
          <w:iCs/>
          <w:sz w:val="24"/>
          <w:szCs w:val="24"/>
        </w:rPr>
        <w:t xml:space="preserve"> positively engages and promotes the right to equality</w:t>
      </w:r>
      <w:r w:rsidR="007F150E">
        <w:rPr>
          <w:rFonts w:ascii="Arial" w:hAnsi="Arial" w:cs="Arial"/>
          <w:iCs/>
          <w:sz w:val="24"/>
          <w:szCs w:val="24"/>
        </w:rPr>
        <w:t xml:space="preserve"> and non-discrimination </w:t>
      </w:r>
      <w:r>
        <w:rPr>
          <w:rFonts w:ascii="Arial" w:hAnsi="Arial" w:cs="Arial"/>
          <w:iCs/>
          <w:sz w:val="24"/>
          <w:szCs w:val="24"/>
        </w:rPr>
        <w:t xml:space="preserve">for </w:t>
      </w:r>
      <w:r w:rsidR="00B4677A">
        <w:rPr>
          <w:rFonts w:ascii="Arial" w:hAnsi="Arial" w:cs="Arial"/>
          <w:iCs/>
          <w:sz w:val="24"/>
          <w:szCs w:val="24"/>
        </w:rPr>
        <w:t xml:space="preserve">women </w:t>
      </w:r>
      <w:r>
        <w:rPr>
          <w:rFonts w:ascii="Arial" w:hAnsi="Arial" w:cs="Arial"/>
          <w:iCs/>
          <w:sz w:val="24"/>
          <w:szCs w:val="24"/>
        </w:rPr>
        <w:t>in the hairdressing and beauty services industry and the accommodation and food services industry.</w:t>
      </w:r>
    </w:p>
    <w:p w14:paraId="12542A77" w14:textId="3F738889" w:rsidR="008902B9" w:rsidRDefault="008902B9" w:rsidP="008902B9">
      <w:pPr>
        <w:rPr>
          <w:rFonts w:ascii="Arial" w:hAnsi="Arial" w:cs="Arial"/>
          <w:iCs/>
          <w:sz w:val="24"/>
          <w:szCs w:val="24"/>
        </w:rPr>
      </w:pPr>
      <w:r>
        <w:rPr>
          <w:rFonts w:ascii="Arial" w:hAnsi="Arial" w:cs="Arial"/>
          <w:bCs/>
          <w:sz w:val="24"/>
          <w:szCs w:val="24"/>
        </w:rPr>
        <w:t xml:space="preserve">A </w:t>
      </w:r>
      <w:r w:rsidRPr="001A7184">
        <w:rPr>
          <w:rFonts w:ascii="Arial" w:hAnsi="Arial" w:cs="Arial"/>
          <w:bCs/>
          <w:sz w:val="24"/>
          <w:szCs w:val="24"/>
        </w:rPr>
        <w:t>high proportion of wo</w:t>
      </w:r>
      <w:r>
        <w:rPr>
          <w:rFonts w:ascii="Arial" w:hAnsi="Arial" w:cs="Arial"/>
          <w:bCs/>
          <w:sz w:val="24"/>
          <w:szCs w:val="24"/>
        </w:rPr>
        <w:t>men employed</w:t>
      </w:r>
      <w:r w:rsidRPr="001A7184">
        <w:rPr>
          <w:rFonts w:ascii="Arial" w:hAnsi="Arial" w:cs="Arial"/>
          <w:bCs/>
          <w:sz w:val="24"/>
          <w:szCs w:val="24"/>
        </w:rPr>
        <w:t xml:space="preserve"> in these </w:t>
      </w:r>
      <w:r>
        <w:rPr>
          <w:rFonts w:ascii="Arial" w:hAnsi="Arial" w:cs="Arial"/>
          <w:bCs/>
          <w:sz w:val="24"/>
          <w:szCs w:val="24"/>
        </w:rPr>
        <w:t>industries are</w:t>
      </w:r>
      <w:r w:rsidRPr="001A7184">
        <w:rPr>
          <w:rFonts w:ascii="Arial" w:hAnsi="Arial" w:cs="Arial"/>
          <w:bCs/>
          <w:sz w:val="24"/>
          <w:szCs w:val="24"/>
        </w:rPr>
        <w:t xml:space="preserve"> unable to access traditional long service leave entitlements</w:t>
      </w:r>
      <w:r>
        <w:rPr>
          <w:rFonts w:ascii="Arial" w:hAnsi="Arial" w:cs="Arial"/>
          <w:bCs/>
          <w:sz w:val="24"/>
          <w:szCs w:val="24"/>
        </w:rPr>
        <w:t>.</w:t>
      </w:r>
    </w:p>
    <w:p w14:paraId="41EDC59C" w14:textId="627A2814" w:rsidR="008902B9" w:rsidRPr="00AB26A5" w:rsidRDefault="008902B9" w:rsidP="008902B9">
      <w:pPr>
        <w:rPr>
          <w:rFonts w:ascii="Arial" w:hAnsi="Arial" w:cs="Arial"/>
          <w:iCs/>
          <w:sz w:val="24"/>
          <w:szCs w:val="24"/>
        </w:rPr>
      </w:pPr>
      <w:r>
        <w:rPr>
          <w:rFonts w:ascii="Arial" w:hAnsi="Arial" w:cs="Arial"/>
          <w:iCs/>
          <w:sz w:val="24"/>
          <w:szCs w:val="24"/>
        </w:rPr>
        <w:t>The Bill provides women employed in these industries with access to leave entitlements afforded to workers in industries with comparable rates of job mobility and insecure work</w:t>
      </w:r>
      <w:r w:rsidR="00C63EF2">
        <w:rPr>
          <w:rFonts w:ascii="Arial" w:hAnsi="Arial" w:cs="Arial"/>
          <w:iCs/>
          <w:sz w:val="24"/>
          <w:szCs w:val="24"/>
        </w:rPr>
        <w:t xml:space="preserve"> such as contract cleaning and community services</w:t>
      </w:r>
      <w:r>
        <w:rPr>
          <w:rFonts w:ascii="Arial" w:hAnsi="Arial" w:cs="Arial"/>
          <w:iCs/>
          <w:sz w:val="24"/>
          <w:szCs w:val="24"/>
        </w:rPr>
        <w:t>.</w:t>
      </w:r>
      <w:r w:rsidR="00C63EF2">
        <w:rPr>
          <w:rFonts w:ascii="Arial" w:hAnsi="Arial" w:cs="Arial"/>
          <w:iCs/>
          <w:sz w:val="24"/>
          <w:szCs w:val="24"/>
        </w:rPr>
        <w:t xml:space="preserve"> It further supports the recognition and equity of women through the expansion of the portable schemes to industries traditionally dominated by women – noting that the building and construction industry, as a traditionally male dominated sector, has been entitled to portable long service leave since 1981. </w:t>
      </w:r>
    </w:p>
    <w:p w14:paraId="24AA72D8" w14:textId="77777777" w:rsidR="008902B9" w:rsidRDefault="008902B9" w:rsidP="007B7C0C">
      <w:pPr>
        <w:pStyle w:val="ListParagraph"/>
        <w:spacing w:after="120"/>
        <w:ind w:left="0"/>
        <w:rPr>
          <w:rFonts w:ascii="Arial" w:hAnsi="Arial" w:cs="Arial"/>
          <w:bCs/>
          <w:sz w:val="24"/>
          <w:szCs w:val="24"/>
        </w:rPr>
      </w:pPr>
      <w:r w:rsidRPr="001E0764">
        <w:rPr>
          <w:rFonts w:ascii="Arial" w:hAnsi="Arial" w:cs="Arial"/>
          <w:bCs/>
          <w:sz w:val="24"/>
          <w:szCs w:val="24"/>
        </w:rPr>
        <w:t>The limitations on access to traditional long service leave entitlements are particularly pronounced for women. This is because women disproportionately take on carer responsibilities,</w:t>
      </w:r>
      <w:r>
        <w:rPr>
          <w:rStyle w:val="FootnoteReference"/>
          <w:rFonts w:ascii="Arial" w:hAnsi="Arial"/>
          <w:bCs/>
          <w:sz w:val="24"/>
          <w:szCs w:val="24"/>
        </w:rPr>
        <w:footnoteReference w:id="6"/>
      </w:r>
      <w:r w:rsidRPr="001E0764">
        <w:rPr>
          <w:rFonts w:ascii="Arial" w:hAnsi="Arial" w:cs="Arial"/>
          <w:bCs/>
          <w:sz w:val="24"/>
          <w:szCs w:val="24"/>
        </w:rPr>
        <w:t xml:space="preserve"> and subsequently report work/life conflict</w:t>
      </w:r>
      <w:r>
        <w:rPr>
          <w:rFonts w:ascii="Arial" w:hAnsi="Arial" w:cs="Arial"/>
          <w:bCs/>
          <w:sz w:val="24"/>
          <w:szCs w:val="24"/>
        </w:rPr>
        <w:t xml:space="preserve"> s</w:t>
      </w:r>
      <w:r w:rsidRPr="001E0764">
        <w:rPr>
          <w:rFonts w:ascii="Arial" w:hAnsi="Arial" w:cs="Arial"/>
          <w:bCs/>
          <w:sz w:val="24"/>
          <w:szCs w:val="24"/>
        </w:rPr>
        <w:t>ignificantly more than men.</w:t>
      </w:r>
      <w:r>
        <w:rPr>
          <w:rStyle w:val="FootnoteReference"/>
          <w:rFonts w:ascii="Arial" w:hAnsi="Arial"/>
          <w:bCs/>
          <w:sz w:val="24"/>
          <w:szCs w:val="24"/>
        </w:rPr>
        <w:footnoteReference w:id="7"/>
      </w:r>
      <w:r w:rsidRPr="001E0764">
        <w:rPr>
          <w:rFonts w:ascii="Arial" w:hAnsi="Arial" w:cs="Arial"/>
          <w:bCs/>
          <w:sz w:val="24"/>
          <w:szCs w:val="24"/>
        </w:rPr>
        <w:t xml:space="preserve"> Women who have children are also more likely to take extended (unpaid) breaks from employment,</w:t>
      </w:r>
      <w:r>
        <w:rPr>
          <w:rStyle w:val="FootnoteReference"/>
          <w:rFonts w:ascii="Arial" w:hAnsi="Arial"/>
          <w:bCs/>
          <w:sz w:val="24"/>
          <w:szCs w:val="24"/>
        </w:rPr>
        <w:footnoteReference w:id="8"/>
      </w:r>
      <w:r w:rsidRPr="001E0764">
        <w:rPr>
          <w:rFonts w:ascii="Arial" w:hAnsi="Arial" w:cs="Arial"/>
          <w:bCs/>
          <w:sz w:val="24"/>
          <w:szCs w:val="24"/>
        </w:rPr>
        <w:t xml:space="preserve"> which hinders accumulation of conventional long service leave benefits</w:t>
      </w:r>
      <w:r>
        <w:rPr>
          <w:rFonts w:ascii="Arial" w:hAnsi="Arial" w:cs="Arial"/>
          <w:bCs/>
          <w:sz w:val="24"/>
          <w:szCs w:val="24"/>
        </w:rPr>
        <w:t>.</w:t>
      </w:r>
    </w:p>
    <w:p w14:paraId="3A04A1C9" w14:textId="4E49C93C" w:rsidR="008902B9" w:rsidRDefault="008902B9" w:rsidP="007B7C0C">
      <w:pPr>
        <w:pStyle w:val="ListParagraph"/>
        <w:spacing w:after="120"/>
        <w:ind w:left="0"/>
        <w:rPr>
          <w:rFonts w:ascii="Arial" w:hAnsi="Arial" w:cs="Arial"/>
          <w:bCs/>
          <w:sz w:val="24"/>
          <w:szCs w:val="24"/>
        </w:rPr>
      </w:pPr>
      <w:r w:rsidRPr="00AB26A5">
        <w:rPr>
          <w:rFonts w:ascii="Arial" w:hAnsi="Arial" w:cs="Arial"/>
          <w:bCs/>
          <w:sz w:val="24"/>
          <w:szCs w:val="24"/>
        </w:rPr>
        <w:t xml:space="preserve">Women are </w:t>
      </w:r>
      <w:r>
        <w:rPr>
          <w:rFonts w:ascii="Arial" w:hAnsi="Arial" w:cs="Arial"/>
          <w:bCs/>
          <w:sz w:val="24"/>
          <w:szCs w:val="24"/>
        </w:rPr>
        <w:t xml:space="preserve">also </w:t>
      </w:r>
      <w:r w:rsidRPr="00AB26A5">
        <w:rPr>
          <w:rFonts w:ascii="Arial" w:hAnsi="Arial" w:cs="Arial"/>
          <w:bCs/>
          <w:sz w:val="24"/>
          <w:szCs w:val="24"/>
        </w:rPr>
        <w:t xml:space="preserve">more likely than men to be in casual or part-time employment, and therefore are less likely to be employed with one employer for </w:t>
      </w:r>
      <w:r>
        <w:rPr>
          <w:rFonts w:ascii="Arial" w:hAnsi="Arial" w:cs="Arial"/>
          <w:bCs/>
          <w:sz w:val="24"/>
          <w:szCs w:val="24"/>
        </w:rPr>
        <w:t xml:space="preserve">the required service period under the </w:t>
      </w:r>
      <w:r>
        <w:rPr>
          <w:rFonts w:ascii="Arial" w:hAnsi="Arial" w:cs="Arial"/>
          <w:bCs/>
          <w:i/>
          <w:iCs/>
          <w:sz w:val="24"/>
          <w:szCs w:val="24"/>
        </w:rPr>
        <w:t>Long Service Leave Act 1976</w:t>
      </w:r>
      <w:r>
        <w:rPr>
          <w:rFonts w:ascii="Arial" w:hAnsi="Arial" w:cs="Arial"/>
          <w:bCs/>
          <w:sz w:val="24"/>
          <w:szCs w:val="24"/>
        </w:rPr>
        <w:t xml:space="preserve"> (1976 Act)</w:t>
      </w:r>
      <w:r w:rsidRPr="00AB26A5">
        <w:rPr>
          <w:rFonts w:ascii="Arial" w:hAnsi="Arial" w:cs="Arial"/>
          <w:bCs/>
          <w:sz w:val="24"/>
          <w:szCs w:val="24"/>
        </w:rPr>
        <w:t>. Women are therefore less likely to be able to access l</w:t>
      </w:r>
      <w:r>
        <w:rPr>
          <w:rFonts w:ascii="Arial" w:hAnsi="Arial" w:cs="Arial"/>
          <w:bCs/>
          <w:sz w:val="24"/>
          <w:szCs w:val="24"/>
        </w:rPr>
        <w:t xml:space="preserve">ong </w:t>
      </w:r>
      <w:r w:rsidRPr="00AB26A5">
        <w:rPr>
          <w:rFonts w:ascii="Arial" w:hAnsi="Arial" w:cs="Arial"/>
          <w:bCs/>
          <w:sz w:val="24"/>
          <w:szCs w:val="24"/>
        </w:rPr>
        <w:t>s</w:t>
      </w:r>
      <w:r>
        <w:rPr>
          <w:rFonts w:ascii="Arial" w:hAnsi="Arial" w:cs="Arial"/>
          <w:bCs/>
          <w:sz w:val="24"/>
          <w:szCs w:val="24"/>
        </w:rPr>
        <w:t xml:space="preserve">ervice </w:t>
      </w:r>
      <w:r w:rsidRPr="00AB26A5">
        <w:rPr>
          <w:rFonts w:ascii="Arial" w:hAnsi="Arial" w:cs="Arial"/>
          <w:bCs/>
          <w:sz w:val="24"/>
          <w:szCs w:val="24"/>
        </w:rPr>
        <w:t>l</w:t>
      </w:r>
      <w:r>
        <w:rPr>
          <w:rFonts w:ascii="Arial" w:hAnsi="Arial" w:cs="Arial"/>
          <w:bCs/>
          <w:sz w:val="24"/>
          <w:szCs w:val="24"/>
        </w:rPr>
        <w:t>eave within the requirements of the 1976 Act</w:t>
      </w:r>
      <w:r w:rsidRPr="00AB26A5">
        <w:rPr>
          <w:rFonts w:ascii="Arial" w:hAnsi="Arial" w:cs="Arial"/>
          <w:bCs/>
          <w:sz w:val="24"/>
          <w:szCs w:val="24"/>
        </w:rPr>
        <w:t>.</w:t>
      </w:r>
      <w:r>
        <w:rPr>
          <w:rStyle w:val="FootnoteReference"/>
          <w:rFonts w:ascii="Arial" w:hAnsi="Arial"/>
          <w:bCs/>
          <w:sz w:val="24"/>
          <w:szCs w:val="24"/>
        </w:rPr>
        <w:footnoteReference w:id="9"/>
      </w:r>
    </w:p>
    <w:p w14:paraId="362476DF" w14:textId="25945C24" w:rsidR="008902B9" w:rsidRDefault="008902B9" w:rsidP="007B7C0C">
      <w:pPr>
        <w:pStyle w:val="ListParagraph"/>
        <w:spacing w:after="120"/>
        <w:ind w:left="0"/>
        <w:rPr>
          <w:rFonts w:ascii="Arial" w:hAnsi="Arial" w:cs="Arial"/>
          <w:bCs/>
          <w:sz w:val="24"/>
          <w:szCs w:val="24"/>
        </w:rPr>
      </w:pPr>
      <w:r w:rsidRPr="001E0764">
        <w:rPr>
          <w:rFonts w:ascii="Arial" w:hAnsi="Arial" w:cs="Arial"/>
          <w:bCs/>
          <w:sz w:val="24"/>
          <w:szCs w:val="24"/>
        </w:rPr>
        <w:t xml:space="preserve">Portable long service leave was introduced to mitigate these inequities by allowing workers to port their long service leave entitlements between employers within a covered industry. </w:t>
      </w:r>
      <w:r>
        <w:rPr>
          <w:rFonts w:ascii="Arial" w:hAnsi="Arial" w:cs="Arial"/>
          <w:bCs/>
          <w:sz w:val="24"/>
          <w:szCs w:val="24"/>
        </w:rPr>
        <w:t>The expansion of the Act to include the hairdressing and beauty services industry and the accommodation and food service industry seeks to further address these inequities.</w:t>
      </w:r>
    </w:p>
    <w:p w14:paraId="32239D77" w14:textId="62CB380B" w:rsidR="008902B9" w:rsidRDefault="008902B9" w:rsidP="007B7C0C">
      <w:pPr>
        <w:pStyle w:val="ListParagraph"/>
        <w:spacing w:after="120"/>
        <w:ind w:left="0"/>
        <w:rPr>
          <w:rFonts w:ascii="Arial" w:hAnsi="Arial" w:cs="Arial"/>
          <w:bCs/>
          <w:sz w:val="24"/>
          <w:szCs w:val="24"/>
        </w:rPr>
      </w:pPr>
      <w:r>
        <w:rPr>
          <w:rFonts w:ascii="Arial" w:hAnsi="Arial" w:cs="Arial"/>
          <w:bCs/>
          <w:sz w:val="24"/>
          <w:szCs w:val="24"/>
        </w:rPr>
        <w:t xml:space="preserve">The Long Service Leave (Portable Schemes) Amendment Bill 2022 </w:t>
      </w:r>
      <w:r w:rsidRPr="008902B9">
        <w:rPr>
          <w:rFonts w:ascii="Arial" w:hAnsi="Arial" w:cs="Arial"/>
          <w:bCs/>
          <w:sz w:val="24"/>
          <w:szCs w:val="24"/>
        </w:rPr>
        <w:t>provides long service leave for employees in defined industries who cannot access long service leave entitlements under the LSL Act as they did not remain with the same employer for a long enough period. It enables employees who choose to remain in defined industries</w:t>
      </w:r>
      <w:r w:rsidR="008F6148">
        <w:rPr>
          <w:rFonts w:ascii="Arial" w:hAnsi="Arial" w:cs="Arial"/>
          <w:bCs/>
          <w:sz w:val="24"/>
          <w:szCs w:val="24"/>
        </w:rPr>
        <w:t>, or have breaks in service,</w:t>
      </w:r>
      <w:r w:rsidRPr="008902B9">
        <w:rPr>
          <w:rFonts w:ascii="Arial" w:hAnsi="Arial" w:cs="Arial"/>
          <w:bCs/>
          <w:sz w:val="24"/>
          <w:szCs w:val="24"/>
        </w:rPr>
        <w:t xml:space="preserve"> to accrue long service leave entitlements through continuous industry service rather than through service with one employer.</w:t>
      </w:r>
    </w:p>
    <w:p w14:paraId="04F50CE4" w14:textId="57ABFD10" w:rsidR="00774277" w:rsidRDefault="00774277">
      <w:pPr>
        <w:spacing w:after="0" w:line="240" w:lineRule="auto"/>
        <w:rPr>
          <w:rFonts w:asciiTheme="minorHAnsi" w:eastAsiaTheme="majorEastAsia" w:hAnsiTheme="minorHAnsi" w:cs="Arial"/>
          <w:sz w:val="28"/>
          <w:szCs w:val="28"/>
          <w:lang w:eastAsia="en-AU"/>
        </w:rPr>
      </w:pPr>
      <w:bookmarkStart w:id="0" w:name="OLE_LINK1"/>
      <w:r>
        <w:rPr>
          <w:rFonts w:asciiTheme="minorHAnsi" w:hAnsiTheme="minorHAnsi" w:cs="Arial"/>
          <w:b/>
          <w:sz w:val="28"/>
          <w:szCs w:val="28"/>
          <w:lang w:eastAsia="en-AU"/>
        </w:rPr>
        <w:br w:type="page"/>
      </w:r>
    </w:p>
    <w:p w14:paraId="7C183696" w14:textId="77777777" w:rsidR="00A5201D" w:rsidRDefault="00A5201D" w:rsidP="00E574DD">
      <w:pPr>
        <w:pStyle w:val="Heading2"/>
        <w:ind w:left="-108"/>
        <w:jc w:val="center"/>
        <w:rPr>
          <w:rFonts w:asciiTheme="minorHAnsi" w:hAnsiTheme="minorHAnsi" w:cs="Arial"/>
          <w:b w:val="0"/>
          <w:sz w:val="28"/>
          <w:szCs w:val="28"/>
          <w:lang w:eastAsia="en-AU"/>
        </w:rPr>
      </w:pPr>
    </w:p>
    <w:p w14:paraId="79AD90A2" w14:textId="3BAA68A0" w:rsidR="00E574DD" w:rsidRPr="00943C7F" w:rsidRDefault="009B798E" w:rsidP="00E574DD">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Long Service Leave (Portable Schemes) Amendment</w:t>
      </w:r>
      <w:r w:rsidR="00E574DD" w:rsidRPr="00943C7F">
        <w:rPr>
          <w:rFonts w:asciiTheme="minorHAnsi" w:hAnsiTheme="minorHAnsi" w:cs="Arial"/>
          <w:b w:val="0"/>
          <w:sz w:val="28"/>
          <w:szCs w:val="28"/>
          <w:lang w:eastAsia="en-AU"/>
        </w:rPr>
        <w:t xml:space="preserve"> Bill 20</w:t>
      </w:r>
      <w:r w:rsidR="00774277">
        <w:rPr>
          <w:rFonts w:asciiTheme="minorHAnsi" w:hAnsiTheme="minorHAnsi" w:cs="Arial"/>
          <w:b w:val="0"/>
          <w:sz w:val="28"/>
          <w:szCs w:val="28"/>
          <w:lang w:eastAsia="en-AU"/>
        </w:rPr>
        <w:t>2</w:t>
      </w:r>
      <w:r>
        <w:rPr>
          <w:rFonts w:asciiTheme="minorHAnsi" w:hAnsiTheme="minorHAnsi" w:cs="Arial"/>
          <w:b w:val="0"/>
          <w:sz w:val="28"/>
          <w:szCs w:val="28"/>
          <w:lang w:eastAsia="en-AU"/>
        </w:rPr>
        <w:t>2</w:t>
      </w:r>
    </w:p>
    <w:bookmarkEnd w:id="0"/>
    <w:p w14:paraId="12928F7D" w14:textId="77777777" w:rsidR="00E574DD" w:rsidRPr="003E5EE6" w:rsidRDefault="00E574DD" w:rsidP="00E574DD">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1B9772F9" w14:textId="77777777" w:rsidR="00E574DD" w:rsidRDefault="00E574DD" w:rsidP="00E574DD"/>
    <w:p w14:paraId="1C2275A7" w14:textId="77777777" w:rsidR="00E574DD" w:rsidRPr="00D77995" w:rsidRDefault="00E574DD" w:rsidP="00E574DD"/>
    <w:p w14:paraId="71084E2C" w14:textId="35B00F21" w:rsidR="00E574DD" w:rsidRDefault="00E574DD" w:rsidP="00774277">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67552D" w:rsidRPr="0067552D">
        <w:rPr>
          <w:rFonts w:asciiTheme="minorHAnsi" w:hAnsiTheme="minorHAnsi"/>
          <w:b/>
        </w:rPr>
        <w:t xml:space="preserve">Long Service Leave (Portable Schemes) Amendment </w:t>
      </w:r>
      <w:r>
        <w:rPr>
          <w:rFonts w:asciiTheme="minorHAnsi" w:hAnsiTheme="minorHAnsi"/>
          <w:b/>
        </w:rPr>
        <w:t>Bill</w:t>
      </w:r>
      <w:r w:rsidR="00A5201D">
        <w:rPr>
          <w:rFonts w:asciiTheme="minorHAnsi" w:hAnsiTheme="minorHAnsi"/>
          <w:b/>
        </w:rPr>
        <w:t xml:space="preserve"> </w:t>
      </w:r>
      <w:r>
        <w:rPr>
          <w:rFonts w:asciiTheme="minorHAnsi" w:hAnsiTheme="minorHAnsi"/>
          <w:b/>
        </w:rPr>
        <w:t>20</w:t>
      </w:r>
      <w:r w:rsidR="00774277">
        <w:rPr>
          <w:rFonts w:asciiTheme="minorHAnsi" w:hAnsiTheme="minorHAnsi"/>
          <w:b/>
        </w:rPr>
        <w:t>2</w:t>
      </w:r>
      <w:r w:rsidR="00EE453C">
        <w:rPr>
          <w:rFonts w:asciiTheme="minorHAnsi" w:hAnsiTheme="minorHAnsi"/>
          <w:b/>
        </w:rPr>
        <w:t>2</w:t>
      </w:r>
      <w:r w:rsidRPr="00521950">
        <w:rPr>
          <w:rFonts w:asciiTheme="minorHAnsi" w:hAnsiTheme="minorHAnsi"/>
        </w:rPr>
        <w:t>.  In my opinion,</w:t>
      </w:r>
      <w:r w:rsidR="000D758B">
        <w:rPr>
          <w:rFonts w:asciiTheme="minorHAnsi" w:hAnsiTheme="minorHAnsi"/>
        </w:rPr>
        <w:t xml:space="preserve"> having regard to the </w:t>
      </w:r>
      <w:r w:rsidR="00774277">
        <w:rPr>
          <w:rFonts w:asciiTheme="minorHAnsi" w:hAnsiTheme="minorHAnsi"/>
        </w:rPr>
        <w:t xml:space="preserve">Bill and the </w:t>
      </w:r>
      <w:r w:rsidR="00A0291C">
        <w:rPr>
          <w:rFonts w:asciiTheme="minorHAnsi" w:hAnsiTheme="minorHAnsi"/>
        </w:rPr>
        <w:t>outline</w:t>
      </w:r>
      <w:r w:rsidR="000D758B">
        <w:rPr>
          <w:rFonts w:asciiTheme="minorHAnsi" w:hAnsiTheme="minorHAnsi"/>
        </w:rPr>
        <w:t xml:space="preserve"> of the policy </w:t>
      </w:r>
      <w:r w:rsidR="00040382">
        <w:rPr>
          <w:rFonts w:asciiTheme="minorHAnsi" w:hAnsiTheme="minorHAnsi"/>
        </w:rPr>
        <w:t>considerati</w:t>
      </w:r>
      <w:r w:rsidR="00E61614">
        <w:rPr>
          <w:rFonts w:asciiTheme="minorHAnsi" w:hAnsiTheme="minorHAnsi"/>
        </w:rPr>
        <w:t>ons</w:t>
      </w:r>
      <w:r w:rsidR="005162FA">
        <w:rPr>
          <w:rFonts w:asciiTheme="minorHAnsi" w:hAnsiTheme="minorHAnsi"/>
        </w:rPr>
        <w:t xml:space="preserve"> and </w:t>
      </w:r>
      <w:r w:rsidR="00424FBB">
        <w:rPr>
          <w:rFonts w:asciiTheme="minorHAnsi" w:hAnsiTheme="minorHAnsi"/>
        </w:rPr>
        <w:t xml:space="preserve">justification of </w:t>
      </w:r>
      <w:r w:rsidR="00741C4A">
        <w:rPr>
          <w:rFonts w:asciiTheme="minorHAnsi" w:hAnsiTheme="minorHAnsi"/>
        </w:rPr>
        <w:t>any</w:t>
      </w:r>
      <w:r w:rsidR="005162FA">
        <w:rPr>
          <w:rFonts w:asciiTheme="minorHAnsi" w:hAnsiTheme="minorHAnsi"/>
        </w:rPr>
        <w:t xml:space="preserve"> </w:t>
      </w:r>
      <w:r w:rsidR="00424FBB">
        <w:rPr>
          <w:rFonts w:asciiTheme="minorHAnsi" w:hAnsiTheme="minorHAnsi"/>
        </w:rPr>
        <w:t>limitations</w:t>
      </w:r>
      <w:r w:rsidR="005162FA">
        <w:rPr>
          <w:rFonts w:asciiTheme="minorHAnsi" w:hAnsiTheme="minorHAnsi"/>
        </w:rPr>
        <w:t xml:space="preserve"> on rights</w:t>
      </w:r>
      <w:r w:rsidR="00424FBB">
        <w:rPr>
          <w:rFonts w:asciiTheme="minorHAnsi" w:hAnsiTheme="minorHAnsi"/>
        </w:rPr>
        <w:t xml:space="preserve"> </w:t>
      </w:r>
      <w:r w:rsidR="00E61614">
        <w:rPr>
          <w:rFonts w:asciiTheme="minorHAnsi" w:hAnsiTheme="minorHAnsi"/>
        </w:rPr>
        <w:t xml:space="preserve">outlined </w:t>
      </w:r>
      <w:r w:rsidR="00424FBB">
        <w:rPr>
          <w:rFonts w:asciiTheme="minorHAnsi" w:hAnsiTheme="minorHAnsi"/>
        </w:rPr>
        <w:t xml:space="preserve">in this explanatory statement, </w:t>
      </w:r>
      <w:r w:rsidR="00424FBB" w:rsidRPr="00521950">
        <w:rPr>
          <w:rFonts w:asciiTheme="minorHAnsi" w:hAnsiTheme="minorHAnsi"/>
        </w:rPr>
        <w:t>the Bill</w:t>
      </w:r>
      <w:r w:rsidR="00424FBB" w:rsidRPr="005162FA">
        <w:rPr>
          <w:rFonts w:asciiTheme="minorHAnsi" w:hAnsiTheme="minorHAnsi"/>
        </w:rPr>
        <w:t xml:space="preserve"> </w:t>
      </w:r>
      <w:r w:rsidR="00424FBB" w:rsidRPr="00521950">
        <w:rPr>
          <w:rFonts w:asciiTheme="minorHAnsi" w:hAnsiTheme="minorHAnsi"/>
        </w:rPr>
        <w:t xml:space="preserve">as presented </w:t>
      </w:r>
      <w:r w:rsidR="00424FBB">
        <w:rPr>
          <w:rFonts w:asciiTheme="minorHAnsi" w:hAnsiTheme="minorHAnsi"/>
        </w:rPr>
        <w:t xml:space="preserve">to the Legislative </w:t>
      </w:r>
      <w:r w:rsidR="00424FBB" w:rsidRPr="006F1222">
        <w:rPr>
          <w:rFonts w:asciiTheme="minorHAnsi" w:hAnsiTheme="minorHAnsi"/>
        </w:rPr>
        <w:t>Assembly</w:t>
      </w:r>
      <w:r w:rsidR="00424FBB" w:rsidRPr="006F1222">
        <w:rPr>
          <w:rFonts w:asciiTheme="minorHAnsi" w:hAnsiTheme="minorHAnsi"/>
          <w:b/>
        </w:rPr>
        <w:t xml:space="preserve"> </w:t>
      </w:r>
      <w:r w:rsidRPr="006F1222">
        <w:rPr>
          <w:rFonts w:asciiTheme="minorHAnsi" w:hAnsiTheme="minorHAnsi"/>
          <w:b/>
        </w:rPr>
        <w:t xml:space="preserve">is </w:t>
      </w:r>
      <w:r w:rsidRPr="006F1222">
        <w:rPr>
          <w:rFonts w:asciiTheme="minorHAnsi" w:hAnsiTheme="minorHAnsi"/>
        </w:rPr>
        <w:t>consistent with</w:t>
      </w:r>
      <w:r w:rsidRPr="00521950">
        <w:rPr>
          <w:rFonts w:asciiTheme="minorHAnsi" w:hAnsiTheme="minorHAnsi"/>
        </w:rPr>
        <w:t xml:space="preserve"> the </w:t>
      </w:r>
      <w:r w:rsidRPr="00521950">
        <w:rPr>
          <w:rFonts w:asciiTheme="minorHAnsi" w:hAnsiTheme="minorHAnsi"/>
          <w:i/>
          <w:iCs/>
        </w:rPr>
        <w:t>Human Rights Act 2004</w:t>
      </w:r>
      <w:r w:rsidR="000D758B">
        <w:rPr>
          <w:rFonts w:asciiTheme="minorHAnsi" w:hAnsiTheme="minorHAnsi"/>
          <w:i/>
          <w:iCs/>
        </w:rPr>
        <w:t>.</w:t>
      </w:r>
    </w:p>
    <w:p w14:paraId="66ABEB43" w14:textId="77777777" w:rsidR="00E574DD" w:rsidRDefault="00E574DD" w:rsidP="00E574DD">
      <w:pPr>
        <w:rPr>
          <w:rFonts w:asciiTheme="minorHAnsi" w:hAnsiTheme="minorHAnsi" w:cstheme="minorHAnsi"/>
        </w:rPr>
      </w:pPr>
    </w:p>
    <w:p w14:paraId="6C6D5E27" w14:textId="77777777" w:rsidR="00E574DD" w:rsidRDefault="00E574DD" w:rsidP="00E574DD">
      <w:pPr>
        <w:rPr>
          <w:rFonts w:asciiTheme="minorHAnsi" w:hAnsiTheme="minorHAnsi" w:cstheme="minorHAnsi"/>
        </w:rPr>
      </w:pPr>
    </w:p>
    <w:p w14:paraId="3AC1DED3" w14:textId="77777777" w:rsidR="00E574DD" w:rsidRDefault="00E574DD" w:rsidP="00E574DD">
      <w:pPr>
        <w:rPr>
          <w:rFonts w:asciiTheme="minorHAnsi" w:hAnsiTheme="minorHAnsi" w:cstheme="minorHAnsi"/>
        </w:rPr>
      </w:pPr>
      <w:r>
        <w:rPr>
          <w:rFonts w:asciiTheme="minorHAnsi" w:hAnsiTheme="minorHAnsi" w:cstheme="minorHAnsi"/>
        </w:rPr>
        <w:t>………………………………………………….</w:t>
      </w:r>
    </w:p>
    <w:p w14:paraId="3A8E2AC8" w14:textId="6F2B0CF3" w:rsidR="00E574DD" w:rsidRDefault="00343402" w:rsidP="00E574DD">
      <w:pPr>
        <w:rPr>
          <w:rFonts w:asciiTheme="minorHAnsi" w:hAnsiTheme="minorHAnsi" w:cstheme="minorHAnsi"/>
        </w:rPr>
      </w:pPr>
      <w:r>
        <w:rPr>
          <w:rFonts w:asciiTheme="minorHAnsi" w:hAnsiTheme="minorHAnsi" w:cstheme="minorHAnsi"/>
        </w:rPr>
        <w:t>Shane Rattenbury</w:t>
      </w:r>
      <w:r w:rsidR="00E574DD">
        <w:rPr>
          <w:rFonts w:asciiTheme="minorHAnsi" w:hAnsiTheme="minorHAnsi" w:cstheme="minorHAnsi"/>
        </w:rPr>
        <w:t xml:space="preserve"> MLA</w:t>
      </w:r>
      <w:r w:rsidR="00E574DD">
        <w:rPr>
          <w:rFonts w:asciiTheme="minorHAnsi" w:hAnsiTheme="minorHAnsi" w:cstheme="minorHAnsi"/>
        </w:rPr>
        <w:br/>
        <w:t>Attorney-General</w:t>
      </w:r>
    </w:p>
    <w:p w14:paraId="1578DA22" w14:textId="77777777" w:rsidR="006D53B2" w:rsidRPr="006D52AC" w:rsidRDefault="006D53B2" w:rsidP="006D53B2">
      <w:pPr>
        <w:spacing w:before="200"/>
        <w:rPr>
          <w:rFonts w:ascii="Arial" w:hAnsi="Arial" w:cs="Arial"/>
          <w:sz w:val="24"/>
          <w:szCs w:val="24"/>
        </w:rPr>
      </w:pPr>
    </w:p>
    <w:p w14:paraId="25A3E39A" w14:textId="77777777" w:rsidR="00990765" w:rsidRDefault="00990765" w:rsidP="00990765">
      <w:pPr>
        <w:pStyle w:val="Heading2"/>
        <w:pageBreakBefore/>
        <w:spacing w:before="240" w:after="240"/>
      </w:pPr>
      <w:r w:rsidRPr="008C225D">
        <w:lastRenderedPageBreak/>
        <w:t>CLAUSE NOTES</w:t>
      </w:r>
    </w:p>
    <w:p w14:paraId="1B5F4DC9" w14:textId="6874361F" w:rsidR="00990765" w:rsidRDefault="00990765" w:rsidP="00990765">
      <w:pPr>
        <w:pStyle w:val="Heading3"/>
      </w:pPr>
      <w:r>
        <w:t>Clause 1</w:t>
      </w:r>
      <w:r w:rsidR="000B7315">
        <w:tab/>
      </w:r>
      <w:r>
        <w:t>Name of the Act</w:t>
      </w:r>
    </w:p>
    <w:p w14:paraId="3237CC65" w14:textId="77777777" w:rsidR="00990765" w:rsidRPr="008A6852" w:rsidRDefault="00990765" w:rsidP="00990765">
      <w:pPr>
        <w:pStyle w:val="Heading3"/>
        <w:rPr>
          <w:rFonts w:asciiTheme="minorHAnsi" w:hAnsiTheme="minorHAnsi" w:cstheme="minorHAnsi"/>
          <w:b w:val="0"/>
          <w:bCs/>
          <w:i/>
          <w:iCs/>
          <w:sz w:val="22"/>
          <w:szCs w:val="22"/>
        </w:rPr>
      </w:pPr>
      <w:r w:rsidRPr="008A6852">
        <w:rPr>
          <w:rFonts w:asciiTheme="minorHAnsi" w:hAnsiTheme="minorHAnsi" w:cstheme="minorHAnsi"/>
          <w:b w:val="0"/>
          <w:bCs/>
          <w:sz w:val="22"/>
          <w:szCs w:val="22"/>
        </w:rPr>
        <w:t xml:space="preserve">This clause provides the name of the Act as </w:t>
      </w:r>
      <w:r w:rsidRPr="008A6852">
        <w:rPr>
          <w:rFonts w:asciiTheme="minorHAnsi" w:hAnsiTheme="minorHAnsi" w:cstheme="minorHAnsi"/>
          <w:b w:val="0"/>
          <w:bCs/>
          <w:i/>
          <w:iCs/>
          <w:sz w:val="22"/>
          <w:szCs w:val="22"/>
        </w:rPr>
        <w:t>Long Service Leave (Portable Schemes) Amendment Act 2022.</w:t>
      </w:r>
    </w:p>
    <w:p w14:paraId="21A91742" w14:textId="297C9E87" w:rsidR="00990765" w:rsidRDefault="00990765" w:rsidP="00990765">
      <w:pPr>
        <w:pStyle w:val="Heading3"/>
      </w:pPr>
      <w:r>
        <w:t>Clause 2</w:t>
      </w:r>
      <w:r w:rsidR="000B7315">
        <w:tab/>
      </w:r>
      <w:r>
        <w:t>Commencement</w:t>
      </w:r>
    </w:p>
    <w:p w14:paraId="6EEE0D46" w14:textId="77777777"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provides the commencement of provisions under the Act. </w:t>
      </w:r>
    </w:p>
    <w:p w14:paraId="3D802F84" w14:textId="57FF340D" w:rsidR="00990765" w:rsidRDefault="00990765" w:rsidP="00990765">
      <w:pPr>
        <w:pStyle w:val="Heading3"/>
      </w:pPr>
      <w:r>
        <w:t>Clause 3</w:t>
      </w:r>
      <w:r w:rsidR="000B7315">
        <w:tab/>
      </w:r>
      <w:r>
        <w:t>Legislation amended</w:t>
      </w:r>
    </w:p>
    <w:p w14:paraId="79ABA2CE" w14:textId="3FDDCB0C" w:rsidR="00990765" w:rsidRPr="00526CED"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Clause 3 </w:t>
      </w:r>
      <w:r>
        <w:rPr>
          <w:rFonts w:asciiTheme="minorHAnsi" w:hAnsiTheme="minorHAnsi" w:cstheme="minorHAnsi"/>
          <w:b w:val="0"/>
          <w:bCs/>
          <w:sz w:val="22"/>
          <w:szCs w:val="22"/>
        </w:rPr>
        <w:t>provides</w:t>
      </w:r>
      <w:r w:rsidRPr="008A6852">
        <w:rPr>
          <w:rFonts w:asciiTheme="minorHAnsi" w:hAnsiTheme="minorHAnsi" w:cstheme="minorHAnsi"/>
          <w:b w:val="0"/>
          <w:bCs/>
          <w:sz w:val="22"/>
          <w:szCs w:val="22"/>
        </w:rPr>
        <w:t xml:space="preserve"> that the Act amends the </w:t>
      </w:r>
      <w:r w:rsidRPr="00CD2987">
        <w:rPr>
          <w:rFonts w:asciiTheme="minorHAnsi" w:hAnsiTheme="minorHAnsi" w:cstheme="minorHAnsi"/>
          <w:b w:val="0"/>
          <w:bCs/>
          <w:i/>
          <w:iCs/>
          <w:sz w:val="22"/>
          <w:szCs w:val="22"/>
        </w:rPr>
        <w:t>Long Service Leave (Portable Schemes) Act 2009</w:t>
      </w:r>
      <w:r w:rsidR="00526CED">
        <w:rPr>
          <w:rFonts w:asciiTheme="minorHAnsi" w:hAnsiTheme="minorHAnsi" w:cstheme="minorHAnsi"/>
          <w:b w:val="0"/>
          <w:bCs/>
          <w:i/>
          <w:iCs/>
          <w:sz w:val="22"/>
          <w:szCs w:val="22"/>
        </w:rPr>
        <w:t xml:space="preserve"> </w:t>
      </w:r>
      <w:r w:rsidR="00526CED" w:rsidRPr="00526CED">
        <w:rPr>
          <w:rFonts w:asciiTheme="minorHAnsi" w:hAnsiTheme="minorHAnsi" w:cstheme="minorHAnsi"/>
          <w:b w:val="0"/>
          <w:bCs/>
          <w:sz w:val="22"/>
          <w:szCs w:val="22"/>
        </w:rPr>
        <w:t>and other legislation described in schedule 1</w:t>
      </w:r>
      <w:r w:rsidRPr="00526CED">
        <w:rPr>
          <w:rFonts w:asciiTheme="minorHAnsi" w:hAnsiTheme="minorHAnsi" w:cstheme="minorHAnsi"/>
          <w:b w:val="0"/>
          <w:bCs/>
          <w:sz w:val="22"/>
          <w:szCs w:val="22"/>
        </w:rPr>
        <w:t>.</w:t>
      </w:r>
    </w:p>
    <w:p w14:paraId="4891C075" w14:textId="734293F0" w:rsidR="00990765" w:rsidRDefault="00990765" w:rsidP="00990765">
      <w:pPr>
        <w:pStyle w:val="Heading3"/>
      </w:pPr>
      <w:r>
        <w:t>Clause 4</w:t>
      </w:r>
      <w:r w:rsidR="000B7315">
        <w:tab/>
      </w:r>
      <w:r>
        <w:t xml:space="preserve">Who is an </w:t>
      </w:r>
      <w:r w:rsidRPr="00694140">
        <w:rPr>
          <w:i/>
          <w:iCs/>
        </w:rPr>
        <w:t>employer</w:t>
      </w:r>
      <w:r w:rsidRPr="00694140">
        <w:t>? Section 7 (1)</w:t>
      </w:r>
    </w:p>
    <w:p w14:paraId="1A9119A7" w14:textId="16CF4831"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substitutes </w:t>
      </w:r>
      <w:r w:rsidR="00AA69BA">
        <w:rPr>
          <w:rFonts w:asciiTheme="minorHAnsi" w:hAnsiTheme="minorHAnsi" w:cstheme="minorHAnsi"/>
          <w:b w:val="0"/>
          <w:bCs/>
          <w:sz w:val="22"/>
          <w:szCs w:val="22"/>
        </w:rPr>
        <w:t>s</w:t>
      </w:r>
      <w:r w:rsidRPr="008A6852">
        <w:rPr>
          <w:rFonts w:asciiTheme="minorHAnsi" w:hAnsiTheme="minorHAnsi" w:cstheme="minorHAnsi"/>
          <w:b w:val="0"/>
          <w:bCs/>
          <w:sz w:val="22"/>
          <w:szCs w:val="22"/>
        </w:rPr>
        <w:t>ection 7(1)</w:t>
      </w:r>
      <w:r w:rsidR="00AA69BA">
        <w:rPr>
          <w:rFonts w:asciiTheme="minorHAnsi" w:hAnsiTheme="minorHAnsi" w:cstheme="minorHAnsi"/>
          <w:b w:val="0"/>
          <w:bCs/>
          <w:sz w:val="22"/>
          <w:szCs w:val="22"/>
        </w:rPr>
        <w:t xml:space="preserve"> and makes technical amendments to clarify the intent of the definition of an employer for an industry covered under the Act as a person who engages any employees that work in the covered industry</w:t>
      </w:r>
      <w:r w:rsidRPr="008A6852">
        <w:rPr>
          <w:rFonts w:asciiTheme="minorHAnsi" w:hAnsiTheme="minorHAnsi" w:cstheme="minorHAnsi"/>
          <w:b w:val="0"/>
          <w:bCs/>
          <w:sz w:val="22"/>
          <w:szCs w:val="22"/>
        </w:rPr>
        <w:t xml:space="preserve">. </w:t>
      </w:r>
    </w:p>
    <w:p w14:paraId="4B91EAA4" w14:textId="072ACD74" w:rsidR="00990765" w:rsidRDefault="00990765" w:rsidP="00AA69BA">
      <w:pPr>
        <w:pStyle w:val="Heading3"/>
        <w:ind w:left="1418" w:hanging="1418"/>
      </w:pPr>
      <w:r>
        <w:t>Clause 5</w:t>
      </w:r>
      <w:r w:rsidR="000B7315">
        <w:tab/>
      </w:r>
      <w:r>
        <w:t xml:space="preserve">What is </w:t>
      </w:r>
      <w:r w:rsidRPr="00D965D2">
        <w:rPr>
          <w:i/>
          <w:iCs/>
        </w:rPr>
        <w:t>work</w:t>
      </w:r>
      <w:r>
        <w:t>?</w:t>
      </w:r>
      <w:r w:rsidR="00AA69BA">
        <w:br/>
      </w:r>
      <w:r>
        <w:t>Section 11, definition of work, paragraph (a) (ii) and note 2</w:t>
      </w:r>
    </w:p>
    <w:p w14:paraId="37E380A7" w14:textId="573DC8EF" w:rsidR="00990765" w:rsidRPr="008A6852" w:rsidRDefault="00990765" w:rsidP="00990765">
      <w:pPr>
        <w:pStyle w:val="Heading3"/>
        <w:rPr>
          <w:rFonts w:asciiTheme="minorHAnsi" w:hAnsiTheme="minorHAnsi" w:cstheme="minorHAnsi"/>
          <w:b w:val="0"/>
          <w:bCs/>
          <w:i/>
          <w:iCs/>
          <w:sz w:val="22"/>
          <w:szCs w:val="22"/>
        </w:rPr>
      </w:pPr>
      <w:r w:rsidRPr="008A6852">
        <w:rPr>
          <w:rFonts w:asciiTheme="minorHAnsi" w:hAnsiTheme="minorHAnsi" w:cstheme="minorHAnsi"/>
          <w:b w:val="0"/>
          <w:bCs/>
          <w:sz w:val="22"/>
          <w:szCs w:val="22"/>
        </w:rPr>
        <w:t xml:space="preserve">This clause omits </w:t>
      </w:r>
      <w:r w:rsidRPr="008A6852">
        <w:rPr>
          <w:rFonts w:asciiTheme="minorHAnsi" w:hAnsiTheme="minorHAnsi" w:cstheme="minorHAnsi"/>
          <w:b w:val="0"/>
          <w:bCs/>
          <w:i/>
          <w:iCs/>
          <w:sz w:val="22"/>
          <w:szCs w:val="22"/>
        </w:rPr>
        <w:t>cleaning work</w:t>
      </w:r>
      <w:r w:rsidRPr="008A6852">
        <w:rPr>
          <w:rFonts w:asciiTheme="minorHAnsi" w:hAnsiTheme="minorHAnsi" w:cstheme="minorHAnsi"/>
          <w:b w:val="0"/>
          <w:bCs/>
          <w:sz w:val="22"/>
          <w:szCs w:val="22"/>
        </w:rPr>
        <w:t xml:space="preserve"> and substitutes </w:t>
      </w:r>
      <w:r w:rsidRPr="008A6852">
        <w:rPr>
          <w:rFonts w:asciiTheme="minorHAnsi" w:hAnsiTheme="minorHAnsi" w:cstheme="minorHAnsi"/>
          <w:b w:val="0"/>
          <w:bCs/>
          <w:i/>
          <w:iCs/>
          <w:sz w:val="22"/>
          <w:szCs w:val="22"/>
        </w:rPr>
        <w:t>services work</w:t>
      </w:r>
      <w:r w:rsidR="00AA69BA">
        <w:rPr>
          <w:rFonts w:asciiTheme="minorHAnsi" w:hAnsiTheme="minorHAnsi" w:cstheme="minorHAnsi"/>
          <w:b w:val="0"/>
          <w:bCs/>
          <w:sz w:val="22"/>
          <w:szCs w:val="22"/>
        </w:rPr>
        <w:t xml:space="preserve"> consequential on expanding the contract cleaning industry scheme to become the services industry scheme.</w:t>
      </w:r>
      <w:r w:rsidRPr="008A6852">
        <w:rPr>
          <w:rFonts w:asciiTheme="minorHAnsi" w:hAnsiTheme="minorHAnsi" w:cstheme="minorHAnsi"/>
          <w:b w:val="0"/>
          <w:bCs/>
          <w:i/>
          <w:iCs/>
          <w:sz w:val="22"/>
          <w:szCs w:val="22"/>
        </w:rPr>
        <w:t xml:space="preserve"> </w:t>
      </w:r>
    </w:p>
    <w:p w14:paraId="2DCB4FCD" w14:textId="600B181C" w:rsidR="00990765" w:rsidRDefault="00990765" w:rsidP="00990765">
      <w:pPr>
        <w:pStyle w:val="Heading3"/>
      </w:pPr>
      <w:r>
        <w:t>Clause 6</w:t>
      </w:r>
      <w:r w:rsidR="00AE3DF5">
        <w:tab/>
      </w:r>
      <w:r>
        <w:t xml:space="preserve">Division 8A.1 heading </w:t>
      </w:r>
    </w:p>
    <w:p w14:paraId="6C6B0F53" w14:textId="216C4968" w:rsidR="00990765" w:rsidRPr="00060925"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substitutes the heading </w:t>
      </w:r>
      <w:r w:rsidR="00060925">
        <w:rPr>
          <w:rFonts w:asciiTheme="minorHAnsi" w:hAnsiTheme="minorHAnsi" w:cstheme="minorHAnsi"/>
          <w:b w:val="0"/>
          <w:bCs/>
          <w:sz w:val="22"/>
          <w:szCs w:val="22"/>
        </w:rPr>
        <w:t xml:space="preserve">of division 8A.1 </w:t>
      </w:r>
      <w:r w:rsidRPr="008A6852">
        <w:rPr>
          <w:rFonts w:asciiTheme="minorHAnsi" w:hAnsiTheme="minorHAnsi" w:cstheme="minorHAnsi"/>
          <w:b w:val="0"/>
          <w:bCs/>
          <w:sz w:val="22"/>
          <w:szCs w:val="22"/>
        </w:rPr>
        <w:t>with</w:t>
      </w:r>
      <w:r w:rsidR="00060925">
        <w:rPr>
          <w:rFonts w:asciiTheme="minorHAnsi" w:hAnsiTheme="minorHAnsi" w:cstheme="minorHAnsi"/>
          <w:b w:val="0"/>
          <w:bCs/>
          <w:sz w:val="22"/>
          <w:szCs w:val="22"/>
        </w:rPr>
        <w:t xml:space="preserve"> “</w:t>
      </w:r>
      <w:r w:rsidRPr="00CD2987">
        <w:rPr>
          <w:rFonts w:asciiTheme="minorHAnsi" w:hAnsiTheme="minorHAnsi" w:cstheme="minorHAnsi"/>
          <w:b w:val="0"/>
          <w:bCs/>
          <w:i/>
          <w:iCs/>
          <w:sz w:val="22"/>
          <w:szCs w:val="22"/>
        </w:rPr>
        <w:t>The authority and governing board</w:t>
      </w:r>
      <w:r w:rsidR="00060925">
        <w:rPr>
          <w:rFonts w:asciiTheme="minorHAnsi" w:hAnsiTheme="minorHAnsi" w:cstheme="minorHAnsi"/>
          <w:b w:val="0"/>
          <w:bCs/>
          <w:i/>
          <w:iCs/>
          <w:sz w:val="22"/>
          <w:szCs w:val="22"/>
        </w:rPr>
        <w:t>”</w:t>
      </w:r>
      <w:r w:rsidR="00060925">
        <w:rPr>
          <w:rFonts w:asciiTheme="minorHAnsi" w:hAnsiTheme="minorHAnsi" w:cstheme="minorHAnsi"/>
          <w:b w:val="0"/>
          <w:bCs/>
          <w:sz w:val="22"/>
          <w:szCs w:val="22"/>
        </w:rPr>
        <w:t xml:space="preserve"> consequential on the new division 8A.1A being inserted under clause 8 that deals with staff of the authority.</w:t>
      </w:r>
    </w:p>
    <w:p w14:paraId="6237D112" w14:textId="14D4FEDA" w:rsidR="00990765" w:rsidRDefault="00990765" w:rsidP="00990765">
      <w:pPr>
        <w:pStyle w:val="Heading3"/>
      </w:pPr>
      <w:r>
        <w:t>Clause 7</w:t>
      </w:r>
      <w:r w:rsidR="00AE3DF5">
        <w:tab/>
      </w:r>
      <w:r>
        <w:t>Deputy Registrar Section 79H (1) and notes</w:t>
      </w:r>
    </w:p>
    <w:p w14:paraId="125C8B5D" w14:textId="77777777"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substitutes this section and </w:t>
      </w:r>
      <w:r>
        <w:rPr>
          <w:rFonts w:asciiTheme="minorHAnsi" w:hAnsiTheme="minorHAnsi" w:cstheme="minorHAnsi"/>
          <w:b w:val="0"/>
          <w:bCs/>
          <w:sz w:val="22"/>
          <w:szCs w:val="22"/>
        </w:rPr>
        <w:t xml:space="preserve">provides </w:t>
      </w:r>
      <w:r w:rsidRPr="008A6852">
        <w:rPr>
          <w:rFonts w:asciiTheme="minorHAnsi" w:hAnsiTheme="minorHAnsi" w:cstheme="minorHAnsi"/>
          <w:b w:val="0"/>
          <w:bCs/>
          <w:sz w:val="22"/>
          <w:szCs w:val="22"/>
        </w:rPr>
        <w:t xml:space="preserve">who the registrar must appoint as deputy registrar for the authority. </w:t>
      </w:r>
    </w:p>
    <w:p w14:paraId="035B30E0" w14:textId="0D94C7B9" w:rsidR="00990765" w:rsidRDefault="00990765" w:rsidP="00990765">
      <w:pPr>
        <w:pStyle w:val="Heading3"/>
      </w:pPr>
      <w:r>
        <w:t>Clause 8</w:t>
      </w:r>
      <w:r w:rsidR="00AE3DF5">
        <w:tab/>
      </w:r>
      <w:r>
        <w:t xml:space="preserve">Section 79J </w:t>
      </w:r>
    </w:p>
    <w:p w14:paraId="5C6EBCCB" w14:textId="559EB413"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substitutes section 79J with the meaning of </w:t>
      </w:r>
      <w:r w:rsidRPr="008A6852">
        <w:rPr>
          <w:rFonts w:asciiTheme="minorHAnsi" w:hAnsiTheme="minorHAnsi" w:cstheme="minorHAnsi"/>
          <w:b w:val="0"/>
          <w:bCs/>
          <w:i/>
          <w:iCs/>
          <w:sz w:val="22"/>
          <w:szCs w:val="22"/>
        </w:rPr>
        <w:t>staff of the authority</w:t>
      </w:r>
      <w:r w:rsidRPr="008A6852">
        <w:rPr>
          <w:rFonts w:asciiTheme="minorHAnsi" w:hAnsiTheme="minorHAnsi" w:cstheme="minorHAnsi"/>
          <w:b w:val="0"/>
          <w:bCs/>
          <w:sz w:val="22"/>
          <w:szCs w:val="22"/>
        </w:rPr>
        <w:t xml:space="preserve"> and provides for the employment of staff. The section also contains </w:t>
      </w:r>
      <w:r>
        <w:rPr>
          <w:rFonts w:asciiTheme="minorHAnsi" w:hAnsiTheme="minorHAnsi" w:cstheme="minorHAnsi"/>
          <w:b w:val="0"/>
          <w:bCs/>
          <w:sz w:val="22"/>
          <w:szCs w:val="22"/>
        </w:rPr>
        <w:t xml:space="preserve">a </w:t>
      </w:r>
      <w:r w:rsidRPr="008A6852">
        <w:rPr>
          <w:rFonts w:asciiTheme="minorHAnsi" w:hAnsiTheme="minorHAnsi" w:cstheme="minorHAnsi"/>
          <w:b w:val="0"/>
          <w:bCs/>
          <w:sz w:val="22"/>
          <w:szCs w:val="22"/>
        </w:rPr>
        <w:t>transitional provision regarding public serv</w:t>
      </w:r>
      <w:r w:rsidR="00526CED">
        <w:rPr>
          <w:rFonts w:asciiTheme="minorHAnsi" w:hAnsiTheme="minorHAnsi" w:cstheme="minorHAnsi"/>
          <w:b w:val="0"/>
          <w:bCs/>
          <w:sz w:val="22"/>
          <w:szCs w:val="22"/>
        </w:rPr>
        <w:t>ice</w:t>
      </w:r>
      <w:r w:rsidRPr="008A6852">
        <w:rPr>
          <w:rFonts w:asciiTheme="minorHAnsi" w:hAnsiTheme="minorHAnsi" w:cstheme="minorHAnsi"/>
          <w:b w:val="0"/>
          <w:bCs/>
          <w:sz w:val="22"/>
          <w:szCs w:val="22"/>
        </w:rPr>
        <w:t xml:space="preserve"> staff. This clause covers the engagement of consultants, delegation by </w:t>
      </w:r>
      <w:r w:rsidR="00526CED">
        <w:rPr>
          <w:rFonts w:asciiTheme="minorHAnsi" w:hAnsiTheme="minorHAnsi" w:cstheme="minorHAnsi"/>
          <w:b w:val="0"/>
          <w:bCs/>
          <w:sz w:val="22"/>
          <w:szCs w:val="22"/>
        </w:rPr>
        <w:t xml:space="preserve">the </w:t>
      </w:r>
      <w:r w:rsidRPr="008A6852">
        <w:rPr>
          <w:rFonts w:asciiTheme="minorHAnsi" w:hAnsiTheme="minorHAnsi" w:cstheme="minorHAnsi"/>
          <w:b w:val="0"/>
          <w:bCs/>
          <w:sz w:val="22"/>
          <w:szCs w:val="22"/>
        </w:rPr>
        <w:t xml:space="preserve">registrar and other arrangements for staff and facilities. </w:t>
      </w:r>
    </w:p>
    <w:p w14:paraId="1F4D9329" w14:textId="4B4D2736" w:rsidR="00990765" w:rsidRDefault="00990765" w:rsidP="00060925">
      <w:pPr>
        <w:pStyle w:val="Heading3"/>
        <w:ind w:left="1418" w:hanging="1418"/>
      </w:pPr>
      <w:r>
        <w:t>Clause 9</w:t>
      </w:r>
      <w:r w:rsidR="00AE3DF5">
        <w:tab/>
      </w:r>
      <w:r>
        <w:t>Transitional</w:t>
      </w:r>
      <w:r w:rsidR="00060925">
        <w:t>—</w:t>
      </w:r>
      <w:r>
        <w:t>entitlement to payment instead of leave</w:t>
      </w:r>
      <w:r w:rsidR="00060925">
        <w:br/>
        <w:t>N</w:t>
      </w:r>
      <w:r>
        <w:t xml:space="preserve">ew Section 97A (3) </w:t>
      </w:r>
    </w:p>
    <w:p w14:paraId="7E135672" w14:textId="4C98EF5C" w:rsidR="00990765" w:rsidRPr="006F122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inserts </w:t>
      </w:r>
      <w:r w:rsidR="00FE1D85">
        <w:rPr>
          <w:rFonts w:asciiTheme="minorHAnsi" w:hAnsiTheme="minorHAnsi" w:cstheme="minorHAnsi"/>
          <w:b w:val="0"/>
          <w:bCs/>
          <w:sz w:val="22"/>
          <w:szCs w:val="22"/>
        </w:rPr>
        <w:t>transitional signposts</w:t>
      </w:r>
      <w:r w:rsidRPr="008A6852">
        <w:rPr>
          <w:rFonts w:asciiTheme="minorHAnsi" w:hAnsiTheme="minorHAnsi" w:cstheme="minorHAnsi"/>
          <w:b w:val="0"/>
          <w:bCs/>
          <w:sz w:val="22"/>
          <w:szCs w:val="22"/>
        </w:rPr>
        <w:t xml:space="preserve"> to</w:t>
      </w:r>
      <w:r w:rsidR="00FE1D85">
        <w:rPr>
          <w:rFonts w:asciiTheme="minorHAnsi" w:hAnsiTheme="minorHAnsi" w:cstheme="minorHAnsi"/>
          <w:b w:val="0"/>
          <w:bCs/>
          <w:sz w:val="22"/>
          <w:szCs w:val="22"/>
        </w:rPr>
        <w:t xml:space="preserve"> the</w:t>
      </w:r>
      <w:r w:rsidRPr="008A6852">
        <w:rPr>
          <w:rFonts w:asciiTheme="minorHAnsi" w:hAnsiTheme="minorHAnsi" w:cstheme="minorHAnsi"/>
          <w:b w:val="0"/>
          <w:bCs/>
          <w:sz w:val="22"/>
          <w:szCs w:val="22"/>
        </w:rPr>
        <w:t xml:space="preserve"> </w:t>
      </w:r>
      <w:r w:rsidRPr="008A6852">
        <w:rPr>
          <w:rFonts w:asciiTheme="minorHAnsi" w:hAnsiTheme="minorHAnsi" w:cstheme="minorHAnsi"/>
          <w:b w:val="0"/>
          <w:bCs/>
          <w:i/>
          <w:iCs/>
          <w:sz w:val="22"/>
          <w:szCs w:val="22"/>
        </w:rPr>
        <w:t>contract cleaning industry</w:t>
      </w:r>
      <w:r w:rsidRPr="008A6852">
        <w:rPr>
          <w:rFonts w:asciiTheme="minorHAnsi" w:hAnsiTheme="minorHAnsi" w:cstheme="minorHAnsi"/>
          <w:b w:val="0"/>
          <w:bCs/>
          <w:sz w:val="22"/>
          <w:szCs w:val="22"/>
        </w:rPr>
        <w:t xml:space="preserve">, and </w:t>
      </w:r>
      <w:r w:rsidRPr="008A6852">
        <w:rPr>
          <w:rFonts w:asciiTheme="minorHAnsi" w:hAnsiTheme="minorHAnsi" w:cstheme="minorHAnsi"/>
          <w:b w:val="0"/>
          <w:bCs/>
          <w:i/>
          <w:iCs/>
          <w:sz w:val="22"/>
          <w:szCs w:val="22"/>
        </w:rPr>
        <w:t>pre-amendment Act.</w:t>
      </w:r>
      <w:r w:rsidR="006F1222">
        <w:rPr>
          <w:rFonts w:asciiTheme="minorHAnsi" w:hAnsiTheme="minorHAnsi" w:cstheme="minorHAnsi"/>
          <w:b w:val="0"/>
          <w:bCs/>
          <w:i/>
          <w:iCs/>
          <w:sz w:val="22"/>
          <w:szCs w:val="22"/>
        </w:rPr>
        <w:t xml:space="preserve"> </w:t>
      </w:r>
      <w:r w:rsidR="006F1222">
        <w:rPr>
          <w:rFonts w:asciiTheme="minorHAnsi" w:hAnsiTheme="minorHAnsi" w:cstheme="minorHAnsi"/>
          <w:b w:val="0"/>
          <w:bCs/>
          <w:sz w:val="22"/>
          <w:szCs w:val="22"/>
        </w:rPr>
        <w:t>Transitional arrangements are made within the Bill to ensure administration of the portable schemes can continue without impediment on commencement of the Bill’s provisions.  This ensures that a worker’s entitlements under the Act are retained without interruption.</w:t>
      </w:r>
    </w:p>
    <w:p w14:paraId="46E8495A" w14:textId="7A21D421" w:rsidR="00990765" w:rsidRDefault="00990765" w:rsidP="00990765">
      <w:pPr>
        <w:pStyle w:val="Heading3"/>
      </w:pPr>
      <w:r>
        <w:lastRenderedPageBreak/>
        <w:t>Clause 10</w:t>
      </w:r>
      <w:r w:rsidR="00AE3DF5">
        <w:tab/>
      </w:r>
      <w:r>
        <w:t>New section 97B</w:t>
      </w:r>
    </w:p>
    <w:p w14:paraId="5852D7F0" w14:textId="56173A2F"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inserts a transitional section on entitlement to payment instead of leave for </w:t>
      </w:r>
      <w:r w:rsidR="006F1222">
        <w:rPr>
          <w:rFonts w:asciiTheme="minorHAnsi" w:hAnsiTheme="minorHAnsi" w:cstheme="minorHAnsi"/>
          <w:b w:val="0"/>
          <w:bCs/>
          <w:sz w:val="22"/>
          <w:szCs w:val="22"/>
        </w:rPr>
        <w:t xml:space="preserve">a </w:t>
      </w:r>
      <w:r w:rsidRPr="008A6852">
        <w:rPr>
          <w:rFonts w:asciiTheme="minorHAnsi" w:hAnsiTheme="minorHAnsi" w:cstheme="minorHAnsi"/>
          <w:b w:val="0"/>
          <w:bCs/>
          <w:sz w:val="22"/>
          <w:szCs w:val="22"/>
        </w:rPr>
        <w:t xml:space="preserve">person who became </w:t>
      </w:r>
      <w:r w:rsidR="006F1222">
        <w:rPr>
          <w:rFonts w:asciiTheme="minorHAnsi" w:hAnsiTheme="minorHAnsi" w:cstheme="minorHAnsi"/>
          <w:b w:val="0"/>
          <w:bCs/>
          <w:sz w:val="22"/>
          <w:szCs w:val="22"/>
        </w:rPr>
        <w:t xml:space="preserve">a </w:t>
      </w:r>
      <w:r w:rsidRPr="008A6852">
        <w:rPr>
          <w:rFonts w:asciiTheme="minorHAnsi" w:hAnsiTheme="minorHAnsi" w:cstheme="minorHAnsi"/>
          <w:b w:val="0"/>
          <w:bCs/>
          <w:sz w:val="22"/>
          <w:szCs w:val="22"/>
        </w:rPr>
        <w:t xml:space="preserve">registered worker on or after 1 July 2012. </w:t>
      </w:r>
    </w:p>
    <w:p w14:paraId="7D32EEA5" w14:textId="72FBBD59" w:rsidR="00990765" w:rsidRDefault="00990765" w:rsidP="00990765">
      <w:pPr>
        <w:pStyle w:val="Heading3"/>
      </w:pPr>
      <w:r>
        <w:t>Clause 11</w:t>
      </w:r>
      <w:r w:rsidR="00AE3DF5">
        <w:tab/>
      </w:r>
      <w:r>
        <w:t xml:space="preserve">New part 12 </w:t>
      </w:r>
    </w:p>
    <w:p w14:paraId="25FA35B1" w14:textId="1DCD3368" w:rsidR="00990765" w:rsidRPr="008A6852" w:rsidRDefault="00990765" w:rsidP="00990765">
      <w:pPr>
        <w:pStyle w:val="Heading3"/>
        <w:rPr>
          <w:rFonts w:asciiTheme="minorHAnsi" w:hAnsiTheme="minorHAnsi" w:cstheme="minorHAnsi"/>
          <w:b w:val="0"/>
          <w:bCs/>
          <w:sz w:val="22"/>
          <w:szCs w:val="22"/>
        </w:rPr>
      </w:pPr>
      <w:r w:rsidRPr="008A6852">
        <w:rPr>
          <w:rFonts w:asciiTheme="minorHAnsi" w:hAnsiTheme="minorHAnsi" w:cstheme="minorHAnsi"/>
          <w:b w:val="0"/>
          <w:bCs/>
          <w:sz w:val="22"/>
          <w:szCs w:val="22"/>
        </w:rPr>
        <w:t xml:space="preserve">This clause inserts transitional provisions </w:t>
      </w:r>
      <w:r w:rsidR="0073128E">
        <w:rPr>
          <w:rFonts w:asciiTheme="minorHAnsi" w:hAnsiTheme="minorHAnsi" w:cstheme="minorHAnsi"/>
          <w:b w:val="0"/>
          <w:bCs/>
          <w:sz w:val="22"/>
          <w:szCs w:val="22"/>
        </w:rPr>
        <w:t>for the continuity of obligations in relation</w:t>
      </w:r>
      <w:r w:rsidR="00526CED">
        <w:rPr>
          <w:rFonts w:asciiTheme="minorHAnsi" w:hAnsiTheme="minorHAnsi" w:cstheme="minorHAnsi"/>
          <w:b w:val="0"/>
          <w:bCs/>
          <w:sz w:val="22"/>
          <w:szCs w:val="22"/>
        </w:rPr>
        <w:t xml:space="preserve"> to</w:t>
      </w:r>
      <w:r w:rsidR="0073128E">
        <w:rPr>
          <w:rFonts w:asciiTheme="minorHAnsi" w:hAnsiTheme="minorHAnsi" w:cstheme="minorHAnsi"/>
          <w:b w:val="0"/>
          <w:bCs/>
          <w:sz w:val="22"/>
          <w:szCs w:val="22"/>
        </w:rPr>
        <w:t xml:space="preserve"> </w:t>
      </w:r>
      <w:r w:rsidRPr="008A6852">
        <w:rPr>
          <w:rFonts w:asciiTheme="minorHAnsi" w:hAnsiTheme="minorHAnsi" w:cstheme="minorHAnsi"/>
          <w:b w:val="0"/>
          <w:bCs/>
          <w:sz w:val="22"/>
          <w:szCs w:val="22"/>
        </w:rPr>
        <w:t>the contract cleaning industry</w:t>
      </w:r>
      <w:r w:rsidR="0073128E">
        <w:rPr>
          <w:rFonts w:asciiTheme="minorHAnsi" w:hAnsiTheme="minorHAnsi" w:cstheme="minorHAnsi"/>
          <w:b w:val="0"/>
          <w:bCs/>
          <w:sz w:val="22"/>
          <w:szCs w:val="22"/>
        </w:rPr>
        <w:t xml:space="preserve"> to continue under the expanded ‘services industry’</w:t>
      </w:r>
      <w:r w:rsidRPr="008A6852">
        <w:rPr>
          <w:rFonts w:asciiTheme="minorHAnsi" w:hAnsiTheme="minorHAnsi" w:cstheme="minorHAnsi"/>
          <w:b w:val="0"/>
          <w:bCs/>
          <w:sz w:val="22"/>
          <w:szCs w:val="22"/>
        </w:rPr>
        <w:t xml:space="preserve">, including definitions, registered employers and workers, applications for registration, service credit, </w:t>
      </w:r>
      <w:r>
        <w:rPr>
          <w:rFonts w:asciiTheme="minorHAnsi" w:hAnsiTheme="minorHAnsi" w:cstheme="minorHAnsi"/>
          <w:b w:val="0"/>
          <w:bCs/>
          <w:sz w:val="22"/>
          <w:szCs w:val="22"/>
        </w:rPr>
        <w:t xml:space="preserve">and </w:t>
      </w:r>
      <w:r w:rsidRPr="008A6852">
        <w:rPr>
          <w:rFonts w:asciiTheme="minorHAnsi" w:hAnsiTheme="minorHAnsi" w:cstheme="minorHAnsi"/>
          <w:b w:val="0"/>
          <w:bCs/>
          <w:sz w:val="22"/>
          <w:szCs w:val="22"/>
        </w:rPr>
        <w:t xml:space="preserve">transitional regulations. This part expires 5 years after commencement day. </w:t>
      </w:r>
    </w:p>
    <w:p w14:paraId="0AEA839F" w14:textId="62E0DAB6" w:rsidR="00990765" w:rsidRDefault="00990765" w:rsidP="00060925">
      <w:pPr>
        <w:pStyle w:val="Heading3"/>
        <w:ind w:left="1418" w:hanging="1418"/>
      </w:pPr>
      <w:r>
        <w:t>Clause 12</w:t>
      </w:r>
      <w:r w:rsidR="00AE3DF5">
        <w:tab/>
      </w:r>
      <w:r>
        <w:t xml:space="preserve">What is the </w:t>
      </w:r>
      <w:r w:rsidRPr="003C5E2C">
        <w:rPr>
          <w:i/>
          <w:iCs/>
        </w:rPr>
        <w:t>building and construction industry?</w:t>
      </w:r>
      <w:r w:rsidR="00060925">
        <w:br/>
      </w:r>
      <w:r>
        <w:t>Schedule 1, section 1.1 (1) (b), except note</w:t>
      </w:r>
    </w:p>
    <w:p w14:paraId="61C826B4" w14:textId="1BE2A407" w:rsidR="00990765" w:rsidRDefault="00990765" w:rsidP="00990765">
      <w:r>
        <w:t xml:space="preserve">Clause 12 makes a substitution in relation to a reciprocating </w:t>
      </w:r>
      <w:r w:rsidR="00526CED">
        <w:t>s</w:t>
      </w:r>
      <w:r>
        <w:t>tate</w:t>
      </w:r>
      <w:r w:rsidR="0073128E">
        <w:t xml:space="preserve"> to clarify the intent of reciprocal recognition arrangements applying to corresponding portable long service leave laws in other states</w:t>
      </w:r>
      <w:r>
        <w:t>.</w:t>
      </w:r>
    </w:p>
    <w:p w14:paraId="5681AD38" w14:textId="64B96DFF" w:rsidR="00990765" w:rsidRDefault="00990765" w:rsidP="00990765">
      <w:pPr>
        <w:pStyle w:val="Heading3"/>
      </w:pPr>
      <w:r>
        <w:t>Clause 13</w:t>
      </w:r>
      <w:r w:rsidR="00AE3DF5">
        <w:tab/>
      </w:r>
      <w:r>
        <w:t xml:space="preserve">Schedule 2, section 2.1 and 2.2 </w:t>
      </w:r>
    </w:p>
    <w:p w14:paraId="47DF116A" w14:textId="0187C29A" w:rsidR="00990765" w:rsidRPr="0073128E" w:rsidRDefault="00990765" w:rsidP="00990765">
      <w:r>
        <w:t xml:space="preserve">This clause substitutes the sections to include a definition of the </w:t>
      </w:r>
      <w:r w:rsidRPr="007F5580">
        <w:rPr>
          <w:i/>
          <w:iCs/>
        </w:rPr>
        <w:t>services industry</w:t>
      </w:r>
      <w:r>
        <w:t xml:space="preserve">, </w:t>
      </w:r>
      <w:r w:rsidRPr="007F5580">
        <w:rPr>
          <w:i/>
          <w:iCs/>
        </w:rPr>
        <w:t>ANZSIC</w:t>
      </w:r>
      <w:r>
        <w:t xml:space="preserve">, and </w:t>
      </w:r>
      <w:r w:rsidRPr="007F5580">
        <w:rPr>
          <w:i/>
          <w:iCs/>
        </w:rPr>
        <w:t>services work.</w:t>
      </w:r>
      <w:r w:rsidR="0073128E">
        <w:t xml:space="preserve"> This section gives effect to the expanded industry under schedule 2 to cover the cleaning services industry, hairdressing and beauty services industry and the accommodation and food services industry.</w:t>
      </w:r>
    </w:p>
    <w:p w14:paraId="53ABE1B4" w14:textId="50F05C42" w:rsidR="00990765" w:rsidRPr="007F5580" w:rsidRDefault="00990765" w:rsidP="00060925">
      <w:pPr>
        <w:pStyle w:val="Heading3"/>
        <w:ind w:left="1418" w:hanging="1418"/>
      </w:pPr>
      <w:r w:rsidRPr="007F5580">
        <w:t>Clause 14</w:t>
      </w:r>
      <w:r w:rsidR="00AE3DF5">
        <w:tab/>
      </w:r>
      <w:r w:rsidRPr="007F5580">
        <w:t>Service Credit- contract cleaning industry</w:t>
      </w:r>
      <w:r w:rsidR="00060925">
        <w:t>—</w:t>
      </w:r>
      <w:r w:rsidRPr="007F5580">
        <w:t>s 64</w:t>
      </w:r>
      <w:r w:rsidR="00060925">
        <w:br/>
      </w:r>
      <w:r w:rsidRPr="007F5580">
        <w:t xml:space="preserve">Schedule 2, section 2.4 </w:t>
      </w:r>
    </w:p>
    <w:p w14:paraId="03FE9A33" w14:textId="6EBD5F8C" w:rsidR="00990765" w:rsidRPr="007F5580" w:rsidRDefault="00990765" w:rsidP="00990765">
      <w:r w:rsidRPr="0073128E">
        <w:t xml:space="preserve">This clause omits </w:t>
      </w:r>
      <w:r w:rsidRPr="0073128E">
        <w:rPr>
          <w:i/>
          <w:iCs/>
        </w:rPr>
        <w:t>cleaning work</w:t>
      </w:r>
      <w:r w:rsidRPr="0073128E">
        <w:t xml:space="preserve"> and substitutes </w:t>
      </w:r>
      <w:r w:rsidRPr="0073128E">
        <w:rPr>
          <w:i/>
          <w:iCs/>
        </w:rPr>
        <w:t>services work</w:t>
      </w:r>
      <w:r w:rsidR="0073128E" w:rsidRPr="0073128E">
        <w:rPr>
          <w:i/>
          <w:iCs/>
        </w:rPr>
        <w:t xml:space="preserve"> </w:t>
      </w:r>
      <w:r w:rsidR="0073128E" w:rsidRPr="0073128E">
        <w:rPr>
          <w:rFonts w:asciiTheme="minorHAnsi" w:hAnsiTheme="minorHAnsi" w:cstheme="minorHAnsi"/>
        </w:rPr>
        <w:t>consequential on expanding the contract cleaning industry scheme to become the services industry scheme</w:t>
      </w:r>
      <w:r w:rsidRPr="007F5580">
        <w:rPr>
          <w:i/>
          <w:iCs/>
        </w:rPr>
        <w:t>.</w:t>
      </w:r>
      <w:r w:rsidRPr="007F5580">
        <w:t xml:space="preserve"> </w:t>
      </w:r>
    </w:p>
    <w:p w14:paraId="596E47E7" w14:textId="603B46E9" w:rsidR="00990765" w:rsidRPr="007F5580" w:rsidRDefault="00990765" w:rsidP="00060925">
      <w:pPr>
        <w:pStyle w:val="Heading3"/>
        <w:ind w:left="1418" w:hanging="1418"/>
      </w:pPr>
      <w:r w:rsidRPr="007F5580">
        <w:t>Clause 15</w:t>
      </w:r>
      <w:r w:rsidR="00AE3DF5">
        <w:tab/>
      </w:r>
      <w:r w:rsidRPr="007F5580">
        <w:t>Leave payments for service as registered employee</w:t>
      </w:r>
      <w:r w:rsidR="00060925">
        <w:t>—</w:t>
      </w:r>
      <w:r w:rsidRPr="007F5580">
        <w:t>contract cleaning industry</w:t>
      </w:r>
      <w:r w:rsidR="00060925">
        <w:br/>
      </w:r>
      <w:r w:rsidRPr="007F5580">
        <w:t xml:space="preserve">Schedule 2, section 2.12 (2), definition of </w:t>
      </w:r>
      <w:r w:rsidRPr="00CD2987">
        <w:rPr>
          <w:i/>
          <w:iCs/>
        </w:rPr>
        <w:t>R,</w:t>
      </w:r>
      <w:r w:rsidRPr="007F5580">
        <w:t xml:space="preserve"> paragraph (b), example </w:t>
      </w:r>
    </w:p>
    <w:p w14:paraId="76C95DA7" w14:textId="412DF34C" w:rsidR="00990765" w:rsidRPr="007F5580" w:rsidRDefault="00990765" w:rsidP="00990765">
      <w:r w:rsidRPr="007F5580">
        <w:t xml:space="preserve">This clause omits </w:t>
      </w:r>
      <w:r w:rsidRPr="007F5580">
        <w:rPr>
          <w:i/>
          <w:iCs/>
        </w:rPr>
        <w:t>cleaning industry</w:t>
      </w:r>
      <w:r w:rsidRPr="007F5580">
        <w:t xml:space="preserve"> and substitutes </w:t>
      </w:r>
      <w:r w:rsidRPr="007F5580">
        <w:rPr>
          <w:i/>
          <w:iCs/>
        </w:rPr>
        <w:t>services industry</w:t>
      </w:r>
      <w:r w:rsidR="0073128E">
        <w:t xml:space="preserve"> </w:t>
      </w:r>
      <w:r w:rsidR="0073128E" w:rsidRPr="0073128E">
        <w:rPr>
          <w:rFonts w:asciiTheme="minorHAnsi" w:hAnsiTheme="minorHAnsi" w:cstheme="minorHAnsi"/>
        </w:rPr>
        <w:t>consequential on expanding the contract cleaning industry scheme to become the services industry scheme</w:t>
      </w:r>
      <w:r w:rsidRPr="007F5580">
        <w:rPr>
          <w:i/>
          <w:iCs/>
        </w:rPr>
        <w:t>.</w:t>
      </w:r>
      <w:r w:rsidRPr="007F5580">
        <w:t xml:space="preserve"> </w:t>
      </w:r>
    </w:p>
    <w:p w14:paraId="261ACFB9" w14:textId="2D545224" w:rsidR="00990765" w:rsidRPr="007F5580" w:rsidRDefault="00990765" w:rsidP="00060925">
      <w:pPr>
        <w:pStyle w:val="Heading3"/>
        <w:ind w:left="1418" w:hanging="1418"/>
      </w:pPr>
      <w:r w:rsidRPr="007F5580">
        <w:t>Clause 16</w:t>
      </w:r>
      <w:r w:rsidR="00AE3DF5">
        <w:tab/>
      </w:r>
      <w:r w:rsidRPr="007F5580">
        <w:t>Leave payments for service as registered voluntary member</w:t>
      </w:r>
      <w:r w:rsidR="00060925">
        <w:t>—</w:t>
      </w:r>
      <w:r w:rsidRPr="007F5580">
        <w:t xml:space="preserve">contract cleaning industry Schedule 2, section 2.13 (3) (a) </w:t>
      </w:r>
    </w:p>
    <w:p w14:paraId="6D9FB004" w14:textId="72D0FD4F" w:rsidR="00990765" w:rsidRDefault="00990765" w:rsidP="00990765">
      <w:pPr>
        <w:rPr>
          <w:i/>
          <w:iCs/>
        </w:rPr>
      </w:pPr>
      <w:r w:rsidRPr="007F5580">
        <w:t xml:space="preserve">This clause omits </w:t>
      </w:r>
      <w:r w:rsidRPr="007F5580">
        <w:rPr>
          <w:i/>
          <w:iCs/>
        </w:rPr>
        <w:t>contract cleaning scheme industry f</w:t>
      </w:r>
      <w:r>
        <w:rPr>
          <w:i/>
          <w:iCs/>
        </w:rPr>
        <w:t>u</w:t>
      </w:r>
      <w:r w:rsidRPr="007F5580">
        <w:rPr>
          <w:i/>
          <w:iCs/>
        </w:rPr>
        <w:t xml:space="preserve">nds </w:t>
      </w:r>
      <w:r w:rsidRPr="007F5580">
        <w:t xml:space="preserve">and substitutes </w:t>
      </w:r>
      <w:r w:rsidRPr="007F5580">
        <w:rPr>
          <w:i/>
          <w:iCs/>
        </w:rPr>
        <w:t>services industry scheme funds</w:t>
      </w:r>
      <w:r w:rsidR="0073128E">
        <w:t xml:space="preserve"> </w:t>
      </w:r>
      <w:r w:rsidR="0073128E" w:rsidRPr="0073128E">
        <w:rPr>
          <w:rFonts w:asciiTheme="minorHAnsi" w:hAnsiTheme="minorHAnsi" w:cstheme="minorHAnsi"/>
        </w:rPr>
        <w:t>consequential on expanding the contract cleaning industry scheme to become the services industry scheme</w:t>
      </w:r>
      <w:r w:rsidRPr="007F5580">
        <w:rPr>
          <w:i/>
          <w:iCs/>
        </w:rPr>
        <w:t xml:space="preserve">. </w:t>
      </w:r>
    </w:p>
    <w:p w14:paraId="2230720E" w14:textId="3C60D02E" w:rsidR="00990765" w:rsidRPr="00C55A71" w:rsidRDefault="00990765" w:rsidP="00060925">
      <w:pPr>
        <w:pStyle w:val="Heading3"/>
        <w:ind w:left="1418" w:hanging="1418"/>
      </w:pPr>
      <w:r w:rsidRPr="00C55A71">
        <w:t>Clause 17</w:t>
      </w:r>
      <w:r w:rsidR="00AE3DF5">
        <w:tab/>
      </w:r>
      <w:r w:rsidRPr="00C55A71">
        <w:t>What is the community sector industry?</w:t>
      </w:r>
      <w:r w:rsidR="00060925">
        <w:br/>
      </w:r>
      <w:r w:rsidRPr="00C55A71">
        <w:t>Schedule 3, section 3.1 (1) (b) an</w:t>
      </w:r>
      <w:r>
        <w:t>d</w:t>
      </w:r>
      <w:r w:rsidRPr="00C55A71">
        <w:t xml:space="preserve"> note </w:t>
      </w:r>
    </w:p>
    <w:p w14:paraId="37944C71" w14:textId="0083BCA0" w:rsidR="00990765" w:rsidRPr="00625ABB" w:rsidRDefault="00990765" w:rsidP="00990765">
      <w:r w:rsidRPr="00625ABB">
        <w:t>This clause make</w:t>
      </w:r>
      <w:r w:rsidR="0073128E">
        <w:t>s</w:t>
      </w:r>
      <w:r w:rsidRPr="00625ABB">
        <w:t xml:space="preserve"> a substitution in relation to a reciprocating state</w:t>
      </w:r>
      <w:r w:rsidR="0073128E">
        <w:t xml:space="preserve"> to clarify the intent of reciprocal recognition arrangements applying to corresponding portable long service leave laws in other states</w:t>
      </w:r>
      <w:r w:rsidRPr="00625ABB">
        <w:t xml:space="preserve">. </w:t>
      </w:r>
    </w:p>
    <w:p w14:paraId="4F455E38" w14:textId="4F929CD3" w:rsidR="00990765" w:rsidRPr="00C55A71" w:rsidRDefault="00990765" w:rsidP="00060925">
      <w:pPr>
        <w:pStyle w:val="Heading3"/>
        <w:ind w:left="1418" w:hanging="1418"/>
      </w:pPr>
      <w:r w:rsidRPr="00625ABB">
        <w:lastRenderedPageBreak/>
        <w:t>Clause 18</w:t>
      </w:r>
      <w:r w:rsidR="00AE3DF5">
        <w:tab/>
      </w:r>
      <w:r w:rsidRPr="00625ABB">
        <w:t>Entitlement to payment instead of leave</w:t>
      </w:r>
      <w:r w:rsidR="00060925">
        <w:t>—</w:t>
      </w:r>
      <w:r w:rsidRPr="00625ABB">
        <w:t>community sector industry</w:t>
      </w:r>
      <w:r w:rsidR="00060925">
        <w:br/>
      </w:r>
      <w:r w:rsidRPr="00625ABB">
        <w:t>Schedule 3, section 3.9 (1)</w:t>
      </w:r>
      <w:r w:rsidRPr="00C55A71">
        <w:t xml:space="preserve">  </w:t>
      </w:r>
    </w:p>
    <w:p w14:paraId="333C7C03" w14:textId="08AEC40C" w:rsidR="00990765" w:rsidRPr="00625ABB" w:rsidRDefault="00990765" w:rsidP="00990765">
      <w:r w:rsidRPr="00625ABB">
        <w:t>This clause substitutes this section regarding entitlement to payment instead of leave</w:t>
      </w:r>
      <w:r w:rsidR="0073128E">
        <w:t xml:space="preserve"> </w:t>
      </w:r>
      <w:r w:rsidR="00F609CA">
        <w:t>to allow for workers to access payment entitlements instead of leave after a specified period of recognised service if they have permanently left the industry. This amendment ensures consistency across the various industry schemes with the building and construction industry scheme in Schedule 1 of the Act</w:t>
      </w:r>
      <w:r w:rsidRPr="00625ABB">
        <w:t xml:space="preserve">. </w:t>
      </w:r>
    </w:p>
    <w:p w14:paraId="326E479F" w14:textId="0068FDBF" w:rsidR="00990765" w:rsidRPr="004D02F6" w:rsidRDefault="00990765" w:rsidP="00F609CA">
      <w:pPr>
        <w:pStyle w:val="Heading3"/>
        <w:ind w:left="1418" w:hanging="1418"/>
      </w:pPr>
      <w:r w:rsidRPr="004D02F6">
        <w:t>Clause 19</w:t>
      </w:r>
      <w:r w:rsidR="00AE3DF5">
        <w:tab/>
      </w:r>
      <w:r w:rsidRPr="004D02F6">
        <w:t xml:space="preserve">What is </w:t>
      </w:r>
      <w:r w:rsidRPr="004D02F6">
        <w:rPr>
          <w:i/>
          <w:iCs/>
        </w:rPr>
        <w:t>security industry</w:t>
      </w:r>
      <w:r w:rsidRPr="004D02F6">
        <w:t>? Schedule 4, section 4.1 (1) (b), except note</w:t>
      </w:r>
    </w:p>
    <w:p w14:paraId="4BBE7202" w14:textId="56D81530" w:rsidR="00990765" w:rsidRDefault="00990765" w:rsidP="00990765">
      <w:r w:rsidRPr="004D02F6">
        <w:t>This clause makes a substitution in relation to a reciprocating state</w:t>
      </w:r>
      <w:r w:rsidR="0073128E">
        <w:t xml:space="preserve"> to clarify the intent of reciprocal recognition arrangements applying to corresponding portable long service leave laws in other states</w:t>
      </w:r>
      <w:r w:rsidRPr="004D02F6">
        <w:t xml:space="preserve">. </w:t>
      </w:r>
    </w:p>
    <w:p w14:paraId="642888FF" w14:textId="231E597A" w:rsidR="00990765" w:rsidRDefault="00990765" w:rsidP="00990765">
      <w:pPr>
        <w:pStyle w:val="Heading3"/>
      </w:pPr>
      <w:r>
        <w:t>Clause 20</w:t>
      </w:r>
      <w:r w:rsidR="00AE3DF5">
        <w:tab/>
      </w:r>
      <w:r>
        <w:t xml:space="preserve">Schedule 4, section 4.1 (2), definition of </w:t>
      </w:r>
      <w:r w:rsidRPr="00C55A71">
        <w:t>security activity</w:t>
      </w:r>
      <w:r>
        <w:t>, new note</w:t>
      </w:r>
    </w:p>
    <w:p w14:paraId="021C896A" w14:textId="7BDCFB23" w:rsidR="00990765" w:rsidRDefault="00990765" w:rsidP="00990765">
      <w:r>
        <w:t xml:space="preserve">This clause inserts a note </w:t>
      </w:r>
      <w:r w:rsidR="00F609CA">
        <w:t>to assist in the interpretation of security activities for the purposes of the Act clarifying</w:t>
      </w:r>
      <w:r>
        <w:t xml:space="preserve"> that certain people are exempt from the application of the </w:t>
      </w:r>
      <w:r w:rsidRPr="004D02F6">
        <w:rPr>
          <w:i/>
          <w:iCs/>
        </w:rPr>
        <w:t>Security Industry Act 2003</w:t>
      </w:r>
      <w:r w:rsidR="00F609CA">
        <w:t xml:space="preserve"> and are therefore not covered </w:t>
      </w:r>
      <w:r w:rsidR="00526CED">
        <w:t xml:space="preserve">by the </w:t>
      </w:r>
      <w:r w:rsidR="00F609CA">
        <w:t>security industry scheme in schedule 4 of the Act</w:t>
      </w:r>
      <w:r>
        <w:t xml:space="preserve">. </w:t>
      </w:r>
    </w:p>
    <w:p w14:paraId="1BD054C4" w14:textId="3069B379" w:rsidR="00990765" w:rsidRDefault="00990765" w:rsidP="00FE1D85">
      <w:pPr>
        <w:pStyle w:val="Heading3"/>
        <w:ind w:left="1418" w:hanging="1418"/>
      </w:pPr>
      <w:r>
        <w:t>Clause 21</w:t>
      </w:r>
      <w:r w:rsidR="00AE3DF5">
        <w:tab/>
      </w:r>
      <w:r>
        <w:t>Entitlement to payment instead of leave</w:t>
      </w:r>
      <w:r w:rsidR="00FE1D85">
        <w:t>—</w:t>
      </w:r>
      <w:r>
        <w:t xml:space="preserve">security industry Schedule 4, section 4.9 (1) </w:t>
      </w:r>
    </w:p>
    <w:p w14:paraId="2250B1F5" w14:textId="3605F27E" w:rsidR="00990765" w:rsidRDefault="00990765" w:rsidP="00990765">
      <w:r>
        <w:t>This clause substitutes the section regarding entitlement to payment instead of leave</w:t>
      </w:r>
      <w:r w:rsidR="00F609CA">
        <w:t xml:space="preserve"> to allow for workers to access payment entitlements instead of leave after a specified period of recognised service if they have permanently left the industry. This amendment ensures consistency across the various industry schemes with the building and construction industry scheme in Schedule 1 of the Act</w:t>
      </w:r>
      <w:r>
        <w:t xml:space="preserve">. </w:t>
      </w:r>
    </w:p>
    <w:p w14:paraId="0CC7CAD1" w14:textId="6C44D5ED" w:rsidR="00990765" w:rsidRPr="00625ABB" w:rsidRDefault="00990765" w:rsidP="00F609CA">
      <w:pPr>
        <w:pStyle w:val="Heading3"/>
        <w:ind w:left="1418" w:hanging="1418"/>
        <w:rPr>
          <w:i/>
          <w:iCs/>
        </w:rPr>
      </w:pPr>
      <w:r>
        <w:t>Clause 22</w:t>
      </w:r>
      <w:r w:rsidR="00AE3DF5">
        <w:tab/>
      </w:r>
      <w:r>
        <w:t xml:space="preserve">Dictionary, definitions of </w:t>
      </w:r>
      <w:r w:rsidRPr="00625ABB">
        <w:rPr>
          <w:i/>
          <w:iCs/>
        </w:rPr>
        <w:t>cleaning work</w:t>
      </w:r>
      <w:r>
        <w:t xml:space="preserve"> and </w:t>
      </w:r>
      <w:r w:rsidRPr="00625ABB">
        <w:rPr>
          <w:i/>
          <w:iCs/>
        </w:rPr>
        <w:t>contract cleaning industry</w:t>
      </w:r>
    </w:p>
    <w:p w14:paraId="67BC59FD" w14:textId="083CFB49" w:rsidR="00990765" w:rsidRDefault="00990765" w:rsidP="00990765">
      <w:r>
        <w:t>This clause omits these definitions</w:t>
      </w:r>
      <w:r w:rsidR="00F609CA">
        <w:t xml:space="preserve"> as they are no longer required</w:t>
      </w:r>
      <w:r>
        <w:t xml:space="preserve">. </w:t>
      </w:r>
    </w:p>
    <w:p w14:paraId="3FD5233D" w14:textId="6CDC1A25" w:rsidR="00990765" w:rsidRDefault="00990765" w:rsidP="00990765">
      <w:pPr>
        <w:pStyle w:val="Heading3"/>
      </w:pPr>
      <w:r>
        <w:t>Clause 23</w:t>
      </w:r>
      <w:r w:rsidR="00AE3DF5">
        <w:tab/>
      </w:r>
      <w:r>
        <w:t xml:space="preserve">Dictionary, new definitions </w:t>
      </w:r>
    </w:p>
    <w:p w14:paraId="6EB5BD50" w14:textId="0396841B" w:rsidR="00990765" w:rsidRDefault="00990765" w:rsidP="00990765">
      <w:r>
        <w:t xml:space="preserve">This clause inserts definitions </w:t>
      </w:r>
      <w:r w:rsidR="000E1DE9">
        <w:t xml:space="preserve">in the dictionary </w:t>
      </w:r>
      <w:r>
        <w:t xml:space="preserve">for </w:t>
      </w:r>
      <w:r w:rsidRPr="004D02F6">
        <w:rPr>
          <w:i/>
          <w:iCs/>
        </w:rPr>
        <w:t>registered employee</w:t>
      </w:r>
      <w:r>
        <w:t xml:space="preserve"> and </w:t>
      </w:r>
      <w:r w:rsidRPr="004D02F6">
        <w:rPr>
          <w:i/>
          <w:iCs/>
        </w:rPr>
        <w:t>registered voluntary member</w:t>
      </w:r>
      <w:r>
        <w:t xml:space="preserve">. </w:t>
      </w:r>
    </w:p>
    <w:p w14:paraId="4D2CA451" w14:textId="26200EC6" w:rsidR="00990765" w:rsidRDefault="00990765" w:rsidP="00990765">
      <w:pPr>
        <w:pStyle w:val="Heading3"/>
      </w:pPr>
      <w:r>
        <w:t>Clause 24</w:t>
      </w:r>
      <w:r w:rsidR="00AE3DF5">
        <w:tab/>
      </w:r>
      <w:r>
        <w:t xml:space="preserve">Dictionary, new definitions </w:t>
      </w:r>
    </w:p>
    <w:p w14:paraId="44A893D0" w14:textId="361583A6" w:rsidR="00990765" w:rsidRDefault="00990765" w:rsidP="00990765">
      <w:r>
        <w:t>This clause inserts definitions</w:t>
      </w:r>
      <w:r w:rsidR="000E1DE9">
        <w:t xml:space="preserve"> in the dictionary</w:t>
      </w:r>
      <w:r>
        <w:t xml:space="preserve"> for </w:t>
      </w:r>
      <w:r w:rsidRPr="00DD02CB">
        <w:rPr>
          <w:i/>
          <w:iCs/>
        </w:rPr>
        <w:t>services industry</w:t>
      </w:r>
      <w:r>
        <w:t xml:space="preserve"> and </w:t>
      </w:r>
      <w:r w:rsidRPr="00DD02CB">
        <w:rPr>
          <w:i/>
          <w:iCs/>
        </w:rPr>
        <w:t>services work</w:t>
      </w:r>
      <w:r w:rsidR="000E1DE9" w:rsidRPr="000E1DE9">
        <w:rPr>
          <w:rFonts w:asciiTheme="minorHAnsi" w:hAnsiTheme="minorHAnsi" w:cstheme="minorHAnsi"/>
        </w:rPr>
        <w:t xml:space="preserve"> </w:t>
      </w:r>
      <w:r w:rsidR="000E1DE9" w:rsidRPr="0073128E">
        <w:rPr>
          <w:rFonts w:asciiTheme="minorHAnsi" w:hAnsiTheme="minorHAnsi" w:cstheme="minorHAnsi"/>
        </w:rPr>
        <w:t>consequential on expanding the contract cleaning industry scheme to become the services industry scheme</w:t>
      </w:r>
      <w:r>
        <w:t>.</w:t>
      </w:r>
    </w:p>
    <w:p w14:paraId="123B6AFB" w14:textId="504A0877" w:rsidR="00990765" w:rsidRDefault="00990765" w:rsidP="00990765">
      <w:pPr>
        <w:pStyle w:val="Heading3"/>
      </w:pPr>
      <w:r>
        <w:t>Clause 25</w:t>
      </w:r>
      <w:r w:rsidR="00AE3DF5">
        <w:tab/>
      </w:r>
      <w:r>
        <w:t xml:space="preserve">Dictionary, new definition of </w:t>
      </w:r>
      <w:r w:rsidRPr="00625ABB">
        <w:rPr>
          <w:i/>
          <w:iCs/>
        </w:rPr>
        <w:t>staff of the authority</w:t>
      </w:r>
      <w:r>
        <w:t xml:space="preserve"> </w:t>
      </w:r>
    </w:p>
    <w:p w14:paraId="0C83DF8D" w14:textId="5C1504EA" w:rsidR="00990765" w:rsidRDefault="00990765" w:rsidP="00990765">
      <w:r>
        <w:t xml:space="preserve">This clause inserts a definition of </w:t>
      </w:r>
      <w:r w:rsidRPr="00625ABB">
        <w:rPr>
          <w:i/>
          <w:iCs/>
        </w:rPr>
        <w:t>staff of the authority</w:t>
      </w:r>
      <w:r w:rsidR="000E1DE9">
        <w:rPr>
          <w:i/>
          <w:iCs/>
        </w:rPr>
        <w:t xml:space="preserve"> </w:t>
      </w:r>
      <w:r w:rsidR="000E1DE9" w:rsidRPr="0073128E">
        <w:rPr>
          <w:rFonts w:asciiTheme="minorHAnsi" w:hAnsiTheme="minorHAnsi" w:cstheme="minorHAnsi"/>
        </w:rPr>
        <w:t xml:space="preserve">consequential on </w:t>
      </w:r>
      <w:r w:rsidR="000E1DE9">
        <w:rPr>
          <w:rFonts w:asciiTheme="minorHAnsi" w:hAnsiTheme="minorHAnsi" w:cstheme="minorHAnsi"/>
        </w:rPr>
        <w:t>the amendments in clause 8 of this Bill</w:t>
      </w:r>
      <w:r>
        <w:t xml:space="preserve">. </w:t>
      </w:r>
    </w:p>
    <w:p w14:paraId="3A23D8D3" w14:textId="1119DDED" w:rsidR="00990765" w:rsidRDefault="00990765" w:rsidP="00990765">
      <w:pPr>
        <w:pStyle w:val="Heading3"/>
      </w:pPr>
      <w:r>
        <w:lastRenderedPageBreak/>
        <w:t>Clause 26</w:t>
      </w:r>
      <w:r w:rsidR="00AE3DF5">
        <w:tab/>
      </w:r>
      <w:r>
        <w:t xml:space="preserve">Further amendments, mentions of </w:t>
      </w:r>
      <w:r w:rsidRPr="00625ABB">
        <w:rPr>
          <w:i/>
          <w:iCs/>
        </w:rPr>
        <w:t>contract cleaning industry</w:t>
      </w:r>
      <w:r>
        <w:t xml:space="preserve"> </w:t>
      </w:r>
    </w:p>
    <w:p w14:paraId="0C41DDC3" w14:textId="4985DAE9" w:rsidR="00990765" w:rsidRDefault="00990765" w:rsidP="00990765">
      <w:r>
        <w:t xml:space="preserve">This clause omits </w:t>
      </w:r>
      <w:r w:rsidRPr="00625ABB">
        <w:rPr>
          <w:i/>
          <w:iCs/>
        </w:rPr>
        <w:t>contract cleaning industry</w:t>
      </w:r>
      <w:r>
        <w:t xml:space="preserve"> and substitutes </w:t>
      </w:r>
      <w:r w:rsidRPr="00625ABB">
        <w:rPr>
          <w:i/>
          <w:iCs/>
        </w:rPr>
        <w:t>services industry</w:t>
      </w:r>
      <w:r>
        <w:t xml:space="preserve"> in various provisions</w:t>
      </w:r>
      <w:r w:rsidR="00F609CA">
        <w:t xml:space="preserve"> </w:t>
      </w:r>
      <w:r w:rsidR="00F609CA" w:rsidRPr="0073128E">
        <w:rPr>
          <w:rFonts w:asciiTheme="minorHAnsi" w:hAnsiTheme="minorHAnsi" w:cstheme="minorHAnsi"/>
        </w:rPr>
        <w:t>consequential on expanding the contract cleaning industry scheme to become the services industry scheme</w:t>
      </w:r>
      <w:r>
        <w:t>.</w:t>
      </w:r>
    </w:p>
    <w:p w14:paraId="55E543C7" w14:textId="14D9F9A2" w:rsidR="00990765" w:rsidRDefault="00990765" w:rsidP="00990765">
      <w:pPr>
        <w:pStyle w:val="Heading3"/>
      </w:pPr>
      <w:r>
        <w:t>Schedule 1</w:t>
      </w:r>
      <w:r w:rsidR="00AE3DF5">
        <w:tab/>
      </w:r>
      <w:r>
        <w:t xml:space="preserve">Other amendments </w:t>
      </w:r>
    </w:p>
    <w:p w14:paraId="43AD2F74" w14:textId="42470415" w:rsidR="00F609CA" w:rsidRDefault="00F609CA" w:rsidP="00990765">
      <w:r>
        <w:t>This schedule makes technical amendments to other legislation.</w:t>
      </w:r>
    </w:p>
    <w:p w14:paraId="5765FD23" w14:textId="42F97734" w:rsidR="00990765" w:rsidRPr="00625ABB" w:rsidRDefault="00990765" w:rsidP="00990765">
      <w:pPr>
        <w:rPr>
          <w:i/>
          <w:iCs/>
        </w:rPr>
      </w:pPr>
      <w:r>
        <w:t xml:space="preserve">Schedule 1 omits </w:t>
      </w:r>
      <w:r w:rsidRPr="00625ABB">
        <w:rPr>
          <w:i/>
          <w:iCs/>
        </w:rPr>
        <w:t>director-general</w:t>
      </w:r>
      <w:r>
        <w:t xml:space="preserve"> and substitutes </w:t>
      </w:r>
      <w:r w:rsidRPr="00625ABB">
        <w:rPr>
          <w:i/>
          <w:iCs/>
        </w:rPr>
        <w:t>commissioner</w:t>
      </w:r>
      <w:r>
        <w:t xml:space="preserve"> in sections 47 and 48 of the </w:t>
      </w:r>
      <w:r w:rsidRPr="00625ABB">
        <w:rPr>
          <w:i/>
          <w:iCs/>
        </w:rPr>
        <w:t>Labour Hire Licensing Act 2020</w:t>
      </w:r>
      <w:r>
        <w:t xml:space="preserve">. The schedule </w:t>
      </w:r>
      <w:r w:rsidR="00526CED">
        <w:t xml:space="preserve">also </w:t>
      </w:r>
      <w:r>
        <w:t xml:space="preserve">substitutes </w:t>
      </w:r>
      <w:r w:rsidR="00526CED">
        <w:t xml:space="preserve">the </w:t>
      </w:r>
      <w:r>
        <w:t xml:space="preserve">section 49 heading of the </w:t>
      </w:r>
      <w:r w:rsidRPr="00625ABB">
        <w:rPr>
          <w:i/>
          <w:iCs/>
        </w:rPr>
        <w:t>Labour Hire Licensing Act 2020</w:t>
      </w:r>
      <w:r>
        <w:t xml:space="preserve"> to read: </w:t>
      </w:r>
      <w:r w:rsidRPr="00625ABB">
        <w:rPr>
          <w:i/>
          <w:iCs/>
        </w:rPr>
        <w:t xml:space="preserve">49 Authorised person must show identity card on exercising power. </w:t>
      </w:r>
    </w:p>
    <w:p w14:paraId="7EAD0B5E" w14:textId="77777777" w:rsidR="00990765" w:rsidRDefault="00990765" w:rsidP="00990765">
      <w:r>
        <w:t xml:space="preserve">This schedule also omits </w:t>
      </w:r>
      <w:r w:rsidRPr="00625ABB">
        <w:rPr>
          <w:i/>
          <w:iCs/>
        </w:rPr>
        <w:t>regulator</w:t>
      </w:r>
      <w:r>
        <w:t xml:space="preserve"> and substitutes </w:t>
      </w:r>
      <w:r w:rsidRPr="00625ABB">
        <w:rPr>
          <w:i/>
          <w:iCs/>
        </w:rPr>
        <w:t>director-general</w:t>
      </w:r>
      <w:r>
        <w:t xml:space="preserve"> in various sections of the </w:t>
      </w:r>
      <w:r w:rsidRPr="00625ABB">
        <w:rPr>
          <w:i/>
          <w:iCs/>
        </w:rPr>
        <w:t>Workers Compensation Act 1951.</w:t>
      </w:r>
      <w:r>
        <w:t xml:space="preserve"> </w:t>
      </w:r>
    </w:p>
    <w:p w14:paraId="7E20FA38" w14:textId="77777777" w:rsidR="00D7062D" w:rsidRPr="004923C1" w:rsidRDefault="00D7062D" w:rsidP="001109D6">
      <w:pPr>
        <w:pStyle w:val="Heading3"/>
        <w:rPr>
          <w:rFonts w:cs="Arial"/>
        </w:rPr>
      </w:pPr>
    </w:p>
    <w:sectPr w:rsidR="00D7062D" w:rsidRPr="004923C1" w:rsidSect="00F41A2F">
      <w:footerReference w:type="default" r:id="rId15"/>
      <w:footerReference w:type="first" r:id="rId16"/>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A891" w14:textId="77777777" w:rsidR="00574516" w:rsidRDefault="00574516">
      <w:pPr>
        <w:spacing w:after="0" w:line="240" w:lineRule="auto"/>
      </w:pPr>
      <w:r>
        <w:separator/>
      </w:r>
    </w:p>
  </w:endnote>
  <w:endnote w:type="continuationSeparator" w:id="0">
    <w:p w14:paraId="794EBBBD" w14:textId="77777777" w:rsidR="00574516" w:rsidRDefault="00574516">
      <w:pPr>
        <w:spacing w:after="0" w:line="240" w:lineRule="auto"/>
      </w:pPr>
      <w:r>
        <w:continuationSeparator/>
      </w:r>
    </w:p>
  </w:endnote>
  <w:endnote w:type="continuationNotice" w:id="1">
    <w:p w14:paraId="7B8AD7A7" w14:textId="77777777" w:rsidR="00574516" w:rsidRDefault="005745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0AC6" w14:textId="77777777" w:rsidR="001F0EC8" w:rsidRDefault="001F0E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46402" w14:textId="7AE40691" w:rsidR="001F0EC8" w:rsidRPr="001F0EC8" w:rsidRDefault="001F0EC8" w:rsidP="001F0EC8">
    <w:pPr>
      <w:pStyle w:val="Footer"/>
      <w:jc w:val="center"/>
      <w:rPr>
        <w:rFonts w:cs="Arial"/>
        <w:sz w:val="14"/>
      </w:rPr>
    </w:pPr>
    <w:r w:rsidRPr="001F0EC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348B8" w14:textId="77777777" w:rsidR="009028C1" w:rsidRDefault="009028C1">
    <w:pPr>
      <w:pStyle w:val="Footer"/>
      <w:jc w:val="right"/>
    </w:pPr>
  </w:p>
  <w:p w14:paraId="1B19A0D3" w14:textId="77777777" w:rsidR="009028C1" w:rsidRPr="00DC5912" w:rsidRDefault="009028C1"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7F91" w14:textId="3CA03418" w:rsidR="009028C1" w:rsidRDefault="009028C1" w:rsidP="00937954">
    <w:pPr>
      <w:pStyle w:val="Footer"/>
      <w:spacing w:before="60" w:line="240" w:lineRule="auto"/>
      <w:jc w:val="right"/>
    </w:pPr>
    <w:r>
      <w:fldChar w:fldCharType="begin"/>
    </w:r>
    <w:r>
      <w:instrText xml:space="preserve"> PAGE   \* MERGEFORMAT </w:instrText>
    </w:r>
    <w:r>
      <w:fldChar w:fldCharType="separate"/>
    </w:r>
    <w:r w:rsidR="0057382D">
      <w:rPr>
        <w:noProof/>
      </w:rPr>
      <w:t>4</w:t>
    </w:r>
    <w:r>
      <w:fldChar w:fldCharType="end"/>
    </w:r>
  </w:p>
  <w:p w14:paraId="68FB40AD" w14:textId="09ED2363" w:rsidR="001F0EC8" w:rsidRPr="001F0EC8" w:rsidRDefault="001F0EC8" w:rsidP="001F0EC8">
    <w:pPr>
      <w:pStyle w:val="Footer"/>
      <w:spacing w:before="60" w:line="240" w:lineRule="auto"/>
      <w:jc w:val="center"/>
      <w:rPr>
        <w:rFonts w:cs="Arial"/>
        <w:sz w:val="14"/>
      </w:rPr>
    </w:pPr>
    <w:r w:rsidRPr="001F0EC8">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75DD" w14:textId="18DCDD1E" w:rsidR="009028C1" w:rsidRDefault="009028C1">
    <w:pPr>
      <w:pStyle w:val="Footer"/>
      <w:jc w:val="right"/>
    </w:pPr>
    <w:r>
      <w:fldChar w:fldCharType="begin"/>
    </w:r>
    <w:r>
      <w:instrText xml:space="preserve"> PAGE   \* MERGEFORMAT </w:instrText>
    </w:r>
    <w:r>
      <w:fldChar w:fldCharType="separate"/>
    </w:r>
    <w:r w:rsidR="0057382D">
      <w:rPr>
        <w:noProof/>
      </w:rPr>
      <w:t>1</w:t>
    </w:r>
    <w:r>
      <w:fldChar w:fldCharType="end"/>
    </w:r>
  </w:p>
  <w:p w14:paraId="6C1B85DD" w14:textId="76EB5170" w:rsidR="001F0EC8" w:rsidRPr="001F0EC8" w:rsidRDefault="001F0EC8" w:rsidP="001F0EC8">
    <w:pPr>
      <w:pStyle w:val="Footer"/>
      <w:jc w:val="center"/>
      <w:rPr>
        <w:rFonts w:cs="Arial"/>
        <w:sz w:val="14"/>
      </w:rPr>
    </w:pPr>
    <w:r w:rsidRPr="001F0EC8">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B9FFE" w14:textId="77777777" w:rsidR="00574516" w:rsidRDefault="00574516">
      <w:pPr>
        <w:spacing w:after="0" w:line="240" w:lineRule="auto"/>
      </w:pPr>
      <w:r>
        <w:separator/>
      </w:r>
    </w:p>
  </w:footnote>
  <w:footnote w:type="continuationSeparator" w:id="0">
    <w:p w14:paraId="73AFA6D7" w14:textId="77777777" w:rsidR="00574516" w:rsidRDefault="00574516">
      <w:pPr>
        <w:spacing w:after="0" w:line="240" w:lineRule="auto"/>
      </w:pPr>
      <w:r>
        <w:continuationSeparator/>
      </w:r>
    </w:p>
  </w:footnote>
  <w:footnote w:type="continuationNotice" w:id="1">
    <w:p w14:paraId="0E476B46" w14:textId="77777777" w:rsidR="00574516" w:rsidRDefault="00574516">
      <w:pPr>
        <w:spacing w:after="0" w:line="240" w:lineRule="auto"/>
      </w:pPr>
    </w:p>
  </w:footnote>
  <w:footnote w:id="2">
    <w:p w14:paraId="076FAE6B" w14:textId="72A798EC" w:rsidR="007278CB" w:rsidRPr="007278CB" w:rsidRDefault="007278CB">
      <w:pPr>
        <w:pStyle w:val="FootnoteText"/>
        <w:rPr>
          <w:lang w:val="en-AU"/>
        </w:rPr>
      </w:pPr>
      <w:r>
        <w:rPr>
          <w:rStyle w:val="FootnoteReference"/>
        </w:rPr>
        <w:footnoteRef/>
      </w:r>
      <w:r>
        <w:t xml:space="preserve"> </w:t>
      </w:r>
      <w:hyperlink r:id="rId1" w:history="1">
        <w:r w:rsidRPr="00F76109">
          <w:rPr>
            <w:rStyle w:val="Hyperlink"/>
          </w:rPr>
          <w:t>https://www.cmtedd.act.gov.au/__data/assets/pdf_file/0006/2013765/Portable-Long-Service-Leave-Expansion-Consultation-Paper-June-2022.pdf</w:t>
        </w:r>
      </w:hyperlink>
    </w:p>
  </w:footnote>
  <w:footnote w:id="3">
    <w:p w14:paraId="654A40E0" w14:textId="6FC28708" w:rsidR="00BD58A2" w:rsidRPr="00BD58A2" w:rsidRDefault="00BD58A2">
      <w:pPr>
        <w:pStyle w:val="FootnoteText"/>
        <w:rPr>
          <w:lang w:val="en-AU"/>
        </w:rPr>
      </w:pPr>
      <w:r>
        <w:rPr>
          <w:rStyle w:val="FootnoteReference"/>
        </w:rPr>
        <w:footnoteRef/>
      </w:r>
      <w:r>
        <w:t xml:space="preserve"> Australian Bureau of Statistics, </w:t>
      </w:r>
      <w:r>
        <w:rPr>
          <w:i/>
          <w:iCs/>
        </w:rPr>
        <w:t>Job Mobility</w:t>
      </w:r>
      <w:r>
        <w:t xml:space="preserve">, Released 24 May 2022, </w:t>
      </w:r>
      <w:hyperlink r:id="rId2" w:history="1">
        <w:r w:rsidRPr="000F67F7">
          <w:rPr>
            <w:rStyle w:val="Hyperlink"/>
          </w:rPr>
          <w:t>https://www.abs.gov.au/statistics/labour/jobs/job-mobility/latest-release</w:t>
        </w:r>
      </w:hyperlink>
    </w:p>
  </w:footnote>
  <w:footnote w:id="4">
    <w:p w14:paraId="7FCBF944" w14:textId="0C7B27D1" w:rsidR="00BD58A2" w:rsidRPr="00BD58A2" w:rsidRDefault="00BD58A2">
      <w:pPr>
        <w:pStyle w:val="FootnoteText"/>
        <w:rPr>
          <w:lang w:val="en-AU"/>
        </w:rPr>
      </w:pPr>
      <w:r>
        <w:rPr>
          <w:rStyle w:val="FootnoteReference"/>
        </w:rPr>
        <w:footnoteRef/>
      </w:r>
      <w:r>
        <w:t xml:space="preserve"> </w:t>
      </w:r>
      <w:r>
        <w:rPr>
          <w:i/>
          <w:iCs/>
        </w:rPr>
        <w:t>Refer footnote 2 above.</w:t>
      </w:r>
    </w:p>
  </w:footnote>
  <w:footnote w:id="5">
    <w:p w14:paraId="06351D53" w14:textId="77777777" w:rsidR="00065704" w:rsidRPr="00BD58A2" w:rsidRDefault="00065704" w:rsidP="00065704">
      <w:pPr>
        <w:pStyle w:val="FootnoteText"/>
        <w:rPr>
          <w:lang w:val="en-AU"/>
        </w:rPr>
      </w:pPr>
      <w:r>
        <w:rPr>
          <w:rStyle w:val="FootnoteReference"/>
        </w:rPr>
        <w:footnoteRef/>
      </w:r>
      <w:r>
        <w:t xml:space="preserve"> </w:t>
      </w:r>
      <w:r>
        <w:rPr>
          <w:i/>
          <w:iCs/>
        </w:rPr>
        <w:t>Refer footnote 2 above.</w:t>
      </w:r>
    </w:p>
  </w:footnote>
  <w:footnote w:id="6">
    <w:p w14:paraId="5EBF6346" w14:textId="77777777" w:rsidR="008902B9" w:rsidRPr="00BD58A2" w:rsidRDefault="008902B9" w:rsidP="008902B9">
      <w:pPr>
        <w:pStyle w:val="FootnoteText"/>
        <w:rPr>
          <w:lang w:val="en-AU"/>
        </w:rPr>
      </w:pPr>
      <w:r>
        <w:rPr>
          <w:rStyle w:val="FootnoteReference"/>
        </w:rPr>
        <w:footnoteRef/>
      </w:r>
      <w:r>
        <w:t xml:space="preserve"> </w:t>
      </w:r>
      <w:r w:rsidRPr="00440C07">
        <w:t xml:space="preserve">Tanya Carney, ‘The Employment Disadvantage of Mothers: Evidence for Systemic Discrimination’ (2009) </w:t>
      </w:r>
      <w:r w:rsidRPr="00440C07">
        <w:rPr>
          <w:i/>
        </w:rPr>
        <w:t>Journal of Industrial Relations</w:t>
      </w:r>
      <w:r w:rsidRPr="00440C07">
        <w:t xml:space="preserve"> 51(1), 113-130.</w:t>
      </w:r>
    </w:p>
  </w:footnote>
  <w:footnote w:id="7">
    <w:p w14:paraId="6F506AAA" w14:textId="77777777" w:rsidR="008902B9" w:rsidRPr="00BD58A2" w:rsidRDefault="008902B9" w:rsidP="008902B9">
      <w:pPr>
        <w:pStyle w:val="FootnoteText"/>
        <w:rPr>
          <w:lang w:val="en-AU"/>
        </w:rPr>
      </w:pPr>
      <w:r>
        <w:rPr>
          <w:rStyle w:val="FootnoteReference"/>
        </w:rPr>
        <w:footnoteRef/>
      </w:r>
      <w:r>
        <w:t xml:space="preserve"> </w:t>
      </w:r>
      <w:r w:rsidRPr="00440C07">
        <w:t xml:space="preserve">Natalie Skinner et al, </w:t>
      </w:r>
      <w:r w:rsidRPr="00440C07">
        <w:rPr>
          <w:i/>
        </w:rPr>
        <w:t>The Big Squeeze: Work, home and care in 2012</w:t>
      </w:r>
      <w:r w:rsidRPr="00440C07">
        <w:t xml:space="preserve"> (2012); Centre for Work and Life, </w:t>
      </w:r>
      <w:r w:rsidRPr="00440C07">
        <w:rPr>
          <w:i/>
        </w:rPr>
        <w:t>Australian Work and Life Index 2012</w:t>
      </w:r>
      <w:r w:rsidRPr="00440C07">
        <w:t xml:space="preserve"> (University of South Australia, Adelaide).</w:t>
      </w:r>
    </w:p>
  </w:footnote>
  <w:footnote w:id="8">
    <w:p w14:paraId="7B18EDB8" w14:textId="77777777" w:rsidR="008902B9" w:rsidRPr="00BD58A2" w:rsidRDefault="008902B9" w:rsidP="008902B9">
      <w:pPr>
        <w:pStyle w:val="FootnoteText"/>
        <w:rPr>
          <w:lang w:val="en-AU"/>
        </w:rPr>
      </w:pPr>
      <w:r>
        <w:rPr>
          <w:rStyle w:val="FootnoteReference"/>
        </w:rPr>
        <w:footnoteRef/>
      </w:r>
      <w:r>
        <w:t xml:space="preserve"> </w:t>
      </w:r>
      <w:r w:rsidRPr="00440C07">
        <w:t>Above n 4.</w:t>
      </w:r>
    </w:p>
  </w:footnote>
  <w:footnote w:id="9">
    <w:p w14:paraId="0664B6B1" w14:textId="77777777" w:rsidR="008902B9" w:rsidRPr="00AB26A5" w:rsidRDefault="008902B9" w:rsidP="008902B9">
      <w:pPr>
        <w:pStyle w:val="FootnoteText"/>
        <w:rPr>
          <w:lang w:val="en-AU"/>
        </w:rPr>
      </w:pPr>
      <w:r>
        <w:rPr>
          <w:rStyle w:val="FootnoteReference"/>
        </w:rPr>
        <w:footnoteRef/>
      </w:r>
      <w:r>
        <w:t xml:space="preserve"> </w:t>
      </w:r>
      <w:r w:rsidRPr="00AB26A5">
        <w:t>https://mckellinstitute.org.au/wp-content/uploads/2022/02/McKell_Portable_LongService.pdf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DCF97" w14:textId="77777777" w:rsidR="001F0EC8" w:rsidRDefault="001F0E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6F23" w14:textId="77777777" w:rsidR="001F0EC8" w:rsidRDefault="001F0E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91128" w14:textId="77777777" w:rsidR="001F0EC8" w:rsidRDefault="001F0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4942BE"/>
    <w:multiLevelType w:val="hybridMultilevel"/>
    <w:tmpl w:val="8C702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533C87"/>
    <w:multiLevelType w:val="hybridMultilevel"/>
    <w:tmpl w:val="8AF8B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A813F5"/>
    <w:multiLevelType w:val="hybridMultilevel"/>
    <w:tmpl w:val="6B400D54"/>
    <w:lvl w:ilvl="0" w:tplc="FFFFFFFF">
      <w:start w:val="1"/>
      <w:numFmt w:val="lowerLetter"/>
      <w:lvlText w:val="%1)"/>
      <w:lvlJc w:val="left"/>
      <w:pPr>
        <w:ind w:left="1145" w:hanging="360"/>
      </w:pPr>
      <w:rPr>
        <w:rFonts w:hint="default"/>
      </w:rPr>
    </w:lvl>
    <w:lvl w:ilvl="1" w:tplc="DF24FD86">
      <w:start w:val="1"/>
      <w:numFmt w:val="lowerRoman"/>
      <w:lvlText w:val="%2."/>
      <w:lvlJc w:val="left"/>
      <w:pPr>
        <w:ind w:left="1865" w:hanging="360"/>
      </w:pPr>
      <w:rPr>
        <w:rFonts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 w15:restartNumberingAfterBreak="0">
    <w:nsid w:val="36871E71"/>
    <w:multiLevelType w:val="hybridMultilevel"/>
    <w:tmpl w:val="6B400D54"/>
    <w:lvl w:ilvl="0" w:tplc="FFFFFFFF">
      <w:start w:val="1"/>
      <w:numFmt w:val="lowerLetter"/>
      <w:lvlText w:val="%1)"/>
      <w:lvlJc w:val="left"/>
      <w:pPr>
        <w:ind w:left="1145" w:hanging="360"/>
      </w:pPr>
      <w:rPr>
        <w:rFonts w:hint="default"/>
      </w:rPr>
    </w:lvl>
    <w:lvl w:ilvl="1" w:tplc="FFFFFFFF">
      <w:start w:val="1"/>
      <w:numFmt w:val="lowerRoman"/>
      <w:lvlText w:val="%2."/>
      <w:lvlJc w:val="left"/>
      <w:pPr>
        <w:ind w:left="1865" w:hanging="360"/>
      </w:pPr>
      <w:rPr>
        <w:rFonts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5" w15:restartNumberingAfterBreak="0">
    <w:nsid w:val="5D694914"/>
    <w:multiLevelType w:val="hybridMultilevel"/>
    <w:tmpl w:val="6B400D54"/>
    <w:lvl w:ilvl="0" w:tplc="FFFFFFFF">
      <w:start w:val="1"/>
      <w:numFmt w:val="lowerLetter"/>
      <w:lvlText w:val="%1)"/>
      <w:lvlJc w:val="left"/>
      <w:pPr>
        <w:ind w:left="1145" w:hanging="360"/>
      </w:pPr>
      <w:rPr>
        <w:rFonts w:hint="default"/>
      </w:rPr>
    </w:lvl>
    <w:lvl w:ilvl="1" w:tplc="FFFFFFFF">
      <w:start w:val="1"/>
      <w:numFmt w:val="lowerRoman"/>
      <w:lvlText w:val="%2."/>
      <w:lvlJc w:val="left"/>
      <w:pPr>
        <w:ind w:left="1865" w:hanging="360"/>
      </w:pPr>
      <w:rPr>
        <w:rFonts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6" w15:restartNumberingAfterBreak="0">
    <w:nsid w:val="5DC76A54"/>
    <w:multiLevelType w:val="hybridMultilevel"/>
    <w:tmpl w:val="E910B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CE1103"/>
    <w:multiLevelType w:val="hybridMultilevel"/>
    <w:tmpl w:val="BEB0E7D6"/>
    <w:lvl w:ilvl="0" w:tplc="73EEE99A">
      <w:start w:val="1"/>
      <w:numFmt w:val="lowerLetter"/>
      <w:lvlText w:val="(%1)"/>
      <w:lvlJc w:val="left"/>
      <w:pPr>
        <w:ind w:left="360" w:hanging="360"/>
      </w:pPr>
      <w:rPr>
        <w:rFonts w:ascii="Calibri" w:eastAsia="Times New Roman" w:hAnsi="Calibri" w:cs="Times New Roman" w:hint="default"/>
        <w:sz w:val="24"/>
        <w:szCs w:val="24"/>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start w:val="1"/>
      <w:numFmt w:val="lowerLetter"/>
      <w:pStyle w:val="AH5Sec"/>
      <w:lvlText w:val="%5."/>
      <w:lvlJc w:val="left"/>
      <w:pPr>
        <w:ind w:left="3240" w:hanging="360"/>
      </w:pPr>
      <w:rPr>
        <w:rFonts w:cs="Times New Roman"/>
      </w:rPr>
    </w:lvl>
    <w:lvl w:ilvl="5" w:tplc="0C09001B" w:tentative="1">
      <w:start w:val="1"/>
      <w:numFmt w:val="lowerRoman"/>
      <w:pStyle w:val="Amai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8" w15:restartNumberingAfterBreak="0">
    <w:nsid w:val="64B301FC"/>
    <w:multiLevelType w:val="hybridMultilevel"/>
    <w:tmpl w:val="9CA4F1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7CD6033"/>
    <w:multiLevelType w:val="hybridMultilevel"/>
    <w:tmpl w:val="30C6A8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AB1D72"/>
    <w:multiLevelType w:val="hybridMultilevel"/>
    <w:tmpl w:val="8CB8DA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6A03C34"/>
    <w:multiLevelType w:val="hybridMultilevel"/>
    <w:tmpl w:val="903E1E4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A2A016C"/>
    <w:multiLevelType w:val="multilevel"/>
    <w:tmpl w:val="1BBEC6E8"/>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pStyle w:val="aExamss"/>
      <w:suff w:val="nothing"/>
      <w:lvlText w:val=""/>
      <w:lvlJc w:val="left"/>
      <w:pPr>
        <w:ind w:left="1100"/>
      </w:pPr>
      <w:rPr>
        <w:rFonts w:cs="Times New Roman"/>
      </w:rPr>
    </w:lvl>
    <w:lvl w:ilvl="6">
      <w:start w:val="1"/>
      <w:numFmt w:val="lowerLetter"/>
      <w:lvlText w:val="(%7)"/>
      <w:lvlJc w:val="right"/>
      <w:pPr>
        <w:tabs>
          <w:tab w:val="num" w:pos="1600"/>
        </w:tabs>
        <w:ind w:left="1600" w:hanging="200"/>
      </w:pPr>
      <w:rPr>
        <w:rFonts w:cs="Times New Roman"/>
        <w:b w:val="0"/>
        <w:bCs w:val="0"/>
        <w:i w:val="0"/>
        <w:iCs w:val="0"/>
        <w:strike w:val="0"/>
        <w:dstrike w:val="0"/>
        <w:vertAlign w:val="baseline"/>
      </w:rPr>
    </w:lvl>
    <w:lvl w:ilvl="7">
      <w:start w:val="1"/>
      <w:numFmt w:val="lowerRoman"/>
      <w:lvlText w:val="(%8)"/>
      <w:lvlJc w:val="right"/>
      <w:pPr>
        <w:tabs>
          <w:tab w:val="num" w:pos="2140"/>
        </w:tabs>
        <w:ind w:left="2140" w:hanging="200"/>
      </w:pPr>
      <w:rPr>
        <w:rFonts w:cs="Times New Roman"/>
        <w:b w:val="0"/>
        <w:bCs w:val="0"/>
        <w:i w:val="0"/>
        <w:iCs w:val="0"/>
        <w:strike w:val="0"/>
        <w:dstrike w:val="0"/>
        <w:vertAlign w:val="baseline"/>
      </w:rPr>
    </w:lvl>
    <w:lvl w:ilvl="8">
      <w:start w:val="1"/>
      <w:numFmt w:val="decimal"/>
      <w:lvlText w:val="%1.%2.%3.%4.%5.%6.%7.%8.%9"/>
      <w:lvlJc w:val="left"/>
      <w:pPr>
        <w:tabs>
          <w:tab w:val="num" w:pos="1584"/>
        </w:tabs>
        <w:ind w:left="1584" w:hanging="1584"/>
      </w:pPr>
      <w:rPr>
        <w:rFonts w:cs="Times New Roman"/>
      </w:rPr>
    </w:lvl>
  </w:abstractNum>
  <w:num w:numId="1" w16cid:durableId="1923837323">
    <w:abstractNumId w:val="7"/>
  </w:num>
  <w:num w:numId="2" w16cid:durableId="455410678">
    <w:abstractNumId w:val="12"/>
  </w:num>
  <w:num w:numId="3" w16cid:durableId="363673739">
    <w:abstractNumId w:val="0"/>
  </w:num>
  <w:num w:numId="4" w16cid:durableId="1564948732">
    <w:abstractNumId w:val="9"/>
  </w:num>
  <w:num w:numId="5" w16cid:durableId="1335300983">
    <w:abstractNumId w:val="6"/>
  </w:num>
  <w:num w:numId="6" w16cid:durableId="1493182483">
    <w:abstractNumId w:val="11"/>
  </w:num>
  <w:num w:numId="7" w16cid:durableId="576406841">
    <w:abstractNumId w:val="3"/>
  </w:num>
  <w:num w:numId="8" w16cid:durableId="902181400">
    <w:abstractNumId w:val="5"/>
  </w:num>
  <w:num w:numId="9" w16cid:durableId="2015911683">
    <w:abstractNumId w:val="4"/>
  </w:num>
  <w:num w:numId="10" w16cid:durableId="697316248">
    <w:abstractNumId w:val="1"/>
  </w:num>
  <w:num w:numId="11" w16cid:durableId="993946651">
    <w:abstractNumId w:val="2"/>
  </w:num>
  <w:num w:numId="12" w16cid:durableId="1584993653">
    <w:abstractNumId w:val="8"/>
  </w:num>
  <w:num w:numId="13" w16cid:durableId="189080003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60"/>
    <w:rsid w:val="00000744"/>
    <w:rsid w:val="00000D55"/>
    <w:rsid w:val="000010F4"/>
    <w:rsid w:val="000017F2"/>
    <w:rsid w:val="000030C8"/>
    <w:rsid w:val="00003193"/>
    <w:rsid w:val="000031D2"/>
    <w:rsid w:val="000037CA"/>
    <w:rsid w:val="00003B06"/>
    <w:rsid w:val="00003E8C"/>
    <w:rsid w:val="00003E9C"/>
    <w:rsid w:val="000044DF"/>
    <w:rsid w:val="00005792"/>
    <w:rsid w:val="000065F2"/>
    <w:rsid w:val="00006A9D"/>
    <w:rsid w:val="00006CBF"/>
    <w:rsid w:val="00007947"/>
    <w:rsid w:val="00007EB9"/>
    <w:rsid w:val="00010999"/>
    <w:rsid w:val="00010E45"/>
    <w:rsid w:val="00010F19"/>
    <w:rsid w:val="000119D8"/>
    <w:rsid w:val="00011F35"/>
    <w:rsid w:val="00012074"/>
    <w:rsid w:val="000122F3"/>
    <w:rsid w:val="00012F60"/>
    <w:rsid w:val="00013402"/>
    <w:rsid w:val="00013A9C"/>
    <w:rsid w:val="00013E25"/>
    <w:rsid w:val="0001486E"/>
    <w:rsid w:val="0001535A"/>
    <w:rsid w:val="0001570F"/>
    <w:rsid w:val="00016330"/>
    <w:rsid w:val="0001665A"/>
    <w:rsid w:val="00016A3A"/>
    <w:rsid w:val="00017B43"/>
    <w:rsid w:val="00017E9E"/>
    <w:rsid w:val="00017F39"/>
    <w:rsid w:val="00020A0B"/>
    <w:rsid w:val="00020FD5"/>
    <w:rsid w:val="000227DF"/>
    <w:rsid w:val="00022F73"/>
    <w:rsid w:val="00022FF4"/>
    <w:rsid w:val="000235BB"/>
    <w:rsid w:val="00023B23"/>
    <w:rsid w:val="00024137"/>
    <w:rsid w:val="00024DD6"/>
    <w:rsid w:val="000273A7"/>
    <w:rsid w:val="000274AB"/>
    <w:rsid w:val="000276C7"/>
    <w:rsid w:val="00030373"/>
    <w:rsid w:val="00030D9D"/>
    <w:rsid w:val="00032126"/>
    <w:rsid w:val="0003311C"/>
    <w:rsid w:val="00033631"/>
    <w:rsid w:val="00033ABA"/>
    <w:rsid w:val="0003416C"/>
    <w:rsid w:val="00034929"/>
    <w:rsid w:val="000357F8"/>
    <w:rsid w:val="00036405"/>
    <w:rsid w:val="00036697"/>
    <w:rsid w:val="00036A5F"/>
    <w:rsid w:val="00036D89"/>
    <w:rsid w:val="00037CE7"/>
    <w:rsid w:val="0004029C"/>
    <w:rsid w:val="00040382"/>
    <w:rsid w:val="00040CF4"/>
    <w:rsid w:val="00041643"/>
    <w:rsid w:val="00041F36"/>
    <w:rsid w:val="00041FDD"/>
    <w:rsid w:val="000420D8"/>
    <w:rsid w:val="0004219D"/>
    <w:rsid w:val="00042214"/>
    <w:rsid w:val="000426C2"/>
    <w:rsid w:val="00042847"/>
    <w:rsid w:val="00042C2E"/>
    <w:rsid w:val="00043A31"/>
    <w:rsid w:val="000457F3"/>
    <w:rsid w:val="00045C05"/>
    <w:rsid w:val="00045FC1"/>
    <w:rsid w:val="00046070"/>
    <w:rsid w:val="0004697F"/>
    <w:rsid w:val="00046E05"/>
    <w:rsid w:val="00047D5D"/>
    <w:rsid w:val="00050021"/>
    <w:rsid w:val="0005013E"/>
    <w:rsid w:val="000503A9"/>
    <w:rsid w:val="00050B04"/>
    <w:rsid w:val="00051B48"/>
    <w:rsid w:val="000520A6"/>
    <w:rsid w:val="0005382B"/>
    <w:rsid w:val="00054677"/>
    <w:rsid w:val="0005467E"/>
    <w:rsid w:val="000554D5"/>
    <w:rsid w:val="000557CF"/>
    <w:rsid w:val="00057734"/>
    <w:rsid w:val="000577EC"/>
    <w:rsid w:val="00057D1D"/>
    <w:rsid w:val="0006013C"/>
    <w:rsid w:val="0006082A"/>
    <w:rsid w:val="00060925"/>
    <w:rsid w:val="00060A08"/>
    <w:rsid w:val="00060F09"/>
    <w:rsid w:val="00061144"/>
    <w:rsid w:val="000613C2"/>
    <w:rsid w:val="0006244A"/>
    <w:rsid w:val="00062540"/>
    <w:rsid w:val="00062620"/>
    <w:rsid w:val="00062AA8"/>
    <w:rsid w:val="00062CA5"/>
    <w:rsid w:val="00062EF2"/>
    <w:rsid w:val="000633C1"/>
    <w:rsid w:val="0006351F"/>
    <w:rsid w:val="00063AF2"/>
    <w:rsid w:val="00063DB0"/>
    <w:rsid w:val="0006545C"/>
    <w:rsid w:val="00065468"/>
    <w:rsid w:val="00065704"/>
    <w:rsid w:val="00066031"/>
    <w:rsid w:val="00066731"/>
    <w:rsid w:val="0006694B"/>
    <w:rsid w:val="00066C61"/>
    <w:rsid w:val="00067CD2"/>
    <w:rsid w:val="00067E87"/>
    <w:rsid w:val="00070095"/>
    <w:rsid w:val="00071883"/>
    <w:rsid w:val="00072D58"/>
    <w:rsid w:val="00072EA8"/>
    <w:rsid w:val="0007375C"/>
    <w:rsid w:val="00073760"/>
    <w:rsid w:val="00073A1C"/>
    <w:rsid w:val="00074ACD"/>
    <w:rsid w:val="00076249"/>
    <w:rsid w:val="000762EC"/>
    <w:rsid w:val="00076783"/>
    <w:rsid w:val="00077549"/>
    <w:rsid w:val="00077D2E"/>
    <w:rsid w:val="00081B40"/>
    <w:rsid w:val="00081E18"/>
    <w:rsid w:val="00083ABF"/>
    <w:rsid w:val="00083D69"/>
    <w:rsid w:val="000842CF"/>
    <w:rsid w:val="0008433C"/>
    <w:rsid w:val="000851B2"/>
    <w:rsid w:val="0008530E"/>
    <w:rsid w:val="00085645"/>
    <w:rsid w:val="000857B4"/>
    <w:rsid w:val="00085E95"/>
    <w:rsid w:val="0008657A"/>
    <w:rsid w:val="0008673D"/>
    <w:rsid w:val="00086C41"/>
    <w:rsid w:val="00086C90"/>
    <w:rsid w:val="00086FCA"/>
    <w:rsid w:val="000878C4"/>
    <w:rsid w:val="0009047A"/>
    <w:rsid w:val="00090BC8"/>
    <w:rsid w:val="00090C73"/>
    <w:rsid w:val="00090D7D"/>
    <w:rsid w:val="00090EC6"/>
    <w:rsid w:val="00091E66"/>
    <w:rsid w:val="00092480"/>
    <w:rsid w:val="00092A0F"/>
    <w:rsid w:val="00092B9F"/>
    <w:rsid w:val="000942EE"/>
    <w:rsid w:val="000945CF"/>
    <w:rsid w:val="00094F6C"/>
    <w:rsid w:val="00094FD4"/>
    <w:rsid w:val="00095738"/>
    <w:rsid w:val="00095800"/>
    <w:rsid w:val="000958D7"/>
    <w:rsid w:val="00095A67"/>
    <w:rsid w:val="00096A8C"/>
    <w:rsid w:val="00096EAE"/>
    <w:rsid w:val="000971A4"/>
    <w:rsid w:val="00097617"/>
    <w:rsid w:val="00097749"/>
    <w:rsid w:val="000977FD"/>
    <w:rsid w:val="000A09FC"/>
    <w:rsid w:val="000A119F"/>
    <w:rsid w:val="000A13F5"/>
    <w:rsid w:val="000A2470"/>
    <w:rsid w:val="000A2684"/>
    <w:rsid w:val="000A2A5C"/>
    <w:rsid w:val="000A2F6F"/>
    <w:rsid w:val="000A345B"/>
    <w:rsid w:val="000A3C79"/>
    <w:rsid w:val="000A4586"/>
    <w:rsid w:val="000A49BF"/>
    <w:rsid w:val="000A4DAA"/>
    <w:rsid w:val="000A5FDC"/>
    <w:rsid w:val="000A6E81"/>
    <w:rsid w:val="000A76D9"/>
    <w:rsid w:val="000A7D8D"/>
    <w:rsid w:val="000B080D"/>
    <w:rsid w:val="000B136E"/>
    <w:rsid w:val="000B13E0"/>
    <w:rsid w:val="000B14AF"/>
    <w:rsid w:val="000B2446"/>
    <w:rsid w:val="000B29EF"/>
    <w:rsid w:val="000B31C6"/>
    <w:rsid w:val="000B3285"/>
    <w:rsid w:val="000B370E"/>
    <w:rsid w:val="000B3958"/>
    <w:rsid w:val="000B478E"/>
    <w:rsid w:val="000B4CEC"/>
    <w:rsid w:val="000B5751"/>
    <w:rsid w:val="000B590E"/>
    <w:rsid w:val="000B5BE5"/>
    <w:rsid w:val="000B5C27"/>
    <w:rsid w:val="000B66F1"/>
    <w:rsid w:val="000B7315"/>
    <w:rsid w:val="000B77EF"/>
    <w:rsid w:val="000B7EC6"/>
    <w:rsid w:val="000B7F10"/>
    <w:rsid w:val="000C007A"/>
    <w:rsid w:val="000C1875"/>
    <w:rsid w:val="000C26D1"/>
    <w:rsid w:val="000C339B"/>
    <w:rsid w:val="000C4309"/>
    <w:rsid w:val="000C45F3"/>
    <w:rsid w:val="000C467D"/>
    <w:rsid w:val="000C49E3"/>
    <w:rsid w:val="000C4AC0"/>
    <w:rsid w:val="000C4C8E"/>
    <w:rsid w:val="000C5065"/>
    <w:rsid w:val="000C509D"/>
    <w:rsid w:val="000C51C5"/>
    <w:rsid w:val="000C6F00"/>
    <w:rsid w:val="000C6FF6"/>
    <w:rsid w:val="000C7247"/>
    <w:rsid w:val="000C7F39"/>
    <w:rsid w:val="000D066D"/>
    <w:rsid w:val="000D1393"/>
    <w:rsid w:val="000D16F4"/>
    <w:rsid w:val="000D2C67"/>
    <w:rsid w:val="000D3095"/>
    <w:rsid w:val="000D3C11"/>
    <w:rsid w:val="000D3C24"/>
    <w:rsid w:val="000D4F31"/>
    <w:rsid w:val="000D5345"/>
    <w:rsid w:val="000D53DB"/>
    <w:rsid w:val="000D6034"/>
    <w:rsid w:val="000D652C"/>
    <w:rsid w:val="000D6905"/>
    <w:rsid w:val="000D703B"/>
    <w:rsid w:val="000D758B"/>
    <w:rsid w:val="000E0B99"/>
    <w:rsid w:val="000E0C67"/>
    <w:rsid w:val="000E15C9"/>
    <w:rsid w:val="000E1A96"/>
    <w:rsid w:val="000E1D21"/>
    <w:rsid w:val="000E1DE9"/>
    <w:rsid w:val="000E29A4"/>
    <w:rsid w:val="000E368C"/>
    <w:rsid w:val="000E3C40"/>
    <w:rsid w:val="000E43D7"/>
    <w:rsid w:val="000E47FE"/>
    <w:rsid w:val="000E4BD4"/>
    <w:rsid w:val="000E508E"/>
    <w:rsid w:val="000E6447"/>
    <w:rsid w:val="000E661D"/>
    <w:rsid w:val="000E6FF4"/>
    <w:rsid w:val="000F060C"/>
    <w:rsid w:val="000F1D43"/>
    <w:rsid w:val="000F2B96"/>
    <w:rsid w:val="000F3093"/>
    <w:rsid w:val="000F3799"/>
    <w:rsid w:val="000F42C1"/>
    <w:rsid w:val="000F46C6"/>
    <w:rsid w:val="000F4FA7"/>
    <w:rsid w:val="000F51D6"/>
    <w:rsid w:val="000F543F"/>
    <w:rsid w:val="000F5555"/>
    <w:rsid w:val="000F58DF"/>
    <w:rsid w:val="000F5AF6"/>
    <w:rsid w:val="000F642E"/>
    <w:rsid w:val="000F68DE"/>
    <w:rsid w:val="000F6AA8"/>
    <w:rsid w:val="000F6DB1"/>
    <w:rsid w:val="000F790D"/>
    <w:rsid w:val="00100D53"/>
    <w:rsid w:val="00100E59"/>
    <w:rsid w:val="00101503"/>
    <w:rsid w:val="00101E88"/>
    <w:rsid w:val="00101FC6"/>
    <w:rsid w:val="001034CA"/>
    <w:rsid w:val="00104503"/>
    <w:rsid w:val="001045CA"/>
    <w:rsid w:val="00105AFD"/>
    <w:rsid w:val="00106C6C"/>
    <w:rsid w:val="00106EE4"/>
    <w:rsid w:val="0010794F"/>
    <w:rsid w:val="001101D7"/>
    <w:rsid w:val="00110892"/>
    <w:rsid w:val="00110938"/>
    <w:rsid w:val="001109D6"/>
    <w:rsid w:val="001112B8"/>
    <w:rsid w:val="00111686"/>
    <w:rsid w:val="00111A76"/>
    <w:rsid w:val="001129DB"/>
    <w:rsid w:val="00112C4D"/>
    <w:rsid w:val="00113678"/>
    <w:rsid w:val="00113692"/>
    <w:rsid w:val="00113AB4"/>
    <w:rsid w:val="00114280"/>
    <w:rsid w:val="001144E0"/>
    <w:rsid w:val="00115FCF"/>
    <w:rsid w:val="00116274"/>
    <w:rsid w:val="0011672E"/>
    <w:rsid w:val="0011691E"/>
    <w:rsid w:val="0011712A"/>
    <w:rsid w:val="001179F7"/>
    <w:rsid w:val="00121855"/>
    <w:rsid w:val="00121DDC"/>
    <w:rsid w:val="0012202A"/>
    <w:rsid w:val="001223B0"/>
    <w:rsid w:val="001227CF"/>
    <w:rsid w:val="00122EE1"/>
    <w:rsid w:val="00123C64"/>
    <w:rsid w:val="00124189"/>
    <w:rsid w:val="0012470C"/>
    <w:rsid w:val="001254CC"/>
    <w:rsid w:val="001255A5"/>
    <w:rsid w:val="0012597C"/>
    <w:rsid w:val="0012620D"/>
    <w:rsid w:val="0012637F"/>
    <w:rsid w:val="001267FD"/>
    <w:rsid w:val="001276BA"/>
    <w:rsid w:val="00127EFD"/>
    <w:rsid w:val="00127F6F"/>
    <w:rsid w:val="0013028F"/>
    <w:rsid w:val="00130A37"/>
    <w:rsid w:val="00131118"/>
    <w:rsid w:val="0013140B"/>
    <w:rsid w:val="001320C7"/>
    <w:rsid w:val="00132486"/>
    <w:rsid w:val="0013280D"/>
    <w:rsid w:val="00132868"/>
    <w:rsid w:val="00133389"/>
    <w:rsid w:val="00134271"/>
    <w:rsid w:val="001353D0"/>
    <w:rsid w:val="0013550C"/>
    <w:rsid w:val="00135C10"/>
    <w:rsid w:val="001370BD"/>
    <w:rsid w:val="00137192"/>
    <w:rsid w:val="00137741"/>
    <w:rsid w:val="00137DC9"/>
    <w:rsid w:val="0014031C"/>
    <w:rsid w:val="001404FF"/>
    <w:rsid w:val="00141A37"/>
    <w:rsid w:val="00142808"/>
    <w:rsid w:val="00143701"/>
    <w:rsid w:val="00143E5B"/>
    <w:rsid w:val="00143E6D"/>
    <w:rsid w:val="00144447"/>
    <w:rsid w:val="0014457E"/>
    <w:rsid w:val="00145364"/>
    <w:rsid w:val="00145728"/>
    <w:rsid w:val="00145C8A"/>
    <w:rsid w:val="00145ECF"/>
    <w:rsid w:val="00146857"/>
    <w:rsid w:val="001468AC"/>
    <w:rsid w:val="00146B74"/>
    <w:rsid w:val="00146CBD"/>
    <w:rsid w:val="00146CD7"/>
    <w:rsid w:val="001475AF"/>
    <w:rsid w:val="001478E7"/>
    <w:rsid w:val="00147B5B"/>
    <w:rsid w:val="00147E27"/>
    <w:rsid w:val="00151884"/>
    <w:rsid w:val="00151B9B"/>
    <w:rsid w:val="00152730"/>
    <w:rsid w:val="0015320A"/>
    <w:rsid w:val="0015362B"/>
    <w:rsid w:val="001538A4"/>
    <w:rsid w:val="00153971"/>
    <w:rsid w:val="001564B6"/>
    <w:rsid w:val="001577A9"/>
    <w:rsid w:val="0016098D"/>
    <w:rsid w:val="001609F9"/>
    <w:rsid w:val="00160B3A"/>
    <w:rsid w:val="0016184C"/>
    <w:rsid w:val="00162E78"/>
    <w:rsid w:val="001630FA"/>
    <w:rsid w:val="0016454F"/>
    <w:rsid w:val="00164A49"/>
    <w:rsid w:val="00164B78"/>
    <w:rsid w:val="00164D68"/>
    <w:rsid w:val="00164E7A"/>
    <w:rsid w:val="00164FFB"/>
    <w:rsid w:val="001650A1"/>
    <w:rsid w:val="001656F8"/>
    <w:rsid w:val="00165F0C"/>
    <w:rsid w:val="00165FDB"/>
    <w:rsid w:val="00166CA8"/>
    <w:rsid w:val="00166D97"/>
    <w:rsid w:val="00170455"/>
    <w:rsid w:val="00171533"/>
    <w:rsid w:val="001720BD"/>
    <w:rsid w:val="0017277A"/>
    <w:rsid w:val="00172AA2"/>
    <w:rsid w:val="001756D8"/>
    <w:rsid w:val="0017626F"/>
    <w:rsid w:val="001773B7"/>
    <w:rsid w:val="00177EEA"/>
    <w:rsid w:val="00180319"/>
    <w:rsid w:val="00180A76"/>
    <w:rsid w:val="00181F6C"/>
    <w:rsid w:val="001834A4"/>
    <w:rsid w:val="00183532"/>
    <w:rsid w:val="00183AD3"/>
    <w:rsid w:val="00183CBC"/>
    <w:rsid w:val="00183D5B"/>
    <w:rsid w:val="00183FD9"/>
    <w:rsid w:val="00184BED"/>
    <w:rsid w:val="00184CD2"/>
    <w:rsid w:val="00185271"/>
    <w:rsid w:val="00185708"/>
    <w:rsid w:val="00186CF6"/>
    <w:rsid w:val="00190048"/>
    <w:rsid w:val="001909E6"/>
    <w:rsid w:val="0019122A"/>
    <w:rsid w:val="0019177A"/>
    <w:rsid w:val="00191B79"/>
    <w:rsid w:val="00191DB6"/>
    <w:rsid w:val="00192203"/>
    <w:rsid w:val="0019295E"/>
    <w:rsid w:val="0019375C"/>
    <w:rsid w:val="00193BA2"/>
    <w:rsid w:val="00193FCD"/>
    <w:rsid w:val="0019444B"/>
    <w:rsid w:val="00194D63"/>
    <w:rsid w:val="0019677F"/>
    <w:rsid w:val="001A0648"/>
    <w:rsid w:val="001A0E08"/>
    <w:rsid w:val="001A168A"/>
    <w:rsid w:val="001A1C0B"/>
    <w:rsid w:val="001A1CFA"/>
    <w:rsid w:val="001A250B"/>
    <w:rsid w:val="001A2651"/>
    <w:rsid w:val="001A2A0B"/>
    <w:rsid w:val="001A2FF6"/>
    <w:rsid w:val="001A3907"/>
    <w:rsid w:val="001A3A45"/>
    <w:rsid w:val="001A3ECA"/>
    <w:rsid w:val="001A3EDE"/>
    <w:rsid w:val="001A4947"/>
    <w:rsid w:val="001A4BA1"/>
    <w:rsid w:val="001A4E63"/>
    <w:rsid w:val="001A6C2F"/>
    <w:rsid w:val="001A7184"/>
    <w:rsid w:val="001A79CF"/>
    <w:rsid w:val="001A7AAC"/>
    <w:rsid w:val="001B01CD"/>
    <w:rsid w:val="001B0684"/>
    <w:rsid w:val="001B06B5"/>
    <w:rsid w:val="001B0BCC"/>
    <w:rsid w:val="001B0E7F"/>
    <w:rsid w:val="001B11FC"/>
    <w:rsid w:val="001B1C20"/>
    <w:rsid w:val="001B1FD7"/>
    <w:rsid w:val="001B2479"/>
    <w:rsid w:val="001B258C"/>
    <w:rsid w:val="001B3BEB"/>
    <w:rsid w:val="001B5233"/>
    <w:rsid w:val="001B6376"/>
    <w:rsid w:val="001B69AD"/>
    <w:rsid w:val="001B6AFA"/>
    <w:rsid w:val="001B6B07"/>
    <w:rsid w:val="001B7090"/>
    <w:rsid w:val="001B7472"/>
    <w:rsid w:val="001B760A"/>
    <w:rsid w:val="001B7731"/>
    <w:rsid w:val="001C0F8B"/>
    <w:rsid w:val="001C1DB2"/>
    <w:rsid w:val="001C1E66"/>
    <w:rsid w:val="001C1F12"/>
    <w:rsid w:val="001C3D42"/>
    <w:rsid w:val="001C42EE"/>
    <w:rsid w:val="001C43BB"/>
    <w:rsid w:val="001C49B8"/>
    <w:rsid w:val="001C4B20"/>
    <w:rsid w:val="001C53A2"/>
    <w:rsid w:val="001C54AB"/>
    <w:rsid w:val="001C59DB"/>
    <w:rsid w:val="001C6204"/>
    <w:rsid w:val="001C69F4"/>
    <w:rsid w:val="001C7271"/>
    <w:rsid w:val="001D0F73"/>
    <w:rsid w:val="001D22AD"/>
    <w:rsid w:val="001D25BC"/>
    <w:rsid w:val="001D27E5"/>
    <w:rsid w:val="001D2A06"/>
    <w:rsid w:val="001D48C6"/>
    <w:rsid w:val="001D4C4A"/>
    <w:rsid w:val="001D4CA4"/>
    <w:rsid w:val="001D5235"/>
    <w:rsid w:val="001D5852"/>
    <w:rsid w:val="001D5E8F"/>
    <w:rsid w:val="001D60F6"/>
    <w:rsid w:val="001D6F31"/>
    <w:rsid w:val="001E0764"/>
    <w:rsid w:val="001E110E"/>
    <w:rsid w:val="001E1617"/>
    <w:rsid w:val="001E25FA"/>
    <w:rsid w:val="001E26F3"/>
    <w:rsid w:val="001E2952"/>
    <w:rsid w:val="001E2B5B"/>
    <w:rsid w:val="001E2DED"/>
    <w:rsid w:val="001E33FE"/>
    <w:rsid w:val="001E4E14"/>
    <w:rsid w:val="001E63B6"/>
    <w:rsid w:val="001E6CFF"/>
    <w:rsid w:val="001E73E0"/>
    <w:rsid w:val="001E7D5F"/>
    <w:rsid w:val="001F07E2"/>
    <w:rsid w:val="001F08AB"/>
    <w:rsid w:val="001F08B5"/>
    <w:rsid w:val="001F0EAF"/>
    <w:rsid w:val="001F0EC8"/>
    <w:rsid w:val="001F1BD5"/>
    <w:rsid w:val="001F2466"/>
    <w:rsid w:val="001F28B6"/>
    <w:rsid w:val="001F294C"/>
    <w:rsid w:val="001F363F"/>
    <w:rsid w:val="001F428F"/>
    <w:rsid w:val="001F4A4B"/>
    <w:rsid w:val="001F4CBC"/>
    <w:rsid w:val="001F5012"/>
    <w:rsid w:val="001F54F6"/>
    <w:rsid w:val="001F5B9E"/>
    <w:rsid w:val="001F5C70"/>
    <w:rsid w:val="001F608D"/>
    <w:rsid w:val="001F6098"/>
    <w:rsid w:val="001F6C4C"/>
    <w:rsid w:val="001F7441"/>
    <w:rsid w:val="002006B8"/>
    <w:rsid w:val="00200B02"/>
    <w:rsid w:val="002015C8"/>
    <w:rsid w:val="002017DC"/>
    <w:rsid w:val="00201BE2"/>
    <w:rsid w:val="00201F16"/>
    <w:rsid w:val="00202215"/>
    <w:rsid w:val="002022D2"/>
    <w:rsid w:val="002031EE"/>
    <w:rsid w:val="0020456E"/>
    <w:rsid w:val="00205382"/>
    <w:rsid w:val="00205808"/>
    <w:rsid w:val="0020585F"/>
    <w:rsid w:val="0020655C"/>
    <w:rsid w:val="00206BA3"/>
    <w:rsid w:val="00206D41"/>
    <w:rsid w:val="002079B0"/>
    <w:rsid w:val="00207ECF"/>
    <w:rsid w:val="00210051"/>
    <w:rsid w:val="002107F3"/>
    <w:rsid w:val="00210D30"/>
    <w:rsid w:val="00210D7A"/>
    <w:rsid w:val="0021142F"/>
    <w:rsid w:val="002131FC"/>
    <w:rsid w:val="00213C0E"/>
    <w:rsid w:val="00213CE5"/>
    <w:rsid w:val="00214118"/>
    <w:rsid w:val="0021435A"/>
    <w:rsid w:val="00214E0A"/>
    <w:rsid w:val="002151AC"/>
    <w:rsid w:val="00215603"/>
    <w:rsid w:val="00215820"/>
    <w:rsid w:val="00215843"/>
    <w:rsid w:val="00215A07"/>
    <w:rsid w:val="00215DD1"/>
    <w:rsid w:val="00215F81"/>
    <w:rsid w:val="0021608C"/>
    <w:rsid w:val="00216B01"/>
    <w:rsid w:val="0021720E"/>
    <w:rsid w:val="00217363"/>
    <w:rsid w:val="002200C2"/>
    <w:rsid w:val="002208F0"/>
    <w:rsid w:val="00221BFA"/>
    <w:rsid w:val="002220FE"/>
    <w:rsid w:val="0022225E"/>
    <w:rsid w:val="002222B7"/>
    <w:rsid w:val="00222E7B"/>
    <w:rsid w:val="00223187"/>
    <w:rsid w:val="002232C3"/>
    <w:rsid w:val="00223360"/>
    <w:rsid w:val="00223724"/>
    <w:rsid w:val="00223FAE"/>
    <w:rsid w:val="00224320"/>
    <w:rsid w:val="002250E9"/>
    <w:rsid w:val="0022586C"/>
    <w:rsid w:val="00225E8D"/>
    <w:rsid w:val="00230C82"/>
    <w:rsid w:val="00230F6B"/>
    <w:rsid w:val="00231962"/>
    <w:rsid w:val="00232952"/>
    <w:rsid w:val="00232D47"/>
    <w:rsid w:val="00233EF5"/>
    <w:rsid w:val="002345BD"/>
    <w:rsid w:val="00234C11"/>
    <w:rsid w:val="00234D9D"/>
    <w:rsid w:val="00236041"/>
    <w:rsid w:val="00236190"/>
    <w:rsid w:val="00236543"/>
    <w:rsid w:val="00237096"/>
    <w:rsid w:val="00240642"/>
    <w:rsid w:val="00240E94"/>
    <w:rsid w:val="00241944"/>
    <w:rsid w:val="00242879"/>
    <w:rsid w:val="00244799"/>
    <w:rsid w:val="00245F00"/>
    <w:rsid w:val="00246553"/>
    <w:rsid w:val="00246764"/>
    <w:rsid w:val="00247355"/>
    <w:rsid w:val="00247589"/>
    <w:rsid w:val="002477EE"/>
    <w:rsid w:val="0025013B"/>
    <w:rsid w:val="00250428"/>
    <w:rsid w:val="002514C4"/>
    <w:rsid w:val="00251CE4"/>
    <w:rsid w:val="00252655"/>
    <w:rsid w:val="00252AEA"/>
    <w:rsid w:val="00252E05"/>
    <w:rsid w:val="00252FB5"/>
    <w:rsid w:val="0025305F"/>
    <w:rsid w:val="0025311A"/>
    <w:rsid w:val="00253269"/>
    <w:rsid w:val="002532E1"/>
    <w:rsid w:val="00253A3C"/>
    <w:rsid w:val="0025410F"/>
    <w:rsid w:val="002541C0"/>
    <w:rsid w:val="00254694"/>
    <w:rsid w:val="00256826"/>
    <w:rsid w:val="00256C1E"/>
    <w:rsid w:val="00257DA0"/>
    <w:rsid w:val="00261E42"/>
    <w:rsid w:val="00262B78"/>
    <w:rsid w:val="00263C09"/>
    <w:rsid w:val="00264788"/>
    <w:rsid w:val="00264B8F"/>
    <w:rsid w:val="00264C61"/>
    <w:rsid w:val="00264D73"/>
    <w:rsid w:val="002651D6"/>
    <w:rsid w:val="002654F1"/>
    <w:rsid w:val="00265BFB"/>
    <w:rsid w:val="00265DCF"/>
    <w:rsid w:val="00265FA4"/>
    <w:rsid w:val="0026623E"/>
    <w:rsid w:val="002668BA"/>
    <w:rsid w:val="00266F68"/>
    <w:rsid w:val="00267471"/>
    <w:rsid w:val="00267961"/>
    <w:rsid w:val="00267EE2"/>
    <w:rsid w:val="002701E2"/>
    <w:rsid w:val="00270887"/>
    <w:rsid w:val="00271285"/>
    <w:rsid w:val="00271B05"/>
    <w:rsid w:val="0027205B"/>
    <w:rsid w:val="00272F05"/>
    <w:rsid w:val="0027303E"/>
    <w:rsid w:val="002736D7"/>
    <w:rsid w:val="0027423C"/>
    <w:rsid w:val="00274F51"/>
    <w:rsid w:val="0027734B"/>
    <w:rsid w:val="002774DB"/>
    <w:rsid w:val="00277A64"/>
    <w:rsid w:val="00277CA0"/>
    <w:rsid w:val="0028000F"/>
    <w:rsid w:val="00280425"/>
    <w:rsid w:val="0028089A"/>
    <w:rsid w:val="00280C5C"/>
    <w:rsid w:val="00281563"/>
    <w:rsid w:val="0028217C"/>
    <w:rsid w:val="00283845"/>
    <w:rsid w:val="00284004"/>
    <w:rsid w:val="0028502E"/>
    <w:rsid w:val="00285597"/>
    <w:rsid w:val="00285822"/>
    <w:rsid w:val="00285EF0"/>
    <w:rsid w:val="00286C34"/>
    <w:rsid w:val="00287594"/>
    <w:rsid w:val="002875B0"/>
    <w:rsid w:val="00287626"/>
    <w:rsid w:val="002876F0"/>
    <w:rsid w:val="00287740"/>
    <w:rsid w:val="00287916"/>
    <w:rsid w:val="002879DE"/>
    <w:rsid w:val="00287B42"/>
    <w:rsid w:val="00287BFF"/>
    <w:rsid w:val="002910A1"/>
    <w:rsid w:val="00291A96"/>
    <w:rsid w:val="00291DB6"/>
    <w:rsid w:val="00292395"/>
    <w:rsid w:val="00295448"/>
    <w:rsid w:val="00295802"/>
    <w:rsid w:val="0029592E"/>
    <w:rsid w:val="00296566"/>
    <w:rsid w:val="0029681B"/>
    <w:rsid w:val="002974AE"/>
    <w:rsid w:val="00297A3D"/>
    <w:rsid w:val="002A0ADA"/>
    <w:rsid w:val="002A11EA"/>
    <w:rsid w:val="002A1375"/>
    <w:rsid w:val="002A1957"/>
    <w:rsid w:val="002A1CEE"/>
    <w:rsid w:val="002A203B"/>
    <w:rsid w:val="002A32E0"/>
    <w:rsid w:val="002A35FE"/>
    <w:rsid w:val="002A50C2"/>
    <w:rsid w:val="002A556A"/>
    <w:rsid w:val="002A58E2"/>
    <w:rsid w:val="002A5D4E"/>
    <w:rsid w:val="002A6E71"/>
    <w:rsid w:val="002A726B"/>
    <w:rsid w:val="002A73E5"/>
    <w:rsid w:val="002A7543"/>
    <w:rsid w:val="002B066F"/>
    <w:rsid w:val="002B0EA0"/>
    <w:rsid w:val="002B1027"/>
    <w:rsid w:val="002B14D6"/>
    <w:rsid w:val="002B1686"/>
    <w:rsid w:val="002B1C3E"/>
    <w:rsid w:val="002B221C"/>
    <w:rsid w:val="002B2AB9"/>
    <w:rsid w:val="002B3245"/>
    <w:rsid w:val="002B39E9"/>
    <w:rsid w:val="002B4591"/>
    <w:rsid w:val="002B4949"/>
    <w:rsid w:val="002B5821"/>
    <w:rsid w:val="002B5870"/>
    <w:rsid w:val="002B5925"/>
    <w:rsid w:val="002B5948"/>
    <w:rsid w:val="002B5C3A"/>
    <w:rsid w:val="002B5DF2"/>
    <w:rsid w:val="002B6575"/>
    <w:rsid w:val="002B662C"/>
    <w:rsid w:val="002B665C"/>
    <w:rsid w:val="002B683D"/>
    <w:rsid w:val="002B686D"/>
    <w:rsid w:val="002B6915"/>
    <w:rsid w:val="002C0A46"/>
    <w:rsid w:val="002C1031"/>
    <w:rsid w:val="002C2037"/>
    <w:rsid w:val="002C2A59"/>
    <w:rsid w:val="002C35B3"/>
    <w:rsid w:val="002C36FD"/>
    <w:rsid w:val="002C571D"/>
    <w:rsid w:val="002C5A61"/>
    <w:rsid w:val="002C5EE2"/>
    <w:rsid w:val="002C6019"/>
    <w:rsid w:val="002C6620"/>
    <w:rsid w:val="002C69CC"/>
    <w:rsid w:val="002C6AEB"/>
    <w:rsid w:val="002C7093"/>
    <w:rsid w:val="002C7212"/>
    <w:rsid w:val="002C7578"/>
    <w:rsid w:val="002C767B"/>
    <w:rsid w:val="002C7B3E"/>
    <w:rsid w:val="002C7CA4"/>
    <w:rsid w:val="002D0031"/>
    <w:rsid w:val="002D1385"/>
    <w:rsid w:val="002D1410"/>
    <w:rsid w:val="002D1429"/>
    <w:rsid w:val="002D1788"/>
    <w:rsid w:val="002D2267"/>
    <w:rsid w:val="002D24CF"/>
    <w:rsid w:val="002D24FA"/>
    <w:rsid w:val="002D2AD2"/>
    <w:rsid w:val="002D2ADD"/>
    <w:rsid w:val="002D2C57"/>
    <w:rsid w:val="002D42D3"/>
    <w:rsid w:val="002D4A92"/>
    <w:rsid w:val="002D557D"/>
    <w:rsid w:val="002D55DF"/>
    <w:rsid w:val="002D59A5"/>
    <w:rsid w:val="002D5C45"/>
    <w:rsid w:val="002D622E"/>
    <w:rsid w:val="002D686B"/>
    <w:rsid w:val="002D6938"/>
    <w:rsid w:val="002D6AA4"/>
    <w:rsid w:val="002E03F4"/>
    <w:rsid w:val="002E0A05"/>
    <w:rsid w:val="002E0A32"/>
    <w:rsid w:val="002E126F"/>
    <w:rsid w:val="002E12C7"/>
    <w:rsid w:val="002E1A7E"/>
    <w:rsid w:val="002E2C82"/>
    <w:rsid w:val="002E3E7D"/>
    <w:rsid w:val="002E4BF9"/>
    <w:rsid w:val="002E5391"/>
    <w:rsid w:val="002E5579"/>
    <w:rsid w:val="002E67B5"/>
    <w:rsid w:val="002E70D2"/>
    <w:rsid w:val="002F0389"/>
    <w:rsid w:val="002F0708"/>
    <w:rsid w:val="002F1433"/>
    <w:rsid w:val="002F14AF"/>
    <w:rsid w:val="002F167D"/>
    <w:rsid w:val="002F1FD8"/>
    <w:rsid w:val="002F222A"/>
    <w:rsid w:val="002F24AA"/>
    <w:rsid w:val="002F29D1"/>
    <w:rsid w:val="002F2BC9"/>
    <w:rsid w:val="002F327A"/>
    <w:rsid w:val="002F3E0E"/>
    <w:rsid w:val="002F4750"/>
    <w:rsid w:val="002F5A5C"/>
    <w:rsid w:val="002F60D1"/>
    <w:rsid w:val="002F60EA"/>
    <w:rsid w:val="002F61F0"/>
    <w:rsid w:val="002F6466"/>
    <w:rsid w:val="002F7A86"/>
    <w:rsid w:val="00300933"/>
    <w:rsid w:val="00301047"/>
    <w:rsid w:val="00301378"/>
    <w:rsid w:val="00301927"/>
    <w:rsid w:val="00301B9A"/>
    <w:rsid w:val="00301D68"/>
    <w:rsid w:val="003021AD"/>
    <w:rsid w:val="0030249C"/>
    <w:rsid w:val="003026A5"/>
    <w:rsid w:val="00302897"/>
    <w:rsid w:val="00303432"/>
    <w:rsid w:val="003036E9"/>
    <w:rsid w:val="003046D5"/>
    <w:rsid w:val="00304A15"/>
    <w:rsid w:val="00304DA9"/>
    <w:rsid w:val="00304DF7"/>
    <w:rsid w:val="00305D57"/>
    <w:rsid w:val="00305F74"/>
    <w:rsid w:val="00306A96"/>
    <w:rsid w:val="00307340"/>
    <w:rsid w:val="00307E87"/>
    <w:rsid w:val="00310DE4"/>
    <w:rsid w:val="003119D9"/>
    <w:rsid w:val="003124D6"/>
    <w:rsid w:val="00312B5F"/>
    <w:rsid w:val="00312E3D"/>
    <w:rsid w:val="0031311E"/>
    <w:rsid w:val="0031372C"/>
    <w:rsid w:val="00313B96"/>
    <w:rsid w:val="00314524"/>
    <w:rsid w:val="00314CC2"/>
    <w:rsid w:val="0031545D"/>
    <w:rsid w:val="00315D92"/>
    <w:rsid w:val="00316F0D"/>
    <w:rsid w:val="003170C9"/>
    <w:rsid w:val="00317753"/>
    <w:rsid w:val="00317ADF"/>
    <w:rsid w:val="003202A0"/>
    <w:rsid w:val="003204A2"/>
    <w:rsid w:val="0032086E"/>
    <w:rsid w:val="0032088F"/>
    <w:rsid w:val="003213A1"/>
    <w:rsid w:val="00321B8E"/>
    <w:rsid w:val="00322606"/>
    <w:rsid w:val="00322A3D"/>
    <w:rsid w:val="00322A80"/>
    <w:rsid w:val="0032386E"/>
    <w:rsid w:val="00323BA3"/>
    <w:rsid w:val="00323D51"/>
    <w:rsid w:val="0032491B"/>
    <w:rsid w:val="0032636F"/>
    <w:rsid w:val="003263C6"/>
    <w:rsid w:val="00326971"/>
    <w:rsid w:val="00326CA7"/>
    <w:rsid w:val="00327702"/>
    <w:rsid w:val="00327BA9"/>
    <w:rsid w:val="00327BEA"/>
    <w:rsid w:val="00330CAD"/>
    <w:rsid w:val="00330CE7"/>
    <w:rsid w:val="0033106C"/>
    <w:rsid w:val="00331CCD"/>
    <w:rsid w:val="003323FA"/>
    <w:rsid w:val="00332F41"/>
    <w:rsid w:val="00333679"/>
    <w:rsid w:val="00333CBB"/>
    <w:rsid w:val="00334227"/>
    <w:rsid w:val="00334951"/>
    <w:rsid w:val="00334960"/>
    <w:rsid w:val="00334B0E"/>
    <w:rsid w:val="00334F0B"/>
    <w:rsid w:val="003350FC"/>
    <w:rsid w:val="003358A7"/>
    <w:rsid w:val="00335C47"/>
    <w:rsid w:val="00335DFC"/>
    <w:rsid w:val="00336924"/>
    <w:rsid w:val="0033716E"/>
    <w:rsid w:val="00337637"/>
    <w:rsid w:val="00337D14"/>
    <w:rsid w:val="0034077A"/>
    <w:rsid w:val="00341D6E"/>
    <w:rsid w:val="0034205F"/>
    <w:rsid w:val="003423BA"/>
    <w:rsid w:val="0034280B"/>
    <w:rsid w:val="00342C36"/>
    <w:rsid w:val="003430AD"/>
    <w:rsid w:val="00343402"/>
    <w:rsid w:val="003447CE"/>
    <w:rsid w:val="00344CA5"/>
    <w:rsid w:val="0034506A"/>
    <w:rsid w:val="003455C9"/>
    <w:rsid w:val="00345B11"/>
    <w:rsid w:val="00346013"/>
    <w:rsid w:val="003461C3"/>
    <w:rsid w:val="00346546"/>
    <w:rsid w:val="00347947"/>
    <w:rsid w:val="0035009B"/>
    <w:rsid w:val="00350F62"/>
    <w:rsid w:val="00351071"/>
    <w:rsid w:val="003519E7"/>
    <w:rsid w:val="00351E2B"/>
    <w:rsid w:val="00351F59"/>
    <w:rsid w:val="003521EA"/>
    <w:rsid w:val="0035263A"/>
    <w:rsid w:val="00352862"/>
    <w:rsid w:val="00352DDB"/>
    <w:rsid w:val="0035359E"/>
    <w:rsid w:val="0035373C"/>
    <w:rsid w:val="003545FB"/>
    <w:rsid w:val="003548E7"/>
    <w:rsid w:val="003559E9"/>
    <w:rsid w:val="0035606E"/>
    <w:rsid w:val="003568D2"/>
    <w:rsid w:val="00357385"/>
    <w:rsid w:val="00357774"/>
    <w:rsid w:val="00357D5C"/>
    <w:rsid w:val="00360233"/>
    <w:rsid w:val="0036028E"/>
    <w:rsid w:val="0036091C"/>
    <w:rsid w:val="0036102E"/>
    <w:rsid w:val="00361309"/>
    <w:rsid w:val="0036130C"/>
    <w:rsid w:val="00362B20"/>
    <w:rsid w:val="00363373"/>
    <w:rsid w:val="003634B3"/>
    <w:rsid w:val="003643FB"/>
    <w:rsid w:val="0036471A"/>
    <w:rsid w:val="00364748"/>
    <w:rsid w:val="00364DDC"/>
    <w:rsid w:val="00364FB7"/>
    <w:rsid w:val="00365205"/>
    <w:rsid w:val="00365BA7"/>
    <w:rsid w:val="00366ED8"/>
    <w:rsid w:val="00367061"/>
    <w:rsid w:val="0036776D"/>
    <w:rsid w:val="00367C46"/>
    <w:rsid w:val="00367E81"/>
    <w:rsid w:val="00370C00"/>
    <w:rsid w:val="00370D36"/>
    <w:rsid w:val="003713CE"/>
    <w:rsid w:val="00371A18"/>
    <w:rsid w:val="00371C4D"/>
    <w:rsid w:val="00372C2D"/>
    <w:rsid w:val="003731AA"/>
    <w:rsid w:val="00373697"/>
    <w:rsid w:val="003739E6"/>
    <w:rsid w:val="00374E13"/>
    <w:rsid w:val="00375AC2"/>
    <w:rsid w:val="00375C42"/>
    <w:rsid w:val="00375F5A"/>
    <w:rsid w:val="00376166"/>
    <w:rsid w:val="0037617E"/>
    <w:rsid w:val="00376193"/>
    <w:rsid w:val="0037688B"/>
    <w:rsid w:val="00376B2D"/>
    <w:rsid w:val="00376F4B"/>
    <w:rsid w:val="00376FDE"/>
    <w:rsid w:val="00380575"/>
    <w:rsid w:val="00381626"/>
    <w:rsid w:val="00381C38"/>
    <w:rsid w:val="00381D4B"/>
    <w:rsid w:val="003827A9"/>
    <w:rsid w:val="00382E5F"/>
    <w:rsid w:val="0038423E"/>
    <w:rsid w:val="00384870"/>
    <w:rsid w:val="0038506B"/>
    <w:rsid w:val="003854A9"/>
    <w:rsid w:val="003864A6"/>
    <w:rsid w:val="003876E9"/>
    <w:rsid w:val="00387CEA"/>
    <w:rsid w:val="0039021B"/>
    <w:rsid w:val="00390B90"/>
    <w:rsid w:val="00391355"/>
    <w:rsid w:val="003915E8"/>
    <w:rsid w:val="0039212F"/>
    <w:rsid w:val="00392D0C"/>
    <w:rsid w:val="003930D0"/>
    <w:rsid w:val="003937C4"/>
    <w:rsid w:val="00393B1B"/>
    <w:rsid w:val="00393BD4"/>
    <w:rsid w:val="003953C7"/>
    <w:rsid w:val="003959A3"/>
    <w:rsid w:val="00396D87"/>
    <w:rsid w:val="00397193"/>
    <w:rsid w:val="00397DC1"/>
    <w:rsid w:val="00397F6D"/>
    <w:rsid w:val="003A0B00"/>
    <w:rsid w:val="003A15A4"/>
    <w:rsid w:val="003A15E1"/>
    <w:rsid w:val="003A1799"/>
    <w:rsid w:val="003A2378"/>
    <w:rsid w:val="003A2BC4"/>
    <w:rsid w:val="003A2FA7"/>
    <w:rsid w:val="003A371E"/>
    <w:rsid w:val="003A3CAD"/>
    <w:rsid w:val="003A5B5A"/>
    <w:rsid w:val="003A5C68"/>
    <w:rsid w:val="003A631F"/>
    <w:rsid w:val="003A6448"/>
    <w:rsid w:val="003A6D12"/>
    <w:rsid w:val="003A7637"/>
    <w:rsid w:val="003B074C"/>
    <w:rsid w:val="003B13BC"/>
    <w:rsid w:val="003B1449"/>
    <w:rsid w:val="003B1869"/>
    <w:rsid w:val="003B1D23"/>
    <w:rsid w:val="003B2E0F"/>
    <w:rsid w:val="003B31FE"/>
    <w:rsid w:val="003B32A3"/>
    <w:rsid w:val="003B3A43"/>
    <w:rsid w:val="003B3BF4"/>
    <w:rsid w:val="003B409E"/>
    <w:rsid w:val="003B43CC"/>
    <w:rsid w:val="003B491D"/>
    <w:rsid w:val="003B509F"/>
    <w:rsid w:val="003B51E1"/>
    <w:rsid w:val="003B5572"/>
    <w:rsid w:val="003B55B1"/>
    <w:rsid w:val="003B621B"/>
    <w:rsid w:val="003B62F7"/>
    <w:rsid w:val="003B6911"/>
    <w:rsid w:val="003B709B"/>
    <w:rsid w:val="003B71CF"/>
    <w:rsid w:val="003B739A"/>
    <w:rsid w:val="003B7A31"/>
    <w:rsid w:val="003B7C4B"/>
    <w:rsid w:val="003C103C"/>
    <w:rsid w:val="003C1726"/>
    <w:rsid w:val="003C1930"/>
    <w:rsid w:val="003C1978"/>
    <w:rsid w:val="003C1FEF"/>
    <w:rsid w:val="003C224D"/>
    <w:rsid w:val="003C23A7"/>
    <w:rsid w:val="003C25A7"/>
    <w:rsid w:val="003C2868"/>
    <w:rsid w:val="003C3102"/>
    <w:rsid w:val="003C3336"/>
    <w:rsid w:val="003C38A7"/>
    <w:rsid w:val="003C396B"/>
    <w:rsid w:val="003C3BDC"/>
    <w:rsid w:val="003C436B"/>
    <w:rsid w:val="003C4F78"/>
    <w:rsid w:val="003C5161"/>
    <w:rsid w:val="003C5685"/>
    <w:rsid w:val="003C5737"/>
    <w:rsid w:val="003C5E36"/>
    <w:rsid w:val="003C6037"/>
    <w:rsid w:val="003C65B0"/>
    <w:rsid w:val="003C6F4F"/>
    <w:rsid w:val="003C707C"/>
    <w:rsid w:val="003C70DD"/>
    <w:rsid w:val="003C770B"/>
    <w:rsid w:val="003D0D12"/>
    <w:rsid w:val="003D15A0"/>
    <w:rsid w:val="003D247B"/>
    <w:rsid w:val="003D2BBF"/>
    <w:rsid w:val="003D32D8"/>
    <w:rsid w:val="003D396E"/>
    <w:rsid w:val="003D4B4B"/>
    <w:rsid w:val="003D5E14"/>
    <w:rsid w:val="003D6070"/>
    <w:rsid w:val="003D61A1"/>
    <w:rsid w:val="003D628F"/>
    <w:rsid w:val="003D6500"/>
    <w:rsid w:val="003D6A23"/>
    <w:rsid w:val="003D6C8A"/>
    <w:rsid w:val="003D6FAE"/>
    <w:rsid w:val="003D70D2"/>
    <w:rsid w:val="003D7789"/>
    <w:rsid w:val="003D7DDF"/>
    <w:rsid w:val="003E0933"/>
    <w:rsid w:val="003E1CBB"/>
    <w:rsid w:val="003E265C"/>
    <w:rsid w:val="003E3C7D"/>
    <w:rsid w:val="003E3D64"/>
    <w:rsid w:val="003E44AC"/>
    <w:rsid w:val="003E52AE"/>
    <w:rsid w:val="003E5B05"/>
    <w:rsid w:val="003E5FA3"/>
    <w:rsid w:val="003E61C0"/>
    <w:rsid w:val="003E64B3"/>
    <w:rsid w:val="003E69CE"/>
    <w:rsid w:val="003E6FB5"/>
    <w:rsid w:val="003F23D6"/>
    <w:rsid w:val="003F28B1"/>
    <w:rsid w:val="003F2E41"/>
    <w:rsid w:val="003F517E"/>
    <w:rsid w:val="003F68EE"/>
    <w:rsid w:val="003F6C17"/>
    <w:rsid w:val="003F7126"/>
    <w:rsid w:val="003F7252"/>
    <w:rsid w:val="003F7DCF"/>
    <w:rsid w:val="00400064"/>
    <w:rsid w:val="004008D1"/>
    <w:rsid w:val="004010D8"/>
    <w:rsid w:val="0040127F"/>
    <w:rsid w:val="00401A0A"/>
    <w:rsid w:val="0040245D"/>
    <w:rsid w:val="00402639"/>
    <w:rsid w:val="00402858"/>
    <w:rsid w:val="004031A5"/>
    <w:rsid w:val="00403234"/>
    <w:rsid w:val="004032E1"/>
    <w:rsid w:val="0040372A"/>
    <w:rsid w:val="00403806"/>
    <w:rsid w:val="00403AF8"/>
    <w:rsid w:val="00403DC6"/>
    <w:rsid w:val="004040DD"/>
    <w:rsid w:val="004061EA"/>
    <w:rsid w:val="00406420"/>
    <w:rsid w:val="004067A1"/>
    <w:rsid w:val="00407676"/>
    <w:rsid w:val="00407F0F"/>
    <w:rsid w:val="004108E5"/>
    <w:rsid w:val="00411053"/>
    <w:rsid w:val="004126F8"/>
    <w:rsid w:val="004131EB"/>
    <w:rsid w:val="004135D5"/>
    <w:rsid w:val="00414534"/>
    <w:rsid w:val="00414921"/>
    <w:rsid w:val="004149E8"/>
    <w:rsid w:val="00414BA9"/>
    <w:rsid w:val="00414DDB"/>
    <w:rsid w:val="00415778"/>
    <w:rsid w:val="00415E50"/>
    <w:rsid w:val="00415FCD"/>
    <w:rsid w:val="004160E4"/>
    <w:rsid w:val="00416E4C"/>
    <w:rsid w:val="004179C5"/>
    <w:rsid w:val="00417E0B"/>
    <w:rsid w:val="00420D14"/>
    <w:rsid w:val="00421708"/>
    <w:rsid w:val="004222C1"/>
    <w:rsid w:val="004229E2"/>
    <w:rsid w:val="00422DEA"/>
    <w:rsid w:val="004240EE"/>
    <w:rsid w:val="0042486F"/>
    <w:rsid w:val="00424FBB"/>
    <w:rsid w:val="00425A3E"/>
    <w:rsid w:val="00425A8C"/>
    <w:rsid w:val="00426776"/>
    <w:rsid w:val="004269D7"/>
    <w:rsid w:val="00426E87"/>
    <w:rsid w:val="00427CCB"/>
    <w:rsid w:val="00430308"/>
    <w:rsid w:val="00431900"/>
    <w:rsid w:val="00433B49"/>
    <w:rsid w:val="0043422C"/>
    <w:rsid w:val="004343AE"/>
    <w:rsid w:val="00434E9C"/>
    <w:rsid w:val="0043575C"/>
    <w:rsid w:val="00435777"/>
    <w:rsid w:val="004366F6"/>
    <w:rsid w:val="00436B13"/>
    <w:rsid w:val="00437EB3"/>
    <w:rsid w:val="004407F0"/>
    <w:rsid w:val="00440C11"/>
    <w:rsid w:val="00440F58"/>
    <w:rsid w:val="0044116A"/>
    <w:rsid w:val="004412E1"/>
    <w:rsid w:val="0044169C"/>
    <w:rsid w:val="0044213E"/>
    <w:rsid w:val="00442421"/>
    <w:rsid w:val="004434D0"/>
    <w:rsid w:val="00443EA3"/>
    <w:rsid w:val="00444694"/>
    <w:rsid w:val="00444FED"/>
    <w:rsid w:val="00445033"/>
    <w:rsid w:val="004459C7"/>
    <w:rsid w:val="00445AA8"/>
    <w:rsid w:val="00446409"/>
    <w:rsid w:val="0044703C"/>
    <w:rsid w:val="0044745A"/>
    <w:rsid w:val="0045148E"/>
    <w:rsid w:val="004514FD"/>
    <w:rsid w:val="00452AAF"/>
    <w:rsid w:val="0045327C"/>
    <w:rsid w:val="004533C8"/>
    <w:rsid w:val="00453F08"/>
    <w:rsid w:val="00454089"/>
    <w:rsid w:val="00454BB4"/>
    <w:rsid w:val="004557D1"/>
    <w:rsid w:val="00455964"/>
    <w:rsid w:val="00455CCD"/>
    <w:rsid w:val="00456704"/>
    <w:rsid w:val="00456CDA"/>
    <w:rsid w:val="004575FD"/>
    <w:rsid w:val="00457BAA"/>
    <w:rsid w:val="004604F5"/>
    <w:rsid w:val="0046185D"/>
    <w:rsid w:val="00461B27"/>
    <w:rsid w:val="00461DF2"/>
    <w:rsid w:val="00464591"/>
    <w:rsid w:val="00464B28"/>
    <w:rsid w:val="004654EA"/>
    <w:rsid w:val="0046558A"/>
    <w:rsid w:val="004660FA"/>
    <w:rsid w:val="00466308"/>
    <w:rsid w:val="00466772"/>
    <w:rsid w:val="004667B4"/>
    <w:rsid w:val="00466B7A"/>
    <w:rsid w:val="004670CC"/>
    <w:rsid w:val="00467EA1"/>
    <w:rsid w:val="004700DF"/>
    <w:rsid w:val="00470162"/>
    <w:rsid w:val="0047043B"/>
    <w:rsid w:val="00470DD4"/>
    <w:rsid w:val="0047106F"/>
    <w:rsid w:val="004713F6"/>
    <w:rsid w:val="004731C8"/>
    <w:rsid w:val="0047347F"/>
    <w:rsid w:val="004738B7"/>
    <w:rsid w:val="00473A42"/>
    <w:rsid w:val="00474121"/>
    <w:rsid w:val="004741FD"/>
    <w:rsid w:val="00474655"/>
    <w:rsid w:val="004756EB"/>
    <w:rsid w:val="0047591F"/>
    <w:rsid w:val="00475C0E"/>
    <w:rsid w:val="00476852"/>
    <w:rsid w:val="00476EF9"/>
    <w:rsid w:val="0048014F"/>
    <w:rsid w:val="00480D6F"/>
    <w:rsid w:val="00480EFF"/>
    <w:rsid w:val="00481171"/>
    <w:rsid w:val="00481293"/>
    <w:rsid w:val="00481649"/>
    <w:rsid w:val="00481880"/>
    <w:rsid w:val="00481C17"/>
    <w:rsid w:val="004831AE"/>
    <w:rsid w:val="004835B5"/>
    <w:rsid w:val="00484F56"/>
    <w:rsid w:val="00485097"/>
    <w:rsid w:val="004851EE"/>
    <w:rsid w:val="00485A1F"/>
    <w:rsid w:val="00485BC5"/>
    <w:rsid w:val="00486475"/>
    <w:rsid w:val="004867FE"/>
    <w:rsid w:val="00487C9D"/>
    <w:rsid w:val="00490008"/>
    <w:rsid w:val="004906E1"/>
    <w:rsid w:val="004907A7"/>
    <w:rsid w:val="00490E97"/>
    <w:rsid w:val="00491025"/>
    <w:rsid w:val="004915F2"/>
    <w:rsid w:val="004923C1"/>
    <w:rsid w:val="004924EE"/>
    <w:rsid w:val="0049256E"/>
    <w:rsid w:val="00492827"/>
    <w:rsid w:val="00492B0A"/>
    <w:rsid w:val="00492CF8"/>
    <w:rsid w:val="00492EA6"/>
    <w:rsid w:val="0049372E"/>
    <w:rsid w:val="00493E31"/>
    <w:rsid w:val="00494942"/>
    <w:rsid w:val="00494EE0"/>
    <w:rsid w:val="00495789"/>
    <w:rsid w:val="00495891"/>
    <w:rsid w:val="004959A0"/>
    <w:rsid w:val="00496A4D"/>
    <w:rsid w:val="00496CB4"/>
    <w:rsid w:val="00496D87"/>
    <w:rsid w:val="00497048"/>
    <w:rsid w:val="004977DC"/>
    <w:rsid w:val="004A044B"/>
    <w:rsid w:val="004A06DC"/>
    <w:rsid w:val="004A0ED7"/>
    <w:rsid w:val="004A1685"/>
    <w:rsid w:val="004A19DA"/>
    <w:rsid w:val="004A26C3"/>
    <w:rsid w:val="004A3521"/>
    <w:rsid w:val="004A3E34"/>
    <w:rsid w:val="004A3E84"/>
    <w:rsid w:val="004A4234"/>
    <w:rsid w:val="004A4696"/>
    <w:rsid w:val="004A472F"/>
    <w:rsid w:val="004A5AD8"/>
    <w:rsid w:val="004A5FE9"/>
    <w:rsid w:val="004A6217"/>
    <w:rsid w:val="004A6A4A"/>
    <w:rsid w:val="004A6B0B"/>
    <w:rsid w:val="004B0EEE"/>
    <w:rsid w:val="004B15B5"/>
    <w:rsid w:val="004B174C"/>
    <w:rsid w:val="004B2186"/>
    <w:rsid w:val="004B2722"/>
    <w:rsid w:val="004B2941"/>
    <w:rsid w:val="004B2E3C"/>
    <w:rsid w:val="004B30DA"/>
    <w:rsid w:val="004B3345"/>
    <w:rsid w:val="004B3815"/>
    <w:rsid w:val="004B3892"/>
    <w:rsid w:val="004B3A40"/>
    <w:rsid w:val="004B3CE7"/>
    <w:rsid w:val="004B4880"/>
    <w:rsid w:val="004B4C90"/>
    <w:rsid w:val="004B4D74"/>
    <w:rsid w:val="004B52FD"/>
    <w:rsid w:val="004B55AD"/>
    <w:rsid w:val="004B69DA"/>
    <w:rsid w:val="004B6E7B"/>
    <w:rsid w:val="004B7091"/>
    <w:rsid w:val="004B7590"/>
    <w:rsid w:val="004C0525"/>
    <w:rsid w:val="004C0D6A"/>
    <w:rsid w:val="004C16D9"/>
    <w:rsid w:val="004C180D"/>
    <w:rsid w:val="004C197D"/>
    <w:rsid w:val="004C2727"/>
    <w:rsid w:val="004C272D"/>
    <w:rsid w:val="004C2815"/>
    <w:rsid w:val="004C2CD6"/>
    <w:rsid w:val="004C33BC"/>
    <w:rsid w:val="004C4753"/>
    <w:rsid w:val="004C551E"/>
    <w:rsid w:val="004C56A9"/>
    <w:rsid w:val="004C5C64"/>
    <w:rsid w:val="004C67C1"/>
    <w:rsid w:val="004C7068"/>
    <w:rsid w:val="004D08C1"/>
    <w:rsid w:val="004D0E75"/>
    <w:rsid w:val="004D1162"/>
    <w:rsid w:val="004D1192"/>
    <w:rsid w:val="004D1224"/>
    <w:rsid w:val="004D1AD6"/>
    <w:rsid w:val="004D1E7C"/>
    <w:rsid w:val="004D1F05"/>
    <w:rsid w:val="004D20C1"/>
    <w:rsid w:val="004D2268"/>
    <w:rsid w:val="004D24EA"/>
    <w:rsid w:val="004D2BF1"/>
    <w:rsid w:val="004D32FD"/>
    <w:rsid w:val="004D3939"/>
    <w:rsid w:val="004D3B6C"/>
    <w:rsid w:val="004D40A6"/>
    <w:rsid w:val="004D4610"/>
    <w:rsid w:val="004D4D6A"/>
    <w:rsid w:val="004D58DA"/>
    <w:rsid w:val="004D5F79"/>
    <w:rsid w:val="004D6514"/>
    <w:rsid w:val="004D6700"/>
    <w:rsid w:val="004D70FB"/>
    <w:rsid w:val="004E04EE"/>
    <w:rsid w:val="004E0526"/>
    <w:rsid w:val="004E0E1E"/>
    <w:rsid w:val="004E10AA"/>
    <w:rsid w:val="004E14B9"/>
    <w:rsid w:val="004E1579"/>
    <w:rsid w:val="004E173A"/>
    <w:rsid w:val="004E2DBF"/>
    <w:rsid w:val="004E3A64"/>
    <w:rsid w:val="004E4475"/>
    <w:rsid w:val="004E4BF0"/>
    <w:rsid w:val="004E520D"/>
    <w:rsid w:val="004E589C"/>
    <w:rsid w:val="004E58E4"/>
    <w:rsid w:val="004E5CE8"/>
    <w:rsid w:val="004E6182"/>
    <w:rsid w:val="004E6250"/>
    <w:rsid w:val="004E6C6B"/>
    <w:rsid w:val="004E6CE0"/>
    <w:rsid w:val="004E710E"/>
    <w:rsid w:val="004E775B"/>
    <w:rsid w:val="004E78A5"/>
    <w:rsid w:val="004E7AB7"/>
    <w:rsid w:val="004E7B4B"/>
    <w:rsid w:val="004E7C6A"/>
    <w:rsid w:val="004E7CFE"/>
    <w:rsid w:val="004F0204"/>
    <w:rsid w:val="004F0651"/>
    <w:rsid w:val="004F0F71"/>
    <w:rsid w:val="004F1280"/>
    <w:rsid w:val="004F1F84"/>
    <w:rsid w:val="004F262F"/>
    <w:rsid w:val="004F26DC"/>
    <w:rsid w:val="004F27A6"/>
    <w:rsid w:val="004F3506"/>
    <w:rsid w:val="004F383E"/>
    <w:rsid w:val="004F39DD"/>
    <w:rsid w:val="004F4361"/>
    <w:rsid w:val="004F4775"/>
    <w:rsid w:val="004F6A1E"/>
    <w:rsid w:val="004F7654"/>
    <w:rsid w:val="004F7747"/>
    <w:rsid w:val="004F7C00"/>
    <w:rsid w:val="004F7EFD"/>
    <w:rsid w:val="00500A09"/>
    <w:rsid w:val="00502582"/>
    <w:rsid w:val="00503607"/>
    <w:rsid w:val="00503AAB"/>
    <w:rsid w:val="00503EE9"/>
    <w:rsid w:val="00503F2D"/>
    <w:rsid w:val="00504BA3"/>
    <w:rsid w:val="00505363"/>
    <w:rsid w:val="0050700F"/>
    <w:rsid w:val="0050724B"/>
    <w:rsid w:val="00507347"/>
    <w:rsid w:val="005073AA"/>
    <w:rsid w:val="00507924"/>
    <w:rsid w:val="005079D6"/>
    <w:rsid w:val="005103B9"/>
    <w:rsid w:val="0051243D"/>
    <w:rsid w:val="00512595"/>
    <w:rsid w:val="0051284A"/>
    <w:rsid w:val="00512ED7"/>
    <w:rsid w:val="0051375C"/>
    <w:rsid w:val="00513ABE"/>
    <w:rsid w:val="00513E23"/>
    <w:rsid w:val="005144C8"/>
    <w:rsid w:val="00514F66"/>
    <w:rsid w:val="00515073"/>
    <w:rsid w:val="00515A86"/>
    <w:rsid w:val="005162FA"/>
    <w:rsid w:val="005171AF"/>
    <w:rsid w:val="00517AF5"/>
    <w:rsid w:val="00520326"/>
    <w:rsid w:val="00520A71"/>
    <w:rsid w:val="00520B41"/>
    <w:rsid w:val="00520CFB"/>
    <w:rsid w:val="0052127F"/>
    <w:rsid w:val="00521595"/>
    <w:rsid w:val="00522C7D"/>
    <w:rsid w:val="00522DD4"/>
    <w:rsid w:val="00522F02"/>
    <w:rsid w:val="00523293"/>
    <w:rsid w:val="0052373B"/>
    <w:rsid w:val="00524088"/>
    <w:rsid w:val="00524317"/>
    <w:rsid w:val="00524BB7"/>
    <w:rsid w:val="005255E5"/>
    <w:rsid w:val="005259AE"/>
    <w:rsid w:val="005261F7"/>
    <w:rsid w:val="00526565"/>
    <w:rsid w:val="005266FF"/>
    <w:rsid w:val="005269EF"/>
    <w:rsid w:val="00526C23"/>
    <w:rsid w:val="00526CED"/>
    <w:rsid w:val="00527C0E"/>
    <w:rsid w:val="00530F6B"/>
    <w:rsid w:val="00532056"/>
    <w:rsid w:val="0053277B"/>
    <w:rsid w:val="00532BA2"/>
    <w:rsid w:val="00532EC8"/>
    <w:rsid w:val="005341B2"/>
    <w:rsid w:val="00534839"/>
    <w:rsid w:val="00534AD4"/>
    <w:rsid w:val="00534E94"/>
    <w:rsid w:val="005351FB"/>
    <w:rsid w:val="0053563A"/>
    <w:rsid w:val="005358FB"/>
    <w:rsid w:val="005363F2"/>
    <w:rsid w:val="00537541"/>
    <w:rsid w:val="00537760"/>
    <w:rsid w:val="00540411"/>
    <w:rsid w:val="00541C26"/>
    <w:rsid w:val="005429CB"/>
    <w:rsid w:val="00543111"/>
    <w:rsid w:val="005431F6"/>
    <w:rsid w:val="005437F5"/>
    <w:rsid w:val="00543DB4"/>
    <w:rsid w:val="00544371"/>
    <w:rsid w:val="00544A57"/>
    <w:rsid w:val="005463E1"/>
    <w:rsid w:val="0054703D"/>
    <w:rsid w:val="00547388"/>
    <w:rsid w:val="00547833"/>
    <w:rsid w:val="00550819"/>
    <w:rsid w:val="005508D8"/>
    <w:rsid w:val="00550A77"/>
    <w:rsid w:val="00552B36"/>
    <w:rsid w:val="00552E70"/>
    <w:rsid w:val="0055316E"/>
    <w:rsid w:val="005532AB"/>
    <w:rsid w:val="00553818"/>
    <w:rsid w:val="00553F97"/>
    <w:rsid w:val="0055443D"/>
    <w:rsid w:val="00554B15"/>
    <w:rsid w:val="0055530F"/>
    <w:rsid w:val="005555FB"/>
    <w:rsid w:val="0055564B"/>
    <w:rsid w:val="00555744"/>
    <w:rsid w:val="005566EF"/>
    <w:rsid w:val="005568AA"/>
    <w:rsid w:val="00557CAC"/>
    <w:rsid w:val="0056007E"/>
    <w:rsid w:val="0056027E"/>
    <w:rsid w:val="005607CD"/>
    <w:rsid w:val="00560959"/>
    <w:rsid w:val="0056160E"/>
    <w:rsid w:val="00561A1A"/>
    <w:rsid w:val="00562216"/>
    <w:rsid w:val="00562402"/>
    <w:rsid w:val="005626C8"/>
    <w:rsid w:val="00563A0D"/>
    <w:rsid w:val="00564ECD"/>
    <w:rsid w:val="005652B6"/>
    <w:rsid w:val="0056579D"/>
    <w:rsid w:val="005659AB"/>
    <w:rsid w:val="00566627"/>
    <w:rsid w:val="005667AF"/>
    <w:rsid w:val="0056680C"/>
    <w:rsid w:val="00566D31"/>
    <w:rsid w:val="005670C2"/>
    <w:rsid w:val="00567158"/>
    <w:rsid w:val="0056765C"/>
    <w:rsid w:val="00570781"/>
    <w:rsid w:val="00570ACB"/>
    <w:rsid w:val="005714FB"/>
    <w:rsid w:val="0057154D"/>
    <w:rsid w:val="00571A7C"/>
    <w:rsid w:val="00572058"/>
    <w:rsid w:val="005726C0"/>
    <w:rsid w:val="00572A76"/>
    <w:rsid w:val="00572FA3"/>
    <w:rsid w:val="005736BC"/>
    <w:rsid w:val="0057382D"/>
    <w:rsid w:val="00574516"/>
    <w:rsid w:val="005748C8"/>
    <w:rsid w:val="00574972"/>
    <w:rsid w:val="00574A1A"/>
    <w:rsid w:val="00574FFB"/>
    <w:rsid w:val="0057588B"/>
    <w:rsid w:val="005759E3"/>
    <w:rsid w:val="00575D66"/>
    <w:rsid w:val="00575FC7"/>
    <w:rsid w:val="005772AA"/>
    <w:rsid w:val="00577F77"/>
    <w:rsid w:val="005805C1"/>
    <w:rsid w:val="00582246"/>
    <w:rsid w:val="0058269D"/>
    <w:rsid w:val="00582D0F"/>
    <w:rsid w:val="005834C4"/>
    <w:rsid w:val="00584942"/>
    <w:rsid w:val="00585947"/>
    <w:rsid w:val="005865E5"/>
    <w:rsid w:val="00586606"/>
    <w:rsid w:val="005866CC"/>
    <w:rsid w:val="0058680E"/>
    <w:rsid w:val="005878DD"/>
    <w:rsid w:val="00587BF0"/>
    <w:rsid w:val="005909D2"/>
    <w:rsid w:val="00590C62"/>
    <w:rsid w:val="00591318"/>
    <w:rsid w:val="00591E3D"/>
    <w:rsid w:val="00592A04"/>
    <w:rsid w:val="005930D9"/>
    <w:rsid w:val="00593116"/>
    <w:rsid w:val="005939FB"/>
    <w:rsid w:val="00593BE4"/>
    <w:rsid w:val="00593BFB"/>
    <w:rsid w:val="0059437B"/>
    <w:rsid w:val="0059445F"/>
    <w:rsid w:val="005946AB"/>
    <w:rsid w:val="005947AF"/>
    <w:rsid w:val="0059535F"/>
    <w:rsid w:val="005958E3"/>
    <w:rsid w:val="00595B26"/>
    <w:rsid w:val="0059657B"/>
    <w:rsid w:val="00596B8C"/>
    <w:rsid w:val="00597345"/>
    <w:rsid w:val="005A0522"/>
    <w:rsid w:val="005A091D"/>
    <w:rsid w:val="005A0B90"/>
    <w:rsid w:val="005A0E6C"/>
    <w:rsid w:val="005A0F87"/>
    <w:rsid w:val="005A16C9"/>
    <w:rsid w:val="005A1757"/>
    <w:rsid w:val="005A1E94"/>
    <w:rsid w:val="005A257F"/>
    <w:rsid w:val="005A2794"/>
    <w:rsid w:val="005A2C69"/>
    <w:rsid w:val="005A2CA7"/>
    <w:rsid w:val="005A2FF0"/>
    <w:rsid w:val="005A35BE"/>
    <w:rsid w:val="005A3E76"/>
    <w:rsid w:val="005A471D"/>
    <w:rsid w:val="005A4765"/>
    <w:rsid w:val="005A4A4A"/>
    <w:rsid w:val="005A4D8E"/>
    <w:rsid w:val="005A5CEE"/>
    <w:rsid w:val="005A5D50"/>
    <w:rsid w:val="005A6360"/>
    <w:rsid w:val="005A6CE0"/>
    <w:rsid w:val="005A743D"/>
    <w:rsid w:val="005A7945"/>
    <w:rsid w:val="005A7AC7"/>
    <w:rsid w:val="005B0FB6"/>
    <w:rsid w:val="005B23A3"/>
    <w:rsid w:val="005B2C3F"/>
    <w:rsid w:val="005B36E3"/>
    <w:rsid w:val="005B3751"/>
    <w:rsid w:val="005B38F2"/>
    <w:rsid w:val="005B3FCE"/>
    <w:rsid w:val="005B452D"/>
    <w:rsid w:val="005B6270"/>
    <w:rsid w:val="005B6457"/>
    <w:rsid w:val="005B6A08"/>
    <w:rsid w:val="005B6C48"/>
    <w:rsid w:val="005B6E2F"/>
    <w:rsid w:val="005B7158"/>
    <w:rsid w:val="005B77A2"/>
    <w:rsid w:val="005B7C06"/>
    <w:rsid w:val="005B7F41"/>
    <w:rsid w:val="005C13CA"/>
    <w:rsid w:val="005C18A0"/>
    <w:rsid w:val="005C3491"/>
    <w:rsid w:val="005C36E0"/>
    <w:rsid w:val="005C43F0"/>
    <w:rsid w:val="005C579A"/>
    <w:rsid w:val="005C5EB2"/>
    <w:rsid w:val="005C67DC"/>
    <w:rsid w:val="005C6966"/>
    <w:rsid w:val="005C6B99"/>
    <w:rsid w:val="005C723B"/>
    <w:rsid w:val="005C775D"/>
    <w:rsid w:val="005C7924"/>
    <w:rsid w:val="005C7B6E"/>
    <w:rsid w:val="005D0332"/>
    <w:rsid w:val="005D058B"/>
    <w:rsid w:val="005D05DB"/>
    <w:rsid w:val="005D0A41"/>
    <w:rsid w:val="005D0EDD"/>
    <w:rsid w:val="005D121D"/>
    <w:rsid w:val="005D1616"/>
    <w:rsid w:val="005D1754"/>
    <w:rsid w:val="005D230C"/>
    <w:rsid w:val="005D3570"/>
    <w:rsid w:val="005D3E51"/>
    <w:rsid w:val="005D405C"/>
    <w:rsid w:val="005D513C"/>
    <w:rsid w:val="005D591E"/>
    <w:rsid w:val="005D5BFA"/>
    <w:rsid w:val="005D6672"/>
    <w:rsid w:val="005D686D"/>
    <w:rsid w:val="005D7819"/>
    <w:rsid w:val="005D79BE"/>
    <w:rsid w:val="005E09A7"/>
    <w:rsid w:val="005E0B8D"/>
    <w:rsid w:val="005E209D"/>
    <w:rsid w:val="005E2196"/>
    <w:rsid w:val="005E3E13"/>
    <w:rsid w:val="005E41D4"/>
    <w:rsid w:val="005E4415"/>
    <w:rsid w:val="005E4C63"/>
    <w:rsid w:val="005E5BCB"/>
    <w:rsid w:val="005E64AA"/>
    <w:rsid w:val="005E68DA"/>
    <w:rsid w:val="005E7243"/>
    <w:rsid w:val="005F01EA"/>
    <w:rsid w:val="005F03F6"/>
    <w:rsid w:val="005F0BDF"/>
    <w:rsid w:val="005F1326"/>
    <w:rsid w:val="005F30A2"/>
    <w:rsid w:val="005F31DD"/>
    <w:rsid w:val="005F4619"/>
    <w:rsid w:val="005F49C8"/>
    <w:rsid w:val="005F5FC5"/>
    <w:rsid w:val="005F61FB"/>
    <w:rsid w:val="005F6620"/>
    <w:rsid w:val="00600233"/>
    <w:rsid w:val="00600DC5"/>
    <w:rsid w:val="0060116B"/>
    <w:rsid w:val="00601497"/>
    <w:rsid w:val="00603A99"/>
    <w:rsid w:val="0060434E"/>
    <w:rsid w:val="0060478F"/>
    <w:rsid w:val="00605637"/>
    <w:rsid w:val="006056B0"/>
    <w:rsid w:val="00605FBD"/>
    <w:rsid w:val="006060E6"/>
    <w:rsid w:val="00606277"/>
    <w:rsid w:val="0060687D"/>
    <w:rsid w:val="00606E39"/>
    <w:rsid w:val="00607A9E"/>
    <w:rsid w:val="00607ADD"/>
    <w:rsid w:val="00607C67"/>
    <w:rsid w:val="006116AE"/>
    <w:rsid w:val="00613333"/>
    <w:rsid w:val="0061436D"/>
    <w:rsid w:val="00614C17"/>
    <w:rsid w:val="006167E9"/>
    <w:rsid w:val="00616F75"/>
    <w:rsid w:val="00616F9E"/>
    <w:rsid w:val="0061728B"/>
    <w:rsid w:val="0061731C"/>
    <w:rsid w:val="00617A58"/>
    <w:rsid w:val="00620218"/>
    <w:rsid w:val="00620341"/>
    <w:rsid w:val="00620C63"/>
    <w:rsid w:val="0062137C"/>
    <w:rsid w:val="00622225"/>
    <w:rsid w:val="0062300E"/>
    <w:rsid w:val="00623483"/>
    <w:rsid w:val="00623655"/>
    <w:rsid w:val="00623B53"/>
    <w:rsid w:val="00625BC3"/>
    <w:rsid w:val="00625DA8"/>
    <w:rsid w:val="006271A3"/>
    <w:rsid w:val="0062779A"/>
    <w:rsid w:val="00627B4F"/>
    <w:rsid w:val="00630E67"/>
    <w:rsid w:val="00632057"/>
    <w:rsid w:val="00632131"/>
    <w:rsid w:val="006326DF"/>
    <w:rsid w:val="00632D03"/>
    <w:rsid w:val="00632E0D"/>
    <w:rsid w:val="0063305F"/>
    <w:rsid w:val="006337D8"/>
    <w:rsid w:val="00633F04"/>
    <w:rsid w:val="00634288"/>
    <w:rsid w:val="00634671"/>
    <w:rsid w:val="00634A88"/>
    <w:rsid w:val="00634E85"/>
    <w:rsid w:val="006351DD"/>
    <w:rsid w:val="00635D8D"/>
    <w:rsid w:val="00636222"/>
    <w:rsid w:val="0063638C"/>
    <w:rsid w:val="006379F9"/>
    <w:rsid w:val="00637A3C"/>
    <w:rsid w:val="00637D52"/>
    <w:rsid w:val="0064002B"/>
    <w:rsid w:val="00640AB5"/>
    <w:rsid w:val="00640F65"/>
    <w:rsid w:val="006411C6"/>
    <w:rsid w:val="00641985"/>
    <w:rsid w:val="00642730"/>
    <w:rsid w:val="00642833"/>
    <w:rsid w:val="00642B5B"/>
    <w:rsid w:val="00642C89"/>
    <w:rsid w:val="00642CC7"/>
    <w:rsid w:val="00643D81"/>
    <w:rsid w:val="0064553F"/>
    <w:rsid w:val="00645FFD"/>
    <w:rsid w:val="0064602B"/>
    <w:rsid w:val="00646211"/>
    <w:rsid w:val="00646792"/>
    <w:rsid w:val="006468EE"/>
    <w:rsid w:val="00646C38"/>
    <w:rsid w:val="006470AA"/>
    <w:rsid w:val="0064737A"/>
    <w:rsid w:val="00647481"/>
    <w:rsid w:val="00647814"/>
    <w:rsid w:val="00647D00"/>
    <w:rsid w:val="00647E04"/>
    <w:rsid w:val="006502E5"/>
    <w:rsid w:val="00650F63"/>
    <w:rsid w:val="00651043"/>
    <w:rsid w:val="00651559"/>
    <w:rsid w:val="00651A07"/>
    <w:rsid w:val="00651B1E"/>
    <w:rsid w:val="0065204C"/>
    <w:rsid w:val="006526E8"/>
    <w:rsid w:val="0065316E"/>
    <w:rsid w:val="006538F5"/>
    <w:rsid w:val="00654110"/>
    <w:rsid w:val="00654287"/>
    <w:rsid w:val="00655279"/>
    <w:rsid w:val="006555E3"/>
    <w:rsid w:val="00655874"/>
    <w:rsid w:val="006560A9"/>
    <w:rsid w:val="006566FF"/>
    <w:rsid w:val="00657271"/>
    <w:rsid w:val="00660596"/>
    <w:rsid w:val="00660A33"/>
    <w:rsid w:val="00660EB1"/>
    <w:rsid w:val="00661098"/>
    <w:rsid w:val="006613E7"/>
    <w:rsid w:val="006614E1"/>
    <w:rsid w:val="00662661"/>
    <w:rsid w:val="00665195"/>
    <w:rsid w:val="0066575D"/>
    <w:rsid w:val="00665791"/>
    <w:rsid w:val="00665C2E"/>
    <w:rsid w:val="00665E11"/>
    <w:rsid w:val="006662D8"/>
    <w:rsid w:val="00666A23"/>
    <w:rsid w:val="00667B63"/>
    <w:rsid w:val="00670515"/>
    <w:rsid w:val="00670A76"/>
    <w:rsid w:val="00670B9F"/>
    <w:rsid w:val="00670E1C"/>
    <w:rsid w:val="00672775"/>
    <w:rsid w:val="0067305E"/>
    <w:rsid w:val="006739F7"/>
    <w:rsid w:val="00673DA9"/>
    <w:rsid w:val="00674074"/>
    <w:rsid w:val="00674703"/>
    <w:rsid w:val="0067552D"/>
    <w:rsid w:val="0067665D"/>
    <w:rsid w:val="00676836"/>
    <w:rsid w:val="00676F9A"/>
    <w:rsid w:val="00677385"/>
    <w:rsid w:val="006774F3"/>
    <w:rsid w:val="00677558"/>
    <w:rsid w:val="0068019C"/>
    <w:rsid w:val="00681143"/>
    <w:rsid w:val="00681520"/>
    <w:rsid w:val="00682BC2"/>
    <w:rsid w:val="00683C94"/>
    <w:rsid w:val="00684943"/>
    <w:rsid w:val="00685640"/>
    <w:rsid w:val="00685794"/>
    <w:rsid w:val="00685878"/>
    <w:rsid w:val="00685C33"/>
    <w:rsid w:val="00686C30"/>
    <w:rsid w:val="0068702A"/>
    <w:rsid w:val="00687277"/>
    <w:rsid w:val="0068767F"/>
    <w:rsid w:val="006879C3"/>
    <w:rsid w:val="00690D2A"/>
    <w:rsid w:val="00691038"/>
    <w:rsid w:val="0069199C"/>
    <w:rsid w:val="006926FE"/>
    <w:rsid w:val="00693A5E"/>
    <w:rsid w:val="00693F52"/>
    <w:rsid w:val="00694167"/>
    <w:rsid w:val="006946A9"/>
    <w:rsid w:val="00694B51"/>
    <w:rsid w:val="006954F4"/>
    <w:rsid w:val="006955CC"/>
    <w:rsid w:val="0069696D"/>
    <w:rsid w:val="00696A9C"/>
    <w:rsid w:val="006974E5"/>
    <w:rsid w:val="00697825"/>
    <w:rsid w:val="006979ED"/>
    <w:rsid w:val="00697AE0"/>
    <w:rsid w:val="006A0765"/>
    <w:rsid w:val="006A07E6"/>
    <w:rsid w:val="006A1538"/>
    <w:rsid w:val="006A22F7"/>
    <w:rsid w:val="006A2525"/>
    <w:rsid w:val="006A277A"/>
    <w:rsid w:val="006A2FF9"/>
    <w:rsid w:val="006A3088"/>
    <w:rsid w:val="006A3135"/>
    <w:rsid w:val="006A383A"/>
    <w:rsid w:val="006A3872"/>
    <w:rsid w:val="006A4170"/>
    <w:rsid w:val="006A45B1"/>
    <w:rsid w:val="006A46D1"/>
    <w:rsid w:val="006A4E4D"/>
    <w:rsid w:val="006A4F15"/>
    <w:rsid w:val="006A5099"/>
    <w:rsid w:val="006A511B"/>
    <w:rsid w:val="006A52D9"/>
    <w:rsid w:val="006A5339"/>
    <w:rsid w:val="006A55A4"/>
    <w:rsid w:val="006A5AF9"/>
    <w:rsid w:val="006A6133"/>
    <w:rsid w:val="006A6C76"/>
    <w:rsid w:val="006A7151"/>
    <w:rsid w:val="006A746D"/>
    <w:rsid w:val="006A7E4E"/>
    <w:rsid w:val="006A7FEC"/>
    <w:rsid w:val="006B052A"/>
    <w:rsid w:val="006B064A"/>
    <w:rsid w:val="006B0E9A"/>
    <w:rsid w:val="006B2278"/>
    <w:rsid w:val="006B2605"/>
    <w:rsid w:val="006B3751"/>
    <w:rsid w:val="006B3C87"/>
    <w:rsid w:val="006B4237"/>
    <w:rsid w:val="006B4296"/>
    <w:rsid w:val="006B5051"/>
    <w:rsid w:val="006B5124"/>
    <w:rsid w:val="006B523E"/>
    <w:rsid w:val="006B5571"/>
    <w:rsid w:val="006B6D43"/>
    <w:rsid w:val="006B7358"/>
    <w:rsid w:val="006B772D"/>
    <w:rsid w:val="006B7797"/>
    <w:rsid w:val="006B7A2D"/>
    <w:rsid w:val="006B7E8A"/>
    <w:rsid w:val="006C022B"/>
    <w:rsid w:val="006C0386"/>
    <w:rsid w:val="006C0AEC"/>
    <w:rsid w:val="006C0D0C"/>
    <w:rsid w:val="006C0D5A"/>
    <w:rsid w:val="006C1F5F"/>
    <w:rsid w:val="006C2A39"/>
    <w:rsid w:val="006C387C"/>
    <w:rsid w:val="006C46F2"/>
    <w:rsid w:val="006C5843"/>
    <w:rsid w:val="006C584A"/>
    <w:rsid w:val="006C5CFC"/>
    <w:rsid w:val="006C5D20"/>
    <w:rsid w:val="006C64E5"/>
    <w:rsid w:val="006C673F"/>
    <w:rsid w:val="006C6BB7"/>
    <w:rsid w:val="006C778C"/>
    <w:rsid w:val="006C7E56"/>
    <w:rsid w:val="006D02A4"/>
    <w:rsid w:val="006D1202"/>
    <w:rsid w:val="006D17EA"/>
    <w:rsid w:val="006D1B3E"/>
    <w:rsid w:val="006D3619"/>
    <w:rsid w:val="006D3F79"/>
    <w:rsid w:val="006D4724"/>
    <w:rsid w:val="006D49BD"/>
    <w:rsid w:val="006D52AC"/>
    <w:rsid w:val="006D53B2"/>
    <w:rsid w:val="006D54B3"/>
    <w:rsid w:val="006D5777"/>
    <w:rsid w:val="006D5DCD"/>
    <w:rsid w:val="006D6329"/>
    <w:rsid w:val="006D6725"/>
    <w:rsid w:val="006D68C3"/>
    <w:rsid w:val="006D7F01"/>
    <w:rsid w:val="006E045B"/>
    <w:rsid w:val="006E0A09"/>
    <w:rsid w:val="006E0F39"/>
    <w:rsid w:val="006E118B"/>
    <w:rsid w:val="006E130B"/>
    <w:rsid w:val="006E19AD"/>
    <w:rsid w:val="006E1ABF"/>
    <w:rsid w:val="006E25AB"/>
    <w:rsid w:val="006E2B03"/>
    <w:rsid w:val="006E2C3E"/>
    <w:rsid w:val="006E3269"/>
    <w:rsid w:val="006E34B6"/>
    <w:rsid w:val="006E36E8"/>
    <w:rsid w:val="006E3AC1"/>
    <w:rsid w:val="006E444E"/>
    <w:rsid w:val="006E58A4"/>
    <w:rsid w:val="006E6256"/>
    <w:rsid w:val="006E69F3"/>
    <w:rsid w:val="006E6A6F"/>
    <w:rsid w:val="006E6C4A"/>
    <w:rsid w:val="006E7344"/>
    <w:rsid w:val="006E74DA"/>
    <w:rsid w:val="006E7B71"/>
    <w:rsid w:val="006E7EE1"/>
    <w:rsid w:val="006F1222"/>
    <w:rsid w:val="006F1312"/>
    <w:rsid w:val="006F1776"/>
    <w:rsid w:val="006F1C8B"/>
    <w:rsid w:val="006F1F52"/>
    <w:rsid w:val="006F21D8"/>
    <w:rsid w:val="006F2DB5"/>
    <w:rsid w:val="006F2E92"/>
    <w:rsid w:val="006F35F0"/>
    <w:rsid w:val="006F3CBF"/>
    <w:rsid w:val="006F4802"/>
    <w:rsid w:val="006F5379"/>
    <w:rsid w:val="006F57B8"/>
    <w:rsid w:val="006F5D4D"/>
    <w:rsid w:val="006F5FBB"/>
    <w:rsid w:val="006F623C"/>
    <w:rsid w:val="006F63E4"/>
    <w:rsid w:val="006F70EB"/>
    <w:rsid w:val="006F72B5"/>
    <w:rsid w:val="006F735D"/>
    <w:rsid w:val="006F751C"/>
    <w:rsid w:val="006F7C95"/>
    <w:rsid w:val="006F7E52"/>
    <w:rsid w:val="007001DD"/>
    <w:rsid w:val="00700338"/>
    <w:rsid w:val="00700704"/>
    <w:rsid w:val="00702000"/>
    <w:rsid w:val="00702519"/>
    <w:rsid w:val="00702DBB"/>
    <w:rsid w:val="007041A0"/>
    <w:rsid w:val="0070425D"/>
    <w:rsid w:val="00704703"/>
    <w:rsid w:val="00704755"/>
    <w:rsid w:val="00706C0F"/>
    <w:rsid w:val="00707F42"/>
    <w:rsid w:val="0071020C"/>
    <w:rsid w:val="00710817"/>
    <w:rsid w:val="00710F42"/>
    <w:rsid w:val="00711353"/>
    <w:rsid w:val="007130B0"/>
    <w:rsid w:val="00713443"/>
    <w:rsid w:val="0071385C"/>
    <w:rsid w:val="00713CCF"/>
    <w:rsid w:val="0071494D"/>
    <w:rsid w:val="00714D0D"/>
    <w:rsid w:val="00714D80"/>
    <w:rsid w:val="00714E5F"/>
    <w:rsid w:val="00715530"/>
    <w:rsid w:val="00715985"/>
    <w:rsid w:val="00715C43"/>
    <w:rsid w:val="00716B26"/>
    <w:rsid w:val="00716CF2"/>
    <w:rsid w:val="00717873"/>
    <w:rsid w:val="00717F5B"/>
    <w:rsid w:val="00720270"/>
    <w:rsid w:val="007210A0"/>
    <w:rsid w:val="0072133A"/>
    <w:rsid w:val="00721B81"/>
    <w:rsid w:val="00722591"/>
    <w:rsid w:val="007237B9"/>
    <w:rsid w:val="00723963"/>
    <w:rsid w:val="00723DC8"/>
    <w:rsid w:val="007249E0"/>
    <w:rsid w:val="00724A1B"/>
    <w:rsid w:val="00726D56"/>
    <w:rsid w:val="0072726A"/>
    <w:rsid w:val="007273A3"/>
    <w:rsid w:val="00727415"/>
    <w:rsid w:val="0072744D"/>
    <w:rsid w:val="00727673"/>
    <w:rsid w:val="00727821"/>
    <w:rsid w:val="007278CB"/>
    <w:rsid w:val="0073020C"/>
    <w:rsid w:val="0073128E"/>
    <w:rsid w:val="00731B17"/>
    <w:rsid w:val="00731B43"/>
    <w:rsid w:val="00731C7C"/>
    <w:rsid w:val="0073209E"/>
    <w:rsid w:val="0073211C"/>
    <w:rsid w:val="00732142"/>
    <w:rsid w:val="007326D7"/>
    <w:rsid w:val="0073275A"/>
    <w:rsid w:val="00732F80"/>
    <w:rsid w:val="00733369"/>
    <w:rsid w:val="007349B8"/>
    <w:rsid w:val="0073546A"/>
    <w:rsid w:val="00735E50"/>
    <w:rsid w:val="00735FB3"/>
    <w:rsid w:val="00736109"/>
    <w:rsid w:val="00736C5D"/>
    <w:rsid w:val="007371FC"/>
    <w:rsid w:val="00737475"/>
    <w:rsid w:val="00737843"/>
    <w:rsid w:val="00737AD9"/>
    <w:rsid w:val="00737E4C"/>
    <w:rsid w:val="00737FE2"/>
    <w:rsid w:val="00740038"/>
    <w:rsid w:val="007407E0"/>
    <w:rsid w:val="00740AFF"/>
    <w:rsid w:val="007416B7"/>
    <w:rsid w:val="007417F0"/>
    <w:rsid w:val="00741C4A"/>
    <w:rsid w:val="007429CF"/>
    <w:rsid w:val="00742BD8"/>
    <w:rsid w:val="00742F48"/>
    <w:rsid w:val="00743742"/>
    <w:rsid w:val="00743D60"/>
    <w:rsid w:val="00743F9E"/>
    <w:rsid w:val="00744732"/>
    <w:rsid w:val="0074529F"/>
    <w:rsid w:val="0074546A"/>
    <w:rsid w:val="00745BA5"/>
    <w:rsid w:val="00745D47"/>
    <w:rsid w:val="00745D7C"/>
    <w:rsid w:val="007468E1"/>
    <w:rsid w:val="007476AD"/>
    <w:rsid w:val="007502DA"/>
    <w:rsid w:val="00750D67"/>
    <w:rsid w:val="00750F0E"/>
    <w:rsid w:val="00751210"/>
    <w:rsid w:val="007518C6"/>
    <w:rsid w:val="00752C3A"/>
    <w:rsid w:val="007532DA"/>
    <w:rsid w:val="007541BC"/>
    <w:rsid w:val="00754626"/>
    <w:rsid w:val="007549AC"/>
    <w:rsid w:val="00756878"/>
    <w:rsid w:val="00756B9A"/>
    <w:rsid w:val="00756BBA"/>
    <w:rsid w:val="007571CB"/>
    <w:rsid w:val="007572AD"/>
    <w:rsid w:val="00760DC9"/>
    <w:rsid w:val="00761A84"/>
    <w:rsid w:val="00761C1A"/>
    <w:rsid w:val="00761E8C"/>
    <w:rsid w:val="00762389"/>
    <w:rsid w:val="007626D5"/>
    <w:rsid w:val="007629C9"/>
    <w:rsid w:val="00762EC2"/>
    <w:rsid w:val="007633C1"/>
    <w:rsid w:val="00763A0C"/>
    <w:rsid w:val="00763AA8"/>
    <w:rsid w:val="00764978"/>
    <w:rsid w:val="00764B3E"/>
    <w:rsid w:val="00764F8F"/>
    <w:rsid w:val="00765134"/>
    <w:rsid w:val="00765322"/>
    <w:rsid w:val="00765550"/>
    <w:rsid w:val="00765AC2"/>
    <w:rsid w:val="00765C15"/>
    <w:rsid w:val="00766009"/>
    <w:rsid w:val="0076624A"/>
    <w:rsid w:val="00766307"/>
    <w:rsid w:val="007664AD"/>
    <w:rsid w:val="00766662"/>
    <w:rsid w:val="00766C19"/>
    <w:rsid w:val="007703F7"/>
    <w:rsid w:val="0077059A"/>
    <w:rsid w:val="00770A14"/>
    <w:rsid w:val="00771B9A"/>
    <w:rsid w:val="007729F5"/>
    <w:rsid w:val="00772B39"/>
    <w:rsid w:val="00772C86"/>
    <w:rsid w:val="00773057"/>
    <w:rsid w:val="00773ABF"/>
    <w:rsid w:val="00774277"/>
    <w:rsid w:val="0077563E"/>
    <w:rsid w:val="00775C60"/>
    <w:rsid w:val="0077749D"/>
    <w:rsid w:val="007774BB"/>
    <w:rsid w:val="00777D35"/>
    <w:rsid w:val="00777F5D"/>
    <w:rsid w:val="0078002B"/>
    <w:rsid w:val="0078071F"/>
    <w:rsid w:val="00780DDC"/>
    <w:rsid w:val="00781C4A"/>
    <w:rsid w:val="00781DFE"/>
    <w:rsid w:val="00781F9D"/>
    <w:rsid w:val="007824D1"/>
    <w:rsid w:val="00782978"/>
    <w:rsid w:val="00783153"/>
    <w:rsid w:val="007839D0"/>
    <w:rsid w:val="007849BD"/>
    <w:rsid w:val="00784CA4"/>
    <w:rsid w:val="00784CBD"/>
    <w:rsid w:val="00785608"/>
    <w:rsid w:val="007867C7"/>
    <w:rsid w:val="00787FC9"/>
    <w:rsid w:val="00790FE4"/>
    <w:rsid w:val="00792803"/>
    <w:rsid w:val="00792D72"/>
    <w:rsid w:val="0079332F"/>
    <w:rsid w:val="00793669"/>
    <w:rsid w:val="007936A0"/>
    <w:rsid w:val="0079391E"/>
    <w:rsid w:val="00795BF3"/>
    <w:rsid w:val="00795D93"/>
    <w:rsid w:val="00795F29"/>
    <w:rsid w:val="00796B78"/>
    <w:rsid w:val="00797C23"/>
    <w:rsid w:val="00797C9F"/>
    <w:rsid w:val="007A08C5"/>
    <w:rsid w:val="007A0A16"/>
    <w:rsid w:val="007A0AFE"/>
    <w:rsid w:val="007A185D"/>
    <w:rsid w:val="007A1C3D"/>
    <w:rsid w:val="007A21DF"/>
    <w:rsid w:val="007A2B14"/>
    <w:rsid w:val="007A2C59"/>
    <w:rsid w:val="007A2E8D"/>
    <w:rsid w:val="007A2F11"/>
    <w:rsid w:val="007A33E6"/>
    <w:rsid w:val="007A35A8"/>
    <w:rsid w:val="007A39EA"/>
    <w:rsid w:val="007A3C0F"/>
    <w:rsid w:val="007A3DA1"/>
    <w:rsid w:val="007A4053"/>
    <w:rsid w:val="007A4173"/>
    <w:rsid w:val="007A4396"/>
    <w:rsid w:val="007A46BC"/>
    <w:rsid w:val="007A595D"/>
    <w:rsid w:val="007A5B9C"/>
    <w:rsid w:val="007A64D1"/>
    <w:rsid w:val="007A651A"/>
    <w:rsid w:val="007A7FC2"/>
    <w:rsid w:val="007B003A"/>
    <w:rsid w:val="007B1507"/>
    <w:rsid w:val="007B169D"/>
    <w:rsid w:val="007B2457"/>
    <w:rsid w:val="007B26C9"/>
    <w:rsid w:val="007B2C29"/>
    <w:rsid w:val="007B2F68"/>
    <w:rsid w:val="007B32B4"/>
    <w:rsid w:val="007B32D3"/>
    <w:rsid w:val="007B3957"/>
    <w:rsid w:val="007B4AFD"/>
    <w:rsid w:val="007B5875"/>
    <w:rsid w:val="007B62AB"/>
    <w:rsid w:val="007B648B"/>
    <w:rsid w:val="007B6799"/>
    <w:rsid w:val="007B6A78"/>
    <w:rsid w:val="007B6E5F"/>
    <w:rsid w:val="007B7384"/>
    <w:rsid w:val="007B7C0C"/>
    <w:rsid w:val="007B7D8D"/>
    <w:rsid w:val="007C00CB"/>
    <w:rsid w:val="007C0124"/>
    <w:rsid w:val="007C01CE"/>
    <w:rsid w:val="007C09D4"/>
    <w:rsid w:val="007C173C"/>
    <w:rsid w:val="007C1F79"/>
    <w:rsid w:val="007C2779"/>
    <w:rsid w:val="007C3C4B"/>
    <w:rsid w:val="007C42CE"/>
    <w:rsid w:val="007C44D3"/>
    <w:rsid w:val="007C4E6A"/>
    <w:rsid w:val="007C5010"/>
    <w:rsid w:val="007C5346"/>
    <w:rsid w:val="007C565D"/>
    <w:rsid w:val="007C5DE1"/>
    <w:rsid w:val="007C6169"/>
    <w:rsid w:val="007C62F2"/>
    <w:rsid w:val="007C63B4"/>
    <w:rsid w:val="007C6D65"/>
    <w:rsid w:val="007C6F00"/>
    <w:rsid w:val="007C76C8"/>
    <w:rsid w:val="007C7823"/>
    <w:rsid w:val="007C7D06"/>
    <w:rsid w:val="007C7FB2"/>
    <w:rsid w:val="007D004A"/>
    <w:rsid w:val="007D042D"/>
    <w:rsid w:val="007D1269"/>
    <w:rsid w:val="007D2A96"/>
    <w:rsid w:val="007D3145"/>
    <w:rsid w:val="007D33F7"/>
    <w:rsid w:val="007D34E4"/>
    <w:rsid w:val="007D395B"/>
    <w:rsid w:val="007D3D6A"/>
    <w:rsid w:val="007D424D"/>
    <w:rsid w:val="007D47FA"/>
    <w:rsid w:val="007D528D"/>
    <w:rsid w:val="007D5FC0"/>
    <w:rsid w:val="007D63F7"/>
    <w:rsid w:val="007D6581"/>
    <w:rsid w:val="007D660F"/>
    <w:rsid w:val="007D6F50"/>
    <w:rsid w:val="007D7156"/>
    <w:rsid w:val="007D7696"/>
    <w:rsid w:val="007D7C91"/>
    <w:rsid w:val="007E001F"/>
    <w:rsid w:val="007E099B"/>
    <w:rsid w:val="007E2928"/>
    <w:rsid w:val="007E2D4C"/>
    <w:rsid w:val="007E2E79"/>
    <w:rsid w:val="007E390F"/>
    <w:rsid w:val="007E4A89"/>
    <w:rsid w:val="007E4D62"/>
    <w:rsid w:val="007E55B4"/>
    <w:rsid w:val="007E5659"/>
    <w:rsid w:val="007E56A8"/>
    <w:rsid w:val="007E56CB"/>
    <w:rsid w:val="007E6072"/>
    <w:rsid w:val="007E60B2"/>
    <w:rsid w:val="007E6388"/>
    <w:rsid w:val="007E7361"/>
    <w:rsid w:val="007F01FC"/>
    <w:rsid w:val="007F07CB"/>
    <w:rsid w:val="007F09A5"/>
    <w:rsid w:val="007F1102"/>
    <w:rsid w:val="007F150E"/>
    <w:rsid w:val="007F1E07"/>
    <w:rsid w:val="007F1F8C"/>
    <w:rsid w:val="007F346C"/>
    <w:rsid w:val="007F37E7"/>
    <w:rsid w:val="007F3D56"/>
    <w:rsid w:val="007F46BE"/>
    <w:rsid w:val="007F4D8C"/>
    <w:rsid w:val="007F501D"/>
    <w:rsid w:val="007F5089"/>
    <w:rsid w:val="007F5092"/>
    <w:rsid w:val="007F510F"/>
    <w:rsid w:val="007F5225"/>
    <w:rsid w:val="007F5450"/>
    <w:rsid w:val="007F5EC8"/>
    <w:rsid w:val="007F6531"/>
    <w:rsid w:val="007F719C"/>
    <w:rsid w:val="007F722D"/>
    <w:rsid w:val="00800807"/>
    <w:rsid w:val="00800882"/>
    <w:rsid w:val="00801057"/>
    <w:rsid w:val="00801D20"/>
    <w:rsid w:val="00801F10"/>
    <w:rsid w:val="00802491"/>
    <w:rsid w:val="00802BF4"/>
    <w:rsid w:val="00803802"/>
    <w:rsid w:val="00803F69"/>
    <w:rsid w:val="00803F72"/>
    <w:rsid w:val="00803FB5"/>
    <w:rsid w:val="00804487"/>
    <w:rsid w:val="00804589"/>
    <w:rsid w:val="00805241"/>
    <w:rsid w:val="00805415"/>
    <w:rsid w:val="00805BCC"/>
    <w:rsid w:val="00805C1F"/>
    <w:rsid w:val="00806142"/>
    <w:rsid w:val="008063D0"/>
    <w:rsid w:val="008068EE"/>
    <w:rsid w:val="00806E8F"/>
    <w:rsid w:val="00810600"/>
    <w:rsid w:val="00810788"/>
    <w:rsid w:val="00810F80"/>
    <w:rsid w:val="00811773"/>
    <w:rsid w:val="00811787"/>
    <w:rsid w:val="00811BC7"/>
    <w:rsid w:val="00812E49"/>
    <w:rsid w:val="00812FCC"/>
    <w:rsid w:val="00813F4B"/>
    <w:rsid w:val="00815693"/>
    <w:rsid w:val="00815A2C"/>
    <w:rsid w:val="00815B1F"/>
    <w:rsid w:val="008166C3"/>
    <w:rsid w:val="008168E7"/>
    <w:rsid w:val="0081762D"/>
    <w:rsid w:val="00817CB1"/>
    <w:rsid w:val="00817F7D"/>
    <w:rsid w:val="00820438"/>
    <w:rsid w:val="00820623"/>
    <w:rsid w:val="00820F19"/>
    <w:rsid w:val="008210DB"/>
    <w:rsid w:val="00821208"/>
    <w:rsid w:val="008212BF"/>
    <w:rsid w:val="00821873"/>
    <w:rsid w:val="00821BE4"/>
    <w:rsid w:val="008222EE"/>
    <w:rsid w:val="00822823"/>
    <w:rsid w:val="00823827"/>
    <w:rsid w:val="00823B52"/>
    <w:rsid w:val="00824861"/>
    <w:rsid w:val="00824BBB"/>
    <w:rsid w:val="008253D9"/>
    <w:rsid w:val="00825420"/>
    <w:rsid w:val="00826C37"/>
    <w:rsid w:val="008279CF"/>
    <w:rsid w:val="008308F6"/>
    <w:rsid w:val="00830AD2"/>
    <w:rsid w:val="008317AF"/>
    <w:rsid w:val="008317E4"/>
    <w:rsid w:val="00831B2B"/>
    <w:rsid w:val="00831CF7"/>
    <w:rsid w:val="00831EF3"/>
    <w:rsid w:val="0083210F"/>
    <w:rsid w:val="00832BEA"/>
    <w:rsid w:val="00832F7A"/>
    <w:rsid w:val="00833450"/>
    <w:rsid w:val="00833AAB"/>
    <w:rsid w:val="00833D07"/>
    <w:rsid w:val="00833F21"/>
    <w:rsid w:val="00834657"/>
    <w:rsid w:val="0083465B"/>
    <w:rsid w:val="00834E67"/>
    <w:rsid w:val="00834FC9"/>
    <w:rsid w:val="00835744"/>
    <w:rsid w:val="0083590B"/>
    <w:rsid w:val="00835A11"/>
    <w:rsid w:val="00836082"/>
    <w:rsid w:val="008362E5"/>
    <w:rsid w:val="0083680C"/>
    <w:rsid w:val="00836BB3"/>
    <w:rsid w:val="00836C7D"/>
    <w:rsid w:val="00840138"/>
    <w:rsid w:val="008405A6"/>
    <w:rsid w:val="0084077D"/>
    <w:rsid w:val="008407BA"/>
    <w:rsid w:val="008408A9"/>
    <w:rsid w:val="00840D66"/>
    <w:rsid w:val="0084179B"/>
    <w:rsid w:val="00841A5A"/>
    <w:rsid w:val="00841FF1"/>
    <w:rsid w:val="0084296A"/>
    <w:rsid w:val="0084396D"/>
    <w:rsid w:val="008439A9"/>
    <w:rsid w:val="00844A1C"/>
    <w:rsid w:val="00844CA2"/>
    <w:rsid w:val="008451FD"/>
    <w:rsid w:val="008457B7"/>
    <w:rsid w:val="00845D64"/>
    <w:rsid w:val="008465DD"/>
    <w:rsid w:val="00846CB3"/>
    <w:rsid w:val="00846D99"/>
    <w:rsid w:val="00846DE2"/>
    <w:rsid w:val="00847966"/>
    <w:rsid w:val="00850800"/>
    <w:rsid w:val="00850C21"/>
    <w:rsid w:val="00851A3D"/>
    <w:rsid w:val="00851B3B"/>
    <w:rsid w:val="00851BBA"/>
    <w:rsid w:val="0085209F"/>
    <w:rsid w:val="00852760"/>
    <w:rsid w:val="0085385B"/>
    <w:rsid w:val="00853D3F"/>
    <w:rsid w:val="00853FD5"/>
    <w:rsid w:val="00854068"/>
    <w:rsid w:val="008553B2"/>
    <w:rsid w:val="00855524"/>
    <w:rsid w:val="00855DD2"/>
    <w:rsid w:val="00855DD5"/>
    <w:rsid w:val="00855FBB"/>
    <w:rsid w:val="00856368"/>
    <w:rsid w:val="0085694C"/>
    <w:rsid w:val="008569BC"/>
    <w:rsid w:val="00856B9D"/>
    <w:rsid w:val="008575C9"/>
    <w:rsid w:val="00857709"/>
    <w:rsid w:val="0086053E"/>
    <w:rsid w:val="008609A8"/>
    <w:rsid w:val="008612AF"/>
    <w:rsid w:val="00861C88"/>
    <w:rsid w:val="008624D1"/>
    <w:rsid w:val="00862E7C"/>
    <w:rsid w:val="008630AD"/>
    <w:rsid w:val="008632F0"/>
    <w:rsid w:val="008632F2"/>
    <w:rsid w:val="00863428"/>
    <w:rsid w:val="00863453"/>
    <w:rsid w:val="008635AE"/>
    <w:rsid w:val="00863CCA"/>
    <w:rsid w:val="0086422A"/>
    <w:rsid w:val="00864255"/>
    <w:rsid w:val="008645E6"/>
    <w:rsid w:val="00864629"/>
    <w:rsid w:val="008650DA"/>
    <w:rsid w:val="00865B08"/>
    <w:rsid w:val="0086677F"/>
    <w:rsid w:val="008679F0"/>
    <w:rsid w:val="00870AE1"/>
    <w:rsid w:val="00870E5C"/>
    <w:rsid w:val="00871823"/>
    <w:rsid w:val="00871C70"/>
    <w:rsid w:val="00871DF3"/>
    <w:rsid w:val="0087218E"/>
    <w:rsid w:val="00872760"/>
    <w:rsid w:val="008731D8"/>
    <w:rsid w:val="008731EA"/>
    <w:rsid w:val="00873310"/>
    <w:rsid w:val="008733CC"/>
    <w:rsid w:val="008735A6"/>
    <w:rsid w:val="00873879"/>
    <w:rsid w:val="00876729"/>
    <w:rsid w:val="00876FED"/>
    <w:rsid w:val="008772BE"/>
    <w:rsid w:val="00877741"/>
    <w:rsid w:val="008777AD"/>
    <w:rsid w:val="008778BA"/>
    <w:rsid w:val="00877C4B"/>
    <w:rsid w:val="00880367"/>
    <w:rsid w:val="00880607"/>
    <w:rsid w:val="00880621"/>
    <w:rsid w:val="00880767"/>
    <w:rsid w:val="00880A62"/>
    <w:rsid w:val="00880B70"/>
    <w:rsid w:val="00880F99"/>
    <w:rsid w:val="008822AA"/>
    <w:rsid w:val="008837A3"/>
    <w:rsid w:val="00884EDD"/>
    <w:rsid w:val="00884FF2"/>
    <w:rsid w:val="00885580"/>
    <w:rsid w:val="008859B7"/>
    <w:rsid w:val="0088608D"/>
    <w:rsid w:val="00886384"/>
    <w:rsid w:val="0088641E"/>
    <w:rsid w:val="00886F8C"/>
    <w:rsid w:val="00887DBF"/>
    <w:rsid w:val="008902B9"/>
    <w:rsid w:val="0089386B"/>
    <w:rsid w:val="00893FE7"/>
    <w:rsid w:val="008947E4"/>
    <w:rsid w:val="008950F3"/>
    <w:rsid w:val="00895619"/>
    <w:rsid w:val="0089578E"/>
    <w:rsid w:val="00896BC7"/>
    <w:rsid w:val="008A0D2C"/>
    <w:rsid w:val="008A17B4"/>
    <w:rsid w:val="008A1E44"/>
    <w:rsid w:val="008A28FF"/>
    <w:rsid w:val="008A33AA"/>
    <w:rsid w:val="008A34DC"/>
    <w:rsid w:val="008A3835"/>
    <w:rsid w:val="008A499F"/>
    <w:rsid w:val="008A52E3"/>
    <w:rsid w:val="008A546C"/>
    <w:rsid w:val="008A54FE"/>
    <w:rsid w:val="008A5EF2"/>
    <w:rsid w:val="008A6036"/>
    <w:rsid w:val="008A6F74"/>
    <w:rsid w:val="008A7DA2"/>
    <w:rsid w:val="008B069E"/>
    <w:rsid w:val="008B12A4"/>
    <w:rsid w:val="008B1350"/>
    <w:rsid w:val="008B18FC"/>
    <w:rsid w:val="008B2868"/>
    <w:rsid w:val="008B3B9E"/>
    <w:rsid w:val="008B3E84"/>
    <w:rsid w:val="008B5054"/>
    <w:rsid w:val="008B5AC8"/>
    <w:rsid w:val="008B5AE9"/>
    <w:rsid w:val="008B63B9"/>
    <w:rsid w:val="008B6AEB"/>
    <w:rsid w:val="008B7265"/>
    <w:rsid w:val="008B79FB"/>
    <w:rsid w:val="008C0BB3"/>
    <w:rsid w:val="008C14D6"/>
    <w:rsid w:val="008C1DC2"/>
    <w:rsid w:val="008C225D"/>
    <w:rsid w:val="008C2C28"/>
    <w:rsid w:val="008C2D23"/>
    <w:rsid w:val="008C2FC1"/>
    <w:rsid w:val="008C380B"/>
    <w:rsid w:val="008C3B92"/>
    <w:rsid w:val="008C439C"/>
    <w:rsid w:val="008C5355"/>
    <w:rsid w:val="008C5A45"/>
    <w:rsid w:val="008C5ADD"/>
    <w:rsid w:val="008C6DE5"/>
    <w:rsid w:val="008C7431"/>
    <w:rsid w:val="008C76C4"/>
    <w:rsid w:val="008C7840"/>
    <w:rsid w:val="008C7CB3"/>
    <w:rsid w:val="008D07F6"/>
    <w:rsid w:val="008D188E"/>
    <w:rsid w:val="008D1C3A"/>
    <w:rsid w:val="008D2D83"/>
    <w:rsid w:val="008D38E0"/>
    <w:rsid w:val="008D4F13"/>
    <w:rsid w:val="008D514D"/>
    <w:rsid w:val="008D5981"/>
    <w:rsid w:val="008D6275"/>
    <w:rsid w:val="008D63C9"/>
    <w:rsid w:val="008D6BD4"/>
    <w:rsid w:val="008D7117"/>
    <w:rsid w:val="008D72D9"/>
    <w:rsid w:val="008D7383"/>
    <w:rsid w:val="008D75D5"/>
    <w:rsid w:val="008D75DC"/>
    <w:rsid w:val="008D7924"/>
    <w:rsid w:val="008E05CC"/>
    <w:rsid w:val="008E07D2"/>
    <w:rsid w:val="008E0EB5"/>
    <w:rsid w:val="008E1CA9"/>
    <w:rsid w:val="008E2751"/>
    <w:rsid w:val="008E3A20"/>
    <w:rsid w:val="008E4208"/>
    <w:rsid w:val="008E5289"/>
    <w:rsid w:val="008E5BFA"/>
    <w:rsid w:val="008E5C62"/>
    <w:rsid w:val="008E60CE"/>
    <w:rsid w:val="008E659F"/>
    <w:rsid w:val="008E6DEB"/>
    <w:rsid w:val="008E6FE2"/>
    <w:rsid w:val="008E71AD"/>
    <w:rsid w:val="008E783E"/>
    <w:rsid w:val="008E79A2"/>
    <w:rsid w:val="008F04B9"/>
    <w:rsid w:val="008F1017"/>
    <w:rsid w:val="008F163E"/>
    <w:rsid w:val="008F1D26"/>
    <w:rsid w:val="008F1E61"/>
    <w:rsid w:val="008F3F04"/>
    <w:rsid w:val="008F4176"/>
    <w:rsid w:val="008F464D"/>
    <w:rsid w:val="008F55DD"/>
    <w:rsid w:val="008F6148"/>
    <w:rsid w:val="008F6E12"/>
    <w:rsid w:val="008F6E89"/>
    <w:rsid w:val="008F7F74"/>
    <w:rsid w:val="009008B1"/>
    <w:rsid w:val="00900EA4"/>
    <w:rsid w:val="009028C1"/>
    <w:rsid w:val="00903D67"/>
    <w:rsid w:val="00903D85"/>
    <w:rsid w:val="00903F2A"/>
    <w:rsid w:val="00904319"/>
    <w:rsid w:val="00906221"/>
    <w:rsid w:val="00906793"/>
    <w:rsid w:val="00906922"/>
    <w:rsid w:val="00907043"/>
    <w:rsid w:val="0090760B"/>
    <w:rsid w:val="00907962"/>
    <w:rsid w:val="009106BC"/>
    <w:rsid w:val="00911B87"/>
    <w:rsid w:val="009123C3"/>
    <w:rsid w:val="00912445"/>
    <w:rsid w:val="009125F6"/>
    <w:rsid w:val="00912AE3"/>
    <w:rsid w:val="009137CB"/>
    <w:rsid w:val="00913C69"/>
    <w:rsid w:val="009147D6"/>
    <w:rsid w:val="00915159"/>
    <w:rsid w:val="0091545D"/>
    <w:rsid w:val="00915470"/>
    <w:rsid w:val="009158E3"/>
    <w:rsid w:val="0091788D"/>
    <w:rsid w:val="00917CF2"/>
    <w:rsid w:val="00920748"/>
    <w:rsid w:val="009216C1"/>
    <w:rsid w:val="00923485"/>
    <w:rsid w:val="00923B75"/>
    <w:rsid w:val="00923F8C"/>
    <w:rsid w:val="00924911"/>
    <w:rsid w:val="00925DE4"/>
    <w:rsid w:val="009267CC"/>
    <w:rsid w:val="00926A36"/>
    <w:rsid w:val="00926A7D"/>
    <w:rsid w:val="009277EA"/>
    <w:rsid w:val="009301EF"/>
    <w:rsid w:val="009307A7"/>
    <w:rsid w:val="00932784"/>
    <w:rsid w:val="00932BCC"/>
    <w:rsid w:val="00933059"/>
    <w:rsid w:val="009338D2"/>
    <w:rsid w:val="00934A55"/>
    <w:rsid w:val="00934A74"/>
    <w:rsid w:val="00935B0E"/>
    <w:rsid w:val="0093668E"/>
    <w:rsid w:val="009366E7"/>
    <w:rsid w:val="00936D8A"/>
    <w:rsid w:val="00937334"/>
    <w:rsid w:val="0093774B"/>
    <w:rsid w:val="00937954"/>
    <w:rsid w:val="00940192"/>
    <w:rsid w:val="009407D6"/>
    <w:rsid w:val="00940A6A"/>
    <w:rsid w:val="0094179E"/>
    <w:rsid w:val="00941CEC"/>
    <w:rsid w:val="00942057"/>
    <w:rsid w:val="00942182"/>
    <w:rsid w:val="00942DEE"/>
    <w:rsid w:val="00943E07"/>
    <w:rsid w:val="009441F9"/>
    <w:rsid w:val="00944B9C"/>
    <w:rsid w:val="00944C87"/>
    <w:rsid w:val="00944C9D"/>
    <w:rsid w:val="00945B0D"/>
    <w:rsid w:val="00945D90"/>
    <w:rsid w:val="0094647A"/>
    <w:rsid w:val="00947472"/>
    <w:rsid w:val="00947F4A"/>
    <w:rsid w:val="00947F5C"/>
    <w:rsid w:val="00950C53"/>
    <w:rsid w:val="00950DB5"/>
    <w:rsid w:val="00950E6E"/>
    <w:rsid w:val="00951013"/>
    <w:rsid w:val="00951511"/>
    <w:rsid w:val="00951A4A"/>
    <w:rsid w:val="00951B14"/>
    <w:rsid w:val="009520FC"/>
    <w:rsid w:val="0095257B"/>
    <w:rsid w:val="0095335B"/>
    <w:rsid w:val="00953C30"/>
    <w:rsid w:val="009544A5"/>
    <w:rsid w:val="00955182"/>
    <w:rsid w:val="00955C77"/>
    <w:rsid w:val="00956D7D"/>
    <w:rsid w:val="00957779"/>
    <w:rsid w:val="00960F61"/>
    <w:rsid w:val="00961BF3"/>
    <w:rsid w:val="0096219A"/>
    <w:rsid w:val="00962361"/>
    <w:rsid w:val="009624C0"/>
    <w:rsid w:val="00962E07"/>
    <w:rsid w:val="00962F49"/>
    <w:rsid w:val="00963FAF"/>
    <w:rsid w:val="0096463A"/>
    <w:rsid w:val="0096471F"/>
    <w:rsid w:val="009647FF"/>
    <w:rsid w:val="009650F2"/>
    <w:rsid w:val="00965440"/>
    <w:rsid w:val="00965653"/>
    <w:rsid w:val="00965CED"/>
    <w:rsid w:val="00965F0B"/>
    <w:rsid w:val="0096715B"/>
    <w:rsid w:val="00967E48"/>
    <w:rsid w:val="00967E64"/>
    <w:rsid w:val="009705AB"/>
    <w:rsid w:val="00970CAB"/>
    <w:rsid w:val="00971117"/>
    <w:rsid w:val="00972323"/>
    <w:rsid w:val="00972717"/>
    <w:rsid w:val="009738AF"/>
    <w:rsid w:val="009738ED"/>
    <w:rsid w:val="00973D12"/>
    <w:rsid w:val="00973E97"/>
    <w:rsid w:val="009745A5"/>
    <w:rsid w:val="00974ED5"/>
    <w:rsid w:val="009750C0"/>
    <w:rsid w:val="009759FA"/>
    <w:rsid w:val="00975B07"/>
    <w:rsid w:val="00977225"/>
    <w:rsid w:val="00977A65"/>
    <w:rsid w:val="0098001A"/>
    <w:rsid w:val="00980259"/>
    <w:rsid w:val="009807AD"/>
    <w:rsid w:val="00980EC1"/>
    <w:rsid w:val="00981170"/>
    <w:rsid w:val="0098148D"/>
    <w:rsid w:val="00981BE7"/>
    <w:rsid w:val="00982113"/>
    <w:rsid w:val="0098294F"/>
    <w:rsid w:val="00982D2C"/>
    <w:rsid w:val="0098417E"/>
    <w:rsid w:val="00984FEA"/>
    <w:rsid w:val="00985043"/>
    <w:rsid w:val="00985094"/>
    <w:rsid w:val="009850CF"/>
    <w:rsid w:val="0098536D"/>
    <w:rsid w:val="009869DE"/>
    <w:rsid w:val="00986ED2"/>
    <w:rsid w:val="009872CC"/>
    <w:rsid w:val="00987454"/>
    <w:rsid w:val="00990313"/>
    <w:rsid w:val="009906DF"/>
    <w:rsid w:val="00990765"/>
    <w:rsid w:val="00990A07"/>
    <w:rsid w:val="009910C5"/>
    <w:rsid w:val="009913C6"/>
    <w:rsid w:val="009914B4"/>
    <w:rsid w:val="009918F7"/>
    <w:rsid w:val="00991C59"/>
    <w:rsid w:val="00992149"/>
    <w:rsid w:val="009921C5"/>
    <w:rsid w:val="00993A0E"/>
    <w:rsid w:val="00994710"/>
    <w:rsid w:val="00994A76"/>
    <w:rsid w:val="00994D36"/>
    <w:rsid w:val="00994DC7"/>
    <w:rsid w:val="00994E7F"/>
    <w:rsid w:val="00996329"/>
    <w:rsid w:val="0099670B"/>
    <w:rsid w:val="0099693C"/>
    <w:rsid w:val="00996E02"/>
    <w:rsid w:val="009977FC"/>
    <w:rsid w:val="009A1BE2"/>
    <w:rsid w:val="009A26D4"/>
    <w:rsid w:val="009A2CE2"/>
    <w:rsid w:val="009A31AA"/>
    <w:rsid w:val="009A5CA6"/>
    <w:rsid w:val="009A636F"/>
    <w:rsid w:val="009A67A6"/>
    <w:rsid w:val="009A67CC"/>
    <w:rsid w:val="009A77D2"/>
    <w:rsid w:val="009A7E90"/>
    <w:rsid w:val="009A7F73"/>
    <w:rsid w:val="009B0255"/>
    <w:rsid w:val="009B06E5"/>
    <w:rsid w:val="009B0BA7"/>
    <w:rsid w:val="009B1CF6"/>
    <w:rsid w:val="009B1EF5"/>
    <w:rsid w:val="009B2A3C"/>
    <w:rsid w:val="009B2AED"/>
    <w:rsid w:val="009B2D89"/>
    <w:rsid w:val="009B34F8"/>
    <w:rsid w:val="009B3BF8"/>
    <w:rsid w:val="009B4EE3"/>
    <w:rsid w:val="009B550C"/>
    <w:rsid w:val="009B5891"/>
    <w:rsid w:val="009B660A"/>
    <w:rsid w:val="009B7055"/>
    <w:rsid w:val="009B77C5"/>
    <w:rsid w:val="009B798E"/>
    <w:rsid w:val="009C0A29"/>
    <w:rsid w:val="009C16AA"/>
    <w:rsid w:val="009C16AE"/>
    <w:rsid w:val="009C172D"/>
    <w:rsid w:val="009C17EC"/>
    <w:rsid w:val="009C199D"/>
    <w:rsid w:val="009C1D4F"/>
    <w:rsid w:val="009C1F0B"/>
    <w:rsid w:val="009C31F9"/>
    <w:rsid w:val="009C39FB"/>
    <w:rsid w:val="009C3A1D"/>
    <w:rsid w:val="009C3AA2"/>
    <w:rsid w:val="009C44C7"/>
    <w:rsid w:val="009C458F"/>
    <w:rsid w:val="009C5C21"/>
    <w:rsid w:val="009C6375"/>
    <w:rsid w:val="009C6628"/>
    <w:rsid w:val="009C7452"/>
    <w:rsid w:val="009C77D7"/>
    <w:rsid w:val="009C7BF4"/>
    <w:rsid w:val="009C7F92"/>
    <w:rsid w:val="009D16AE"/>
    <w:rsid w:val="009D1E62"/>
    <w:rsid w:val="009D2705"/>
    <w:rsid w:val="009D27B4"/>
    <w:rsid w:val="009D2DE7"/>
    <w:rsid w:val="009D3260"/>
    <w:rsid w:val="009D45AA"/>
    <w:rsid w:val="009D4D95"/>
    <w:rsid w:val="009D56B8"/>
    <w:rsid w:val="009D5AF0"/>
    <w:rsid w:val="009D5D2A"/>
    <w:rsid w:val="009D5E55"/>
    <w:rsid w:val="009D66C9"/>
    <w:rsid w:val="009D6B47"/>
    <w:rsid w:val="009D73BF"/>
    <w:rsid w:val="009D764B"/>
    <w:rsid w:val="009D7A52"/>
    <w:rsid w:val="009D7C0C"/>
    <w:rsid w:val="009E1222"/>
    <w:rsid w:val="009E157A"/>
    <w:rsid w:val="009E1F2D"/>
    <w:rsid w:val="009E226B"/>
    <w:rsid w:val="009E2DD1"/>
    <w:rsid w:val="009E335D"/>
    <w:rsid w:val="009E3A66"/>
    <w:rsid w:val="009E3E8C"/>
    <w:rsid w:val="009E4061"/>
    <w:rsid w:val="009E5180"/>
    <w:rsid w:val="009E54E4"/>
    <w:rsid w:val="009E732A"/>
    <w:rsid w:val="009E7622"/>
    <w:rsid w:val="009E7D1D"/>
    <w:rsid w:val="009F06C8"/>
    <w:rsid w:val="009F0759"/>
    <w:rsid w:val="009F15E1"/>
    <w:rsid w:val="009F16AC"/>
    <w:rsid w:val="009F250A"/>
    <w:rsid w:val="009F2D9C"/>
    <w:rsid w:val="009F3A7B"/>
    <w:rsid w:val="009F3F1D"/>
    <w:rsid w:val="009F4DF9"/>
    <w:rsid w:val="009F5927"/>
    <w:rsid w:val="009F6A9D"/>
    <w:rsid w:val="009F6CD2"/>
    <w:rsid w:val="009F7085"/>
    <w:rsid w:val="009F77E0"/>
    <w:rsid w:val="009F79D1"/>
    <w:rsid w:val="00A001D5"/>
    <w:rsid w:val="00A01AE5"/>
    <w:rsid w:val="00A027CC"/>
    <w:rsid w:val="00A0291C"/>
    <w:rsid w:val="00A02F5A"/>
    <w:rsid w:val="00A035D0"/>
    <w:rsid w:val="00A03B31"/>
    <w:rsid w:val="00A03D5E"/>
    <w:rsid w:val="00A04324"/>
    <w:rsid w:val="00A043F0"/>
    <w:rsid w:val="00A047AF"/>
    <w:rsid w:val="00A0497C"/>
    <w:rsid w:val="00A0504D"/>
    <w:rsid w:val="00A055CC"/>
    <w:rsid w:val="00A05673"/>
    <w:rsid w:val="00A0567C"/>
    <w:rsid w:val="00A05BC4"/>
    <w:rsid w:val="00A066E7"/>
    <w:rsid w:val="00A06BE6"/>
    <w:rsid w:val="00A0759D"/>
    <w:rsid w:val="00A078FB"/>
    <w:rsid w:val="00A07C13"/>
    <w:rsid w:val="00A07E96"/>
    <w:rsid w:val="00A1009A"/>
    <w:rsid w:val="00A1015E"/>
    <w:rsid w:val="00A1021F"/>
    <w:rsid w:val="00A10424"/>
    <w:rsid w:val="00A10547"/>
    <w:rsid w:val="00A107FC"/>
    <w:rsid w:val="00A126BC"/>
    <w:rsid w:val="00A131D2"/>
    <w:rsid w:val="00A13F17"/>
    <w:rsid w:val="00A13F5B"/>
    <w:rsid w:val="00A140BB"/>
    <w:rsid w:val="00A14D50"/>
    <w:rsid w:val="00A15835"/>
    <w:rsid w:val="00A15D0B"/>
    <w:rsid w:val="00A16A51"/>
    <w:rsid w:val="00A16CB7"/>
    <w:rsid w:val="00A1754A"/>
    <w:rsid w:val="00A17CF9"/>
    <w:rsid w:val="00A204E7"/>
    <w:rsid w:val="00A20748"/>
    <w:rsid w:val="00A227A1"/>
    <w:rsid w:val="00A22988"/>
    <w:rsid w:val="00A22C8D"/>
    <w:rsid w:val="00A2422B"/>
    <w:rsid w:val="00A24E3A"/>
    <w:rsid w:val="00A252C4"/>
    <w:rsid w:val="00A261E1"/>
    <w:rsid w:val="00A27067"/>
    <w:rsid w:val="00A27140"/>
    <w:rsid w:val="00A279BB"/>
    <w:rsid w:val="00A27C2B"/>
    <w:rsid w:val="00A27CF5"/>
    <w:rsid w:val="00A30701"/>
    <w:rsid w:val="00A317CB"/>
    <w:rsid w:val="00A31920"/>
    <w:rsid w:val="00A3351D"/>
    <w:rsid w:val="00A3369C"/>
    <w:rsid w:val="00A34349"/>
    <w:rsid w:val="00A34D05"/>
    <w:rsid w:val="00A35123"/>
    <w:rsid w:val="00A35FB1"/>
    <w:rsid w:val="00A35FBE"/>
    <w:rsid w:val="00A36C76"/>
    <w:rsid w:val="00A37301"/>
    <w:rsid w:val="00A379C2"/>
    <w:rsid w:val="00A379F2"/>
    <w:rsid w:val="00A37B55"/>
    <w:rsid w:val="00A37BB1"/>
    <w:rsid w:val="00A37E03"/>
    <w:rsid w:val="00A410D6"/>
    <w:rsid w:val="00A41666"/>
    <w:rsid w:val="00A41CFB"/>
    <w:rsid w:val="00A42C29"/>
    <w:rsid w:val="00A43655"/>
    <w:rsid w:val="00A43B7A"/>
    <w:rsid w:val="00A4473C"/>
    <w:rsid w:val="00A500A0"/>
    <w:rsid w:val="00A50657"/>
    <w:rsid w:val="00A5148E"/>
    <w:rsid w:val="00A51A61"/>
    <w:rsid w:val="00A51DFF"/>
    <w:rsid w:val="00A5201D"/>
    <w:rsid w:val="00A5315D"/>
    <w:rsid w:val="00A53181"/>
    <w:rsid w:val="00A531C3"/>
    <w:rsid w:val="00A53B94"/>
    <w:rsid w:val="00A53C3D"/>
    <w:rsid w:val="00A53E77"/>
    <w:rsid w:val="00A540C6"/>
    <w:rsid w:val="00A54CF5"/>
    <w:rsid w:val="00A551B1"/>
    <w:rsid w:val="00A56101"/>
    <w:rsid w:val="00A5717D"/>
    <w:rsid w:val="00A57523"/>
    <w:rsid w:val="00A61221"/>
    <w:rsid w:val="00A613DE"/>
    <w:rsid w:val="00A61585"/>
    <w:rsid w:val="00A61699"/>
    <w:rsid w:val="00A61C62"/>
    <w:rsid w:val="00A62A35"/>
    <w:rsid w:val="00A6333C"/>
    <w:rsid w:val="00A63D59"/>
    <w:rsid w:val="00A63F13"/>
    <w:rsid w:val="00A65D70"/>
    <w:rsid w:val="00A66AE3"/>
    <w:rsid w:val="00A70069"/>
    <w:rsid w:val="00A701DA"/>
    <w:rsid w:val="00A70600"/>
    <w:rsid w:val="00A70A02"/>
    <w:rsid w:val="00A70D26"/>
    <w:rsid w:val="00A72444"/>
    <w:rsid w:val="00A724DF"/>
    <w:rsid w:val="00A729F1"/>
    <w:rsid w:val="00A72B2B"/>
    <w:rsid w:val="00A735BB"/>
    <w:rsid w:val="00A73775"/>
    <w:rsid w:val="00A73C3A"/>
    <w:rsid w:val="00A74656"/>
    <w:rsid w:val="00A74D20"/>
    <w:rsid w:val="00A750BA"/>
    <w:rsid w:val="00A7515E"/>
    <w:rsid w:val="00A75BA6"/>
    <w:rsid w:val="00A75EE3"/>
    <w:rsid w:val="00A762AC"/>
    <w:rsid w:val="00A7634F"/>
    <w:rsid w:val="00A76B6C"/>
    <w:rsid w:val="00A77737"/>
    <w:rsid w:val="00A800B5"/>
    <w:rsid w:val="00A8099C"/>
    <w:rsid w:val="00A80CC7"/>
    <w:rsid w:val="00A80D2C"/>
    <w:rsid w:val="00A813F4"/>
    <w:rsid w:val="00A82306"/>
    <w:rsid w:val="00A82583"/>
    <w:rsid w:val="00A826AE"/>
    <w:rsid w:val="00A82814"/>
    <w:rsid w:val="00A829EA"/>
    <w:rsid w:val="00A82FB4"/>
    <w:rsid w:val="00A83600"/>
    <w:rsid w:val="00A83FD5"/>
    <w:rsid w:val="00A8476A"/>
    <w:rsid w:val="00A850C8"/>
    <w:rsid w:val="00A850FE"/>
    <w:rsid w:val="00A851DD"/>
    <w:rsid w:val="00A854D9"/>
    <w:rsid w:val="00A85D11"/>
    <w:rsid w:val="00A85DB7"/>
    <w:rsid w:val="00A861EA"/>
    <w:rsid w:val="00A86E26"/>
    <w:rsid w:val="00A87927"/>
    <w:rsid w:val="00A87982"/>
    <w:rsid w:val="00A87D74"/>
    <w:rsid w:val="00A90F7D"/>
    <w:rsid w:val="00A91486"/>
    <w:rsid w:val="00A916ED"/>
    <w:rsid w:val="00A91F2A"/>
    <w:rsid w:val="00A92561"/>
    <w:rsid w:val="00A927BE"/>
    <w:rsid w:val="00A929ED"/>
    <w:rsid w:val="00A92A86"/>
    <w:rsid w:val="00A942E6"/>
    <w:rsid w:val="00A94502"/>
    <w:rsid w:val="00A94CFA"/>
    <w:rsid w:val="00A95605"/>
    <w:rsid w:val="00A968DE"/>
    <w:rsid w:val="00A96FBF"/>
    <w:rsid w:val="00A97103"/>
    <w:rsid w:val="00AA02A6"/>
    <w:rsid w:val="00AA091C"/>
    <w:rsid w:val="00AA127C"/>
    <w:rsid w:val="00AA1A7B"/>
    <w:rsid w:val="00AA1EDA"/>
    <w:rsid w:val="00AA26F6"/>
    <w:rsid w:val="00AA27F7"/>
    <w:rsid w:val="00AA2967"/>
    <w:rsid w:val="00AA3F39"/>
    <w:rsid w:val="00AA4233"/>
    <w:rsid w:val="00AA5067"/>
    <w:rsid w:val="00AA511F"/>
    <w:rsid w:val="00AA69BA"/>
    <w:rsid w:val="00AA7458"/>
    <w:rsid w:val="00AB040C"/>
    <w:rsid w:val="00AB0A0E"/>
    <w:rsid w:val="00AB25F3"/>
    <w:rsid w:val="00AB26A5"/>
    <w:rsid w:val="00AB4AEF"/>
    <w:rsid w:val="00AB5504"/>
    <w:rsid w:val="00AB5A28"/>
    <w:rsid w:val="00AB632F"/>
    <w:rsid w:val="00AB65A5"/>
    <w:rsid w:val="00AB69BC"/>
    <w:rsid w:val="00AB700A"/>
    <w:rsid w:val="00AB7116"/>
    <w:rsid w:val="00AC0556"/>
    <w:rsid w:val="00AC0749"/>
    <w:rsid w:val="00AC1332"/>
    <w:rsid w:val="00AC34DD"/>
    <w:rsid w:val="00AC41B4"/>
    <w:rsid w:val="00AC48F6"/>
    <w:rsid w:val="00AC4947"/>
    <w:rsid w:val="00AC59DF"/>
    <w:rsid w:val="00AC5F64"/>
    <w:rsid w:val="00AC6493"/>
    <w:rsid w:val="00AC6C62"/>
    <w:rsid w:val="00AC7407"/>
    <w:rsid w:val="00AC7C2E"/>
    <w:rsid w:val="00AC7E00"/>
    <w:rsid w:val="00AD1303"/>
    <w:rsid w:val="00AD1BB5"/>
    <w:rsid w:val="00AD21A3"/>
    <w:rsid w:val="00AD2463"/>
    <w:rsid w:val="00AD2985"/>
    <w:rsid w:val="00AD318F"/>
    <w:rsid w:val="00AD4948"/>
    <w:rsid w:val="00AD557B"/>
    <w:rsid w:val="00AD56C0"/>
    <w:rsid w:val="00AD7416"/>
    <w:rsid w:val="00AD7640"/>
    <w:rsid w:val="00AD76C6"/>
    <w:rsid w:val="00AD7817"/>
    <w:rsid w:val="00AD7E28"/>
    <w:rsid w:val="00AE1450"/>
    <w:rsid w:val="00AE180A"/>
    <w:rsid w:val="00AE1DB7"/>
    <w:rsid w:val="00AE2050"/>
    <w:rsid w:val="00AE3DF5"/>
    <w:rsid w:val="00AE4728"/>
    <w:rsid w:val="00AE57B4"/>
    <w:rsid w:val="00AE6CA7"/>
    <w:rsid w:val="00AF031C"/>
    <w:rsid w:val="00AF045B"/>
    <w:rsid w:val="00AF05AA"/>
    <w:rsid w:val="00AF06C7"/>
    <w:rsid w:val="00AF1041"/>
    <w:rsid w:val="00AF137B"/>
    <w:rsid w:val="00AF1543"/>
    <w:rsid w:val="00AF1C18"/>
    <w:rsid w:val="00AF211E"/>
    <w:rsid w:val="00AF2AA9"/>
    <w:rsid w:val="00AF2D52"/>
    <w:rsid w:val="00AF34F6"/>
    <w:rsid w:val="00AF3625"/>
    <w:rsid w:val="00AF5538"/>
    <w:rsid w:val="00AF56C4"/>
    <w:rsid w:val="00AF66F9"/>
    <w:rsid w:val="00AF6745"/>
    <w:rsid w:val="00AF6C23"/>
    <w:rsid w:val="00AF7568"/>
    <w:rsid w:val="00AF7F1B"/>
    <w:rsid w:val="00B00B35"/>
    <w:rsid w:val="00B00F8B"/>
    <w:rsid w:val="00B00FC9"/>
    <w:rsid w:val="00B01571"/>
    <w:rsid w:val="00B01827"/>
    <w:rsid w:val="00B01960"/>
    <w:rsid w:val="00B02596"/>
    <w:rsid w:val="00B02D9C"/>
    <w:rsid w:val="00B03D7F"/>
    <w:rsid w:val="00B03E5E"/>
    <w:rsid w:val="00B03F5D"/>
    <w:rsid w:val="00B04422"/>
    <w:rsid w:val="00B05046"/>
    <w:rsid w:val="00B0569F"/>
    <w:rsid w:val="00B05D6D"/>
    <w:rsid w:val="00B05E0A"/>
    <w:rsid w:val="00B064DF"/>
    <w:rsid w:val="00B070BE"/>
    <w:rsid w:val="00B07591"/>
    <w:rsid w:val="00B076E3"/>
    <w:rsid w:val="00B10C81"/>
    <w:rsid w:val="00B10DEA"/>
    <w:rsid w:val="00B10F0E"/>
    <w:rsid w:val="00B10F57"/>
    <w:rsid w:val="00B1103C"/>
    <w:rsid w:val="00B118D2"/>
    <w:rsid w:val="00B1211B"/>
    <w:rsid w:val="00B12745"/>
    <w:rsid w:val="00B12B7F"/>
    <w:rsid w:val="00B13C95"/>
    <w:rsid w:val="00B143B1"/>
    <w:rsid w:val="00B14650"/>
    <w:rsid w:val="00B147E9"/>
    <w:rsid w:val="00B14C4A"/>
    <w:rsid w:val="00B15339"/>
    <w:rsid w:val="00B156E7"/>
    <w:rsid w:val="00B15A8C"/>
    <w:rsid w:val="00B15C49"/>
    <w:rsid w:val="00B1658A"/>
    <w:rsid w:val="00B166A6"/>
    <w:rsid w:val="00B16AB1"/>
    <w:rsid w:val="00B20B5E"/>
    <w:rsid w:val="00B21A71"/>
    <w:rsid w:val="00B21E45"/>
    <w:rsid w:val="00B21F9A"/>
    <w:rsid w:val="00B23781"/>
    <w:rsid w:val="00B25570"/>
    <w:rsid w:val="00B25A3E"/>
    <w:rsid w:val="00B26973"/>
    <w:rsid w:val="00B26AF2"/>
    <w:rsid w:val="00B27697"/>
    <w:rsid w:val="00B27BB2"/>
    <w:rsid w:val="00B27DD8"/>
    <w:rsid w:val="00B302CB"/>
    <w:rsid w:val="00B307EB"/>
    <w:rsid w:val="00B30AC6"/>
    <w:rsid w:val="00B31797"/>
    <w:rsid w:val="00B31BC3"/>
    <w:rsid w:val="00B31CA9"/>
    <w:rsid w:val="00B32064"/>
    <w:rsid w:val="00B322A4"/>
    <w:rsid w:val="00B330B1"/>
    <w:rsid w:val="00B332C7"/>
    <w:rsid w:val="00B334F5"/>
    <w:rsid w:val="00B33D13"/>
    <w:rsid w:val="00B33E0D"/>
    <w:rsid w:val="00B34319"/>
    <w:rsid w:val="00B34E38"/>
    <w:rsid w:val="00B35CCE"/>
    <w:rsid w:val="00B35D33"/>
    <w:rsid w:val="00B35F67"/>
    <w:rsid w:val="00B36222"/>
    <w:rsid w:val="00B36B3A"/>
    <w:rsid w:val="00B37786"/>
    <w:rsid w:val="00B37FB4"/>
    <w:rsid w:val="00B40111"/>
    <w:rsid w:val="00B40149"/>
    <w:rsid w:val="00B407F1"/>
    <w:rsid w:val="00B409DA"/>
    <w:rsid w:val="00B4147F"/>
    <w:rsid w:val="00B41991"/>
    <w:rsid w:val="00B41B37"/>
    <w:rsid w:val="00B41FA8"/>
    <w:rsid w:val="00B424FB"/>
    <w:rsid w:val="00B455BD"/>
    <w:rsid w:val="00B45F5C"/>
    <w:rsid w:val="00B4677A"/>
    <w:rsid w:val="00B46C4B"/>
    <w:rsid w:val="00B5015E"/>
    <w:rsid w:val="00B5017A"/>
    <w:rsid w:val="00B518E0"/>
    <w:rsid w:val="00B51A1C"/>
    <w:rsid w:val="00B51E92"/>
    <w:rsid w:val="00B5237A"/>
    <w:rsid w:val="00B5325E"/>
    <w:rsid w:val="00B53776"/>
    <w:rsid w:val="00B53F69"/>
    <w:rsid w:val="00B540B4"/>
    <w:rsid w:val="00B54DB2"/>
    <w:rsid w:val="00B5547A"/>
    <w:rsid w:val="00B557C1"/>
    <w:rsid w:val="00B563EF"/>
    <w:rsid w:val="00B56578"/>
    <w:rsid w:val="00B5765C"/>
    <w:rsid w:val="00B604EA"/>
    <w:rsid w:val="00B61083"/>
    <w:rsid w:val="00B61837"/>
    <w:rsid w:val="00B619E8"/>
    <w:rsid w:val="00B61E0C"/>
    <w:rsid w:val="00B62151"/>
    <w:rsid w:val="00B621B1"/>
    <w:rsid w:val="00B626C3"/>
    <w:rsid w:val="00B62D98"/>
    <w:rsid w:val="00B633EE"/>
    <w:rsid w:val="00B63A06"/>
    <w:rsid w:val="00B63B16"/>
    <w:rsid w:val="00B64166"/>
    <w:rsid w:val="00B649C8"/>
    <w:rsid w:val="00B64C8A"/>
    <w:rsid w:val="00B712FD"/>
    <w:rsid w:val="00B7202E"/>
    <w:rsid w:val="00B72054"/>
    <w:rsid w:val="00B725CF"/>
    <w:rsid w:val="00B7267B"/>
    <w:rsid w:val="00B72862"/>
    <w:rsid w:val="00B73CDF"/>
    <w:rsid w:val="00B74B19"/>
    <w:rsid w:val="00B74B23"/>
    <w:rsid w:val="00B763A2"/>
    <w:rsid w:val="00B7682E"/>
    <w:rsid w:val="00B76832"/>
    <w:rsid w:val="00B7697A"/>
    <w:rsid w:val="00B770F1"/>
    <w:rsid w:val="00B80361"/>
    <w:rsid w:val="00B8098B"/>
    <w:rsid w:val="00B81D5A"/>
    <w:rsid w:val="00B82AF0"/>
    <w:rsid w:val="00B82FA8"/>
    <w:rsid w:val="00B83E35"/>
    <w:rsid w:val="00B84190"/>
    <w:rsid w:val="00B843B0"/>
    <w:rsid w:val="00B8557F"/>
    <w:rsid w:val="00B857B9"/>
    <w:rsid w:val="00B85C1B"/>
    <w:rsid w:val="00B8633D"/>
    <w:rsid w:val="00B86E49"/>
    <w:rsid w:val="00B86F1B"/>
    <w:rsid w:val="00B8719A"/>
    <w:rsid w:val="00B9006A"/>
    <w:rsid w:val="00B901C2"/>
    <w:rsid w:val="00B90909"/>
    <w:rsid w:val="00B90D92"/>
    <w:rsid w:val="00B91332"/>
    <w:rsid w:val="00B92184"/>
    <w:rsid w:val="00B92411"/>
    <w:rsid w:val="00B93224"/>
    <w:rsid w:val="00B94BCE"/>
    <w:rsid w:val="00B9546E"/>
    <w:rsid w:val="00B959B4"/>
    <w:rsid w:val="00B95C3F"/>
    <w:rsid w:val="00B9615A"/>
    <w:rsid w:val="00B96161"/>
    <w:rsid w:val="00B968EC"/>
    <w:rsid w:val="00B9709E"/>
    <w:rsid w:val="00B973ED"/>
    <w:rsid w:val="00B97C42"/>
    <w:rsid w:val="00B97EEB"/>
    <w:rsid w:val="00BA0511"/>
    <w:rsid w:val="00BA0709"/>
    <w:rsid w:val="00BA0BFE"/>
    <w:rsid w:val="00BA1142"/>
    <w:rsid w:val="00BA12A2"/>
    <w:rsid w:val="00BA138A"/>
    <w:rsid w:val="00BA1466"/>
    <w:rsid w:val="00BA1BA2"/>
    <w:rsid w:val="00BA1BC4"/>
    <w:rsid w:val="00BA1DCF"/>
    <w:rsid w:val="00BA226F"/>
    <w:rsid w:val="00BA2A4B"/>
    <w:rsid w:val="00BA3360"/>
    <w:rsid w:val="00BA377F"/>
    <w:rsid w:val="00BA37DF"/>
    <w:rsid w:val="00BA3D86"/>
    <w:rsid w:val="00BA4069"/>
    <w:rsid w:val="00BA5CE4"/>
    <w:rsid w:val="00BA5FC1"/>
    <w:rsid w:val="00BA67D8"/>
    <w:rsid w:val="00BA6E00"/>
    <w:rsid w:val="00BA79A0"/>
    <w:rsid w:val="00BB0006"/>
    <w:rsid w:val="00BB0222"/>
    <w:rsid w:val="00BB04D1"/>
    <w:rsid w:val="00BB0627"/>
    <w:rsid w:val="00BB1447"/>
    <w:rsid w:val="00BB1A5D"/>
    <w:rsid w:val="00BB2279"/>
    <w:rsid w:val="00BB28E7"/>
    <w:rsid w:val="00BB3183"/>
    <w:rsid w:val="00BB3587"/>
    <w:rsid w:val="00BB387E"/>
    <w:rsid w:val="00BB396F"/>
    <w:rsid w:val="00BB3991"/>
    <w:rsid w:val="00BB3C7F"/>
    <w:rsid w:val="00BB4265"/>
    <w:rsid w:val="00BB5BB8"/>
    <w:rsid w:val="00BB6406"/>
    <w:rsid w:val="00BB695E"/>
    <w:rsid w:val="00BB79B5"/>
    <w:rsid w:val="00BB7B42"/>
    <w:rsid w:val="00BC069F"/>
    <w:rsid w:val="00BC0A98"/>
    <w:rsid w:val="00BC0FB8"/>
    <w:rsid w:val="00BC14F6"/>
    <w:rsid w:val="00BC217E"/>
    <w:rsid w:val="00BC22D0"/>
    <w:rsid w:val="00BC28C4"/>
    <w:rsid w:val="00BC3542"/>
    <w:rsid w:val="00BC3ADE"/>
    <w:rsid w:val="00BC3EF0"/>
    <w:rsid w:val="00BC4929"/>
    <w:rsid w:val="00BC4CF8"/>
    <w:rsid w:val="00BC508B"/>
    <w:rsid w:val="00BC5224"/>
    <w:rsid w:val="00BC53CF"/>
    <w:rsid w:val="00BC5699"/>
    <w:rsid w:val="00BC5FFC"/>
    <w:rsid w:val="00BC6D7C"/>
    <w:rsid w:val="00BC74B5"/>
    <w:rsid w:val="00BC74B8"/>
    <w:rsid w:val="00BD0014"/>
    <w:rsid w:val="00BD034F"/>
    <w:rsid w:val="00BD0965"/>
    <w:rsid w:val="00BD0B6D"/>
    <w:rsid w:val="00BD0CE7"/>
    <w:rsid w:val="00BD0E68"/>
    <w:rsid w:val="00BD1B5E"/>
    <w:rsid w:val="00BD1E51"/>
    <w:rsid w:val="00BD22D9"/>
    <w:rsid w:val="00BD2CC5"/>
    <w:rsid w:val="00BD3433"/>
    <w:rsid w:val="00BD37D2"/>
    <w:rsid w:val="00BD3AA2"/>
    <w:rsid w:val="00BD4776"/>
    <w:rsid w:val="00BD575A"/>
    <w:rsid w:val="00BD58A2"/>
    <w:rsid w:val="00BD6056"/>
    <w:rsid w:val="00BD6079"/>
    <w:rsid w:val="00BD6722"/>
    <w:rsid w:val="00BD752F"/>
    <w:rsid w:val="00BD756B"/>
    <w:rsid w:val="00BD7EA6"/>
    <w:rsid w:val="00BE0294"/>
    <w:rsid w:val="00BE1856"/>
    <w:rsid w:val="00BE2372"/>
    <w:rsid w:val="00BE268F"/>
    <w:rsid w:val="00BE3E6C"/>
    <w:rsid w:val="00BE4168"/>
    <w:rsid w:val="00BE455B"/>
    <w:rsid w:val="00BE4AF1"/>
    <w:rsid w:val="00BE4B47"/>
    <w:rsid w:val="00BE5D4F"/>
    <w:rsid w:val="00BE640F"/>
    <w:rsid w:val="00BF0070"/>
    <w:rsid w:val="00BF012E"/>
    <w:rsid w:val="00BF01C7"/>
    <w:rsid w:val="00BF107D"/>
    <w:rsid w:val="00BF122D"/>
    <w:rsid w:val="00BF141D"/>
    <w:rsid w:val="00BF1684"/>
    <w:rsid w:val="00BF3094"/>
    <w:rsid w:val="00BF31F0"/>
    <w:rsid w:val="00BF3E82"/>
    <w:rsid w:val="00BF3F4C"/>
    <w:rsid w:val="00BF4F87"/>
    <w:rsid w:val="00BF5F4B"/>
    <w:rsid w:val="00BF685D"/>
    <w:rsid w:val="00BF7859"/>
    <w:rsid w:val="00BF7F71"/>
    <w:rsid w:val="00C0002F"/>
    <w:rsid w:val="00C000CE"/>
    <w:rsid w:val="00C00AF7"/>
    <w:rsid w:val="00C011A5"/>
    <w:rsid w:val="00C017D1"/>
    <w:rsid w:val="00C0198F"/>
    <w:rsid w:val="00C02CF2"/>
    <w:rsid w:val="00C03994"/>
    <w:rsid w:val="00C039AA"/>
    <w:rsid w:val="00C039EB"/>
    <w:rsid w:val="00C03C54"/>
    <w:rsid w:val="00C03D31"/>
    <w:rsid w:val="00C046EA"/>
    <w:rsid w:val="00C0479A"/>
    <w:rsid w:val="00C04B07"/>
    <w:rsid w:val="00C04B25"/>
    <w:rsid w:val="00C05067"/>
    <w:rsid w:val="00C051C8"/>
    <w:rsid w:val="00C0570D"/>
    <w:rsid w:val="00C05AD9"/>
    <w:rsid w:val="00C05FCF"/>
    <w:rsid w:val="00C061DA"/>
    <w:rsid w:val="00C068B9"/>
    <w:rsid w:val="00C07C1B"/>
    <w:rsid w:val="00C101D5"/>
    <w:rsid w:val="00C10320"/>
    <w:rsid w:val="00C108B4"/>
    <w:rsid w:val="00C10AB3"/>
    <w:rsid w:val="00C10FF0"/>
    <w:rsid w:val="00C11950"/>
    <w:rsid w:val="00C124C7"/>
    <w:rsid w:val="00C1276F"/>
    <w:rsid w:val="00C12A6C"/>
    <w:rsid w:val="00C12B07"/>
    <w:rsid w:val="00C12E94"/>
    <w:rsid w:val="00C12EBA"/>
    <w:rsid w:val="00C12FCF"/>
    <w:rsid w:val="00C130C4"/>
    <w:rsid w:val="00C13BF5"/>
    <w:rsid w:val="00C13D17"/>
    <w:rsid w:val="00C142AC"/>
    <w:rsid w:val="00C157D8"/>
    <w:rsid w:val="00C17179"/>
    <w:rsid w:val="00C1732B"/>
    <w:rsid w:val="00C17422"/>
    <w:rsid w:val="00C1746F"/>
    <w:rsid w:val="00C17C56"/>
    <w:rsid w:val="00C17D82"/>
    <w:rsid w:val="00C2040D"/>
    <w:rsid w:val="00C20B13"/>
    <w:rsid w:val="00C21160"/>
    <w:rsid w:val="00C211D7"/>
    <w:rsid w:val="00C21360"/>
    <w:rsid w:val="00C22961"/>
    <w:rsid w:val="00C2356C"/>
    <w:rsid w:val="00C2491E"/>
    <w:rsid w:val="00C252A5"/>
    <w:rsid w:val="00C25FF9"/>
    <w:rsid w:val="00C26BC5"/>
    <w:rsid w:val="00C3027F"/>
    <w:rsid w:val="00C308EC"/>
    <w:rsid w:val="00C32453"/>
    <w:rsid w:val="00C32513"/>
    <w:rsid w:val="00C325FB"/>
    <w:rsid w:val="00C3367B"/>
    <w:rsid w:val="00C3403D"/>
    <w:rsid w:val="00C342E3"/>
    <w:rsid w:val="00C345AD"/>
    <w:rsid w:val="00C360EC"/>
    <w:rsid w:val="00C36F46"/>
    <w:rsid w:val="00C37635"/>
    <w:rsid w:val="00C40771"/>
    <w:rsid w:val="00C40C45"/>
    <w:rsid w:val="00C40F4A"/>
    <w:rsid w:val="00C423D6"/>
    <w:rsid w:val="00C42BF1"/>
    <w:rsid w:val="00C430ED"/>
    <w:rsid w:val="00C43991"/>
    <w:rsid w:val="00C4413F"/>
    <w:rsid w:val="00C455F2"/>
    <w:rsid w:val="00C45E55"/>
    <w:rsid w:val="00C461B5"/>
    <w:rsid w:val="00C46300"/>
    <w:rsid w:val="00C47A90"/>
    <w:rsid w:val="00C47D96"/>
    <w:rsid w:val="00C5013A"/>
    <w:rsid w:val="00C507C8"/>
    <w:rsid w:val="00C5087A"/>
    <w:rsid w:val="00C51986"/>
    <w:rsid w:val="00C51BDF"/>
    <w:rsid w:val="00C51DCC"/>
    <w:rsid w:val="00C524C2"/>
    <w:rsid w:val="00C52ED5"/>
    <w:rsid w:val="00C53B80"/>
    <w:rsid w:val="00C541A4"/>
    <w:rsid w:val="00C54201"/>
    <w:rsid w:val="00C54368"/>
    <w:rsid w:val="00C543C6"/>
    <w:rsid w:val="00C54450"/>
    <w:rsid w:val="00C54B32"/>
    <w:rsid w:val="00C54C56"/>
    <w:rsid w:val="00C55ECC"/>
    <w:rsid w:val="00C56753"/>
    <w:rsid w:val="00C56EA0"/>
    <w:rsid w:val="00C57174"/>
    <w:rsid w:val="00C57291"/>
    <w:rsid w:val="00C57DF3"/>
    <w:rsid w:val="00C60347"/>
    <w:rsid w:val="00C60AC0"/>
    <w:rsid w:val="00C60BE7"/>
    <w:rsid w:val="00C61B07"/>
    <w:rsid w:val="00C61BC7"/>
    <w:rsid w:val="00C623C4"/>
    <w:rsid w:val="00C62B3C"/>
    <w:rsid w:val="00C62D24"/>
    <w:rsid w:val="00C63EF2"/>
    <w:rsid w:val="00C645C1"/>
    <w:rsid w:val="00C649C5"/>
    <w:rsid w:val="00C65D88"/>
    <w:rsid w:val="00C65E0C"/>
    <w:rsid w:val="00C6685B"/>
    <w:rsid w:val="00C668C9"/>
    <w:rsid w:val="00C66D38"/>
    <w:rsid w:val="00C673A7"/>
    <w:rsid w:val="00C6783F"/>
    <w:rsid w:val="00C704CA"/>
    <w:rsid w:val="00C70B4D"/>
    <w:rsid w:val="00C71911"/>
    <w:rsid w:val="00C73140"/>
    <w:rsid w:val="00C73855"/>
    <w:rsid w:val="00C73ABE"/>
    <w:rsid w:val="00C74260"/>
    <w:rsid w:val="00C74263"/>
    <w:rsid w:val="00C74367"/>
    <w:rsid w:val="00C7488E"/>
    <w:rsid w:val="00C74ACB"/>
    <w:rsid w:val="00C74DA6"/>
    <w:rsid w:val="00C750E2"/>
    <w:rsid w:val="00C753C2"/>
    <w:rsid w:val="00C7594F"/>
    <w:rsid w:val="00C75EC7"/>
    <w:rsid w:val="00C76476"/>
    <w:rsid w:val="00C76AC7"/>
    <w:rsid w:val="00C7708F"/>
    <w:rsid w:val="00C774E0"/>
    <w:rsid w:val="00C77643"/>
    <w:rsid w:val="00C77EAD"/>
    <w:rsid w:val="00C8086A"/>
    <w:rsid w:val="00C80B68"/>
    <w:rsid w:val="00C81131"/>
    <w:rsid w:val="00C811D2"/>
    <w:rsid w:val="00C81896"/>
    <w:rsid w:val="00C81DE9"/>
    <w:rsid w:val="00C82454"/>
    <w:rsid w:val="00C827D9"/>
    <w:rsid w:val="00C82C83"/>
    <w:rsid w:val="00C82D95"/>
    <w:rsid w:val="00C830D9"/>
    <w:rsid w:val="00C84193"/>
    <w:rsid w:val="00C850AF"/>
    <w:rsid w:val="00C854AC"/>
    <w:rsid w:val="00C854E5"/>
    <w:rsid w:val="00C8595F"/>
    <w:rsid w:val="00C8642E"/>
    <w:rsid w:val="00C876F8"/>
    <w:rsid w:val="00C9022E"/>
    <w:rsid w:val="00C90F90"/>
    <w:rsid w:val="00C9145D"/>
    <w:rsid w:val="00C91540"/>
    <w:rsid w:val="00C92701"/>
    <w:rsid w:val="00C92C33"/>
    <w:rsid w:val="00C9327D"/>
    <w:rsid w:val="00C93682"/>
    <w:rsid w:val="00C943E1"/>
    <w:rsid w:val="00C9524F"/>
    <w:rsid w:val="00C964AD"/>
    <w:rsid w:val="00C971AF"/>
    <w:rsid w:val="00C97367"/>
    <w:rsid w:val="00C97827"/>
    <w:rsid w:val="00C97964"/>
    <w:rsid w:val="00C97C71"/>
    <w:rsid w:val="00CA06D3"/>
    <w:rsid w:val="00CA0C22"/>
    <w:rsid w:val="00CA0D1A"/>
    <w:rsid w:val="00CA0D96"/>
    <w:rsid w:val="00CA1316"/>
    <w:rsid w:val="00CA21B4"/>
    <w:rsid w:val="00CA2D30"/>
    <w:rsid w:val="00CA2D7D"/>
    <w:rsid w:val="00CA4367"/>
    <w:rsid w:val="00CA48F1"/>
    <w:rsid w:val="00CA4D8F"/>
    <w:rsid w:val="00CA4E70"/>
    <w:rsid w:val="00CA5371"/>
    <w:rsid w:val="00CA5B43"/>
    <w:rsid w:val="00CA5CD2"/>
    <w:rsid w:val="00CA6606"/>
    <w:rsid w:val="00CA6F7D"/>
    <w:rsid w:val="00CA7122"/>
    <w:rsid w:val="00CB0596"/>
    <w:rsid w:val="00CB0E7C"/>
    <w:rsid w:val="00CB186E"/>
    <w:rsid w:val="00CB22F6"/>
    <w:rsid w:val="00CB2B5B"/>
    <w:rsid w:val="00CB2BC0"/>
    <w:rsid w:val="00CB4045"/>
    <w:rsid w:val="00CB44BA"/>
    <w:rsid w:val="00CB46CF"/>
    <w:rsid w:val="00CB479D"/>
    <w:rsid w:val="00CB47E9"/>
    <w:rsid w:val="00CB52A3"/>
    <w:rsid w:val="00CB5899"/>
    <w:rsid w:val="00CB6298"/>
    <w:rsid w:val="00CB6663"/>
    <w:rsid w:val="00CB67FB"/>
    <w:rsid w:val="00CB6C54"/>
    <w:rsid w:val="00CB7A12"/>
    <w:rsid w:val="00CB7BDC"/>
    <w:rsid w:val="00CC00D8"/>
    <w:rsid w:val="00CC0719"/>
    <w:rsid w:val="00CC0D71"/>
    <w:rsid w:val="00CC1A4A"/>
    <w:rsid w:val="00CC2EF2"/>
    <w:rsid w:val="00CC34DB"/>
    <w:rsid w:val="00CC3915"/>
    <w:rsid w:val="00CC3C3B"/>
    <w:rsid w:val="00CC5DAA"/>
    <w:rsid w:val="00CC623B"/>
    <w:rsid w:val="00CC62ED"/>
    <w:rsid w:val="00CC6423"/>
    <w:rsid w:val="00CC728B"/>
    <w:rsid w:val="00CC75A4"/>
    <w:rsid w:val="00CD0696"/>
    <w:rsid w:val="00CD06D6"/>
    <w:rsid w:val="00CD1130"/>
    <w:rsid w:val="00CD14B2"/>
    <w:rsid w:val="00CD21AD"/>
    <w:rsid w:val="00CD248F"/>
    <w:rsid w:val="00CD2851"/>
    <w:rsid w:val="00CD2936"/>
    <w:rsid w:val="00CD2DC4"/>
    <w:rsid w:val="00CD3E51"/>
    <w:rsid w:val="00CD6177"/>
    <w:rsid w:val="00CD6540"/>
    <w:rsid w:val="00CD72B6"/>
    <w:rsid w:val="00CD77B8"/>
    <w:rsid w:val="00CE0BD4"/>
    <w:rsid w:val="00CE0CCB"/>
    <w:rsid w:val="00CE0F37"/>
    <w:rsid w:val="00CE139F"/>
    <w:rsid w:val="00CE19FD"/>
    <w:rsid w:val="00CE1C38"/>
    <w:rsid w:val="00CE2AC7"/>
    <w:rsid w:val="00CE2ED3"/>
    <w:rsid w:val="00CE36EB"/>
    <w:rsid w:val="00CE38B6"/>
    <w:rsid w:val="00CE394A"/>
    <w:rsid w:val="00CE40E3"/>
    <w:rsid w:val="00CE4672"/>
    <w:rsid w:val="00CE5C18"/>
    <w:rsid w:val="00CE6764"/>
    <w:rsid w:val="00CE6E16"/>
    <w:rsid w:val="00CE6E37"/>
    <w:rsid w:val="00CE7AA9"/>
    <w:rsid w:val="00CE7DAE"/>
    <w:rsid w:val="00CF03C3"/>
    <w:rsid w:val="00CF14A1"/>
    <w:rsid w:val="00CF170A"/>
    <w:rsid w:val="00CF1970"/>
    <w:rsid w:val="00CF1DE7"/>
    <w:rsid w:val="00CF3A27"/>
    <w:rsid w:val="00CF3B54"/>
    <w:rsid w:val="00CF459B"/>
    <w:rsid w:val="00CF5085"/>
    <w:rsid w:val="00CF51DA"/>
    <w:rsid w:val="00CF5647"/>
    <w:rsid w:val="00CF5953"/>
    <w:rsid w:val="00CF600D"/>
    <w:rsid w:val="00CF62F0"/>
    <w:rsid w:val="00CF69B8"/>
    <w:rsid w:val="00CF6A15"/>
    <w:rsid w:val="00CF6AB7"/>
    <w:rsid w:val="00CF6D5A"/>
    <w:rsid w:val="00CF713E"/>
    <w:rsid w:val="00CF75B6"/>
    <w:rsid w:val="00CF766D"/>
    <w:rsid w:val="00CF78E3"/>
    <w:rsid w:val="00CF7ADA"/>
    <w:rsid w:val="00D00ADB"/>
    <w:rsid w:val="00D00BF2"/>
    <w:rsid w:val="00D00FC2"/>
    <w:rsid w:val="00D013D7"/>
    <w:rsid w:val="00D01708"/>
    <w:rsid w:val="00D01C89"/>
    <w:rsid w:val="00D01DC1"/>
    <w:rsid w:val="00D02199"/>
    <w:rsid w:val="00D02244"/>
    <w:rsid w:val="00D02869"/>
    <w:rsid w:val="00D02D96"/>
    <w:rsid w:val="00D03DC1"/>
    <w:rsid w:val="00D04119"/>
    <w:rsid w:val="00D043E5"/>
    <w:rsid w:val="00D045CB"/>
    <w:rsid w:val="00D04671"/>
    <w:rsid w:val="00D047D4"/>
    <w:rsid w:val="00D047F6"/>
    <w:rsid w:val="00D052C6"/>
    <w:rsid w:val="00D053B8"/>
    <w:rsid w:val="00D05530"/>
    <w:rsid w:val="00D06082"/>
    <w:rsid w:val="00D0656F"/>
    <w:rsid w:val="00D06BE5"/>
    <w:rsid w:val="00D06EF2"/>
    <w:rsid w:val="00D10691"/>
    <w:rsid w:val="00D1078E"/>
    <w:rsid w:val="00D10FBF"/>
    <w:rsid w:val="00D11B5E"/>
    <w:rsid w:val="00D12480"/>
    <w:rsid w:val="00D1274C"/>
    <w:rsid w:val="00D12C08"/>
    <w:rsid w:val="00D12D4C"/>
    <w:rsid w:val="00D158F8"/>
    <w:rsid w:val="00D15B74"/>
    <w:rsid w:val="00D161C0"/>
    <w:rsid w:val="00D173D2"/>
    <w:rsid w:val="00D17767"/>
    <w:rsid w:val="00D17ABD"/>
    <w:rsid w:val="00D17B78"/>
    <w:rsid w:val="00D2030E"/>
    <w:rsid w:val="00D2059D"/>
    <w:rsid w:val="00D20ADA"/>
    <w:rsid w:val="00D20E94"/>
    <w:rsid w:val="00D20F3F"/>
    <w:rsid w:val="00D20F55"/>
    <w:rsid w:val="00D219C7"/>
    <w:rsid w:val="00D21C0C"/>
    <w:rsid w:val="00D220D8"/>
    <w:rsid w:val="00D22886"/>
    <w:rsid w:val="00D22B69"/>
    <w:rsid w:val="00D22EB3"/>
    <w:rsid w:val="00D22FF5"/>
    <w:rsid w:val="00D23817"/>
    <w:rsid w:val="00D23CDD"/>
    <w:rsid w:val="00D23D9C"/>
    <w:rsid w:val="00D246D0"/>
    <w:rsid w:val="00D24AF9"/>
    <w:rsid w:val="00D2505B"/>
    <w:rsid w:val="00D25E16"/>
    <w:rsid w:val="00D2616A"/>
    <w:rsid w:val="00D27AA8"/>
    <w:rsid w:val="00D27C83"/>
    <w:rsid w:val="00D302DF"/>
    <w:rsid w:val="00D3034B"/>
    <w:rsid w:val="00D30ED5"/>
    <w:rsid w:val="00D3157F"/>
    <w:rsid w:val="00D31899"/>
    <w:rsid w:val="00D319D2"/>
    <w:rsid w:val="00D31D45"/>
    <w:rsid w:val="00D31DA7"/>
    <w:rsid w:val="00D32ABC"/>
    <w:rsid w:val="00D330DB"/>
    <w:rsid w:val="00D3372F"/>
    <w:rsid w:val="00D33BC8"/>
    <w:rsid w:val="00D346A3"/>
    <w:rsid w:val="00D34D2F"/>
    <w:rsid w:val="00D361D5"/>
    <w:rsid w:val="00D36A79"/>
    <w:rsid w:val="00D3776B"/>
    <w:rsid w:val="00D37DC0"/>
    <w:rsid w:val="00D4031A"/>
    <w:rsid w:val="00D4082B"/>
    <w:rsid w:val="00D408B4"/>
    <w:rsid w:val="00D41091"/>
    <w:rsid w:val="00D4178E"/>
    <w:rsid w:val="00D41C8C"/>
    <w:rsid w:val="00D421F3"/>
    <w:rsid w:val="00D424C6"/>
    <w:rsid w:val="00D43DEC"/>
    <w:rsid w:val="00D43E85"/>
    <w:rsid w:val="00D4401A"/>
    <w:rsid w:val="00D44828"/>
    <w:rsid w:val="00D45602"/>
    <w:rsid w:val="00D47072"/>
    <w:rsid w:val="00D47D37"/>
    <w:rsid w:val="00D47FCA"/>
    <w:rsid w:val="00D521BD"/>
    <w:rsid w:val="00D534CB"/>
    <w:rsid w:val="00D535F1"/>
    <w:rsid w:val="00D53802"/>
    <w:rsid w:val="00D53A67"/>
    <w:rsid w:val="00D54052"/>
    <w:rsid w:val="00D546EF"/>
    <w:rsid w:val="00D5473A"/>
    <w:rsid w:val="00D548D9"/>
    <w:rsid w:val="00D54C43"/>
    <w:rsid w:val="00D54EFF"/>
    <w:rsid w:val="00D55614"/>
    <w:rsid w:val="00D57997"/>
    <w:rsid w:val="00D57C41"/>
    <w:rsid w:val="00D57F7C"/>
    <w:rsid w:val="00D57F92"/>
    <w:rsid w:val="00D6122C"/>
    <w:rsid w:val="00D61295"/>
    <w:rsid w:val="00D615A7"/>
    <w:rsid w:val="00D61892"/>
    <w:rsid w:val="00D61E0B"/>
    <w:rsid w:val="00D6332A"/>
    <w:rsid w:val="00D63E4E"/>
    <w:rsid w:val="00D63F85"/>
    <w:rsid w:val="00D6490A"/>
    <w:rsid w:val="00D64BE2"/>
    <w:rsid w:val="00D656C6"/>
    <w:rsid w:val="00D66190"/>
    <w:rsid w:val="00D661A2"/>
    <w:rsid w:val="00D665EE"/>
    <w:rsid w:val="00D67E42"/>
    <w:rsid w:val="00D702CE"/>
    <w:rsid w:val="00D7031D"/>
    <w:rsid w:val="00D70411"/>
    <w:rsid w:val="00D704C2"/>
    <w:rsid w:val="00D7062D"/>
    <w:rsid w:val="00D71378"/>
    <w:rsid w:val="00D7196C"/>
    <w:rsid w:val="00D71995"/>
    <w:rsid w:val="00D71C17"/>
    <w:rsid w:val="00D7262A"/>
    <w:rsid w:val="00D73A9D"/>
    <w:rsid w:val="00D73D8E"/>
    <w:rsid w:val="00D74FF8"/>
    <w:rsid w:val="00D7500A"/>
    <w:rsid w:val="00D756B1"/>
    <w:rsid w:val="00D757E8"/>
    <w:rsid w:val="00D758CE"/>
    <w:rsid w:val="00D75B38"/>
    <w:rsid w:val="00D764A5"/>
    <w:rsid w:val="00D76BA1"/>
    <w:rsid w:val="00D77EDB"/>
    <w:rsid w:val="00D77FFB"/>
    <w:rsid w:val="00D80DBD"/>
    <w:rsid w:val="00D8113C"/>
    <w:rsid w:val="00D81212"/>
    <w:rsid w:val="00D815B5"/>
    <w:rsid w:val="00D816BF"/>
    <w:rsid w:val="00D81973"/>
    <w:rsid w:val="00D81DAB"/>
    <w:rsid w:val="00D821B4"/>
    <w:rsid w:val="00D82422"/>
    <w:rsid w:val="00D82C97"/>
    <w:rsid w:val="00D83013"/>
    <w:rsid w:val="00D834BC"/>
    <w:rsid w:val="00D83A1C"/>
    <w:rsid w:val="00D83A4E"/>
    <w:rsid w:val="00D8464D"/>
    <w:rsid w:val="00D85BE1"/>
    <w:rsid w:val="00D85E77"/>
    <w:rsid w:val="00D876B0"/>
    <w:rsid w:val="00D87711"/>
    <w:rsid w:val="00D8793A"/>
    <w:rsid w:val="00D8799B"/>
    <w:rsid w:val="00D87D56"/>
    <w:rsid w:val="00D909F1"/>
    <w:rsid w:val="00D90AD5"/>
    <w:rsid w:val="00D911E6"/>
    <w:rsid w:val="00D91989"/>
    <w:rsid w:val="00D92660"/>
    <w:rsid w:val="00D92B72"/>
    <w:rsid w:val="00D93187"/>
    <w:rsid w:val="00D937FE"/>
    <w:rsid w:val="00D944C1"/>
    <w:rsid w:val="00D94B05"/>
    <w:rsid w:val="00D95AD4"/>
    <w:rsid w:val="00D95CC8"/>
    <w:rsid w:val="00D97D83"/>
    <w:rsid w:val="00DA00AB"/>
    <w:rsid w:val="00DA0C4F"/>
    <w:rsid w:val="00DA1022"/>
    <w:rsid w:val="00DA12B5"/>
    <w:rsid w:val="00DA1A1C"/>
    <w:rsid w:val="00DA2A94"/>
    <w:rsid w:val="00DA3D26"/>
    <w:rsid w:val="00DA4556"/>
    <w:rsid w:val="00DA4678"/>
    <w:rsid w:val="00DA4CA7"/>
    <w:rsid w:val="00DA5593"/>
    <w:rsid w:val="00DA56CD"/>
    <w:rsid w:val="00DA5DB8"/>
    <w:rsid w:val="00DA7202"/>
    <w:rsid w:val="00DA72B2"/>
    <w:rsid w:val="00DA72BA"/>
    <w:rsid w:val="00DB066B"/>
    <w:rsid w:val="00DB0A2D"/>
    <w:rsid w:val="00DB1712"/>
    <w:rsid w:val="00DB1750"/>
    <w:rsid w:val="00DB1893"/>
    <w:rsid w:val="00DB194D"/>
    <w:rsid w:val="00DB200D"/>
    <w:rsid w:val="00DB3268"/>
    <w:rsid w:val="00DB3517"/>
    <w:rsid w:val="00DB36C4"/>
    <w:rsid w:val="00DB3D37"/>
    <w:rsid w:val="00DB3ED8"/>
    <w:rsid w:val="00DB3F45"/>
    <w:rsid w:val="00DB412A"/>
    <w:rsid w:val="00DB450C"/>
    <w:rsid w:val="00DB4806"/>
    <w:rsid w:val="00DB4E5B"/>
    <w:rsid w:val="00DB5819"/>
    <w:rsid w:val="00DB5A12"/>
    <w:rsid w:val="00DB6E48"/>
    <w:rsid w:val="00DC090E"/>
    <w:rsid w:val="00DC0A9B"/>
    <w:rsid w:val="00DC1018"/>
    <w:rsid w:val="00DC10F1"/>
    <w:rsid w:val="00DC19E9"/>
    <w:rsid w:val="00DC2A89"/>
    <w:rsid w:val="00DC2F09"/>
    <w:rsid w:val="00DC30B4"/>
    <w:rsid w:val="00DC33F3"/>
    <w:rsid w:val="00DC39C3"/>
    <w:rsid w:val="00DC3B2B"/>
    <w:rsid w:val="00DC4179"/>
    <w:rsid w:val="00DC531C"/>
    <w:rsid w:val="00DC5577"/>
    <w:rsid w:val="00DC5912"/>
    <w:rsid w:val="00DC5B57"/>
    <w:rsid w:val="00DC603C"/>
    <w:rsid w:val="00DC632F"/>
    <w:rsid w:val="00DC6401"/>
    <w:rsid w:val="00DC70E0"/>
    <w:rsid w:val="00DC72D5"/>
    <w:rsid w:val="00DC7B98"/>
    <w:rsid w:val="00DC7D73"/>
    <w:rsid w:val="00DD10F0"/>
    <w:rsid w:val="00DD1817"/>
    <w:rsid w:val="00DD1DC5"/>
    <w:rsid w:val="00DD22C6"/>
    <w:rsid w:val="00DD23F5"/>
    <w:rsid w:val="00DD2E24"/>
    <w:rsid w:val="00DD3848"/>
    <w:rsid w:val="00DD3B29"/>
    <w:rsid w:val="00DD48BC"/>
    <w:rsid w:val="00DD50ED"/>
    <w:rsid w:val="00DD63CC"/>
    <w:rsid w:val="00DD6723"/>
    <w:rsid w:val="00DD7966"/>
    <w:rsid w:val="00DD79D4"/>
    <w:rsid w:val="00DD7F4E"/>
    <w:rsid w:val="00DE01E7"/>
    <w:rsid w:val="00DE093A"/>
    <w:rsid w:val="00DE0986"/>
    <w:rsid w:val="00DE0BAA"/>
    <w:rsid w:val="00DE1814"/>
    <w:rsid w:val="00DE1C1F"/>
    <w:rsid w:val="00DE2756"/>
    <w:rsid w:val="00DE27B7"/>
    <w:rsid w:val="00DE32CE"/>
    <w:rsid w:val="00DE32F2"/>
    <w:rsid w:val="00DE5B7B"/>
    <w:rsid w:val="00DE715A"/>
    <w:rsid w:val="00DE71FE"/>
    <w:rsid w:val="00DE7437"/>
    <w:rsid w:val="00DE7A6D"/>
    <w:rsid w:val="00DF0054"/>
    <w:rsid w:val="00DF0492"/>
    <w:rsid w:val="00DF06CC"/>
    <w:rsid w:val="00DF0982"/>
    <w:rsid w:val="00DF153C"/>
    <w:rsid w:val="00DF1B1D"/>
    <w:rsid w:val="00DF1FAE"/>
    <w:rsid w:val="00DF1FB1"/>
    <w:rsid w:val="00DF262E"/>
    <w:rsid w:val="00DF277B"/>
    <w:rsid w:val="00DF5A84"/>
    <w:rsid w:val="00DF5E7E"/>
    <w:rsid w:val="00DF674A"/>
    <w:rsid w:val="00DF6815"/>
    <w:rsid w:val="00DF6854"/>
    <w:rsid w:val="00DF68FA"/>
    <w:rsid w:val="00DF6F04"/>
    <w:rsid w:val="00DF7320"/>
    <w:rsid w:val="00DF793B"/>
    <w:rsid w:val="00DF7C25"/>
    <w:rsid w:val="00E0198C"/>
    <w:rsid w:val="00E01A40"/>
    <w:rsid w:val="00E01A9A"/>
    <w:rsid w:val="00E02096"/>
    <w:rsid w:val="00E026CC"/>
    <w:rsid w:val="00E026E6"/>
    <w:rsid w:val="00E032B4"/>
    <w:rsid w:val="00E0337C"/>
    <w:rsid w:val="00E03623"/>
    <w:rsid w:val="00E04198"/>
    <w:rsid w:val="00E04F8C"/>
    <w:rsid w:val="00E0599D"/>
    <w:rsid w:val="00E06341"/>
    <w:rsid w:val="00E06D98"/>
    <w:rsid w:val="00E073D3"/>
    <w:rsid w:val="00E07585"/>
    <w:rsid w:val="00E07667"/>
    <w:rsid w:val="00E07B68"/>
    <w:rsid w:val="00E104AF"/>
    <w:rsid w:val="00E105F8"/>
    <w:rsid w:val="00E1092D"/>
    <w:rsid w:val="00E10FAE"/>
    <w:rsid w:val="00E11405"/>
    <w:rsid w:val="00E114A1"/>
    <w:rsid w:val="00E116B1"/>
    <w:rsid w:val="00E119E9"/>
    <w:rsid w:val="00E1278C"/>
    <w:rsid w:val="00E13551"/>
    <w:rsid w:val="00E14087"/>
    <w:rsid w:val="00E14360"/>
    <w:rsid w:val="00E143E7"/>
    <w:rsid w:val="00E14867"/>
    <w:rsid w:val="00E14C30"/>
    <w:rsid w:val="00E15168"/>
    <w:rsid w:val="00E15230"/>
    <w:rsid w:val="00E155CC"/>
    <w:rsid w:val="00E15B7C"/>
    <w:rsid w:val="00E15C98"/>
    <w:rsid w:val="00E161CE"/>
    <w:rsid w:val="00E16AC1"/>
    <w:rsid w:val="00E16ED0"/>
    <w:rsid w:val="00E17274"/>
    <w:rsid w:val="00E1754C"/>
    <w:rsid w:val="00E1761E"/>
    <w:rsid w:val="00E178B0"/>
    <w:rsid w:val="00E204C9"/>
    <w:rsid w:val="00E20830"/>
    <w:rsid w:val="00E20AC8"/>
    <w:rsid w:val="00E20E27"/>
    <w:rsid w:val="00E213F6"/>
    <w:rsid w:val="00E22024"/>
    <w:rsid w:val="00E22A05"/>
    <w:rsid w:val="00E22F6B"/>
    <w:rsid w:val="00E23F1F"/>
    <w:rsid w:val="00E2462F"/>
    <w:rsid w:val="00E24EF1"/>
    <w:rsid w:val="00E25B57"/>
    <w:rsid w:val="00E2742D"/>
    <w:rsid w:val="00E27780"/>
    <w:rsid w:val="00E27E40"/>
    <w:rsid w:val="00E30467"/>
    <w:rsid w:val="00E30786"/>
    <w:rsid w:val="00E31106"/>
    <w:rsid w:val="00E314DD"/>
    <w:rsid w:val="00E32A37"/>
    <w:rsid w:val="00E32BAE"/>
    <w:rsid w:val="00E32CD6"/>
    <w:rsid w:val="00E3310B"/>
    <w:rsid w:val="00E3325C"/>
    <w:rsid w:val="00E334F5"/>
    <w:rsid w:val="00E33AF3"/>
    <w:rsid w:val="00E33C3B"/>
    <w:rsid w:val="00E3401C"/>
    <w:rsid w:val="00E34ED7"/>
    <w:rsid w:val="00E3560C"/>
    <w:rsid w:val="00E356B6"/>
    <w:rsid w:val="00E367D4"/>
    <w:rsid w:val="00E36934"/>
    <w:rsid w:val="00E373C0"/>
    <w:rsid w:val="00E4054B"/>
    <w:rsid w:val="00E40C4B"/>
    <w:rsid w:val="00E4104B"/>
    <w:rsid w:val="00E41135"/>
    <w:rsid w:val="00E412DF"/>
    <w:rsid w:val="00E4425F"/>
    <w:rsid w:val="00E44839"/>
    <w:rsid w:val="00E4538B"/>
    <w:rsid w:val="00E45DEA"/>
    <w:rsid w:val="00E5002E"/>
    <w:rsid w:val="00E50A6F"/>
    <w:rsid w:val="00E516EA"/>
    <w:rsid w:val="00E51C8C"/>
    <w:rsid w:val="00E52448"/>
    <w:rsid w:val="00E54B25"/>
    <w:rsid w:val="00E54E03"/>
    <w:rsid w:val="00E54F4F"/>
    <w:rsid w:val="00E54F90"/>
    <w:rsid w:val="00E5526F"/>
    <w:rsid w:val="00E55A01"/>
    <w:rsid w:val="00E55F4E"/>
    <w:rsid w:val="00E56A7E"/>
    <w:rsid w:val="00E56C72"/>
    <w:rsid w:val="00E574DD"/>
    <w:rsid w:val="00E5755E"/>
    <w:rsid w:val="00E6029F"/>
    <w:rsid w:val="00E604C6"/>
    <w:rsid w:val="00E615A2"/>
    <w:rsid w:val="00E61614"/>
    <w:rsid w:val="00E61EF5"/>
    <w:rsid w:val="00E62279"/>
    <w:rsid w:val="00E622DE"/>
    <w:rsid w:val="00E625A8"/>
    <w:rsid w:val="00E63E9E"/>
    <w:rsid w:val="00E63FC3"/>
    <w:rsid w:val="00E64750"/>
    <w:rsid w:val="00E648DF"/>
    <w:rsid w:val="00E6518E"/>
    <w:rsid w:val="00E6522C"/>
    <w:rsid w:val="00E65AA5"/>
    <w:rsid w:val="00E65D67"/>
    <w:rsid w:val="00E65D98"/>
    <w:rsid w:val="00E66D0E"/>
    <w:rsid w:val="00E709C8"/>
    <w:rsid w:val="00E71675"/>
    <w:rsid w:val="00E716B0"/>
    <w:rsid w:val="00E71B64"/>
    <w:rsid w:val="00E71E95"/>
    <w:rsid w:val="00E72325"/>
    <w:rsid w:val="00E73255"/>
    <w:rsid w:val="00E7535D"/>
    <w:rsid w:val="00E7571F"/>
    <w:rsid w:val="00E75856"/>
    <w:rsid w:val="00E75922"/>
    <w:rsid w:val="00E76504"/>
    <w:rsid w:val="00E76559"/>
    <w:rsid w:val="00E7655E"/>
    <w:rsid w:val="00E76714"/>
    <w:rsid w:val="00E772DD"/>
    <w:rsid w:val="00E7771D"/>
    <w:rsid w:val="00E77DF4"/>
    <w:rsid w:val="00E80156"/>
    <w:rsid w:val="00E807A3"/>
    <w:rsid w:val="00E80FB6"/>
    <w:rsid w:val="00E819C1"/>
    <w:rsid w:val="00E82C1B"/>
    <w:rsid w:val="00E831E0"/>
    <w:rsid w:val="00E83387"/>
    <w:rsid w:val="00E83A08"/>
    <w:rsid w:val="00E83E66"/>
    <w:rsid w:val="00E84C02"/>
    <w:rsid w:val="00E850F7"/>
    <w:rsid w:val="00E85886"/>
    <w:rsid w:val="00E85963"/>
    <w:rsid w:val="00E859D0"/>
    <w:rsid w:val="00E86073"/>
    <w:rsid w:val="00E8629D"/>
    <w:rsid w:val="00E86B25"/>
    <w:rsid w:val="00E86B44"/>
    <w:rsid w:val="00E90C19"/>
    <w:rsid w:val="00E90F60"/>
    <w:rsid w:val="00E911D4"/>
    <w:rsid w:val="00E93511"/>
    <w:rsid w:val="00E94C96"/>
    <w:rsid w:val="00E954A1"/>
    <w:rsid w:val="00E96263"/>
    <w:rsid w:val="00E96A15"/>
    <w:rsid w:val="00E96B5D"/>
    <w:rsid w:val="00E96D33"/>
    <w:rsid w:val="00E96D75"/>
    <w:rsid w:val="00E96E87"/>
    <w:rsid w:val="00E975A1"/>
    <w:rsid w:val="00E97C7F"/>
    <w:rsid w:val="00EA0274"/>
    <w:rsid w:val="00EA09A2"/>
    <w:rsid w:val="00EA0AB2"/>
    <w:rsid w:val="00EA11B2"/>
    <w:rsid w:val="00EA18FF"/>
    <w:rsid w:val="00EA1A00"/>
    <w:rsid w:val="00EA1D07"/>
    <w:rsid w:val="00EA2CBA"/>
    <w:rsid w:val="00EA2EB4"/>
    <w:rsid w:val="00EA4586"/>
    <w:rsid w:val="00EA4F7E"/>
    <w:rsid w:val="00EA5077"/>
    <w:rsid w:val="00EA50CC"/>
    <w:rsid w:val="00EA55FA"/>
    <w:rsid w:val="00EA5BB4"/>
    <w:rsid w:val="00EA6941"/>
    <w:rsid w:val="00EA6E97"/>
    <w:rsid w:val="00EA7EEE"/>
    <w:rsid w:val="00EA7FED"/>
    <w:rsid w:val="00EB0103"/>
    <w:rsid w:val="00EB0382"/>
    <w:rsid w:val="00EB1166"/>
    <w:rsid w:val="00EB1209"/>
    <w:rsid w:val="00EB186E"/>
    <w:rsid w:val="00EB1B8B"/>
    <w:rsid w:val="00EB1BC7"/>
    <w:rsid w:val="00EB2590"/>
    <w:rsid w:val="00EB25D0"/>
    <w:rsid w:val="00EB2988"/>
    <w:rsid w:val="00EB3DDA"/>
    <w:rsid w:val="00EB4D36"/>
    <w:rsid w:val="00EB56BE"/>
    <w:rsid w:val="00EB584A"/>
    <w:rsid w:val="00EB6519"/>
    <w:rsid w:val="00EB671A"/>
    <w:rsid w:val="00EB6DC0"/>
    <w:rsid w:val="00EB6E40"/>
    <w:rsid w:val="00EB6F5F"/>
    <w:rsid w:val="00EB744D"/>
    <w:rsid w:val="00EB75B1"/>
    <w:rsid w:val="00EC0C81"/>
    <w:rsid w:val="00EC1238"/>
    <w:rsid w:val="00EC13BF"/>
    <w:rsid w:val="00EC1617"/>
    <w:rsid w:val="00EC2D09"/>
    <w:rsid w:val="00EC2DB0"/>
    <w:rsid w:val="00EC3296"/>
    <w:rsid w:val="00EC3612"/>
    <w:rsid w:val="00EC3635"/>
    <w:rsid w:val="00EC38A3"/>
    <w:rsid w:val="00EC3BC2"/>
    <w:rsid w:val="00EC44A3"/>
    <w:rsid w:val="00EC45EE"/>
    <w:rsid w:val="00EC53B1"/>
    <w:rsid w:val="00EC5428"/>
    <w:rsid w:val="00EC5BD6"/>
    <w:rsid w:val="00EC6041"/>
    <w:rsid w:val="00EC65B9"/>
    <w:rsid w:val="00EC6820"/>
    <w:rsid w:val="00EC71B4"/>
    <w:rsid w:val="00ED09EB"/>
    <w:rsid w:val="00ED1E85"/>
    <w:rsid w:val="00ED21F7"/>
    <w:rsid w:val="00ED2F36"/>
    <w:rsid w:val="00ED315A"/>
    <w:rsid w:val="00ED3B77"/>
    <w:rsid w:val="00ED40D1"/>
    <w:rsid w:val="00ED4329"/>
    <w:rsid w:val="00ED462B"/>
    <w:rsid w:val="00ED4784"/>
    <w:rsid w:val="00ED4BB0"/>
    <w:rsid w:val="00ED4CF2"/>
    <w:rsid w:val="00ED53F2"/>
    <w:rsid w:val="00ED62B5"/>
    <w:rsid w:val="00ED687E"/>
    <w:rsid w:val="00ED6DF5"/>
    <w:rsid w:val="00ED71D4"/>
    <w:rsid w:val="00ED7C0E"/>
    <w:rsid w:val="00ED7FC0"/>
    <w:rsid w:val="00EE0810"/>
    <w:rsid w:val="00EE17FE"/>
    <w:rsid w:val="00EE1C1F"/>
    <w:rsid w:val="00EE22C7"/>
    <w:rsid w:val="00EE2A7B"/>
    <w:rsid w:val="00EE4289"/>
    <w:rsid w:val="00EE453C"/>
    <w:rsid w:val="00EE531D"/>
    <w:rsid w:val="00EE5A8D"/>
    <w:rsid w:val="00EE5B16"/>
    <w:rsid w:val="00EE6459"/>
    <w:rsid w:val="00EE6FE4"/>
    <w:rsid w:val="00EE77D6"/>
    <w:rsid w:val="00EF132E"/>
    <w:rsid w:val="00EF136D"/>
    <w:rsid w:val="00EF1554"/>
    <w:rsid w:val="00EF1FEE"/>
    <w:rsid w:val="00EF2A05"/>
    <w:rsid w:val="00EF2D06"/>
    <w:rsid w:val="00EF33DE"/>
    <w:rsid w:val="00EF3931"/>
    <w:rsid w:val="00EF3A49"/>
    <w:rsid w:val="00EF42B9"/>
    <w:rsid w:val="00EF4639"/>
    <w:rsid w:val="00EF548E"/>
    <w:rsid w:val="00EF6383"/>
    <w:rsid w:val="00EF7188"/>
    <w:rsid w:val="00EF743A"/>
    <w:rsid w:val="00EF74FC"/>
    <w:rsid w:val="00EF7783"/>
    <w:rsid w:val="00EF7846"/>
    <w:rsid w:val="00EF7C66"/>
    <w:rsid w:val="00EF7D8F"/>
    <w:rsid w:val="00F007DF"/>
    <w:rsid w:val="00F00D3C"/>
    <w:rsid w:val="00F01528"/>
    <w:rsid w:val="00F03AFE"/>
    <w:rsid w:val="00F04546"/>
    <w:rsid w:val="00F0486D"/>
    <w:rsid w:val="00F05D84"/>
    <w:rsid w:val="00F06FCF"/>
    <w:rsid w:val="00F0738C"/>
    <w:rsid w:val="00F10976"/>
    <w:rsid w:val="00F11E24"/>
    <w:rsid w:val="00F1213C"/>
    <w:rsid w:val="00F12D8C"/>
    <w:rsid w:val="00F130AF"/>
    <w:rsid w:val="00F134D2"/>
    <w:rsid w:val="00F13507"/>
    <w:rsid w:val="00F13615"/>
    <w:rsid w:val="00F162FA"/>
    <w:rsid w:val="00F17B36"/>
    <w:rsid w:val="00F206B7"/>
    <w:rsid w:val="00F20FB7"/>
    <w:rsid w:val="00F21056"/>
    <w:rsid w:val="00F21194"/>
    <w:rsid w:val="00F220C1"/>
    <w:rsid w:val="00F227F2"/>
    <w:rsid w:val="00F23B27"/>
    <w:rsid w:val="00F23C94"/>
    <w:rsid w:val="00F24401"/>
    <w:rsid w:val="00F244AE"/>
    <w:rsid w:val="00F245F4"/>
    <w:rsid w:val="00F247B1"/>
    <w:rsid w:val="00F247EB"/>
    <w:rsid w:val="00F25573"/>
    <w:rsid w:val="00F25CCB"/>
    <w:rsid w:val="00F25CED"/>
    <w:rsid w:val="00F263A9"/>
    <w:rsid w:val="00F263C6"/>
    <w:rsid w:val="00F27EE1"/>
    <w:rsid w:val="00F3030A"/>
    <w:rsid w:val="00F31064"/>
    <w:rsid w:val="00F31D66"/>
    <w:rsid w:val="00F3237A"/>
    <w:rsid w:val="00F32434"/>
    <w:rsid w:val="00F3265A"/>
    <w:rsid w:val="00F32C67"/>
    <w:rsid w:val="00F33488"/>
    <w:rsid w:val="00F33F6B"/>
    <w:rsid w:val="00F34006"/>
    <w:rsid w:val="00F341C7"/>
    <w:rsid w:val="00F34918"/>
    <w:rsid w:val="00F35616"/>
    <w:rsid w:val="00F3591C"/>
    <w:rsid w:val="00F372EF"/>
    <w:rsid w:val="00F37648"/>
    <w:rsid w:val="00F37BB5"/>
    <w:rsid w:val="00F37DBB"/>
    <w:rsid w:val="00F40BFD"/>
    <w:rsid w:val="00F40C3A"/>
    <w:rsid w:val="00F40CFB"/>
    <w:rsid w:val="00F40DB4"/>
    <w:rsid w:val="00F40EE1"/>
    <w:rsid w:val="00F41A2F"/>
    <w:rsid w:val="00F41A5B"/>
    <w:rsid w:val="00F426FB"/>
    <w:rsid w:val="00F42A89"/>
    <w:rsid w:val="00F42BAA"/>
    <w:rsid w:val="00F436F7"/>
    <w:rsid w:val="00F43832"/>
    <w:rsid w:val="00F43878"/>
    <w:rsid w:val="00F43953"/>
    <w:rsid w:val="00F43F15"/>
    <w:rsid w:val="00F44087"/>
    <w:rsid w:val="00F44476"/>
    <w:rsid w:val="00F44781"/>
    <w:rsid w:val="00F45744"/>
    <w:rsid w:val="00F458AB"/>
    <w:rsid w:val="00F459F5"/>
    <w:rsid w:val="00F45D32"/>
    <w:rsid w:val="00F45E87"/>
    <w:rsid w:val="00F45FAD"/>
    <w:rsid w:val="00F46135"/>
    <w:rsid w:val="00F461FF"/>
    <w:rsid w:val="00F474AB"/>
    <w:rsid w:val="00F475F0"/>
    <w:rsid w:val="00F4764E"/>
    <w:rsid w:val="00F47F06"/>
    <w:rsid w:val="00F500C3"/>
    <w:rsid w:val="00F50A1A"/>
    <w:rsid w:val="00F515C0"/>
    <w:rsid w:val="00F5174D"/>
    <w:rsid w:val="00F523E9"/>
    <w:rsid w:val="00F52E08"/>
    <w:rsid w:val="00F52F4D"/>
    <w:rsid w:val="00F53C28"/>
    <w:rsid w:val="00F54723"/>
    <w:rsid w:val="00F54843"/>
    <w:rsid w:val="00F54F79"/>
    <w:rsid w:val="00F5506B"/>
    <w:rsid w:val="00F563CC"/>
    <w:rsid w:val="00F5696E"/>
    <w:rsid w:val="00F56EC2"/>
    <w:rsid w:val="00F60487"/>
    <w:rsid w:val="00F60523"/>
    <w:rsid w:val="00F60906"/>
    <w:rsid w:val="00F609CA"/>
    <w:rsid w:val="00F60E65"/>
    <w:rsid w:val="00F61807"/>
    <w:rsid w:val="00F61DA1"/>
    <w:rsid w:val="00F61DF0"/>
    <w:rsid w:val="00F62826"/>
    <w:rsid w:val="00F634EF"/>
    <w:rsid w:val="00F635A7"/>
    <w:rsid w:val="00F638B1"/>
    <w:rsid w:val="00F63E7E"/>
    <w:rsid w:val="00F64187"/>
    <w:rsid w:val="00F645A7"/>
    <w:rsid w:val="00F648C7"/>
    <w:rsid w:val="00F64E41"/>
    <w:rsid w:val="00F65E96"/>
    <w:rsid w:val="00F66842"/>
    <w:rsid w:val="00F67A42"/>
    <w:rsid w:val="00F67BA7"/>
    <w:rsid w:val="00F67D35"/>
    <w:rsid w:val="00F700BC"/>
    <w:rsid w:val="00F71C01"/>
    <w:rsid w:val="00F7289E"/>
    <w:rsid w:val="00F72A74"/>
    <w:rsid w:val="00F72DC7"/>
    <w:rsid w:val="00F73961"/>
    <w:rsid w:val="00F74C22"/>
    <w:rsid w:val="00F756AB"/>
    <w:rsid w:val="00F75FE0"/>
    <w:rsid w:val="00F7604E"/>
    <w:rsid w:val="00F76A81"/>
    <w:rsid w:val="00F76C85"/>
    <w:rsid w:val="00F76FCC"/>
    <w:rsid w:val="00F77790"/>
    <w:rsid w:val="00F77807"/>
    <w:rsid w:val="00F77F12"/>
    <w:rsid w:val="00F808DA"/>
    <w:rsid w:val="00F80F65"/>
    <w:rsid w:val="00F811C5"/>
    <w:rsid w:val="00F81EE2"/>
    <w:rsid w:val="00F81F20"/>
    <w:rsid w:val="00F82A73"/>
    <w:rsid w:val="00F833E0"/>
    <w:rsid w:val="00F83CCE"/>
    <w:rsid w:val="00F83D50"/>
    <w:rsid w:val="00F843EA"/>
    <w:rsid w:val="00F8532B"/>
    <w:rsid w:val="00F85A4D"/>
    <w:rsid w:val="00F86301"/>
    <w:rsid w:val="00F868F4"/>
    <w:rsid w:val="00F86985"/>
    <w:rsid w:val="00F87F7A"/>
    <w:rsid w:val="00F9026C"/>
    <w:rsid w:val="00F90EDD"/>
    <w:rsid w:val="00F91146"/>
    <w:rsid w:val="00F912C4"/>
    <w:rsid w:val="00F91938"/>
    <w:rsid w:val="00F91FCE"/>
    <w:rsid w:val="00F9356C"/>
    <w:rsid w:val="00F94265"/>
    <w:rsid w:val="00F94722"/>
    <w:rsid w:val="00F94A15"/>
    <w:rsid w:val="00F95A4B"/>
    <w:rsid w:val="00F97653"/>
    <w:rsid w:val="00FA0396"/>
    <w:rsid w:val="00FA1F41"/>
    <w:rsid w:val="00FA20DD"/>
    <w:rsid w:val="00FA2432"/>
    <w:rsid w:val="00FA250D"/>
    <w:rsid w:val="00FA265A"/>
    <w:rsid w:val="00FA2E61"/>
    <w:rsid w:val="00FA3094"/>
    <w:rsid w:val="00FA3846"/>
    <w:rsid w:val="00FA49F3"/>
    <w:rsid w:val="00FA4FD4"/>
    <w:rsid w:val="00FA5431"/>
    <w:rsid w:val="00FA54F3"/>
    <w:rsid w:val="00FA5D38"/>
    <w:rsid w:val="00FA5F78"/>
    <w:rsid w:val="00FA63D4"/>
    <w:rsid w:val="00FA6493"/>
    <w:rsid w:val="00FA64C1"/>
    <w:rsid w:val="00FA66D0"/>
    <w:rsid w:val="00FA6E6B"/>
    <w:rsid w:val="00FA771C"/>
    <w:rsid w:val="00FA7BF8"/>
    <w:rsid w:val="00FB0CED"/>
    <w:rsid w:val="00FB17C3"/>
    <w:rsid w:val="00FB3244"/>
    <w:rsid w:val="00FB361C"/>
    <w:rsid w:val="00FB416D"/>
    <w:rsid w:val="00FB4676"/>
    <w:rsid w:val="00FB52EB"/>
    <w:rsid w:val="00FB5A21"/>
    <w:rsid w:val="00FB64F8"/>
    <w:rsid w:val="00FB765E"/>
    <w:rsid w:val="00FB781B"/>
    <w:rsid w:val="00FB798F"/>
    <w:rsid w:val="00FB7FCC"/>
    <w:rsid w:val="00FC012F"/>
    <w:rsid w:val="00FC05A3"/>
    <w:rsid w:val="00FC0DB0"/>
    <w:rsid w:val="00FC1F59"/>
    <w:rsid w:val="00FC2541"/>
    <w:rsid w:val="00FC25B9"/>
    <w:rsid w:val="00FC4021"/>
    <w:rsid w:val="00FC4B81"/>
    <w:rsid w:val="00FC53CC"/>
    <w:rsid w:val="00FC54C4"/>
    <w:rsid w:val="00FC5C42"/>
    <w:rsid w:val="00FC628A"/>
    <w:rsid w:val="00FC6438"/>
    <w:rsid w:val="00FC67E9"/>
    <w:rsid w:val="00FC6DF4"/>
    <w:rsid w:val="00FC6E85"/>
    <w:rsid w:val="00FC733E"/>
    <w:rsid w:val="00FC78FE"/>
    <w:rsid w:val="00FC7F89"/>
    <w:rsid w:val="00FD0192"/>
    <w:rsid w:val="00FD0210"/>
    <w:rsid w:val="00FD05E1"/>
    <w:rsid w:val="00FD0905"/>
    <w:rsid w:val="00FD0E3C"/>
    <w:rsid w:val="00FD1487"/>
    <w:rsid w:val="00FD1550"/>
    <w:rsid w:val="00FD196B"/>
    <w:rsid w:val="00FD3BF5"/>
    <w:rsid w:val="00FD47E2"/>
    <w:rsid w:val="00FD5125"/>
    <w:rsid w:val="00FD512F"/>
    <w:rsid w:val="00FD5850"/>
    <w:rsid w:val="00FD6964"/>
    <w:rsid w:val="00FD6E46"/>
    <w:rsid w:val="00FD71C4"/>
    <w:rsid w:val="00FD77F4"/>
    <w:rsid w:val="00FE03A3"/>
    <w:rsid w:val="00FE0A60"/>
    <w:rsid w:val="00FE1D85"/>
    <w:rsid w:val="00FE1E8D"/>
    <w:rsid w:val="00FE23EA"/>
    <w:rsid w:val="00FE2F98"/>
    <w:rsid w:val="00FE3C55"/>
    <w:rsid w:val="00FE3D56"/>
    <w:rsid w:val="00FE4088"/>
    <w:rsid w:val="00FE4611"/>
    <w:rsid w:val="00FE4682"/>
    <w:rsid w:val="00FE46A9"/>
    <w:rsid w:val="00FE4D1A"/>
    <w:rsid w:val="00FE518D"/>
    <w:rsid w:val="00FE5CAA"/>
    <w:rsid w:val="00FE630D"/>
    <w:rsid w:val="00FE6536"/>
    <w:rsid w:val="00FE67A0"/>
    <w:rsid w:val="00FE6AE2"/>
    <w:rsid w:val="00FE6FD9"/>
    <w:rsid w:val="00FE736D"/>
    <w:rsid w:val="00FE7656"/>
    <w:rsid w:val="00FE7FD8"/>
    <w:rsid w:val="00FF014A"/>
    <w:rsid w:val="00FF0BFE"/>
    <w:rsid w:val="00FF0E16"/>
    <w:rsid w:val="00FF17FD"/>
    <w:rsid w:val="00FF251E"/>
    <w:rsid w:val="00FF28E1"/>
    <w:rsid w:val="00FF2991"/>
    <w:rsid w:val="00FF2BE2"/>
    <w:rsid w:val="00FF3545"/>
    <w:rsid w:val="00FF3F99"/>
    <w:rsid w:val="00FF54DB"/>
    <w:rsid w:val="00FF6833"/>
    <w:rsid w:val="00FF71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B194DB"/>
  <w14:defaultImageDpi w14:val="0"/>
  <w15:docId w15:val="{56F1731F-DF27-412F-A498-8C9F3E7C6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annotation text" w:uiPriority="0"/>
    <w:lsdException w:name="header" w:locked="1"/>
    <w:lsdException w:name="caption" w:locked="1" w:semiHidden="1" w:uiPriority="0" w:unhideWhenUsed="1" w:qFormat="1"/>
    <w:lsdException w:name="footnote reference" w:uiPriority="0"/>
    <w:lsdException w:name="annotation reference" w:uiPriority="0"/>
    <w:lsdException w:name="page number" w:locked="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4C"/>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locked/>
    <w:rsid w:val="008C225D"/>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locked/>
    <w:rsid w:val="008C225D"/>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locked/>
    <w:rsid w:val="00C65E0C"/>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locked/>
    <w:rsid w:val="00E574D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9"/>
    <w:qFormat/>
    <w:rsid w:val="00852760"/>
    <w:pPr>
      <w:keepNext/>
      <w:widowControl w:val="0"/>
      <w:spacing w:after="0" w:line="240" w:lineRule="auto"/>
      <w:jc w:val="right"/>
      <w:outlineLvl w:val="7"/>
    </w:pPr>
    <w:rPr>
      <w:rFonts w:ascii="Times New Roman" w:hAnsi="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C225D"/>
    <w:rPr>
      <w:rFonts w:ascii="Arial" w:eastAsiaTheme="majorEastAsia" w:hAnsi="Arial" w:cs="Times New Roman"/>
      <w:b/>
      <w:bCs/>
      <w:sz w:val="28"/>
      <w:szCs w:val="28"/>
      <w:lang w:eastAsia="en-US"/>
    </w:rPr>
  </w:style>
  <w:style w:type="character" w:customStyle="1" w:styleId="Heading8Char">
    <w:name w:val="Heading 8 Char"/>
    <w:basedOn w:val="DefaultParagraphFont"/>
    <w:link w:val="Heading8"/>
    <w:uiPriority w:val="99"/>
    <w:locked/>
    <w:rsid w:val="00852760"/>
    <w:rPr>
      <w:rFonts w:ascii="Times New Roman" w:hAnsi="Times New Roman" w:cs="Times New Roman"/>
      <w:b/>
      <w:sz w:val="24"/>
      <w:szCs w:val="24"/>
      <w:lang w:val="en-US" w:eastAsia="x-none"/>
    </w:rPr>
  </w:style>
  <w:style w:type="paragraph" w:styleId="Header">
    <w:name w:val="header"/>
    <w:basedOn w:val="Normal"/>
    <w:link w:val="HeaderChar"/>
    <w:uiPriority w:val="99"/>
    <w:rsid w:val="00852760"/>
    <w:pPr>
      <w:widowControl w:val="0"/>
      <w:tabs>
        <w:tab w:val="center" w:pos="4320"/>
        <w:tab w:val="right" w:pos="8640"/>
      </w:tabs>
      <w:spacing w:after="0" w:line="240" w:lineRule="auto"/>
    </w:pPr>
    <w:rPr>
      <w:rFonts w:ascii="Times New Roman" w:hAnsi="Times New Roman"/>
      <w:sz w:val="24"/>
      <w:szCs w:val="20"/>
      <w:lang w:val="en-GB"/>
    </w:rPr>
  </w:style>
  <w:style w:type="character" w:customStyle="1" w:styleId="HeaderChar">
    <w:name w:val="Header Char"/>
    <w:basedOn w:val="DefaultParagraphFont"/>
    <w:link w:val="Header"/>
    <w:uiPriority w:val="99"/>
    <w:locked/>
    <w:rsid w:val="00852760"/>
    <w:rPr>
      <w:rFonts w:ascii="Times New Roman" w:hAnsi="Times New Roman" w:cs="Times New Roman"/>
      <w:sz w:val="20"/>
      <w:szCs w:val="20"/>
      <w:lang w:val="en-GB" w:eastAsia="x-none"/>
    </w:rPr>
  </w:style>
  <w:style w:type="paragraph" w:styleId="Footer">
    <w:name w:val="footer"/>
    <w:basedOn w:val="Normal"/>
    <w:link w:val="FooterChar"/>
    <w:uiPriority w:val="99"/>
    <w:rsid w:val="00852760"/>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locked/>
    <w:rsid w:val="00852760"/>
    <w:rPr>
      <w:rFonts w:ascii="Arial" w:hAnsi="Arial" w:cs="Times New Roman"/>
      <w:sz w:val="20"/>
      <w:szCs w:val="20"/>
    </w:rPr>
  </w:style>
  <w:style w:type="paragraph" w:customStyle="1" w:styleId="HeaderEven">
    <w:name w:val="HeaderEven"/>
    <w:basedOn w:val="Normal"/>
    <w:uiPriority w:val="99"/>
    <w:rsid w:val="00852760"/>
    <w:pPr>
      <w:spacing w:after="0" w:line="240" w:lineRule="auto"/>
    </w:pPr>
    <w:rPr>
      <w:rFonts w:ascii="Arial" w:hAnsi="Arial"/>
      <w:sz w:val="18"/>
      <w:szCs w:val="20"/>
    </w:rPr>
  </w:style>
  <w:style w:type="paragraph" w:customStyle="1" w:styleId="HeaderEven6">
    <w:name w:val="HeaderEven6"/>
    <w:basedOn w:val="HeaderEven"/>
    <w:uiPriority w:val="99"/>
    <w:rsid w:val="00852760"/>
    <w:pPr>
      <w:spacing w:before="120" w:after="60"/>
    </w:pPr>
  </w:style>
  <w:style w:type="paragraph" w:customStyle="1" w:styleId="N-9pt">
    <w:name w:val="N-9pt"/>
    <w:basedOn w:val="Normal"/>
    <w:next w:val="Normal"/>
    <w:uiPriority w:val="99"/>
    <w:rsid w:val="00852760"/>
    <w:pPr>
      <w:keepNext/>
      <w:tabs>
        <w:tab w:val="right" w:pos="7707"/>
      </w:tabs>
      <w:spacing w:before="120" w:after="20" w:line="240" w:lineRule="auto"/>
      <w:jc w:val="both"/>
    </w:pPr>
    <w:rPr>
      <w:rFonts w:ascii="Arial" w:hAnsi="Arial"/>
      <w:sz w:val="18"/>
      <w:szCs w:val="20"/>
    </w:rPr>
  </w:style>
  <w:style w:type="character" w:styleId="PageNumber">
    <w:name w:val="page number"/>
    <w:basedOn w:val="DefaultParagraphFont"/>
    <w:uiPriority w:val="99"/>
    <w:rsid w:val="00852760"/>
    <w:rPr>
      <w:rFonts w:cs="Times New Roman"/>
    </w:rPr>
  </w:style>
  <w:style w:type="paragraph" w:customStyle="1" w:styleId="Status">
    <w:name w:val="Status"/>
    <w:basedOn w:val="Normal"/>
    <w:uiPriority w:val="99"/>
    <w:rsid w:val="00852760"/>
    <w:pPr>
      <w:spacing w:before="280" w:after="0" w:line="240" w:lineRule="auto"/>
      <w:jc w:val="center"/>
    </w:pPr>
    <w:rPr>
      <w:rFonts w:ascii="Arial" w:hAnsi="Arial"/>
      <w:sz w:val="14"/>
      <w:szCs w:val="20"/>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852760"/>
    <w:pPr>
      <w:spacing w:after="0" w:line="240" w:lineRule="auto"/>
      <w:ind w:left="720"/>
    </w:pPr>
    <w:rPr>
      <w:rFonts w:cs="Calibri"/>
      <w:lang w:eastAsia="en-AU"/>
    </w:rPr>
  </w:style>
  <w:style w:type="character" w:styleId="CommentReference">
    <w:name w:val="annotation reference"/>
    <w:basedOn w:val="DefaultParagraphFont"/>
    <w:semiHidden/>
    <w:rsid w:val="008609A8"/>
    <w:rPr>
      <w:rFonts w:cs="Times New Roman"/>
      <w:sz w:val="16"/>
      <w:szCs w:val="16"/>
    </w:rPr>
  </w:style>
  <w:style w:type="paragraph" w:styleId="CommentText">
    <w:name w:val="annotation text"/>
    <w:basedOn w:val="Normal"/>
    <w:link w:val="CommentTextChar"/>
    <w:semiHidden/>
    <w:rsid w:val="008609A8"/>
    <w:rPr>
      <w:sz w:val="20"/>
      <w:szCs w:val="20"/>
    </w:rPr>
  </w:style>
  <w:style w:type="character" w:customStyle="1" w:styleId="CommentTextChar">
    <w:name w:val="Comment Text Char"/>
    <w:basedOn w:val="DefaultParagraphFont"/>
    <w:link w:val="CommentText"/>
    <w:semiHidden/>
    <w:locked/>
    <w:rsid w:val="008609A8"/>
    <w:rPr>
      <w:rFonts w:cs="Times New Roman"/>
      <w:lang w:val="x-none" w:eastAsia="en-US"/>
    </w:rPr>
  </w:style>
  <w:style w:type="paragraph" w:styleId="CommentSubject">
    <w:name w:val="annotation subject"/>
    <w:basedOn w:val="CommentText"/>
    <w:next w:val="CommentText"/>
    <w:link w:val="CommentSubjectChar"/>
    <w:uiPriority w:val="99"/>
    <w:semiHidden/>
    <w:rsid w:val="008609A8"/>
    <w:rPr>
      <w:b/>
      <w:bCs/>
    </w:rPr>
  </w:style>
  <w:style w:type="character" w:customStyle="1" w:styleId="CommentSubjectChar">
    <w:name w:val="Comment Subject Char"/>
    <w:basedOn w:val="CommentTextChar"/>
    <w:link w:val="CommentSubject"/>
    <w:uiPriority w:val="99"/>
    <w:semiHidden/>
    <w:locked/>
    <w:rsid w:val="008609A8"/>
    <w:rPr>
      <w:rFonts w:cs="Times New Roman"/>
      <w:b/>
      <w:bCs/>
      <w:lang w:val="x-none" w:eastAsia="en-US"/>
    </w:rPr>
  </w:style>
  <w:style w:type="paragraph" w:styleId="BalloonText">
    <w:name w:val="Balloon Text"/>
    <w:basedOn w:val="Normal"/>
    <w:link w:val="BalloonTextChar"/>
    <w:uiPriority w:val="99"/>
    <w:semiHidden/>
    <w:rsid w:val="0086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09A8"/>
    <w:rPr>
      <w:rFonts w:ascii="Tahoma" w:hAnsi="Tahoma" w:cs="Tahoma"/>
      <w:sz w:val="16"/>
      <w:szCs w:val="16"/>
      <w:lang w:val="x-none" w:eastAsia="en-US"/>
    </w:rPr>
  </w:style>
  <w:style w:type="paragraph" w:customStyle="1" w:styleId="Normaltextnumbered">
    <w:name w:val="Normal text numbered"/>
    <w:basedOn w:val="Header"/>
    <w:uiPriority w:val="99"/>
    <w:rsid w:val="00D1078E"/>
    <w:pPr>
      <w:widowControl/>
      <w:tabs>
        <w:tab w:val="clear" w:pos="4320"/>
        <w:tab w:val="clear" w:pos="8640"/>
      </w:tabs>
      <w:spacing w:line="360" w:lineRule="auto"/>
    </w:pPr>
    <w:rPr>
      <w:rFonts w:ascii="Arial" w:hAnsi="Arial" w:cs="Arial"/>
      <w:szCs w:val="24"/>
      <w:lang w:val="en-AU"/>
    </w:rPr>
  </w:style>
  <w:style w:type="paragraph" w:styleId="NoSpacing">
    <w:name w:val="No Spacing"/>
    <w:uiPriority w:val="1"/>
    <w:qFormat/>
    <w:rsid w:val="00D1078E"/>
    <w:rPr>
      <w:rFonts w:cs="Times New Roman"/>
      <w:sz w:val="22"/>
      <w:szCs w:val="22"/>
      <w:lang w:eastAsia="en-US"/>
    </w:rPr>
  </w:style>
  <w:style w:type="paragraph" w:customStyle="1" w:styleId="Amainreturn">
    <w:name w:val="A main return"/>
    <w:basedOn w:val="Normal"/>
    <w:link w:val="AmainreturnChar"/>
    <w:rsid w:val="00B147E9"/>
    <w:pPr>
      <w:spacing w:before="140" w:after="0" w:line="240" w:lineRule="auto"/>
      <w:ind w:left="1100"/>
      <w:jc w:val="both"/>
    </w:pPr>
    <w:rPr>
      <w:rFonts w:ascii="Times New Roman" w:hAnsi="Times New Roman"/>
      <w:sz w:val="24"/>
      <w:szCs w:val="20"/>
    </w:rPr>
  </w:style>
  <w:style w:type="paragraph" w:customStyle="1" w:styleId="Apara">
    <w:name w:val="A para"/>
    <w:basedOn w:val="Normal"/>
    <w:link w:val="AparaChar"/>
    <w:uiPriority w:val="99"/>
    <w:rsid w:val="00B147E9"/>
    <w:pPr>
      <w:tabs>
        <w:tab w:val="right" w:pos="1400"/>
        <w:tab w:val="left" w:pos="1600"/>
      </w:tabs>
      <w:spacing w:before="140" w:after="0" w:line="240" w:lineRule="auto"/>
      <w:ind w:left="1600" w:hanging="1600"/>
      <w:jc w:val="both"/>
      <w:outlineLvl w:val="6"/>
    </w:pPr>
    <w:rPr>
      <w:rFonts w:ascii="Times New Roman" w:hAnsi="Times New Roman"/>
      <w:sz w:val="24"/>
      <w:szCs w:val="20"/>
    </w:rPr>
  </w:style>
  <w:style w:type="paragraph" w:styleId="FootnoteText">
    <w:name w:val="footnote text"/>
    <w:basedOn w:val="Normal"/>
    <w:link w:val="FootnoteTextChar"/>
    <w:rsid w:val="00205382"/>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locked/>
    <w:rsid w:val="00205382"/>
    <w:rPr>
      <w:rFonts w:ascii="Times New Roman" w:hAnsi="Times New Roman" w:cs="Times New Roman"/>
      <w:lang w:val="en-GB" w:eastAsia="en-US"/>
    </w:rPr>
  </w:style>
  <w:style w:type="character" w:styleId="FootnoteReference">
    <w:name w:val="footnote reference"/>
    <w:basedOn w:val="DefaultParagraphFont"/>
    <w:rsid w:val="00205382"/>
    <w:rPr>
      <w:rFonts w:cs="Times New Roman"/>
      <w:vertAlign w:val="superscript"/>
    </w:rPr>
  </w:style>
  <w:style w:type="paragraph" w:customStyle="1" w:styleId="aDef">
    <w:name w:val="aDef"/>
    <w:basedOn w:val="Normal"/>
    <w:link w:val="aDefChar"/>
    <w:rsid w:val="00DD3B29"/>
    <w:pPr>
      <w:spacing w:before="140" w:after="0" w:line="240" w:lineRule="auto"/>
      <w:ind w:left="1100"/>
      <w:jc w:val="both"/>
    </w:pPr>
    <w:rPr>
      <w:rFonts w:ascii="Times New Roman" w:hAnsi="Times New Roman"/>
      <w:sz w:val="24"/>
      <w:szCs w:val="20"/>
    </w:rPr>
  </w:style>
  <w:style w:type="paragraph" w:customStyle="1" w:styleId="aDefpara">
    <w:name w:val="aDef para"/>
    <w:basedOn w:val="Apara"/>
    <w:rsid w:val="00DD3B29"/>
  </w:style>
  <w:style w:type="paragraph" w:customStyle="1" w:styleId="aDefsubpara">
    <w:name w:val="aDef subpara"/>
    <w:basedOn w:val="Normal"/>
    <w:rsid w:val="00DD3B29"/>
    <w:pPr>
      <w:tabs>
        <w:tab w:val="right" w:pos="1900"/>
        <w:tab w:val="left" w:pos="2100"/>
      </w:tabs>
      <w:spacing w:before="140" w:after="0" w:line="240" w:lineRule="auto"/>
      <w:ind w:left="2100" w:hanging="2100"/>
      <w:jc w:val="both"/>
      <w:outlineLvl w:val="7"/>
    </w:pPr>
    <w:rPr>
      <w:rFonts w:ascii="Times New Roman" w:hAnsi="Times New Roman"/>
      <w:sz w:val="24"/>
      <w:szCs w:val="20"/>
    </w:rPr>
  </w:style>
  <w:style w:type="character" w:customStyle="1" w:styleId="charBoldItals">
    <w:name w:val="charBoldItals"/>
    <w:basedOn w:val="DefaultParagraphFont"/>
    <w:rsid w:val="00DD3B29"/>
    <w:rPr>
      <w:rFonts w:cs="Times New Roman"/>
      <w:b/>
      <w:i/>
    </w:rPr>
  </w:style>
  <w:style w:type="character" w:customStyle="1" w:styleId="charItals">
    <w:name w:val="charItals"/>
    <w:basedOn w:val="DefaultParagraphFont"/>
    <w:rsid w:val="00DD3B29"/>
    <w:rPr>
      <w:rFonts w:cs="Times New Roman"/>
      <w:i/>
    </w:rPr>
  </w:style>
  <w:style w:type="character" w:customStyle="1" w:styleId="aDefChar">
    <w:name w:val="aDef Char"/>
    <w:basedOn w:val="DefaultParagraphFont"/>
    <w:link w:val="aDef"/>
    <w:locked/>
    <w:rsid w:val="00DD3B29"/>
    <w:rPr>
      <w:rFonts w:ascii="Times New Roman" w:hAnsi="Times New Roman" w:cs="Times New Roman"/>
      <w:sz w:val="24"/>
      <w:lang w:val="x-none" w:eastAsia="en-US"/>
    </w:rPr>
  </w:style>
  <w:style w:type="character" w:customStyle="1" w:styleId="charCitHyperlinkItal">
    <w:name w:val="charCitHyperlinkItal"/>
    <w:basedOn w:val="Hyperlink"/>
    <w:uiPriority w:val="99"/>
    <w:rsid w:val="00DD3B29"/>
    <w:rPr>
      <w:rFonts w:cs="Times New Roman"/>
      <w:i/>
      <w:color w:val="0000FF"/>
      <w:u w:val="none"/>
    </w:rPr>
  </w:style>
  <w:style w:type="character" w:styleId="Hyperlink">
    <w:name w:val="Hyperlink"/>
    <w:basedOn w:val="DefaultParagraphFont"/>
    <w:uiPriority w:val="99"/>
    <w:semiHidden/>
    <w:rsid w:val="00DD3B29"/>
    <w:rPr>
      <w:rFonts w:cs="Times New Roman"/>
      <w:color w:val="0000FF"/>
      <w:u w:val="single"/>
    </w:rPr>
  </w:style>
  <w:style w:type="paragraph" w:customStyle="1" w:styleId="Default">
    <w:name w:val="Default"/>
    <w:rsid w:val="00C000CE"/>
    <w:pPr>
      <w:autoSpaceDE w:val="0"/>
      <w:autoSpaceDN w:val="0"/>
      <w:adjustRightInd w:val="0"/>
    </w:pPr>
    <w:rPr>
      <w:rFonts w:ascii="Times New Roman" w:hAnsi="Times New Roman" w:cs="Times New Roman"/>
      <w:color w:val="000000"/>
      <w:sz w:val="24"/>
      <w:szCs w:val="24"/>
    </w:rPr>
  </w:style>
  <w:style w:type="paragraph" w:customStyle="1" w:styleId="EnactingWords">
    <w:name w:val="EnactingWords"/>
    <w:basedOn w:val="Normal"/>
    <w:uiPriority w:val="99"/>
    <w:rsid w:val="003C6037"/>
    <w:pPr>
      <w:spacing w:before="120" w:after="0" w:line="240" w:lineRule="auto"/>
      <w:jc w:val="both"/>
    </w:pPr>
    <w:rPr>
      <w:rFonts w:ascii="Times New Roman" w:hAnsi="Times New Roman"/>
      <w:sz w:val="24"/>
      <w:szCs w:val="20"/>
    </w:rPr>
  </w:style>
  <w:style w:type="paragraph" w:customStyle="1" w:styleId="Amain">
    <w:name w:val="A main"/>
    <w:basedOn w:val="Normal"/>
    <w:uiPriority w:val="99"/>
    <w:rsid w:val="003C6037"/>
    <w:pPr>
      <w:numPr>
        <w:ilvl w:val="5"/>
        <w:numId w:val="1"/>
      </w:numPr>
      <w:spacing w:before="140" w:after="0" w:line="240" w:lineRule="auto"/>
      <w:jc w:val="both"/>
      <w:outlineLvl w:val="5"/>
    </w:pPr>
    <w:rPr>
      <w:rFonts w:ascii="Times New Roman" w:hAnsi="Times New Roman"/>
      <w:sz w:val="24"/>
      <w:szCs w:val="20"/>
    </w:rPr>
  </w:style>
  <w:style w:type="paragraph" w:customStyle="1" w:styleId="Asubpara">
    <w:name w:val="A subpara"/>
    <w:basedOn w:val="Normal"/>
    <w:uiPriority w:val="99"/>
    <w:rsid w:val="003C6037"/>
    <w:pPr>
      <w:tabs>
        <w:tab w:val="num" w:pos="2140"/>
      </w:tabs>
      <w:spacing w:before="140" w:after="0" w:line="240" w:lineRule="auto"/>
      <w:ind w:left="2140" w:hanging="200"/>
      <w:jc w:val="both"/>
      <w:outlineLvl w:val="7"/>
    </w:pPr>
    <w:rPr>
      <w:rFonts w:ascii="Times New Roman" w:hAnsi="Times New Roman"/>
      <w:sz w:val="24"/>
      <w:szCs w:val="20"/>
    </w:rPr>
  </w:style>
  <w:style w:type="paragraph" w:customStyle="1" w:styleId="Asubsubpara">
    <w:name w:val="A subsubpara"/>
    <w:basedOn w:val="Normal"/>
    <w:uiPriority w:val="99"/>
    <w:rsid w:val="003C6037"/>
    <w:pPr>
      <w:tabs>
        <w:tab w:val="num" w:pos="2660"/>
      </w:tabs>
      <w:spacing w:before="140" w:after="0" w:line="240" w:lineRule="auto"/>
      <w:ind w:left="2660" w:hanging="200"/>
      <w:jc w:val="both"/>
      <w:outlineLvl w:val="8"/>
    </w:pPr>
    <w:rPr>
      <w:rFonts w:ascii="Times New Roman" w:hAnsi="Times New Roman"/>
      <w:sz w:val="24"/>
      <w:szCs w:val="20"/>
    </w:rPr>
  </w:style>
  <w:style w:type="paragraph" w:customStyle="1" w:styleId="AH5Sec">
    <w:name w:val="A H5 Sec"/>
    <w:basedOn w:val="Normal"/>
    <w:next w:val="Amain"/>
    <w:rsid w:val="003C6037"/>
    <w:pPr>
      <w:keepNext/>
      <w:numPr>
        <w:ilvl w:val="4"/>
        <w:numId w:val="1"/>
      </w:numPr>
      <w:spacing w:before="240" w:after="0" w:line="240" w:lineRule="auto"/>
      <w:outlineLvl w:val="4"/>
    </w:pPr>
    <w:rPr>
      <w:rFonts w:ascii="Arial" w:hAnsi="Arial"/>
      <w:b/>
      <w:sz w:val="24"/>
      <w:szCs w:val="20"/>
    </w:rPr>
  </w:style>
  <w:style w:type="character" w:customStyle="1" w:styleId="AparaChar">
    <w:name w:val="A para Char"/>
    <w:basedOn w:val="DefaultParagraphFont"/>
    <w:link w:val="Apara"/>
    <w:uiPriority w:val="99"/>
    <w:locked/>
    <w:rsid w:val="003C6037"/>
    <w:rPr>
      <w:rFonts w:ascii="Times New Roman" w:hAnsi="Times New Roman" w:cs="Times New Roman"/>
      <w:sz w:val="24"/>
      <w:lang w:val="x-none" w:eastAsia="en-US"/>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F44087"/>
    <w:rPr>
      <w:rFonts w:cs="Calibri"/>
    </w:rPr>
  </w:style>
  <w:style w:type="paragraph" w:styleId="Revision">
    <w:name w:val="Revision"/>
    <w:hidden/>
    <w:uiPriority w:val="99"/>
    <w:semiHidden/>
    <w:rsid w:val="00B37786"/>
    <w:rPr>
      <w:rFonts w:cs="Times New Roman"/>
      <w:sz w:val="22"/>
      <w:szCs w:val="22"/>
      <w:lang w:eastAsia="en-US"/>
    </w:rPr>
  </w:style>
  <w:style w:type="paragraph" w:customStyle="1" w:styleId="aExamss">
    <w:name w:val="aExamss"/>
    <w:basedOn w:val="Normal"/>
    <w:uiPriority w:val="99"/>
    <w:rsid w:val="001650A1"/>
    <w:pPr>
      <w:numPr>
        <w:ilvl w:val="5"/>
        <w:numId w:val="2"/>
      </w:numPr>
      <w:spacing w:after="60" w:line="240" w:lineRule="auto"/>
      <w:jc w:val="both"/>
    </w:pPr>
    <w:rPr>
      <w:rFonts w:ascii="Times New Roman" w:hAnsi="Times New Roman"/>
      <w:sz w:val="20"/>
      <w:szCs w:val="20"/>
    </w:rPr>
  </w:style>
  <w:style w:type="character" w:styleId="FollowedHyperlink">
    <w:name w:val="FollowedHyperlink"/>
    <w:basedOn w:val="DefaultParagraphFont"/>
    <w:uiPriority w:val="99"/>
    <w:semiHidden/>
    <w:unhideWhenUsed/>
    <w:rsid w:val="0043422C"/>
    <w:rPr>
      <w:rFonts w:cs="Times New Roman"/>
      <w:color w:val="800080"/>
      <w:u w:val="single"/>
    </w:rPr>
  </w:style>
  <w:style w:type="character" w:customStyle="1" w:styleId="CharPartNo">
    <w:name w:val="CharPartNo"/>
    <w:basedOn w:val="DefaultParagraphFont"/>
    <w:uiPriority w:val="99"/>
    <w:rsid w:val="00754626"/>
    <w:rPr>
      <w:rFonts w:cs="Times New Roman"/>
    </w:rPr>
  </w:style>
  <w:style w:type="character" w:customStyle="1" w:styleId="CharDivNo">
    <w:name w:val="CharDivNo"/>
    <w:basedOn w:val="DefaultParagraphFont"/>
    <w:uiPriority w:val="99"/>
    <w:rsid w:val="00754626"/>
    <w:rPr>
      <w:rFonts w:cs="Times New Roman"/>
    </w:rPr>
  </w:style>
  <w:style w:type="paragraph" w:customStyle="1" w:styleId="Idefsubpara">
    <w:name w:val="I def subpara"/>
    <w:basedOn w:val="Normal"/>
    <w:rsid w:val="000E508E"/>
    <w:pPr>
      <w:spacing w:before="140" w:after="0" w:line="240" w:lineRule="auto"/>
      <w:ind w:left="2140" w:hanging="2140"/>
      <w:jc w:val="both"/>
    </w:pPr>
    <w:rPr>
      <w:rFonts w:ascii="Times New Roman" w:hAnsi="Times New Roman"/>
      <w:sz w:val="24"/>
      <w:szCs w:val="24"/>
      <w:lang w:eastAsia="en-AU"/>
    </w:rPr>
  </w:style>
  <w:style w:type="character" w:styleId="Emphasis">
    <w:name w:val="Emphasis"/>
    <w:basedOn w:val="DefaultParagraphFont"/>
    <w:uiPriority w:val="20"/>
    <w:qFormat/>
    <w:locked/>
    <w:rsid w:val="00850C21"/>
    <w:rPr>
      <w:rFonts w:cs="Times New Roman"/>
      <w:i/>
      <w:iCs/>
    </w:rPr>
  </w:style>
  <w:style w:type="character" w:styleId="Strong">
    <w:name w:val="Strong"/>
    <w:basedOn w:val="DefaultParagraphFont"/>
    <w:uiPriority w:val="22"/>
    <w:qFormat/>
    <w:locked/>
    <w:rsid w:val="00850C21"/>
    <w:rPr>
      <w:rFonts w:cs="Times New Roman"/>
      <w:b/>
      <w:bCs/>
    </w:rPr>
  </w:style>
  <w:style w:type="paragraph" w:customStyle="1" w:styleId="aNote">
    <w:name w:val="aNote"/>
    <w:basedOn w:val="Normal"/>
    <w:link w:val="aNoteChar"/>
    <w:rsid w:val="001101D7"/>
    <w:pPr>
      <w:spacing w:before="140" w:after="0" w:line="240" w:lineRule="auto"/>
      <w:ind w:left="1900" w:hanging="800"/>
      <w:jc w:val="both"/>
    </w:pPr>
    <w:rPr>
      <w:rFonts w:ascii="Times New Roman" w:hAnsi="Times New Roman"/>
      <w:sz w:val="20"/>
      <w:szCs w:val="20"/>
    </w:rPr>
  </w:style>
  <w:style w:type="character" w:customStyle="1" w:styleId="aNoteChar">
    <w:name w:val="aNote Char"/>
    <w:basedOn w:val="DefaultParagraphFont"/>
    <w:link w:val="aNote"/>
    <w:locked/>
    <w:rsid w:val="001101D7"/>
    <w:rPr>
      <w:rFonts w:ascii="Times New Roman" w:hAnsi="Times New Roman" w:cs="Times New Roman"/>
      <w:lang w:val="x-none" w:eastAsia="en-US"/>
    </w:rPr>
  </w:style>
  <w:style w:type="paragraph" w:customStyle="1" w:styleId="aNoteText">
    <w:name w:val="aNoteText"/>
    <w:basedOn w:val="aNote"/>
    <w:rsid w:val="001101D7"/>
    <w:pPr>
      <w:spacing w:before="60"/>
      <w:ind w:firstLine="0"/>
    </w:pPr>
  </w:style>
  <w:style w:type="character" w:customStyle="1" w:styleId="AmainreturnChar">
    <w:name w:val="A main return Char"/>
    <w:basedOn w:val="DefaultParagraphFont"/>
    <w:link w:val="Amainreturn"/>
    <w:locked/>
    <w:rsid w:val="001101D7"/>
    <w:rPr>
      <w:rFonts w:ascii="Times New Roman" w:hAnsi="Times New Roman" w:cs="Times New Roman"/>
      <w:sz w:val="24"/>
      <w:lang w:val="x-none" w:eastAsia="en-US"/>
    </w:rPr>
  </w:style>
  <w:style w:type="character" w:customStyle="1" w:styleId="charCitHyperlinkAbbrev">
    <w:name w:val="charCitHyperlinkAbbrev"/>
    <w:basedOn w:val="Hyperlink"/>
    <w:uiPriority w:val="1"/>
    <w:rsid w:val="001101D7"/>
    <w:rPr>
      <w:rFonts w:cs="Times New Roman"/>
      <w:color w:val="0000FF"/>
      <w:u w:val="none"/>
    </w:rPr>
  </w:style>
  <w:style w:type="paragraph" w:styleId="NormalWeb">
    <w:name w:val="Normal (Web)"/>
    <w:basedOn w:val="Normal"/>
    <w:uiPriority w:val="99"/>
    <w:unhideWhenUsed/>
    <w:rsid w:val="00C76AC7"/>
    <w:pPr>
      <w:spacing w:before="100" w:beforeAutospacing="1" w:after="100" w:afterAutospacing="1" w:line="240" w:lineRule="auto"/>
    </w:pPr>
    <w:rPr>
      <w:rFonts w:ascii="Times New Roman" w:hAnsi="Times New Roman"/>
      <w:sz w:val="24"/>
      <w:szCs w:val="24"/>
      <w:lang w:eastAsia="en-AU"/>
    </w:rPr>
  </w:style>
  <w:style w:type="paragraph" w:customStyle="1" w:styleId="tab1">
    <w:name w:val="tab1"/>
    <w:basedOn w:val="Normal"/>
    <w:rsid w:val="003170C9"/>
    <w:pPr>
      <w:spacing w:before="100" w:beforeAutospacing="1" w:after="100" w:afterAutospacing="1" w:line="240" w:lineRule="auto"/>
    </w:pPr>
    <w:rPr>
      <w:rFonts w:ascii="Times New Roman" w:hAnsi="Times New Roman"/>
      <w:sz w:val="24"/>
      <w:szCs w:val="24"/>
      <w:lang w:eastAsia="en-AU"/>
    </w:rPr>
  </w:style>
  <w:style w:type="character" w:customStyle="1" w:styleId="Calibri12">
    <w:name w:val="Calibri 12"/>
    <w:uiPriority w:val="1"/>
    <w:qFormat/>
    <w:rsid w:val="00032126"/>
    <w:rPr>
      <w:rFonts w:ascii="Calibri" w:hAnsi="Calibri"/>
      <w:sz w:val="24"/>
    </w:rPr>
  </w:style>
  <w:style w:type="character" w:customStyle="1" w:styleId="Heading2Char">
    <w:name w:val="Heading 2 Char"/>
    <w:basedOn w:val="DefaultParagraphFont"/>
    <w:link w:val="Heading2"/>
    <w:rsid w:val="008C225D"/>
    <w:rPr>
      <w:rFonts w:ascii="Arial" w:eastAsiaTheme="majorEastAsia" w:hAnsi="Arial" w:cstheme="majorBidi"/>
      <w:b/>
      <w:sz w:val="24"/>
      <w:szCs w:val="26"/>
      <w:lang w:eastAsia="en-US"/>
    </w:rPr>
  </w:style>
  <w:style w:type="character" w:customStyle="1" w:styleId="Heading3Char">
    <w:name w:val="Heading 3 Char"/>
    <w:basedOn w:val="DefaultParagraphFont"/>
    <w:link w:val="Heading3"/>
    <w:rsid w:val="00C65E0C"/>
    <w:rPr>
      <w:rFonts w:ascii="Arial" w:eastAsiaTheme="majorEastAsia" w:hAnsi="Arial" w:cstheme="majorBidi"/>
      <w:b/>
      <w:sz w:val="24"/>
      <w:szCs w:val="24"/>
      <w:lang w:eastAsia="en-US"/>
    </w:rPr>
  </w:style>
  <w:style w:type="character" w:customStyle="1" w:styleId="Heading4Char">
    <w:name w:val="Heading 4 Char"/>
    <w:basedOn w:val="DefaultParagraphFont"/>
    <w:link w:val="Heading4"/>
    <w:semiHidden/>
    <w:rsid w:val="00E574DD"/>
    <w:rPr>
      <w:rFonts w:asciiTheme="majorHAnsi" w:eastAsiaTheme="majorEastAsia" w:hAnsiTheme="majorHAnsi" w:cstheme="majorBidi"/>
      <w:i/>
      <w:iCs/>
      <w:color w:val="365F91" w:themeColor="accent1" w:themeShade="BF"/>
      <w:sz w:val="22"/>
      <w:szCs w:val="22"/>
      <w:lang w:eastAsia="en-US"/>
    </w:rPr>
  </w:style>
  <w:style w:type="character" w:styleId="UnresolvedMention">
    <w:name w:val="Unresolved Mention"/>
    <w:basedOn w:val="DefaultParagraphFont"/>
    <w:uiPriority w:val="99"/>
    <w:semiHidden/>
    <w:unhideWhenUsed/>
    <w:rsid w:val="007278CB"/>
    <w:rPr>
      <w:color w:val="605E5C"/>
      <w:shd w:val="clear" w:color="auto" w:fill="E1DFDD"/>
    </w:rPr>
  </w:style>
  <w:style w:type="paragraph" w:customStyle="1" w:styleId="ListParagraph2">
    <w:name w:val="List Paragraph 2"/>
    <w:basedOn w:val="ListParagraph"/>
    <w:qFormat/>
    <w:rsid w:val="001E0764"/>
    <w:pPr>
      <w:tabs>
        <w:tab w:val="left" w:pos="851"/>
      </w:tabs>
      <w:spacing w:before="240" w:line="276" w:lineRule="auto"/>
      <w:ind w:left="0"/>
    </w:pPr>
    <w:rPr>
      <w:rFonts w:asciiTheme="minorHAnsi" w:eastAsiaTheme="minorEastAsia"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974579">
      <w:bodyDiv w:val="1"/>
      <w:marLeft w:val="0"/>
      <w:marRight w:val="0"/>
      <w:marTop w:val="0"/>
      <w:marBottom w:val="0"/>
      <w:divBdr>
        <w:top w:val="none" w:sz="0" w:space="0" w:color="auto"/>
        <w:left w:val="none" w:sz="0" w:space="0" w:color="auto"/>
        <w:bottom w:val="none" w:sz="0" w:space="0" w:color="auto"/>
        <w:right w:val="none" w:sz="0" w:space="0" w:color="auto"/>
      </w:divBdr>
    </w:div>
    <w:div w:id="507060176">
      <w:bodyDiv w:val="1"/>
      <w:marLeft w:val="0"/>
      <w:marRight w:val="0"/>
      <w:marTop w:val="0"/>
      <w:marBottom w:val="0"/>
      <w:divBdr>
        <w:top w:val="none" w:sz="0" w:space="0" w:color="auto"/>
        <w:left w:val="none" w:sz="0" w:space="0" w:color="auto"/>
        <w:bottom w:val="none" w:sz="0" w:space="0" w:color="auto"/>
        <w:right w:val="none" w:sz="0" w:space="0" w:color="auto"/>
      </w:divBdr>
    </w:div>
    <w:div w:id="542446003">
      <w:bodyDiv w:val="1"/>
      <w:marLeft w:val="0"/>
      <w:marRight w:val="0"/>
      <w:marTop w:val="0"/>
      <w:marBottom w:val="0"/>
      <w:divBdr>
        <w:top w:val="none" w:sz="0" w:space="0" w:color="auto"/>
        <w:left w:val="none" w:sz="0" w:space="0" w:color="auto"/>
        <w:bottom w:val="none" w:sz="0" w:space="0" w:color="auto"/>
        <w:right w:val="none" w:sz="0" w:space="0" w:color="auto"/>
      </w:divBdr>
    </w:div>
    <w:div w:id="1251238587">
      <w:bodyDiv w:val="1"/>
      <w:marLeft w:val="0"/>
      <w:marRight w:val="0"/>
      <w:marTop w:val="0"/>
      <w:marBottom w:val="0"/>
      <w:divBdr>
        <w:top w:val="none" w:sz="0" w:space="0" w:color="auto"/>
        <w:left w:val="none" w:sz="0" w:space="0" w:color="auto"/>
        <w:bottom w:val="none" w:sz="0" w:space="0" w:color="auto"/>
        <w:right w:val="none" w:sz="0" w:space="0" w:color="auto"/>
      </w:divBdr>
    </w:div>
    <w:div w:id="2003314557">
      <w:marLeft w:val="0"/>
      <w:marRight w:val="0"/>
      <w:marTop w:val="0"/>
      <w:marBottom w:val="0"/>
      <w:divBdr>
        <w:top w:val="none" w:sz="0" w:space="0" w:color="auto"/>
        <w:left w:val="none" w:sz="0" w:space="0" w:color="auto"/>
        <w:bottom w:val="none" w:sz="0" w:space="0" w:color="auto"/>
        <w:right w:val="none" w:sz="0" w:space="0" w:color="auto"/>
      </w:divBdr>
    </w:div>
    <w:div w:id="2003314558">
      <w:marLeft w:val="0"/>
      <w:marRight w:val="0"/>
      <w:marTop w:val="0"/>
      <w:marBottom w:val="0"/>
      <w:divBdr>
        <w:top w:val="none" w:sz="0" w:space="0" w:color="auto"/>
        <w:left w:val="none" w:sz="0" w:space="0" w:color="auto"/>
        <w:bottom w:val="none" w:sz="0" w:space="0" w:color="auto"/>
        <w:right w:val="none" w:sz="0" w:space="0" w:color="auto"/>
      </w:divBdr>
    </w:div>
    <w:div w:id="2003314559">
      <w:marLeft w:val="0"/>
      <w:marRight w:val="0"/>
      <w:marTop w:val="0"/>
      <w:marBottom w:val="0"/>
      <w:divBdr>
        <w:top w:val="none" w:sz="0" w:space="0" w:color="auto"/>
        <w:left w:val="none" w:sz="0" w:space="0" w:color="auto"/>
        <w:bottom w:val="none" w:sz="0" w:space="0" w:color="auto"/>
        <w:right w:val="none" w:sz="0" w:space="0" w:color="auto"/>
      </w:divBdr>
    </w:div>
    <w:div w:id="2003314565">
      <w:marLeft w:val="0"/>
      <w:marRight w:val="0"/>
      <w:marTop w:val="0"/>
      <w:marBottom w:val="0"/>
      <w:divBdr>
        <w:top w:val="none" w:sz="0" w:space="0" w:color="auto"/>
        <w:left w:val="none" w:sz="0" w:space="0" w:color="auto"/>
        <w:bottom w:val="none" w:sz="0" w:space="0" w:color="auto"/>
        <w:right w:val="none" w:sz="0" w:space="0" w:color="auto"/>
      </w:divBdr>
    </w:div>
    <w:div w:id="2003314568">
      <w:marLeft w:val="0"/>
      <w:marRight w:val="0"/>
      <w:marTop w:val="0"/>
      <w:marBottom w:val="0"/>
      <w:divBdr>
        <w:top w:val="none" w:sz="0" w:space="0" w:color="auto"/>
        <w:left w:val="none" w:sz="0" w:space="0" w:color="auto"/>
        <w:bottom w:val="none" w:sz="0" w:space="0" w:color="auto"/>
        <w:right w:val="none" w:sz="0" w:space="0" w:color="auto"/>
      </w:divBdr>
      <w:divsChild>
        <w:div w:id="2003314572">
          <w:marLeft w:val="0"/>
          <w:marRight w:val="0"/>
          <w:marTop w:val="0"/>
          <w:marBottom w:val="0"/>
          <w:divBdr>
            <w:top w:val="none" w:sz="0" w:space="0" w:color="auto"/>
            <w:left w:val="none" w:sz="0" w:space="0" w:color="auto"/>
            <w:bottom w:val="none" w:sz="0" w:space="0" w:color="auto"/>
            <w:right w:val="none" w:sz="0" w:space="0" w:color="auto"/>
          </w:divBdr>
          <w:divsChild>
            <w:div w:id="2003314583">
              <w:marLeft w:val="0"/>
              <w:marRight w:val="0"/>
              <w:marTop w:val="0"/>
              <w:marBottom w:val="0"/>
              <w:divBdr>
                <w:top w:val="none" w:sz="0" w:space="0" w:color="auto"/>
                <w:left w:val="none" w:sz="0" w:space="0" w:color="auto"/>
                <w:bottom w:val="none" w:sz="0" w:space="0" w:color="auto"/>
                <w:right w:val="none" w:sz="0" w:space="0" w:color="auto"/>
              </w:divBdr>
              <w:divsChild>
                <w:div w:id="2003314606">
                  <w:marLeft w:val="0"/>
                  <w:marRight w:val="0"/>
                  <w:marTop w:val="0"/>
                  <w:marBottom w:val="0"/>
                  <w:divBdr>
                    <w:top w:val="none" w:sz="0" w:space="0" w:color="auto"/>
                    <w:left w:val="none" w:sz="0" w:space="0" w:color="auto"/>
                    <w:bottom w:val="none" w:sz="0" w:space="0" w:color="auto"/>
                    <w:right w:val="none" w:sz="0" w:space="0" w:color="auto"/>
                  </w:divBdr>
                  <w:divsChild>
                    <w:div w:id="2003314600">
                      <w:marLeft w:val="0"/>
                      <w:marRight w:val="0"/>
                      <w:marTop w:val="0"/>
                      <w:marBottom w:val="0"/>
                      <w:divBdr>
                        <w:top w:val="none" w:sz="0" w:space="0" w:color="auto"/>
                        <w:left w:val="none" w:sz="0" w:space="0" w:color="auto"/>
                        <w:bottom w:val="none" w:sz="0" w:space="0" w:color="auto"/>
                        <w:right w:val="none" w:sz="0" w:space="0" w:color="auto"/>
                      </w:divBdr>
                      <w:divsChild>
                        <w:div w:id="2003314574">
                          <w:marLeft w:val="0"/>
                          <w:marRight w:val="0"/>
                          <w:marTop w:val="0"/>
                          <w:marBottom w:val="0"/>
                          <w:divBdr>
                            <w:top w:val="none" w:sz="0" w:space="0" w:color="auto"/>
                            <w:left w:val="none" w:sz="0" w:space="0" w:color="auto"/>
                            <w:bottom w:val="none" w:sz="0" w:space="0" w:color="auto"/>
                            <w:right w:val="none" w:sz="0" w:space="0" w:color="auto"/>
                          </w:divBdr>
                          <w:divsChild>
                            <w:div w:id="2003314573">
                              <w:marLeft w:val="0"/>
                              <w:marRight w:val="0"/>
                              <w:marTop w:val="0"/>
                              <w:marBottom w:val="0"/>
                              <w:divBdr>
                                <w:top w:val="none" w:sz="0" w:space="0" w:color="auto"/>
                                <w:left w:val="none" w:sz="0" w:space="0" w:color="auto"/>
                                <w:bottom w:val="none" w:sz="0" w:space="0" w:color="auto"/>
                                <w:right w:val="none" w:sz="0" w:space="0" w:color="auto"/>
                              </w:divBdr>
                              <w:divsChild>
                                <w:div w:id="2003314603">
                                  <w:marLeft w:val="0"/>
                                  <w:marRight w:val="0"/>
                                  <w:marTop w:val="0"/>
                                  <w:marBottom w:val="0"/>
                                  <w:divBdr>
                                    <w:top w:val="none" w:sz="0" w:space="0" w:color="auto"/>
                                    <w:left w:val="none" w:sz="0" w:space="0" w:color="auto"/>
                                    <w:bottom w:val="none" w:sz="0" w:space="0" w:color="auto"/>
                                    <w:right w:val="none" w:sz="0" w:space="0" w:color="auto"/>
                                  </w:divBdr>
                                  <w:divsChild>
                                    <w:div w:id="200331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3314576">
      <w:marLeft w:val="0"/>
      <w:marRight w:val="0"/>
      <w:marTop w:val="0"/>
      <w:marBottom w:val="0"/>
      <w:divBdr>
        <w:top w:val="none" w:sz="0" w:space="0" w:color="auto"/>
        <w:left w:val="none" w:sz="0" w:space="0" w:color="auto"/>
        <w:bottom w:val="none" w:sz="0" w:space="0" w:color="auto"/>
        <w:right w:val="none" w:sz="0" w:space="0" w:color="auto"/>
      </w:divBdr>
      <w:divsChild>
        <w:div w:id="2003314584">
          <w:marLeft w:val="0"/>
          <w:marRight w:val="0"/>
          <w:marTop w:val="0"/>
          <w:marBottom w:val="0"/>
          <w:divBdr>
            <w:top w:val="none" w:sz="0" w:space="0" w:color="auto"/>
            <w:left w:val="none" w:sz="0" w:space="0" w:color="auto"/>
            <w:bottom w:val="none" w:sz="0" w:space="0" w:color="auto"/>
            <w:right w:val="none" w:sz="0" w:space="0" w:color="auto"/>
          </w:divBdr>
          <w:divsChild>
            <w:div w:id="2003314582">
              <w:marLeft w:val="0"/>
              <w:marRight w:val="0"/>
              <w:marTop w:val="0"/>
              <w:marBottom w:val="0"/>
              <w:divBdr>
                <w:top w:val="none" w:sz="0" w:space="0" w:color="auto"/>
                <w:left w:val="none" w:sz="0" w:space="0" w:color="auto"/>
                <w:bottom w:val="none" w:sz="0" w:space="0" w:color="auto"/>
                <w:right w:val="none" w:sz="0" w:space="0" w:color="auto"/>
              </w:divBdr>
              <w:divsChild>
                <w:div w:id="2003314594">
                  <w:marLeft w:val="0"/>
                  <w:marRight w:val="0"/>
                  <w:marTop w:val="0"/>
                  <w:marBottom w:val="0"/>
                  <w:divBdr>
                    <w:top w:val="none" w:sz="0" w:space="0" w:color="auto"/>
                    <w:left w:val="none" w:sz="0" w:space="0" w:color="auto"/>
                    <w:bottom w:val="none" w:sz="0" w:space="0" w:color="auto"/>
                    <w:right w:val="none" w:sz="0" w:space="0" w:color="auto"/>
                  </w:divBdr>
                  <w:divsChild>
                    <w:div w:id="2003314602">
                      <w:marLeft w:val="0"/>
                      <w:marRight w:val="0"/>
                      <w:marTop w:val="0"/>
                      <w:marBottom w:val="0"/>
                      <w:divBdr>
                        <w:top w:val="none" w:sz="0" w:space="0" w:color="auto"/>
                        <w:left w:val="none" w:sz="0" w:space="0" w:color="auto"/>
                        <w:bottom w:val="none" w:sz="0" w:space="0" w:color="auto"/>
                        <w:right w:val="none" w:sz="0" w:space="0" w:color="auto"/>
                      </w:divBdr>
                      <w:divsChild>
                        <w:div w:id="2003314563">
                          <w:marLeft w:val="0"/>
                          <w:marRight w:val="0"/>
                          <w:marTop w:val="0"/>
                          <w:marBottom w:val="0"/>
                          <w:divBdr>
                            <w:top w:val="none" w:sz="0" w:space="0" w:color="auto"/>
                            <w:left w:val="none" w:sz="0" w:space="0" w:color="auto"/>
                            <w:bottom w:val="none" w:sz="0" w:space="0" w:color="auto"/>
                            <w:right w:val="none" w:sz="0" w:space="0" w:color="auto"/>
                          </w:divBdr>
                          <w:divsChild>
                            <w:div w:id="2003314571">
                              <w:marLeft w:val="0"/>
                              <w:marRight w:val="0"/>
                              <w:marTop w:val="0"/>
                              <w:marBottom w:val="0"/>
                              <w:divBdr>
                                <w:top w:val="none" w:sz="0" w:space="0" w:color="auto"/>
                                <w:left w:val="none" w:sz="0" w:space="0" w:color="auto"/>
                                <w:bottom w:val="none" w:sz="0" w:space="0" w:color="auto"/>
                                <w:right w:val="none" w:sz="0" w:space="0" w:color="auto"/>
                              </w:divBdr>
                              <w:divsChild>
                                <w:div w:id="2003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78">
      <w:marLeft w:val="0"/>
      <w:marRight w:val="0"/>
      <w:marTop w:val="0"/>
      <w:marBottom w:val="0"/>
      <w:divBdr>
        <w:top w:val="none" w:sz="0" w:space="0" w:color="auto"/>
        <w:left w:val="none" w:sz="0" w:space="0" w:color="auto"/>
        <w:bottom w:val="none" w:sz="0" w:space="0" w:color="auto"/>
        <w:right w:val="none" w:sz="0" w:space="0" w:color="auto"/>
      </w:divBdr>
    </w:div>
    <w:div w:id="2003314581">
      <w:marLeft w:val="0"/>
      <w:marRight w:val="0"/>
      <w:marTop w:val="0"/>
      <w:marBottom w:val="0"/>
      <w:divBdr>
        <w:top w:val="none" w:sz="0" w:space="0" w:color="auto"/>
        <w:left w:val="none" w:sz="0" w:space="0" w:color="auto"/>
        <w:bottom w:val="none" w:sz="0" w:space="0" w:color="auto"/>
        <w:right w:val="none" w:sz="0" w:space="0" w:color="auto"/>
      </w:divBdr>
      <w:divsChild>
        <w:div w:id="2003314561">
          <w:marLeft w:val="0"/>
          <w:marRight w:val="0"/>
          <w:marTop w:val="0"/>
          <w:marBottom w:val="0"/>
          <w:divBdr>
            <w:top w:val="none" w:sz="0" w:space="0" w:color="auto"/>
            <w:left w:val="none" w:sz="0" w:space="0" w:color="auto"/>
            <w:bottom w:val="none" w:sz="0" w:space="0" w:color="auto"/>
            <w:right w:val="none" w:sz="0" w:space="0" w:color="auto"/>
          </w:divBdr>
          <w:divsChild>
            <w:div w:id="2003314570">
              <w:marLeft w:val="0"/>
              <w:marRight w:val="0"/>
              <w:marTop w:val="0"/>
              <w:marBottom w:val="0"/>
              <w:divBdr>
                <w:top w:val="none" w:sz="0" w:space="0" w:color="auto"/>
                <w:left w:val="none" w:sz="0" w:space="0" w:color="auto"/>
                <w:bottom w:val="none" w:sz="0" w:space="0" w:color="auto"/>
                <w:right w:val="none" w:sz="0" w:space="0" w:color="auto"/>
              </w:divBdr>
              <w:divsChild>
                <w:div w:id="20033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87">
      <w:marLeft w:val="0"/>
      <w:marRight w:val="0"/>
      <w:marTop w:val="0"/>
      <w:marBottom w:val="0"/>
      <w:divBdr>
        <w:top w:val="none" w:sz="0" w:space="0" w:color="auto"/>
        <w:left w:val="none" w:sz="0" w:space="0" w:color="auto"/>
        <w:bottom w:val="none" w:sz="0" w:space="0" w:color="auto"/>
        <w:right w:val="none" w:sz="0" w:space="0" w:color="auto"/>
      </w:divBdr>
      <w:divsChild>
        <w:div w:id="2003314560">
          <w:marLeft w:val="0"/>
          <w:marRight w:val="0"/>
          <w:marTop w:val="0"/>
          <w:marBottom w:val="0"/>
          <w:divBdr>
            <w:top w:val="none" w:sz="0" w:space="0" w:color="auto"/>
            <w:left w:val="none" w:sz="0" w:space="0" w:color="auto"/>
            <w:bottom w:val="none" w:sz="0" w:space="0" w:color="auto"/>
            <w:right w:val="none" w:sz="0" w:space="0" w:color="auto"/>
          </w:divBdr>
          <w:divsChild>
            <w:div w:id="20033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14590">
      <w:marLeft w:val="0"/>
      <w:marRight w:val="0"/>
      <w:marTop w:val="0"/>
      <w:marBottom w:val="0"/>
      <w:divBdr>
        <w:top w:val="none" w:sz="0" w:space="0" w:color="auto"/>
        <w:left w:val="none" w:sz="0" w:space="0" w:color="auto"/>
        <w:bottom w:val="none" w:sz="0" w:space="0" w:color="auto"/>
        <w:right w:val="none" w:sz="0" w:space="0" w:color="auto"/>
      </w:divBdr>
      <w:divsChild>
        <w:div w:id="2003314566">
          <w:marLeft w:val="0"/>
          <w:marRight w:val="0"/>
          <w:marTop w:val="0"/>
          <w:marBottom w:val="0"/>
          <w:divBdr>
            <w:top w:val="none" w:sz="0" w:space="0" w:color="auto"/>
            <w:left w:val="none" w:sz="0" w:space="0" w:color="auto"/>
            <w:bottom w:val="none" w:sz="0" w:space="0" w:color="auto"/>
            <w:right w:val="none" w:sz="0" w:space="0" w:color="auto"/>
          </w:divBdr>
          <w:divsChild>
            <w:div w:id="2003314580">
              <w:marLeft w:val="0"/>
              <w:marRight w:val="0"/>
              <w:marTop w:val="0"/>
              <w:marBottom w:val="0"/>
              <w:divBdr>
                <w:top w:val="none" w:sz="0" w:space="0" w:color="auto"/>
                <w:left w:val="none" w:sz="0" w:space="0" w:color="auto"/>
                <w:bottom w:val="none" w:sz="0" w:space="0" w:color="auto"/>
                <w:right w:val="none" w:sz="0" w:space="0" w:color="auto"/>
              </w:divBdr>
              <w:divsChild>
                <w:div w:id="200331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14591">
      <w:marLeft w:val="0"/>
      <w:marRight w:val="0"/>
      <w:marTop w:val="0"/>
      <w:marBottom w:val="0"/>
      <w:divBdr>
        <w:top w:val="none" w:sz="0" w:space="0" w:color="auto"/>
        <w:left w:val="none" w:sz="0" w:space="0" w:color="auto"/>
        <w:bottom w:val="none" w:sz="0" w:space="0" w:color="auto"/>
        <w:right w:val="none" w:sz="0" w:space="0" w:color="auto"/>
      </w:divBdr>
      <w:divsChild>
        <w:div w:id="2003314586">
          <w:marLeft w:val="0"/>
          <w:marRight w:val="0"/>
          <w:marTop w:val="0"/>
          <w:marBottom w:val="0"/>
          <w:divBdr>
            <w:top w:val="none" w:sz="0" w:space="0" w:color="auto"/>
            <w:left w:val="none" w:sz="0" w:space="0" w:color="auto"/>
            <w:bottom w:val="none" w:sz="0" w:space="0" w:color="auto"/>
            <w:right w:val="none" w:sz="0" w:space="0" w:color="auto"/>
          </w:divBdr>
          <w:divsChild>
            <w:div w:id="2003314562">
              <w:marLeft w:val="0"/>
              <w:marRight w:val="0"/>
              <w:marTop w:val="0"/>
              <w:marBottom w:val="0"/>
              <w:divBdr>
                <w:top w:val="none" w:sz="0" w:space="0" w:color="auto"/>
                <w:left w:val="none" w:sz="0" w:space="0" w:color="auto"/>
                <w:bottom w:val="none" w:sz="0" w:space="0" w:color="auto"/>
                <w:right w:val="none" w:sz="0" w:space="0" w:color="auto"/>
              </w:divBdr>
              <w:divsChild>
                <w:div w:id="2003314579">
                  <w:marLeft w:val="0"/>
                  <w:marRight w:val="0"/>
                  <w:marTop w:val="0"/>
                  <w:marBottom w:val="0"/>
                  <w:divBdr>
                    <w:top w:val="none" w:sz="0" w:space="0" w:color="auto"/>
                    <w:left w:val="none" w:sz="0" w:space="0" w:color="auto"/>
                    <w:bottom w:val="none" w:sz="0" w:space="0" w:color="auto"/>
                    <w:right w:val="none" w:sz="0" w:space="0" w:color="auto"/>
                  </w:divBdr>
                  <w:divsChild>
                    <w:div w:id="2003314569">
                      <w:marLeft w:val="0"/>
                      <w:marRight w:val="0"/>
                      <w:marTop w:val="0"/>
                      <w:marBottom w:val="0"/>
                      <w:divBdr>
                        <w:top w:val="none" w:sz="0" w:space="0" w:color="auto"/>
                        <w:left w:val="none" w:sz="0" w:space="0" w:color="auto"/>
                        <w:bottom w:val="none" w:sz="0" w:space="0" w:color="auto"/>
                        <w:right w:val="none" w:sz="0" w:space="0" w:color="auto"/>
                      </w:divBdr>
                      <w:divsChild>
                        <w:div w:id="2003314601">
                          <w:marLeft w:val="0"/>
                          <w:marRight w:val="0"/>
                          <w:marTop w:val="0"/>
                          <w:marBottom w:val="0"/>
                          <w:divBdr>
                            <w:top w:val="none" w:sz="0" w:space="0" w:color="auto"/>
                            <w:left w:val="none" w:sz="0" w:space="0" w:color="auto"/>
                            <w:bottom w:val="none" w:sz="0" w:space="0" w:color="auto"/>
                            <w:right w:val="none" w:sz="0" w:space="0" w:color="auto"/>
                          </w:divBdr>
                          <w:divsChild>
                            <w:div w:id="2003314597">
                              <w:marLeft w:val="0"/>
                              <w:marRight w:val="0"/>
                              <w:marTop w:val="0"/>
                              <w:marBottom w:val="0"/>
                              <w:divBdr>
                                <w:top w:val="none" w:sz="0" w:space="0" w:color="auto"/>
                                <w:left w:val="none" w:sz="0" w:space="0" w:color="auto"/>
                                <w:bottom w:val="none" w:sz="0" w:space="0" w:color="auto"/>
                                <w:right w:val="none" w:sz="0" w:space="0" w:color="auto"/>
                              </w:divBdr>
                              <w:divsChild>
                                <w:div w:id="20033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314593">
      <w:marLeft w:val="0"/>
      <w:marRight w:val="0"/>
      <w:marTop w:val="0"/>
      <w:marBottom w:val="0"/>
      <w:divBdr>
        <w:top w:val="none" w:sz="0" w:space="0" w:color="auto"/>
        <w:left w:val="none" w:sz="0" w:space="0" w:color="auto"/>
        <w:bottom w:val="none" w:sz="0" w:space="0" w:color="auto"/>
        <w:right w:val="none" w:sz="0" w:space="0" w:color="auto"/>
      </w:divBdr>
    </w:div>
    <w:div w:id="2003314595">
      <w:marLeft w:val="0"/>
      <w:marRight w:val="0"/>
      <w:marTop w:val="0"/>
      <w:marBottom w:val="0"/>
      <w:divBdr>
        <w:top w:val="none" w:sz="0" w:space="0" w:color="auto"/>
        <w:left w:val="none" w:sz="0" w:space="0" w:color="auto"/>
        <w:bottom w:val="none" w:sz="0" w:space="0" w:color="auto"/>
        <w:right w:val="none" w:sz="0" w:space="0" w:color="auto"/>
      </w:divBdr>
    </w:div>
    <w:div w:id="2003314598">
      <w:marLeft w:val="0"/>
      <w:marRight w:val="0"/>
      <w:marTop w:val="0"/>
      <w:marBottom w:val="0"/>
      <w:divBdr>
        <w:top w:val="none" w:sz="0" w:space="0" w:color="auto"/>
        <w:left w:val="none" w:sz="0" w:space="0" w:color="auto"/>
        <w:bottom w:val="none" w:sz="0" w:space="0" w:color="auto"/>
        <w:right w:val="none" w:sz="0" w:space="0" w:color="auto"/>
      </w:divBdr>
    </w:div>
    <w:div w:id="2003314604">
      <w:marLeft w:val="0"/>
      <w:marRight w:val="0"/>
      <w:marTop w:val="0"/>
      <w:marBottom w:val="0"/>
      <w:divBdr>
        <w:top w:val="none" w:sz="0" w:space="0" w:color="auto"/>
        <w:left w:val="none" w:sz="0" w:space="0" w:color="auto"/>
        <w:bottom w:val="none" w:sz="0" w:space="0" w:color="auto"/>
        <w:right w:val="none" w:sz="0" w:space="0" w:color="auto"/>
      </w:divBdr>
      <w:divsChild>
        <w:div w:id="2003314564">
          <w:marLeft w:val="0"/>
          <w:marRight w:val="0"/>
          <w:marTop w:val="0"/>
          <w:marBottom w:val="0"/>
          <w:divBdr>
            <w:top w:val="none" w:sz="0" w:space="0" w:color="auto"/>
            <w:left w:val="none" w:sz="0" w:space="0" w:color="auto"/>
            <w:bottom w:val="none" w:sz="0" w:space="0" w:color="auto"/>
            <w:right w:val="none" w:sz="0" w:space="0" w:color="auto"/>
          </w:divBdr>
          <w:divsChild>
            <w:div w:id="2003314567">
              <w:marLeft w:val="0"/>
              <w:marRight w:val="0"/>
              <w:marTop w:val="0"/>
              <w:marBottom w:val="0"/>
              <w:divBdr>
                <w:top w:val="none" w:sz="0" w:space="0" w:color="auto"/>
                <w:left w:val="none" w:sz="0" w:space="0" w:color="auto"/>
                <w:bottom w:val="none" w:sz="0" w:space="0" w:color="auto"/>
                <w:right w:val="none" w:sz="0" w:space="0" w:color="auto"/>
              </w:divBdr>
              <w:divsChild>
                <w:div w:id="2003314577">
                  <w:marLeft w:val="0"/>
                  <w:marRight w:val="0"/>
                  <w:marTop w:val="0"/>
                  <w:marBottom w:val="0"/>
                  <w:divBdr>
                    <w:top w:val="none" w:sz="0" w:space="0" w:color="auto"/>
                    <w:left w:val="none" w:sz="0" w:space="0" w:color="auto"/>
                    <w:bottom w:val="none" w:sz="0" w:space="0" w:color="auto"/>
                    <w:right w:val="none" w:sz="0" w:space="0" w:color="auto"/>
                  </w:divBdr>
                  <w:divsChild>
                    <w:div w:id="2003314588">
                      <w:marLeft w:val="0"/>
                      <w:marRight w:val="0"/>
                      <w:marTop w:val="0"/>
                      <w:marBottom w:val="0"/>
                      <w:divBdr>
                        <w:top w:val="none" w:sz="0" w:space="0" w:color="auto"/>
                        <w:left w:val="none" w:sz="0" w:space="0" w:color="auto"/>
                        <w:bottom w:val="none" w:sz="0" w:space="0" w:color="auto"/>
                        <w:right w:val="none" w:sz="0" w:space="0" w:color="auto"/>
                      </w:divBdr>
                      <w:divsChild>
                        <w:div w:id="200331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abs.gov.au/statistics/labour/jobs/job-mobility/latest-release" TargetMode="External"/><Relationship Id="rId1" Type="http://schemas.openxmlformats.org/officeDocument/2006/relationships/hyperlink" Target="https://www.cmtedd.act.gov.au/__data/assets/pdf_file/0006/2013765/Portable-Long-Service-Leave-Expansion-Consultation-Paper-June-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EF988E-63A9-4BF6-B8A9-0E7FA2677193}">
  <ds:schemaRefs>
    <ds:schemaRef ds:uri="http://schemas.openxmlformats.org/officeDocument/2006/bibliography"/>
  </ds:schemaRefs>
</ds:datastoreItem>
</file>

<file path=customXml/itemProps2.xml><?xml version="1.0" encoding="utf-8"?>
<ds:datastoreItem xmlns:ds="http://schemas.openxmlformats.org/officeDocument/2006/customXml" ds:itemID="{11BE3CDE-CD63-41CA-9AC7-E7EF218F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3078</Words>
  <Characters>17690</Characters>
  <Application>Microsoft Office Word</Application>
  <DocSecurity>0</DocSecurity>
  <Lines>364</Lines>
  <Paragraphs>126</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Senior Practitioner Amendment Bill 2019, Senior Practitioner Act 2018, restrictive practice</cp:keywords>
  <dc:description/>
  <cp:lastModifiedBy>PCODCS</cp:lastModifiedBy>
  <cp:revision>4</cp:revision>
  <cp:lastPrinted>2019-05-13T07:51:00Z</cp:lastPrinted>
  <dcterms:created xsi:type="dcterms:W3CDTF">2022-11-21T22:10:00Z</dcterms:created>
  <dcterms:modified xsi:type="dcterms:W3CDTF">2022-11-21T22:10:00Z</dcterms:modified>
</cp:coreProperties>
</file>