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DBF9" w14:textId="77777777" w:rsidR="006A4AE4" w:rsidRPr="009A0BB9" w:rsidRDefault="006A4AE4" w:rsidP="006A4AE4">
      <w:pPr>
        <w:spacing w:before="120"/>
        <w:jc w:val="both"/>
        <w:rPr>
          <w:sz w:val="24"/>
          <w:szCs w:val="24"/>
        </w:rPr>
      </w:pPr>
      <w:r w:rsidRPr="009A0BB9">
        <w:rPr>
          <w:sz w:val="24"/>
          <w:szCs w:val="24"/>
        </w:rPr>
        <w:t>Australian Capital Territory</w:t>
      </w:r>
    </w:p>
    <w:p w14:paraId="65799B9F" w14:textId="1127AE67" w:rsidR="006A4AE4" w:rsidRDefault="006A4AE4" w:rsidP="006A4AE4">
      <w:pPr>
        <w:pStyle w:val="Billname"/>
        <w:spacing w:before="600" w:after="0"/>
        <w:jc w:val="both"/>
      </w:pPr>
      <w:r>
        <w:t>Courts Procedures Amendment Rules 2022</w:t>
      </w:r>
      <w:r w:rsidR="00900C12">
        <w:t xml:space="preserve"> (No 3)</w:t>
      </w:r>
    </w:p>
    <w:p w14:paraId="05541D80" w14:textId="79C13E1C" w:rsidR="006A4AE4" w:rsidRPr="009A0BB9" w:rsidRDefault="006A4AE4" w:rsidP="006A4AE4">
      <w:pPr>
        <w:spacing w:before="240" w:after="60"/>
        <w:rPr>
          <w:rFonts w:eastAsia="DengXi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Subordinate Law 2022-19</w:t>
      </w:r>
    </w:p>
    <w:p w14:paraId="06FC58D9" w14:textId="77777777" w:rsidR="006A4AE4" w:rsidRPr="009A0BB9" w:rsidRDefault="006A4AE4" w:rsidP="006A4AE4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9A0BB9">
        <w:rPr>
          <w:rFonts w:ascii="Times New Roman" w:hAnsi="Times New Roman"/>
          <w:sz w:val="24"/>
          <w:szCs w:val="24"/>
        </w:rPr>
        <w:t xml:space="preserve">made under the  </w:t>
      </w:r>
    </w:p>
    <w:p w14:paraId="19E929CB" w14:textId="550DAA79" w:rsidR="006A4AE4" w:rsidRDefault="006A4AE4" w:rsidP="006A4AE4">
      <w:pPr>
        <w:pStyle w:val="CoverActName"/>
      </w:pPr>
      <w:r>
        <w:rPr>
          <w:sz w:val="20"/>
          <w:szCs w:val="20"/>
        </w:rPr>
        <w:t>Courts Procedures Act 2004</w:t>
      </w:r>
    </w:p>
    <w:p w14:paraId="20F503A0" w14:textId="77777777" w:rsidR="006A4AE4" w:rsidRDefault="006A4AE4" w:rsidP="009A0BB9">
      <w:pPr>
        <w:spacing w:after="0"/>
        <w:jc w:val="both"/>
      </w:pPr>
    </w:p>
    <w:p w14:paraId="7298D169" w14:textId="62333A00" w:rsidR="006A4AE4" w:rsidRDefault="006A4AE4" w:rsidP="006A4AE4">
      <w:pPr>
        <w:pStyle w:val="Heading3"/>
        <w:jc w:val="both"/>
      </w:pPr>
      <w:r>
        <w:t>REVISED EXPLANATORY STATEMENT</w:t>
      </w:r>
    </w:p>
    <w:p w14:paraId="6BA6A380" w14:textId="77777777" w:rsidR="006A4AE4" w:rsidRDefault="006A4AE4" w:rsidP="009A0BB9">
      <w:pPr>
        <w:spacing w:after="0"/>
        <w:jc w:val="both"/>
      </w:pPr>
    </w:p>
    <w:p w14:paraId="72DB572A" w14:textId="77777777" w:rsidR="006A4AE4" w:rsidRPr="009A0BB9" w:rsidRDefault="006A4AE4" w:rsidP="006A4AE4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79E9220B" w14:textId="77777777" w:rsidR="00FC5126" w:rsidRPr="009A0BB9" w:rsidRDefault="007E16C3" w:rsidP="007E16C3">
      <w:p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The Rule-Making Committee (currently comprising the Chief Justice</w:t>
      </w:r>
      <w:r w:rsidR="0091151B" w:rsidRPr="009A0BB9">
        <w:rPr>
          <w:rFonts w:ascii="Times New Roman" w:hAnsi="Times New Roman" w:cs="Times New Roman"/>
          <w:sz w:val="24"/>
          <w:szCs w:val="24"/>
        </w:rPr>
        <w:t xml:space="preserve"> McCallum</w:t>
      </w:r>
      <w:r w:rsidRPr="009A0BB9">
        <w:rPr>
          <w:rFonts w:ascii="Times New Roman" w:hAnsi="Times New Roman" w:cs="Times New Roman"/>
          <w:sz w:val="24"/>
          <w:szCs w:val="24"/>
        </w:rPr>
        <w:t xml:space="preserve">, Justice </w:t>
      </w:r>
      <w:r w:rsidR="00D06B19" w:rsidRPr="009A0BB9">
        <w:rPr>
          <w:rFonts w:ascii="Times New Roman" w:hAnsi="Times New Roman" w:cs="Times New Roman"/>
          <w:sz w:val="24"/>
          <w:szCs w:val="24"/>
        </w:rPr>
        <w:t>Kennett</w:t>
      </w:r>
      <w:r w:rsidRPr="009A0BB9">
        <w:rPr>
          <w:rFonts w:ascii="Times New Roman" w:hAnsi="Times New Roman" w:cs="Times New Roman"/>
          <w:sz w:val="24"/>
          <w:szCs w:val="24"/>
        </w:rPr>
        <w:t xml:space="preserve">, </w:t>
      </w:r>
      <w:r w:rsidR="00D06B19" w:rsidRPr="009A0BB9">
        <w:rPr>
          <w:rFonts w:ascii="Times New Roman" w:hAnsi="Times New Roman" w:cs="Times New Roman"/>
          <w:sz w:val="24"/>
          <w:szCs w:val="24"/>
        </w:rPr>
        <w:t xml:space="preserve">Acting </w:t>
      </w:r>
      <w:r w:rsidRPr="009A0BB9">
        <w:rPr>
          <w:rFonts w:ascii="Times New Roman" w:hAnsi="Times New Roman" w:cs="Times New Roman"/>
          <w:sz w:val="24"/>
          <w:szCs w:val="24"/>
        </w:rPr>
        <w:t>Chief Magistrate</w:t>
      </w:r>
      <w:r w:rsidR="00D06B19" w:rsidRPr="009A0BB9">
        <w:rPr>
          <w:rFonts w:ascii="Times New Roman" w:hAnsi="Times New Roman" w:cs="Times New Roman"/>
          <w:sz w:val="24"/>
          <w:szCs w:val="24"/>
        </w:rPr>
        <w:t xml:space="preserve"> Campbell</w:t>
      </w:r>
      <w:r w:rsidRPr="009A0BB9">
        <w:rPr>
          <w:rFonts w:ascii="Times New Roman" w:hAnsi="Times New Roman" w:cs="Times New Roman"/>
          <w:sz w:val="24"/>
          <w:szCs w:val="24"/>
        </w:rPr>
        <w:t xml:space="preserve"> and Magistrate </w:t>
      </w:r>
      <w:r w:rsidR="0091151B" w:rsidRPr="009A0BB9">
        <w:rPr>
          <w:rFonts w:ascii="Times New Roman" w:hAnsi="Times New Roman" w:cs="Times New Roman"/>
          <w:sz w:val="24"/>
          <w:szCs w:val="24"/>
        </w:rPr>
        <w:t>Theakston</w:t>
      </w:r>
      <w:r w:rsidRPr="009A0BB9">
        <w:rPr>
          <w:rFonts w:ascii="Times New Roman" w:hAnsi="Times New Roman" w:cs="Times New Roman"/>
          <w:sz w:val="24"/>
          <w:szCs w:val="24"/>
        </w:rPr>
        <w:t xml:space="preserve">) may make rules in relation to the practice and procedure of the ACT Courts and their registries pursuant to section 7 of the </w:t>
      </w:r>
      <w:r w:rsidRPr="009A0BB9">
        <w:rPr>
          <w:rFonts w:ascii="Times New Roman" w:hAnsi="Times New Roman" w:cs="Times New Roman"/>
          <w:i/>
          <w:iCs/>
          <w:sz w:val="24"/>
          <w:szCs w:val="24"/>
        </w:rPr>
        <w:t>Court Procedures Act 2004</w:t>
      </w:r>
      <w:r w:rsidRPr="009A0B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780C4E" w14:textId="67745DAC" w:rsidR="007E16C3" w:rsidRPr="009A0BB9" w:rsidRDefault="007E16C3" w:rsidP="007E16C3">
      <w:p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 xml:space="preserve">The Courts and the Joint Rules Advisory Committee conducted a consultative review of the rules which has resulted in the amendments contained in </w:t>
      </w:r>
      <w:r w:rsidRPr="009A0BB9">
        <w:rPr>
          <w:rFonts w:ascii="Times New Roman" w:hAnsi="Times New Roman" w:cs="Times New Roman"/>
          <w:i/>
          <w:iCs/>
          <w:sz w:val="24"/>
          <w:szCs w:val="24"/>
        </w:rPr>
        <w:t>the Court Procedures Amendment Rules 202</w:t>
      </w:r>
      <w:r w:rsidR="0091151B" w:rsidRPr="009A0BB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A0BB9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900C1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A0BB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A0BB9">
        <w:rPr>
          <w:rFonts w:ascii="Times New Roman" w:hAnsi="Times New Roman" w:cs="Times New Roman"/>
          <w:sz w:val="24"/>
          <w:szCs w:val="24"/>
        </w:rPr>
        <w:t>.</w:t>
      </w:r>
    </w:p>
    <w:p w14:paraId="7E3E5524" w14:textId="77777777" w:rsidR="00000C4B" w:rsidRPr="009A0BB9" w:rsidRDefault="00956F89" w:rsidP="007E16C3">
      <w:p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The amendment</w:t>
      </w:r>
      <w:r w:rsidR="00000C4B" w:rsidRPr="009A0BB9">
        <w:rPr>
          <w:rFonts w:ascii="Times New Roman" w:hAnsi="Times New Roman" w:cs="Times New Roman"/>
          <w:sz w:val="24"/>
          <w:szCs w:val="24"/>
        </w:rPr>
        <w:t>s</w:t>
      </w:r>
      <w:r w:rsidR="0091151B" w:rsidRPr="009A0BB9">
        <w:rPr>
          <w:rFonts w:ascii="Times New Roman" w:hAnsi="Times New Roman" w:cs="Times New Roman"/>
          <w:sz w:val="24"/>
          <w:szCs w:val="24"/>
        </w:rPr>
        <w:t xml:space="preserve"> </w:t>
      </w:r>
      <w:r w:rsidR="00D06B19" w:rsidRPr="009A0BB9">
        <w:rPr>
          <w:rFonts w:ascii="Times New Roman" w:hAnsi="Times New Roman" w:cs="Times New Roman"/>
          <w:sz w:val="24"/>
          <w:szCs w:val="24"/>
        </w:rPr>
        <w:t>provide for</w:t>
      </w:r>
      <w:r w:rsidR="00000C4B" w:rsidRPr="009A0BB9">
        <w:rPr>
          <w:rFonts w:ascii="Times New Roman" w:hAnsi="Times New Roman" w:cs="Times New Roman"/>
          <w:sz w:val="24"/>
          <w:szCs w:val="24"/>
        </w:rPr>
        <w:t>:</w:t>
      </w:r>
    </w:p>
    <w:p w14:paraId="2E59A746" w14:textId="01585E47" w:rsidR="00000C4B" w:rsidRPr="009A0BB9" w:rsidRDefault="00D06B19" w:rsidP="0000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electronic signatures to be applied to a range of court documents</w:t>
      </w:r>
      <w:r w:rsidR="00000C4B" w:rsidRPr="009A0BB9">
        <w:rPr>
          <w:rFonts w:ascii="Times New Roman" w:hAnsi="Times New Roman" w:cs="Times New Roman"/>
          <w:sz w:val="24"/>
          <w:szCs w:val="24"/>
        </w:rPr>
        <w:t>; and</w:t>
      </w:r>
    </w:p>
    <w:p w14:paraId="5DC29C12" w14:textId="2DE9D5ED" w:rsidR="007E16C3" w:rsidRPr="009A0BB9" w:rsidRDefault="00D06B19" w:rsidP="0000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an increase in the scale of allowable costs</w:t>
      </w:r>
      <w:r w:rsidR="00E27BB7" w:rsidRPr="009A0BB9">
        <w:rPr>
          <w:rFonts w:ascii="Times New Roman" w:hAnsi="Times New Roman" w:cs="Times New Roman"/>
          <w:sz w:val="24"/>
          <w:szCs w:val="24"/>
        </w:rPr>
        <w:t xml:space="preserve"> contained at Schedule 4</w:t>
      </w:r>
      <w:r w:rsidR="00000C4B" w:rsidRPr="009A0BB9">
        <w:rPr>
          <w:rFonts w:ascii="Times New Roman" w:hAnsi="Times New Roman" w:cs="Times New Roman"/>
          <w:sz w:val="24"/>
          <w:szCs w:val="24"/>
        </w:rPr>
        <w:t>.</w:t>
      </w:r>
    </w:p>
    <w:p w14:paraId="5B8F1B55" w14:textId="77777777" w:rsidR="009A0BB9" w:rsidRDefault="0057199C" w:rsidP="0057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amendments allow for electronic signatures to be affixed to document required by the Rules to be signed other than affidavits or documents that are required to be witnessed.</w:t>
      </w:r>
    </w:p>
    <w:p w14:paraId="03F2CD7C" w14:textId="61FA54AB" w:rsidR="0057199C" w:rsidRPr="0059789F" w:rsidRDefault="0057199C" w:rsidP="0057199C">
      <w:pPr>
        <w:rPr>
          <w:rFonts w:ascii="Times New Roman" w:hAnsi="Times New Roman" w:cs="Times New Roman"/>
          <w:sz w:val="24"/>
          <w:szCs w:val="24"/>
        </w:rPr>
      </w:pPr>
      <w:r w:rsidRPr="0059789F">
        <w:rPr>
          <w:rFonts w:ascii="Times New Roman" w:hAnsi="Times New Roman" w:cs="Times New Roman"/>
          <w:sz w:val="24"/>
          <w:szCs w:val="24"/>
        </w:rPr>
        <w:t xml:space="preserve">Allowable costs are costs that a solicitor is entitled to recover from the other party in circumstances where the Court makes an Order for costs. </w:t>
      </w:r>
    </w:p>
    <w:p w14:paraId="439EE36A" w14:textId="69DC249C" w:rsidR="00D06B19" w:rsidRPr="009A0BB9" w:rsidRDefault="00227FFC" w:rsidP="007E16C3">
      <w:p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 xml:space="preserve">The amendments to the scale of allowable costs reflect increases in the Wage Price Index and Consumer Price since </w:t>
      </w:r>
      <w:r w:rsidR="002155F5" w:rsidRPr="009A0BB9">
        <w:rPr>
          <w:rFonts w:ascii="Times New Roman" w:hAnsi="Times New Roman" w:cs="Times New Roman"/>
          <w:sz w:val="24"/>
          <w:szCs w:val="24"/>
        </w:rPr>
        <w:t>the scale</w:t>
      </w:r>
      <w:r w:rsidRPr="009A0BB9">
        <w:rPr>
          <w:rFonts w:ascii="Times New Roman" w:hAnsi="Times New Roman" w:cs="Times New Roman"/>
          <w:sz w:val="24"/>
          <w:szCs w:val="24"/>
        </w:rPr>
        <w:t xml:space="preserve"> was last </w:t>
      </w:r>
      <w:r w:rsidR="00B8336E" w:rsidRPr="009A0BB9">
        <w:rPr>
          <w:rFonts w:ascii="Times New Roman" w:hAnsi="Times New Roman" w:cs="Times New Roman"/>
          <w:sz w:val="24"/>
          <w:szCs w:val="24"/>
        </w:rPr>
        <w:t xml:space="preserve">reviewed and amended </w:t>
      </w:r>
      <w:r w:rsidRPr="009A0BB9">
        <w:rPr>
          <w:rFonts w:ascii="Times New Roman" w:hAnsi="Times New Roman" w:cs="Times New Roman"/>
          <w:sz w:val="24"/>
          <w:szCs w:val="24"/>
        </w:rPr>
        <w:t xml:space="preserve">on 1 July 2019.  </w:t>
      </w:r>
      <w:r w:rsidR="006608C0" w:rsidRPr="009A0BB9">
        <w:rPr>
          <w:rFonts w:ascii="Times New Roman" w:hAnsi="Times New Roman" w:cs="Times New Roman"/>
          <w:sz w:val="24"/>
          <w:szCs w:val="24"/>
        </w:rPr>
        <w:t xml:space="preserve">The increase reflects CPI and WPI increases of: </w:t>
      </w:r>
    </w:p>
    <w:p w14:paraId="52E15414" w14:textId="2A2B6A09" w:rsidR="006608C0" w:rsidRPr="009A0BB9" w:rsidRDefault="006608C0" w:rsidP="00660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0.97% for FY 2019/20</w:t>
      </w:r>
    </w:p>
    <w:p w14:paraId="5E8F97E3" w14:textId="726F69E9" w:rsidR="006608C0" w:rsidRPr="009A0BB9" w:rsidRDefault="006608C0" w:rsidP="00660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2.52% for FY 2020/21</w:t>
      </w:r>
    </w:p>
    <w:p w14:paraId="373EFE9D" w14:textId="6F4530A8" w:rsidR="006608C0" w:rsidRPr="009A0BB9" w:rsidRDefault="006608C0" w:rsidP="00660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>3.97% for FY 2021/22</w:t>
      </w:r>
    </w:p>
    <w:p w14:paraId="4C6885DB" w14:textId="1A892310" w:rsidR="006608C0" w:rsidRPr="009A0BB9" w:rsidRDefault="006608C0" w:rsidP="006608C0">
      <w:pPr>
        <w:rPr>
          <w:rFonts w:ascii="Times New Roman" w:hAnsi="Times New Roman" w:cs="Times New Roman"/>
          <w:sz w:val="24"/>
          <w:szCs w:val="24"/>
        </w:rPr>
      </w:pPr>
      <w:r w:rsidRPr="009A0BB9">
        <w:rPr>
          <w:rFonts w:ascii="Times New Roman" w:hAnsi="Times New Roman" w:cs="Times New Roman"/>
          <w:sz w:val="24"/>
          <w:szCs w:val="24"/>
        </w:rPr>
        <w:t xml:space="preserve">These increases are </w:t>
      </w:r>
      <w:r w:rsidR="00427196" w:rsidRPr="009A0BB9">
        <w:rPr>
          <w:rFonts w:ascii="Times New Roman" w:hAnsi="Times New Roman" w:cs="Times New Roman"/>
          <w:sz w:val="24"/>
          <w:szCs w:val="24"/>
        </w:rPr>
        <w:t xml:space="preserve">calculated </w:t>
      </w:r>
      <w:r w:rsidRPr="009A0BB9">
        <w:rPr>
          <w:rFonts w:ascii="Times New Roman" w:hAnsi="Times New Roman" w:cs="Times New Roman"/>
          <w:sz w:val="24"/>
          <w:szCs w:val="24"/>
        </w:rPr>
        <w:t xml:space="preserve">in </w:t>
      </w:r>
      <w:r w:rsidR="00427196" w:rsidRPr="009A0BB9">
        <w:rPr>
          <w:rFonts w:ascii="Times New Roman" w:hAnsi="Times New Roman" w:cs="Times New Roman"/>
          <w:sz w:val="24"/>
          <w:szCs w:val="24"/>
        </w:rPr>
        <w:t>accordance with the Federal Costs Advisory Committee formula which is applied to the Federal courts’ scale of costs</w:t>
      </w:r>
      <w:r w:rsidR="0057199C">
        <w:rPr>
          <w:rFonts w:ascii="Times New Roman" w:hAnsi="Times New Roman" w:cs="Times New Roman"/>
          <w:sz w:val="24"/>
          <w:szCs w:val="24"/>
        </w:rPr>
        <w:t>, these figures are cumulative</w:t>
      </w:r>
      <w:r w:rsidR="009A0BB9">
        <w:rPr>
          <w:rFonts w:ascii="Times New Roman" w:hAnsi="Times New Roman" w:cs="Times New Roman"/>
          <w:sz w:val="24"/>
          <w:szCs w:val="24"/>
        </w:rPr>
        <w:t>.</w:t>
      </w:r>
    </w:p>
    <w:p w14:paraId="78340FF0" w14:textId="3BD8C39A" w:rsidR="006A4AE4" w:rsidRDefault="006A4AE4" w:rsidP="006A4AE4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Attachment to this Explanatory Statement lists the previous charges to enable comparison.</w:t>
      </w:r>
    </w:p>
    <w:p w14:paraId="072599D9" w14:textId="67C09EED" w:rsidR="006A4AE4" w:rsidRDefault="006A4AE4">
      <w:r>
        <w:br w:type="page"/>
      </w:r>
    </w:p>
    <w:p w14:paraId="539E40D9" w14:textId="77777777" w:rsidR="006A4AE4" w:rsidRPr="009A0BB9" w:rsidRDefault="006A4AE4" w:rsidP="009A0BB9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9A0B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Comparison of Previous and Revised Fees</w:t>
      </w:r>
    </w:p>
    <w:p w14:paraId="792AB9A4" w14:textId="61D19F46" w:rsidR="006A4AE4" w:rsidRDefault="006A4AE4" w:rsidP="006A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33"/>
        <w:gridCol w:w="2608"/>
        <w:gridCol w:w="2551"/>
      </w:tblGrid>
      <w:tr w:rsidR="006A4AE4" w:rsidRPr="006A4AE4" w14:paraId="3FB32B78" w14:textId="77777777" w:rsidTr="009A0BB9">
        <w:trPr>
          <w:tblHeader/>
        </w:trPr>
        <w:tc>
          <w:tcPr>
            <w:tcW w:w="1014" w:type="dxa"/>
            <w:tcBorders>
              <w:bottom w:val="single" w:sz="6" w:space="0" w:color="auto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0B14BE" w14:textId="77777777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column 1</w:t>
            </w:r>
          </w:p>
          <w:p w14:paraId="7E2770F2" w14:textId="77777777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3033" w:type="dxa"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24EF66" w14:textId="77777777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column 2</w:t>
            </w:r>
          </w:p>
          <w:p w14:paraId="0600F3CD" w14:textId="77777777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matter in relation to which charge is made</w:t>
            </w:r>
          </w:p>
        </w:tc>
        <w:tc>
          <w:tcPr>
            <w:tcW w:w="2608" w:type="dxa"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2C2B64B0" w14:textId="77777777" w:rsidR="006A4AE4" w:rsidRPr="006A4AE4" w:rsidRDefault="006A4AE4" w:rsidP="009A0BB9">
            <w:pPr>
              <w:spacing w:after="60" w:line="240" w:lineRule="auto"/>
              <w:ind w:left="55" w:firstLine="5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column 3</w:t>
            </w:r>
          </w:p>
          <w:p w14:paraId="184C5038" w14:textId="78B04284" w:rsidR="006A4AE4" w:rsidRPr="006A4AE4" w:rsidRDefault="006A4AE4" w:rsidP="009A0BB9">
            <w:pPr>
              <w:spacing w:after="60" w:line="240" w:lineRule="auto"/>
              <w:ind w:left="55" w:firstLine="5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Previous </w:t>
            </w: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charge ($)</w:t>
            </w:r>
          </w:p>
        </w:tc>
        <w:tc>
          <w:tcPr>
            <w:tcW w:w="2551" w:type="dxa"/>
            <w:tcBorders>
              <w:left w:val="single" w:sz="6" w:space="0" w:color="C0C0C0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95A77B" w14:textId="36F91E55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column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4</w:t>
            </w:r>
          </w:p>
          <w:p w14:paraId="214719BD" w14:textId="43490847" w:rsidR="006A4AE4" w:rsidRPr="006A4AE4" w:rsidRDefault="006A4AE4" w:rsidP="006A4AE4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harge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on and after 1 January 2023</w:t>
            </w:r>
            <w:r w:rsidRPr="006A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($)</w:t>
            </w:r>
          </w:p>
        </w:tc>
      </w:tr>
      <w:tr w:rsidR="006A4AE4" w:rsidRPr="006A4AE4" w14:paraId="6A90DE84" w14:textId="77777777" w:rsidTr="009A0BB9">
        <w:trPr>
          <w:trHeight w:val="190"/>
        </w:trPr>
        <w:tc>
          <w:tcPr>
            <w:tcW w:w="9206" w:type="dxa"/>
            <w:gridSpan w:val="4"/>
            <w:tcBorders>
              <w:top w:val="single" w:sz="6" w:space="0" w:color="auto"/>
              <w:bottom w:val="single" w:sz="6" w:space="0" w:color="C0C0C0"/>
            </w:tcBorders>
          </w:tcPr>
          <w:p w14:paraId="57978331" w14:textId="42AE43D8" w:rsidR="006A4AE4" w:rsidRPr="006A4AE4" w:rsidRDefault="006A4AE4" w:rsidP="009A0BB9">
            <w:pPr>
              <w:spacing w:before="240" w:after="0" w:line="240" w:lineRule="auto"/>
              <w:ind w:left="2600" w:hanging="260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4.2.1 Instructions</w:t>
            </w:r>
          </w:p>
        </w:tc>
      </w:tr>
      <w:tr w:rsidR="006A4AE4" w:rsidRPr="006A4AE4" w14:paraId="3737C056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B5677C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4FF1B7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to sue or defend, to appeal or oppose an appeal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433E8A" w14:textId="5D047C21" w:rsidR="006A4AE4" w:rsidRPr="006A4AE4" w:rsidRDefault="006A4AE4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187.30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F8C203" w14:textId="2E848DDE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201.30</w:t>
            </w:r>
          </w:p>
        </w:tc>
      </w:tr>
      <w:tr w:rsidR="006A4AE4" w:rsidRPr="006A4AE4" w14:paraId="03605068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DA7583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DB0D5E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statement of claim, petition, special case or counterclaim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F6C96E" w14:textId="740A203A" w:rsidR="006A4AE4" w:rsidRPr="006A4AE4" w:rsidRDefault="006A4AE4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187.30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9C7C7A" w14:textId="64C2F325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201.30</w:t>
            </w:r>
          </w:p>
        </w:tc>
      </w:tr>
      <w:tr w:rsidR="006A4AE4" w:rsidRPr="006A4AE4" w14:paraId="1B2CF4CE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F95177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B7181A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defence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69E0E0" w14:textId="2F71D331" w:rsidR="006A4AE4" w:rsidRPr="006A4AE4" w:rsidRDefault="006A4AE4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160.30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245710" w14:textId="079A4586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172.30</w:t>
            </w:r>
          </w:p>
        </w:tc>
      </w:tr>
      <w:tr w:rsidR="006A4AE4" w:rsidRPr="006A4AE4" w14:paraId="1FB37E37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B83D35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10E0D7" w14:textId="77777777" w:rsidR="006A4AE4" w:rsidRPr="006A4AE4" w:rsidRDefault="006A4AE4" w:rsidP="006A4AE4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for—</w:t>
            </w:r>
          </w:p>
          <w:p w14:paraId="738E4FA0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 reply; or</w:t>
            </w:r>
          </w:p>
          <w:p w14:paraId="35919DD1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amending a pleading; or</w:t>
            </w:r>
          </w:p>
          <w:p w14:paraId="2E603BF6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a notice claiming contribution or indemnity; or</w:t>
            </w:r>
          </w:p>
          <w:p w14:paraId="3CE90876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(d) a document to be brought into the registrar’s office (for example, an account or deed); or</w:t>
            </w:r>
          </w:p>
          <w:p w14:paraId="52F66444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(e) adding parties by order; or</w:t>
            </w:r>
          </w:p>
          <w:p w14:paraId="517176E5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(f) a bond or other deed; or</w:t>
            </w:r>
          </w:p>
          <w:p w14:paraId="08EB0224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(g) retaining counsel, including preparing retainer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6F3004" w14:textId="6952CA7C" w:rsidR="006A4AE4" w:rsidRPr="006A4AE4" w:rsidRDefault="006A4AE4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66.90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BDD57A" w14:textId="2CE4B7E2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71.90</w:t>
            </w:r>
          </w:p>
        </w:tc>
      </w:tr>
      <w:tr w:rsidR="006A4AE4" w:rsidRPr="006A4AE4" w14:paraId="5054DFC2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FDD61A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0B8047" w14:textId="77777777" w:rsidR="006A4AE4" w:rsidRPr="006A4AE4" w:rsidRDefault="006A4AE4" w:rsidP="006A4AE4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for—</w:t>
            </w:r>
          </w:p>
          <w:p w14:paraId="60452604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 pleading not otherwise provided for; or</w:t>
            </w:r>
          </w:p>
          <w:p w14:paraId="57D05BF7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interrogatories for the examination of a party or witness; or</w:t>
            </w:r>
          </w:p>
          <w:p w14:paraId="6F64FDE0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an affidavit in answer to interrogatories or other special affidavit; or</w:t>
            </w:r>
          </w:p>
          <w:p w14:paraId="106C70D7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(d) disclosure or a list of documents; or</w:t>
            </w:r>
          </w:p>
          <w:p w14:paraId="2B31A254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(e) an application for an order that a matter be heard before the Full Court; or</w:t>
            </w:r>
          </w:p>
          <w:p w14:paraId="2A2D292A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(f) a brief on application in chambers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D4575D" w14:textId="277E8F1E" w:rsidR="006A4AE4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133.70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90F006" w14:textId="0D91FE45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143.70</w:t>
            </w:r>
          </w:p>
        </w:tc>
      </w:tr>
      <w:tr w:rsidR="006A4AE4" w:rsidRPr="006A4AE4" w14:paraId="562FD480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18FD8D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C3EF86" w14:textId="77777777" w:rsidR="006A4AE4" w:rsidRPr="006A4AE4" w:rsidRDefault="006A4AE4" w:rsidP="006A4AE4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for—</w:t>
            </w:r>
          </w:p>
          <w:p w14:paraId="07C8D7B4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an application whether in court, before the registrar or in chambers; or</w:t>
            </w:r>
          </w:p>
          <w:p w14:paraId="3F07B6B5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opposition to an application; or</w:t>
            </w:r>
          </w:p>
          <w:p w14:paraId="25F91EF0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the assessment of a bill of costs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BB0D10" w14:textId="2BA3FEA6" w:rsidR="006A4AE4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133.70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24A737" w14:textId="51284A66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143.70</w:t>
            </w:r>
          </w:p>
        </w:tc>
      </w:tr>
      <w:tr w:rsidR="006A4AE4" w:rsidRPr="006A4AE4" w14:paraId="443B653A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F82572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C12BF4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brief to advise on evidence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1E8BC1" w14:textId="76D9B402" w:rsidR="006A4AE4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120.40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C0098E" w14:textId="4FF0E8C4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129.40</w:t>
            </w:r>
          </w:p>
        </w:tc>
      </w:tr>
    </w:tbl>
    <w:p w14:paraId="378768D1" w14:textId="77777777" w:rsidR="009A0BB9" w:rsidRDefault="009A0BB9">
      <w:r>
        <w:br w:type="page"/>
      </w:r>
    </w:p>
    <w:tbl>
      <w:tblPr>
        <w:tblW w:w="920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33"/>
        <w:gridCol w:w="2608"/>
        <w:gridCol w:w="2253"/>
        <w:gridCol w:w="298"/>
      </w:tblGrid>
      <w:tr w:rsidR="006A4AE4" w:rsidRPr="006A4AE4" w14:paraId="41F068A7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A73757" w14:textId="35D13FC0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8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02D334" w14:textId="77777777" w:rsidR="006A4AE4" w:rsidRPr="006A4AE4" w:rsidRDefault="006A4AE4" w:rsidP="006A4AE4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for—</w:t>
            </w:r>
          </w:p>
          <w:p w14:paraId="666D607C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 statement of facts in an action; or</w:t>
            </w:r>
          </w:p>
          <w:p w14:paraId="0D1B52C9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 request for particulars; or</w:t>
            </w:r>
          </w:p>
          <w:p w14:paraId="6C43A569" w14:textId="77777777" w:rsidR="006A4AE4" w:rsidRPr="006A4AE4" w:rsidRDefault="006A4AE4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particulars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9723E0" w14:textId="540DE836" w:rsidR="006A4AE4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133.70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D966A" w14:textId="76E4622C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143.70</w:t>
            </w:r>
          </w:p>
        </w:tc>
      </w:tr>
      <w:tr w:rsidR="006A4AE4" w:rsidRPr="006A4AE4" w14:paraId="7021FAAC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EBAA28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EB920D" w14:textId="77777777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brief in preparation for trial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DF6372" w14:textId="2D959DE9" w:rsidR="006A4AE4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the registrar considers appropriate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4EEE89" w14:textId="6B4825CF" w:rsidR="006A4AE4" w:rsidRPr="006A4AE4" w:rsidRDefault="006A4AE4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the registrar considers appropriate</w:t>
            </w:r>
          </w:p>
        </w:tc>
      </w:tr>
      <w:tr w:rsidR="00C92E7C" w:rsidRPr="006A4AE4" w14:paraId="5EB57722" w14:textId="77777777" w:rsidTr="00BB11BB">
        <w:tc>
          <w:tcPr>
            <w:tcW w:w="9206" w:type="dxa"/>
            <w:gridSpan w:val="5"/>
            <w:tcBorders>
              <w:top w:val="single" w:sz="6" w:space="0" w:color="C0C0C0"/>
              <w:bottom w:val="single" w:sz="6" w:space="0" w:color="C0C0C0"/>
            </w:tcBorders>
          </w:tcPr>
          <w:p w14:paraId="629A90E4" w14:textId="19F6DFF6" w:rsidR="00C92E7C" w:rsidRPr="006A4AE4" w:rsidRDefault="00C92E7C" w:rsidP="006A4AE4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4.2.2 Drawing</w:t>
            </w:r>
          </w:p>
        </w:tc>
      </w:tr>
      <w:tr w:rsidR="00A47F13" w:rsidRPr="006A4AE4" w14:paraId="32A98E2B" w14:textId="77777777" w:rsidTr="004E5E8D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A83A4D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D18BD7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an originating process or counterclaim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02F038" w14:textId="39155768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  <w:p w14:paraId="7A6B31D6" w14:textId="2E8CEC8E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or, if longer than 700 words,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 per 100 words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21A7EF50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150.20</w:t>
            </w:r>
          </w:p>
          <w:p w14:paraId="435518E9" w14:textId="5E0930F4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700 words, 21.30 per 100 words</w:t>
            </w:r>
          </w:p>
        </w:tc>
      </w:tr>
      <w:tr w:rsidR="00A47F13" w:rsidRPr="006A4AE4" w14:paraId="123CF1BA" w14:textId="77777777" w:rsidTr="00DA6580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BFD433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3C746E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any other pleading, a notice claiming contribution or indemnity, or an amendment of a pleading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A9B91A" w14:textId="2CFBBCAC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93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.70</w:t>
            </w:r>
          </w:p>
          <w:p w14:paraId="77A6E71C" w14:textId="191B182F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or, if longer than 400 words,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 per 100 words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77175AA3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100.70</w:t>
            </w:r>
          </w:p>
          <w:p w14:paraId="378F5F04" w14:textId="1D162F0A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400 words, 21.30 per 100 words</w:t>
            </w:r>
          </w:p>
        </w:tc>
      </w:tr>
      <w:tr w:rsidR="00A47F13" w:rsidRPr="006A4AE4" w14:paraId="205F83DB" w14:textId="77777777" w:rsidTr="00FF77FE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1214CF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B5116F" w14:textId="77777777" w:rsidR="00A47F13" w:rsidRPr="006A4AE4" w:rsidRDefault="00A47F13" w:rsidP="006A4AE4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for—</w:t>
            </w:r>
          </w:p>
          <w:p w14:paraId="0C6A86B3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 notice of an application in a proceeding; or</w:t>
            </w:r>
          </w:p>
          <w:p w14:paraId="6DBE3D6B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 notice to produce documents; or</w:t>
            </w:r>
          </w:p>
          <w:p w14:paraId="36471B25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a notice to admit facts; or</w:t>
            </w:r>
          </w:p>
          <w:p w14:paraId="60E93C39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(d) a special case; or</w:t>
            </w:r>
          </w:p>
          <w:p w14:paraId="6EB8321E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(e) interrogatories; or</w:t>
            </w:r>
          </w:p>
          <w:p w14:paraId="2B6799D1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(f) a special affidavit; or</w:t>
            </w:r>
          </w:p>
          <w:p w14:paraId="4084B693" w14:textId="77777777" w:rsidR="00A47F13" w:rsidRPr="006A4AE4" w:rsidRDefault="00A47F13" w:rsidP="006A4AE4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(g) a brief (including observations)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C7EE5C" w14:textId="2A11C0F8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  <w:p w14:paraId="02E3AC0A" w14:textId="7B4C8AC4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or, if longer than 400 words,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100 words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53DD4509" w14:textId="77777777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92.10</w:t>
            </w:r>
          </w:p>
          <w:p w14:paraId="113459A3" w14:textId="5681FD3F" w:rsidR="00A47F13" w:rsidRPr="006A4AE4" w:rsidRDefault="00A47F13" w:rsidP="006A4A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400 words, 21.30 per 100 words</w:t>
            </w:r>
          </w:p>
        </w:tc>
      </w:tr>
      <w:tr w:rsidR="00A47F13" w:rsidRPr="006A4AE4" w14:paraId="52F74B2F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522089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B6CF2E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formal affidavit, including an affidavit of service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02D3F2" w14:textId="746C172D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48370661" w14:textId="734B9E3F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50.50</w:t>
            </w:r>
          </w:p>
        </w:tc>
        <w:tc>
          <w:tcPr>
            <w:tcW w:w="29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14:paraId="01FC9BF2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A47F13" w:rsidRPr="006A4AE4" w14:paraId="0E0677D9" w14:textId="77777777" w:rsidTr="00D25C86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0C33B9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293566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any other document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006D97" w14:textId="1B3DB244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  <w:p w14:paraId="78E981D2" w14:textId="0B11E962" w:rsidR="00A47F13" w:rsidRPr="006A4AE4" w:rsidRDefault="00A47F13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or, if longer than 100 words,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 per 100 words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018B4423" w14:textId="77777777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39.90</w:t>
            </w:r>
          </w:p>
          <w:p w14:paraId="1EADD664" w14:textId="719879F3" w:rsidR="00A47F13" w:rsidRPr="006A4AE4" w:rsidRDefault="00A47F13" w:rsidP="00A47F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100 words, 23.60 per 100 words</w:t>
            </w:r>
          </w:p>
        </w:tc>
      </w:tr>
      <w:tr w:rsidR="00C92E7C" w:rsidRPr="006A4AE4" w14:paraId="437F46F7" w14:textId="77777777" w:rsidTr="00ED268D">
        <w:tc>
          <w:tcPr>
            <w:tcW w:w="9206" w:type="dxa"/>
            <w:gridSpan w:val="5"/>
            <w:tcBorders>
              <w:top w:val="single" w:sz="6" w:space="0" w:color="C0C0C0"/>
              <w:bottom w:val="single" w:sz="6" w:space="0" w:color="C0C0C0"/>
            </w:tcBorders>
          </w:tcPr>
          <w:p w14:paraId="2930782E" w14:textId="31263AF8" w:rsidR="00C92E7C" w:rsidRPr="006A4AE4" w:rsidRDefault="00C92E7C" w:rsidP="00A47F13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4.2.3 Engrossing</w:t>
            </w:r>
          </w:p>
        </w:tc>
      </w:tr>
      <w:tr w:rsidR="00C92E7C" w:rsidRPr="006A4AE4" w14:paraId="2B8E4500" w14:textId="77777777" w:rsidTr="00F23F61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D24BCC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B29153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 a document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857DE" w14:textId="2F75D43E" w:rsidR="00C92E7C" w:rsidRPr="006A4AE4" w:rsidRDefault="00C92E7C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  <w:p w14:paraId="4C7B6BB7" w14:textId="15EFBAD7" w:rsidR="00C92E7C" w:rsidRPr="006A4AE4" w:rsidRDefault="00C92E7C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100 words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0445FAFE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6.30</w:t>
            </w:r>
          </w:p>
          <w:p w14:paraId="648DB60F" w14:textId="76CBD20C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100 words</w:t>
            </w:r>
          </w:p>
        </w:tc>
      </w:tr>
      <w:tr w:rsidR="00C92E7C" w:rsidRPr="006A4AE4" w14:paraId="0DDB49F8" w14:textId="77777777" w:rsidTr="008B5CDD">
        <w:tc>
          <w:tcPr>
            <w:tcW w:w="9206" w:type="dxa"/>
            <w:gridSpan w:val="5"/>
            <w:tcBorders>
              <w:top w:val="single" w:sz="6" w:space="0" w:color="C0C0C0"/>
              <w:bottom w:val="single" w:sz="6" w:space="0" w:color="C0C0C0"/>
            </w:tcBorders>
          </w:tcPr>
          <w:p w14:paraId="0BF9EBE4" w14:textId="35E02A44" w:rsidR="00C92E7C" w:rsidRPr="006A4AE4" w:rsidRDefault="00C92E7C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4.2.4 Copies</w:t>
            </w:r>
          </w:p>
        </w:tc>
      </w:tr>
      <w:tr w:rsidR="00C92E7C" w:rsidRPr="006A4AE4" w14:paraId="48817ED7" w14:textId="77777777" w:rsidTr="00507D6D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B17527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E82CA4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 any document, or of multiple documents copied at the same time—</w:t>
            </w:r>
          </w:p>
          <w:p w14:paraId="40055064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for each of the first 10 copies; or</w:t>
            </w:r>
          </w:p>
          <w:p w14:paraId="26E9EABD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for each additional copy up to 100 copies; or</w:t>
            </w:r>
          </w:p>
          <w:p w14:paraId="76DF2967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for each additional copy over 100 copies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66112" w14:textId="206DD345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3.70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page</w:t>
            </w:r>
          </w:p>
          <w:p w14:paraId="3EBC14E6" w14:textId="77777777" w:rsid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per page</w:t>
            </w:r>
          </w:p>
          <w:p w14:paraId="74F8B3A8" w14:textId="1CCEA5D1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 per page</w:t>
            </w:r>
          </w:p>
        </w:tc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2F979011" w14:textId="40590171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page</w:t>
            </w:r>
          </w:p>
          <w:p w14:paraId="647EB4BE" w14:textId="0D3958B3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1.80 per page</w:t>
            </w:r>
          </w:p>
          <w:p w14:paraId="21A816DA" w14:textId="5B0BAA56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 per page</w:t>
            </w:r>
          </w:p>
        </w:tc>
      </w:tr>
    </w:tbl>
    <w:p w14:paraId="2DAE460C" w14:textId="77777777" w:rsidR="009A0BB9" w:rsidRDefault="009A0BB9">
      <w:r>
        <w:br w:type="page"/>
      </w:r>
    </w:p>
    <w:tbl>
      <w:tblPr>
        <w:tblW w:w="920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33"/>
        <w:gridCol w:w="2608"/>
        <w:gridCol w:w="2551"/>
      </w:tblGrid>
      <w:tr w:rsidR="00492C62" w:rsidRPr="006A4AE4" w14:paraId="3291EA10" w14:textId="77777777" w:rsidTr="00F11EC0">
        <w:tc>
          <w:tcPr>
            <w:tcW w:w="9206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14:paraId="2AEBC92F" w14:textId="60CCD904" w:rsidR="00492C62" w:rsidRPr="006A4AE4" w:rsidRDefault="00492C62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lastRenderedPageBreak/>
              <w:t>Division 4.2.5 Perusal</w:t>
            </w:r>
          </w:p>
        </w:tc>
      </w:tr>
      <w:tr w:rsidR="00C92E7C" w:rsidRPr="006A4AE4" w14:paraId="1EBE82CF" w14:textId="77777777" w:rsidTr="000731EA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CD476C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39CB62" w14:textId="77777777" w:rsidR="00C92E7C" w:rsidRPr="006A4AE4" w:rsidRDefault="00C92E7C" w:rsidP="00C92E7C">
            <w:pPr>
              <w:spacing w:before="60" w:after="60" w:line="240" w:lineRule="auto"/>
              <w:ind w:left="704" w:hanging="70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of—</w:t>
            </w:r>
          </w:p>
          <w:p w14:paraId="1C3C3D94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an originating process; or</w:t>
            </w:r>
          </w:p>
          <w:p w14:paraId="4E131B79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 pleading; or</w:t>
            </w:r>
          </w:p>
          <w:p w14:paraId="4E11E073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an application in a proceeding; or</w:t>
            </w:r>
          </w:p>
          <w:p w14:paraId="1EDC8069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(d) interrogatories; or</w:t>
            </w:r>
          </w:p>
          <w:p w14:paraId="0C36ED73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(e) a special case; or</w:t>
            </w:r>
          </w:p>
          <w:p w14:paraId="32401C2F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(f) a notice to admit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ECE259" w14:textId="77777777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66.00</w:t>
            </w:r>
          </w:p>
          <w:p w14:paraId="0E15B186" w14:textId="72ACEAD2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800 words, 7.40 per 100 word</w:t>
            </w:r>
            <w:r w:rsid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25B68CE7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70.90</w:t>
            </w:r>
          </w:p>
          <w:p w14:paraId="12DC0BD4" w14:textId="791E97E8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longer than 800 words, 8.00 per 100 words</w:t>
            </w:r>
          </w:p>
        </w:tc>
      </w:tr>
      <w:tr w:rsidR="00C92E7C" w:rsidRPr="006A4AE4" w14:paraId="1D669387" w14:textId="77777777" w:rsidTr="008278F4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ACFAEC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22DA4B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 any other document, if it is necessary to peruse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5A72D0" w14:textId="77777777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7.40</w:t>
            </w:r>
          </w:p>
          <w:p w14:paraId="7588AF64" w14:textId="2736F46C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100 words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69C14614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8.00</w:t>
            </w:r>
          </w:p>
          <w:p w14:paraId="43869749" w14:textId="0ECD018D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100 words</w:t>
            </w:r>
          </w:p>
        </w:tc>
      </w:tr>
      <w:tr w:rsidR="00C92E7C" w:rsidRPr="006A4AE4" w14:paraId="6BBADFBD" w14:textId="77777777" w:rsidTr="00CF19E3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366AE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AEDC2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 a document by scanning it, if it is not necessary to peruse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FAF45A" w14:textId="77777777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7.30</w:t>
            </w:r>
          </w:p>
          <w:p w14:paraId="5B41484B" w14:textId="455B7520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the document has more than 10 pages, the additional amount the registrar considers appropriate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56FB14C6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7.80</w:t>
            </w:r>
          </w:p>
          <w:p w14:paraId="3DA12FFD" w14:textId="170C894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or, if the document has more than 10 pages, the additional amount the registrar considers appropriate</w:t>
            </w:r>
          </w:p>
        </w:tc>
      </w:tr>
      <w:tr w:rsidR="00492C62" w:rsidRPr="006A4AE4" w14:paraId="06548CA8" w14:textId="77777777" w:rsidTr="00E27374">
        <w:tc>
          <w:tcPr>
            <w:tcW w:w="9206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14:paraId="7B2645E6" w14:textId="727F5363" w:rsidR="00492C62" w:rsidRPr="006A4AE4" w:rsidRDefault="00492C62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4.2.6 Attendances</w:t>
            </w:r>
          </w:p>
        </w:tc>
      </w:tr>
      <w:tr w:rsidR="00B319F1" w:rsidRPr="006A4AE4" w14:paraId="1BDF2AC4" w14:textId="77777777" w:rsidTr="00F51CAB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A4C57F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398960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personal service, if necessary, of 1 or more documents at the same time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E06DDB" w14:textId="25441535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100.00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3FDE27BB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107.50</w:t>
            </w:r>
          </w:p>
          <w:p w14:paraId="539BD249" w14:textId="6E369AD1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5B0097D5" w14:textId="77777777" w:rsidTr="00692774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78586D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E5226B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 service of 1 or more documents at the same time—</w:t>
            </w:r>
          </w:p>
          <w:p w14:paraId="1B662E07" w14:textId="77777777" w:rsidR="00B319F1" w:rsidRPr="006A4AE4" w:rsidRDefault="00B319F1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at the office of a solicitor on the record or the address for service of a party; or</w:t>
            </w:r>
          </w:p>
          <w:p w14:paraId="3A007D23" w14:textId="77777777" w:rsidR="00B319F1" w:rsidRPr="006A4AE4" w:rsidRDefault="00B319F1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by post; or</w:t>
            </w:r>
          </w:p>
          <w:p w14:paraId="3FCD8334" w14:textId="77777777" w:rsidR="00B319F1" w:rsidRPr="006A4AE4" w:rsidRDefault="00B319F1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made through a document exchange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EA838" w14:textId="41F8580F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40.50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25E71FE0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43.50</w:t>
            </w:r>
          </w:p>
          <w:p w14:paraId="0FD434F7" w14:textId="4080BD33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C92E7C" w:rsidRPr="006A4AE4" w14:paraId="0F41F45E" w14:textId="77777777" w:rsidTr="00D47EDB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CDB7BF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0EED69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by attendance (including travel and waiting time)—</w:t>
            </w:r>
          </w:p>
          <w:p w14:paraId="6AB69282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by a solicitor; or</w:t>
            </w:r>
          </w:p>
          <w:p w14:paraId="791F7C5C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by a clerk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A243F8" w14:textId="4C9F26F9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36.00 per 6 minutes</w:t>
            </w:r>
          </w:p>
          <w:p w14:paraId="538E41A4" w14:textId="1059E425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15.00 per 6 minute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5AEB328E" w14:textId="0F2650BE" w:rsidR="00C92E7C" w:rsidRPr="006A4AE4" w:rsidRDefault="00C92E7C" w:rsidP="00C92E7C">
            <w:pPr>
              <w:spacing w:before="60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6 minutes</w:t>
            </w:r>
          </w:p>
          <w:p w14:paraId="4A71E0C6" w14:textId="70CA153A" w:rsidR="00C92E7C" w:rsidRPr="006A4AE4" w:rsidRDefault="00C92E7C" w:rsidP="00C92E7C">
            <w:pPr>
              <w:spacing w:before="60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16.10 per 6 minutes</w:t>
            </w:r>
          </w:p>
          <w:p w14:paraId="32C01DBF" w14:textId="53F689E5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19F1" w:rsidRPr="006A4AE4" w14:paraId="21B64B64" w14:textId="77777777" w:rsidTr="00252403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4874AA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B098A4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at the registry or other office or place for—</w:t>
            </w:r>
          </w:p>
          <w:p w14:paraId="5FDCA138" w14:textId="77777777" w:rsidR="00B319F1" w:rsidRPr="006A4AE4" w:rsidRDefault="00B319F1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filing, delivering, or collecting a document; or</w:t>
            </w:r>
          </w:p>
          <w:p w14:paraId="2E21D2C9" w14:textId="77777777" w:rsidR="00B319F1" w:rsidRPr="006A4AE4" w:rsidRDefault="00B319F1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 purpose not involving the exercise of legal skill or knowledge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0D16FC" w14:textId="007068D6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33.30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754A1B0A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35.80</w:t>
            </w:r>
          </w:p>
          <w:p w14:paraId="39378356" w14:textId="509167DB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25D6E74D" w14:textId="77777777" w:rsidTr="009526FF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770A4D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D3170C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formal telephone attendance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B08068" w14:textId="175CAA98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33.30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485048BC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35.80</w:t>
            </w:r>
          </w:p>
          <w:p w14:paraId="0641D00B" w14:textId="2C0148BD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6E6F61BC" w14:textId="77777777" w:rsidTr="00BE6588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743C61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3D330C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telephone attendance leaving message only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F86B31" w14:textId="193713EE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16.60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09586B44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17.80</w:t>
            </w:r>
          </w:p>
          <w:p w14:paraId="002033C9" w14:textId="63A9EF91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</w:tbl>
    <w:p w14:paraId="59BF460A" w14:textId="77777777" w:rsidR="009A0BB9" w:rsidRDefault="009A0BB9">
      <w:r>
        <w:br w:type="page"/>
      </w:r>
    </w:p>
    <w:tbl>
      <w:tblPr>
        <w:tblW w:w="920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33"/>
        <w:gridCol w:w="2608"/>
        <w:gridCol w:w="2551"/>
      </w:tblGrid>
      <w:tr w:rsidR="00C92E7C" w:rsidRPr="006A4AE4" w14:paraId="699F3166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056096" w14:textId="11C1FACD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26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5722F2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if the registrar is satisfied, in relation to travel, that the purpose of the journey could not have been satisfactorily accomplished by an agent and that—</w:t>
            </w:r>
          </w:p>
          <w:p w14:paraId="20E4908E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a solicitor has been necessarily absent from the place where the solicitor carries on practice; or</w:t>
            </w:r>
          </w:p>
          <w:p w14:paraId="7B8A6DFA" w14:textId="77777777" w:rsidR="00C92E7C" w:rsidRPr="006A4AE4" w:rsidRDefault="00C92E7C" w:rsidP="00C92E7C">
            <w:pPr>
              <w:spacing w:before="36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a clerk has attended in place of the solicitor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124CB1" w14:textId="196A6EC4" w:rsidR="00C92E7C" w:rsidRPr="009A0BB9" w:rsidRDefault="00C92E7C" w:rsidP="009A0BB9">
            <w:pPr>
              <w:spacing w:before="60" w:after="60" w:line="240" w:lineRule="auto"/>
              <w:ind w:left="197"/>
              <w:rPr>
                <w:sz w:val="20"/>
                <w:szCs w:val="20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 allowance (in addition to reasonable travelling expenses), for each day (other than Saturdays and Sundays) that the solicitor is absent, of not more than 1 560.50</w:t>
            </w:r>
          </w:p>
          <w:p w14:paraId="1DC3ECA9" w14:textId="15CAD156" w:rsidR="00C92E7C" w:rsidRPr="006A4AE4" w:rsidRDefault="00C92E7C" w:rsidP="009A0BB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A0B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 allowance (in addition to reasonable travelling expenses), for each day (other than Saturdays and Sundays) that the clerk is absent, of not more than 400.80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A9FA39" w14:textId="45350314" w:rsidR="00C92E7C" w:rsidRPr="006A4AE4" w:rsidRDefault="00C92E7C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 allowance (in addition to reasonable travelling expenses), for each day (other than Saturdays and Sundays) that the solicitor is absent, of not more than 1 676.90</w:t>
            </w:r>
          </w:p>
          <w:p w14:paraId="7BF10D7B" w14:textId="77777777" w:rsidR="00C92E7C" w:rsidRPr="006A4AE4" w:rsidRDefault="00C92E7C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 allowance (in addition to reasonable travelling expenses), for each day (other than Saturdays and Sundays) that the clerk is absent, of not more than 430.70</w:t>
            </w:r>
          </w:p>
        </w:tc>
      </w:tr>
      <w:tr w:rsidR="00C92E7C" w:rsidRPr="006A4AE4" w14:paraId="2A8EBCF6" w14:textId="77777777" w:rsidTr="00DA4CA4">
        <w:tc>
          <w:tcPr>
            <w:tcW w:w="9206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14:paraId="1B3710DD" w14:textId="005AD36F" w:rsidR="00C92E7C" w:rsidRPr="006A4AE4" w:rsidRDefault="00C92E7C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4.2.7 Letters</w:t>
            </w:r>
          </w:p>
        </w:tc>
      </w:tr>
      <w:tr w:rsidR="00C92E7C" w:rsidRPr="006A4AE4" w14:paraId="20BDC992" w14:textId="77777777" w:rsidTr="009A0BB9">
        <w:trPr>
          <w:trHeight w:val="501"/>
        </w:trPr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F3F89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93AC4A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ordinary letter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232248" w14:textId="77777777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46.50</w:t>
            </w:r>
          </w:p>
          <w:p w14:paraId="2ADF8D28" w14:textId="31F0453A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 22.60 per 100 words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1CBA06DD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50.00</w:t>
            </w:r>
          </w:p>
          <w:p w14:paraId="09CD36D9" w14:textId="4A899F88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 24.30 per 100 words</w:t>
            </w:r>
          </w:p>
        </w:tc>
      </w:tr>
      <w:tr w:rsidR="00C92E7C" w:rsidRPr="006A4AE4" w14:paraId="3B46F21F" w14:textId="77777777" w:rsidTr="00844C7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EABC5C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48D27D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special letter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B2C9A7" w14:textId="77777777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77.20</w:t>
            </w:r>
          </w:p>
          <w:p w14:paraId="20274EC9" w14:textId="420C59C3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 22.60 per 100 word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7392E439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83.00</w:t>
            </w:r>
          </w:p>
          <w:p w14:paraId="2F1B0977" w14:textId="53BF790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or 24.30 per 100 words</w:t>
            </w:r>
          </w:p>
        </w:tc>
      </w:tr>
      <w:tr w:rsidR="00B319F1" w:rsidRPr="006A4AE4" w14:paraId="75226D1A" w14:textId="77777777" w:rsidTr="005D34D4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C36B93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02B7DA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formal letter—short letter, without legal content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2EC98D" w14:textId="352E4BE9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22.50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7579DDD5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24.20</w:t>
            </w:r>
          </w:p>
          <w:p w14:paraId="205EEFCE" w14:textId="32334F6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2D1E4EBE" w14:textId="77777777" w:rsidTr="00EE05CF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C07249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ED2D78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circular letters after the first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488649" w14:textId="7C1B73E3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10.20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38615786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11.00</w:t>
            </w:r>
          </w:p>
          <w:p w14:paraId="7810872A" w14:textId="65E5B518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5F8C90AA" w14:textId="77777777" w:rsidTr="001D3390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BFABDB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30F2C9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fax copy or telex, including attendance to send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E266E1" w14:textId="65E93332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52.70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2A7768B7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56.60</w:t>
            </w:r>
          </w:p>
          <w:p w14:paraId="19F177C5" w14:textId="7E1FF142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2AAD4D73" w14:textId="77777777" w:rsidTr="00995BD6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96AA44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0ECABE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receiving and filing any incoming letter, other than a letter received by email (postage and transmission fees properly incurred may be claimed as a disbursement)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13865F" w14:textId="389C8A32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13.90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6DC5BE4B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14.90</w:t>
            </w:r>
          </w:p>
          <w:p w14:paraId="1790D7A3" w14:textId="49F5979A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B319F1" w:rsidRPr="006A4AE4" w14:paraId="218C24B2" w14:textId="77777777" w:rsidTr="009118ED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810852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291FEF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receiving, printing and filing incoming letter received by email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5CF5A4" w14:textId="33FA283B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15.20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4B5CCBD8" w14:textId="77777777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16.30</w:t>
            </w:r>
          </w:p>
          <w:p w14:paraId="344DA3A8" w14:textId="59A5DEAF" w:rsidR="00B319F1" w:rsidRPr="006A4AE4" w:rsidRDefault="00B319F1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C92E7C" w:rsidRPr="006A4AE4" w14:paraId="3BED9648" w14:textId="77777777" w:rsidTr="00CF5230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689124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94C8B3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printing any attachment to an email, or multiple attachments to an email printed at the same time—</w:t>
            </w:r>
          </w:p>
          <w:p w14:paraId="2CE464D4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(a) for each of the first 10 pages; or</w:t>
            </w:r>
          </w:p>
          <w:p w14:paraId="50FCDEC6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(b) for each additional page up to 100 copies; or</w:t>
            </w:r>
          </w:p>
          <w:p w14:paraId="0FFB2FE5" w14:textId="77777777" w:rsidR="00C92E7C" w:rsidRPr="006A4AE4" w:rsidRDefault="00C92E7C" w:rsidP="00C92E7C">
            <w:pPr>
              <w:spacing w:before="80" w:after="60" w:line="240" w:lineRule="auto"/>
              <w:ind w:left="700" w:hanging="7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(c) for each additional page over 100 copies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D455F7" w14:textId="2F3E1AA0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3.70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per page</w:t>
            </w:r>
          </w:p>
          <w:p w14:paraId="23F47E74" w14:textId="433C2760" w:rsidR="00B319F1" w:rsidRP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per page</w:t>
            </w:r>
          </w:p>
          <w:p w14:paraId="7933CB5E" w14:textId="100F1D02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per page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0A13717B" w14:textId="77777777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page</w:t>
            </w:r>
          </w:p>
          <w:p w14:paraId="327738DE" w14:textId="77777777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page</w:t>
            </w:r>
          </w:p>
          <w:p w14:paraId="79B8A70D" w14:textId="2990DF66" w:rsidR="00C92E7C" w:rsidRPr="006A4AE4" w:rsidRDefault="00C92E7C" w:rsidP="009A0B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page</w:t>
            </w:r>
          </w:p>
        </w:tc>
      </w:tr>
      <w:tr w:rsidR="00492C62" w:rsidRPr="006A4AE4" w14:paraId="55C533FA" w14:textId="77777777" w:rsidTr="005647E4">
        <w:tc>
          <w:tcPr>
            <w:tcW w:w="9206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14:paraId="24AB2C0A" w14:textId="530DC983" w:rsidR="00492C62" w:rsidRPr="006A4AE4" w:rsidRDefault="00492C62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4.2.8 Witness expenses</w:t>
            </w:r>
          </w:p>
        </w:tc>
      </w:tr>
      <w:tr w:rsidR="00C92E7C" w:rsidRPr="006A4AE4" w14:paraId="1682FEB8" w14:textId="77777777" w:rsidTr="00F651BA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67EE7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3318C0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witness called because of the witness’s professional, scientific or other special skill or knowledge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2058C1" w14:textId="77777777" w:rsidR="00B319F1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1 311.00 </w:t>
            </w:r>
          </w:p>
          <w:p w14:paraId="3A7BA036" w14:textId="13EA6B3A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day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117B3827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1 408.80</w:t>
            </w:r>
          </w:p>
          <w:p w14:paraId="3C9AB79E" w14:textId="16B3F99A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day</w:t>
            </w:r>
          </w:p>
        </w:tc>
      </w:tr>
      <w:tr w:rsidR="00C92E7C" w:rsidRPr="006A4AE4" w14:paraId="21F98AE0" w14:textId="77777777" w:rsidTr="001D0C0E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7295E9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EDE6E8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witness called other than because of the witness’s professional, scientific or other special skill or knowledge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7F445F" w14:textId="77777777" w:rsidR="00C92E7C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138.30</w:t>
            </w:r>
          </w:p>
          <w:p w14:paraId="1E881D7B" w14:textId="11D810A2" w:rsidR="00B319F1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day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14:paraId="3AE173F2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148.30</w:t>
            </w:r>
          </w:p>
          <w:p w14:paraId="1DC82329" w14:textId="774C0825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 day</w:t>
            </w:r>
          </w:p>
        </w:tc>
      </w:tr>
      <w:tr w:rsidR="00C92E7C" w:rsidRPr="006A4AE4" w14:paraId="3B71F9FD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5188F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37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FF7006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witness paid in the witness’s occupation by wages, salary or fees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517A18" w14:textId="756C29AD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lost by attendance at court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79745D" w14:textId="66DFA889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lost by attendance at court</w:t>
            </w:r>
          </w:p>
        </w:tc>
      </w:tr>
      <w:tr w:rsidR="00C92E7C" w:rsidRPr="006A4AE4" w14:paraId="489D7E35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902F76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797F76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 witness qualifying to give skilled evidence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9FA44E" w14:textId="1A4290CD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additional amount the registrar considers reasonable and properly incurred and paid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1B912E" w14:textId="29C5BAE5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additional amount the registrar considers reasonable and properly incurred and paid</w:t>
            </w:r>
          </w:p>
        </w:tc>
      </w:tr>
      <w:tr w:rsidR="00C92E7C" w:rsidRPr="006A4AE4" w14:paraId="21B052B1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FF91B1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85165B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if the witness lives more than 50km from the court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02603D" w14:textId="7B8007C5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additional amount the registrar considers reasonable for the actual cost of travel, and for accommodation and meals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B77FD8" w14:textId="046F1842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additional amount the registrar considers reasonable for the actual cost of travel, and for accommodation and meals</w:t>
            </w:r>
          </w:p>
        </w:tc>
      </w:tr>
      <w:tr w:rsidR="00C92E7C" w:rsidRPr="006A4AE4" w14:paraId="152AE3C3" w14:textId="77777777" w:rsidTr="009A0BB9">
        <w:tc>
          <w:tcPr>
            <w:tcW w:w="101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61263F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04FF7A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attendance at court by a witness acting as an expert in assisting counsel or a solicitor for a period during the trial or hearing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763A76" w14:textId="6119DCA7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the registrar considers appropriate (but not affecting the existing practice of allowing qualifying fees for witnesses)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C9B4D3" w14:textId="3732C9D8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amount the registrar considers appropriate (but not affecting the existing practice of allowing qualifying fees for witnesses)</w:t>
            </w:r>
          </w:p>
        </w:tc>
      </w:tr>
      <w:tr w:rsidR="00492C62" w:rsidRPr="006A4AE4" w14:paraId="200A5DBB" w14:textId="77777777" w:rsidTr="00B56A36">
        <w:tc>
          <w:tcPr>
            <w:tcW w:w="9206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14:paraId="297072E7" w14:textId="7CAD9648" w:rsidR="00492C62" w:rsidRPr="006A4AE4" w:rsidRDefault="00492C62" w:rsidP="00C92E7C">
            <w:pPr>
              <w:spacing w:before="240" w:after="0" w:line="240" w:lineRule="auto"/>
              <w:ind w:left="2600" w:hanging="26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4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Division 4.2.9 Disbursements</w:t>
            </w:r>
          </w:p>
          <w:p w14:paraId="59F4D132" w14:textId="77777777" w:rsidR="00492C62" w:rsidRPr="006A4AE4" w:rsidRDefault="00492C62" w:rsidP="00C9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4"/>
                <w:szCs w:val="4"/>
                <w:lang w:eastAsia="en-AU"/>
              </w:rPr>
              <w:t> </w:t>
            </w:r>
          </w:p>
        </w:tc>
      </w:tr>
      <w:tr w:rsidR="00C92E7C" w:rsidRPr="006A4AE4" w14:paraId="2E6FAB49" w14:textId="77777777" w:rsidTr="009A0BB9">
        <w:tc>
          <w:tcPr>
            <w:tcW w:w="1014" w:type="dxa"/>
            <w:tcBorders>
              <w:top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BA9E5B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59F794" w14:textId="77777777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all court fees, counsel’s fees and other fees and payments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230A0D0B" w14:textId="735DA0A5" w:rsidR="00C92E7C" w:rsidRPr="006A4AE4" w:rsidRDefault="00B319F1" w:rsidP="009A0BB9">
            <w:pPr>
              <w:spacing w:before="60" w:after="6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319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allowed to the extent that they have been properly and reasonably incurred and paid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7BBF89" w14:textId="712B3E83" w:rsidR="00C92E7C" w:rsidRPr="006A4AE4" w:rsidRDefault="00C92E7C" w:rsidP="00C92E7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4AE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allowed to the extent that they have been properly and reasonably incurred and paid</w:t>
            </w:r>
          </w:p>
        </w:tc>
      </w:tr>
    </w:tbl>
    <w:p w14:paraId="639DDDC9" w14:textId="4811DF12" w:rsidR="007E16C3" w:rsidRPr="009A0BB9" w:rsidRDefault="007E16C3" w:rsidP="009A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7E16C3" w:rsidRPr="009A0BB9" w:rsidSect="009A0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0" w:left="1418" w:header="1134" w:footer="720" w:gutter="0"/>
      <w:paperSrc w:first="2" w:other="2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455C" w14:textId="77777777" w:rsidR="00B23AD2" w:rsidRDefault="00B23AD2" w:rsidP="00A47F13">
      <w:pPr>
        <w:spacing w:after="0" w:line="240" w:lineRule="auto"/>
      </w:pPr>
      <w:r>
        <w:separator/>
      </w:r>
    </w:p>
  </w:endnote>
  <w:endnote w:type="continuationSeparator" w:id="0">
    <w:p w14:paraId="2ACF39CE" w14:textId="77777777" w:rsidR="00B23AD2" w:rsidRDefault="00B23AD2" w:rsidP="00A4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0CF8" w14:textId="77777777" w:rsidR="002844FE" w:rsidRDefault="00284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81BF" w14:textId="4F6563C8" w:rsidR="002844FE" w:rsidRPr="002844FE" w:rsidRDefault="002844FE" w:rsidP="002844FE">
    <w:pPr>
      <w:pStyle w:val="Footer"/>
      <w:jc w:val="center"/>
      <w:rPr>
        <w:rFonts w:ascii="Arial" w:hAnsi="Arial" w:cs="Arial"/>
        <w:sz w:val="14"/>
      </w:rPr>
    </w:pPr>
    <w:r w:rsidRPr="002844F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DD8D" w14:textId="104F5B11" w:rsidR="002844FE" w:rsidRPr="002844FE" w:rsidRDefault="002844FE" w:rsidP="002844FE">
    <w:pPr>
      <w:pStyle w:val="Footer"/>
      <w:jc w:val="center"/>
      <w:rPr>
        <w:rFonts w:ascii="Arial" w:hAnsi="Arial" w:cs="Arial"/>
        <w:sz w:val="14"/>
      </w:rPr>
    </w:pPr>
    <w:r w:rsidRPr="002844F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AE7A" w14:textId="77777777" w:rsidR="00B23AD2" w:rsidRDefault="00B23AD2" w:rsidP="00A47F13">
      <w:pPr>
        <w:spacing w:after="0" w:line="240" w:lineRule="auto"/>
      </w:pPr>
      <w:r>
        <w:separator/>
      </w:r>
    </w:p>
  </w:footnote>
  <w:footnote w:type="continuationSeparator" w:id="0">
    <w:p w14:paraId="07269472" w14:textId="77777777" w:rsidR="00B23AD2" w:rsidRDefault="00B23AD2" w:rsidP="00A4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146" w14:textId="77777777" w:rsidR="002844FE" w:rsidRDefault="00284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853" w14:textId="77777777" w:rsidR="002844FE" w:rsidRDefault="00284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926" w14:textId="77777777" w:rsidR="002844FE" w:rsidRDefault="00284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5D9"/>
    <w:multiLevelType w:val="hybridMultilevel"/>
    <w:tmpl w:val="997CD8F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A1509A"/>
    <w:multiLevelType w:val="hybridMultilevel"/>
    <w:tmpl w:val="B9E63F68"/>
    <w:lvl w:ilvl="0" w:tplc="51467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43996">
    <w:abstractNumId w:val="0"/>
  </w:num>
  <w:num w:numId="2" w16cid:durableId="126086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3"/>
    <w:rsid w:val="00000C4B"/>
    <w:rsid w:val="00036BF9"/>
    <w:rsid w:val="00176F50"/>
    <w:rsid w:val="002155F5"/>
    <w:rsid w:val="00227FFC"/>
    <w:rsid w:val="002774F9"/>
    <w:rsid w:val="002844FE"/>
    <w:rsid w:val="00322F37"/>
    <w:rsid w:val="00427196"/>
    <w:rsid w:val="00461D18"/>
    <w:rsid w:val="00492C62"/>
    <w:rsid w:val="0057199C"/>
    <w:rsid w:val="006608C0"/>
    <w:rsid w:val="006A4AE4"/>
    <w:rsid w:val="007C075D"/>
    <w:rsid w:val="007E16C3"/>
    <w:rsid w:val="007E288A"/>
    <w:rsid w:val="008D2594"/>
    <w:rsid w:val="00900C12"/>
    <w:rsid w:val="0091151B"/>
    <w:rsid w:val="00956F89"/>
    <w:rsid w:val="009A0BB9"/>
    <w:rsid w:val="00A47F13"/>
    <w:rsid w:val="00B20D7D"/>
    <w:rsid w:val="00B23AD2"/>
    <w:rsid w:val="00B319F1"/>
    <w:rsid w:val="00B8336E"/>
    <w:rsid w:val="00C721CC"/>
    <w:rsid w:val="00C92E7C"/>
    <w:rsid w:val="00CA7C91"/>
    <w:rsid w:val="00D06B19"/>
    <w:rsid w:val="00E27BB7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27E05"/>
  <w15:chartTrackingRefBased/>
  <w15:docId w15:val="{B4A83D7E-C49D-4EC2-84AF-D4EE5912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4AE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A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A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A4AE4"/>
    <w:rPr>
      <w:rFonts w:ascii="Arial" w:eastAsia="Times New Roman" w:hAnsi="Arial" w:cs="Arial"/>
      <w:b/>
      <w:bCs/>
      <w:sz w:val="28"/>
      <w:szCs w:val="28"/>
    </w:rPr>
  </w:style>
  <w:style w:type="paragraph" w:customStyle="1" w:styleId="Billname">
    <w:name w:val="Billname"/>
    <w:basedOn w:val="Normal"/>
    <w:rsid w:val="006A4AE4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 w:line="240" w:lineRule="auto"/>
      <w:textAlignment w:val="baseline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A4AE4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CoverActName">
    <w:name w:val="CoverActName"/>
    <w:basedOn w:val="Normal"/>
    <w:rsid w:val="006A4AE4"/>
    <w:pPr>
      <w:tabs>
        <w:tab w:val="left" w:pos="2600"/>
      </w:tabs>
      <w:overflowPunct w:val="0"/>
      <w:autoSpaceDE w:val="0"/>
      <w:autoSpaceDN w:val="0"/>
      <w:adjustRightInd w:val="0"/>
      <w:spacing w:before="200" w:after="6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Contents">
    <w:name w:val="01Contents"/>
    <w:basedOn w:val="Normal"/>
    <w:rsid w:val="006A4AE4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A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AE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rsid w:val="006A4AE4"/>
  </w:style>
  <w:style w:type="paragraph" w:customStyle="1" w:styleId="ih2part">
    <w:name w:val="ih2part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colhd">
    <w:name w:val="tablecolhd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h3div">
    <w:name w:val="ih3div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10">
    <w:name w:val="tabletext10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10">
    <w:name w:val="tablepara10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-line2">
    <w:name w:val="n-line2"/>
    <w:basedOn w:val="Normal"/>
    <w:rsid w:val="006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4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13"/>
  </w:style>
  <w:style w:type="paragraph" w:styleId="Footer">
    <w:name w:val="footer"/>
    <w:basedOn w:val="Normal"/>
    <w:link w:val="FooterChar"/>
    <w:uiPriority w:val="99"/>
    <w:unhideWhenUsed/>
    <w:rsid w:val="00A4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7961</Characters>
  <Application>Microsoft Office Word</Application>
  <DocSecurity>0</DocSecurity>
  <Lines>471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/>
  <dc:description/>
  <cp:lastModifiedBy>PCODCS</cp:lastModifiedBy>
  <cp:revision>4</cp:revision>
  <dcterms:created xsi:type="dcterms:W3CDTF">2023-03-28T22:04:00Z</dcterms:created>
  <dcterms:modified xsi:type="dcterms:W3CDTF">2023-03-28T22:04:00Z</dcterms:modified>
</cp:coreProperties>
</file>