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197B9"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76966E1E" w14:textId="42C14564" w:rsidR="006815C9" w:rsidRDefault="00AD4EBC">
      <w:pPr>
        <w:pStyle w:val="Billname"/>
        <w:spacing w:before="700"/>
      </w:pPr>
      <w:r>
        <w:t>Government Agencies (Land Acquisition Reporting) Amendment Regulation 202</w:t>
      </w:r>
      <w:r w:rsidR="00506300">
        <w:t>3</w:t>
      </w:r>
      <w:r>
        <w:t xml:space="preserve"> (No </w:t>
      </w:r>
      <w:r w:rsidR="005D11C3">
        <w:t>1</w:t>
      </w:r>
      <w:r>
        <w:t>)</w:t>
      </w:r>
    </w:p>
    <w:p w14:paraId="040B73E8" w14:textId="3A79A044" w:rsidR="006815C9" w:rsidRDefault="00F5371D" w:rsidP="00091D34">
      <w:pPr>
        <w:spacing w:before="340"/>
        <w:rPr>
          <w:rFonts w:ascii="Arial" w:hAnsi="Arial" w:cs="Arial"/>
          <w:b/>
          <w:bCs/>
        </w:rPr>
      </w:pPr>
      <w:r>
        <w:rPr>
          <w:rFonts w:ascii="Arial" w:hAnsi="Arial" w:cs="Arial"/>
          <w:b/>
          <w:bCs/>
        </w:rPr>
        <w:t>Subordinate law SL</w:t>
      </w:r>
      <w:r w:rsidR="00AD4EBC">
        <w:rPr>
          <w:rFonts w:ascii="Arial" w:hAnsi="Arial" w:cs="Arial"/>
          <w:b/>
          <w:bCs/>
        </w:rPr>
        <w:t>202</w:t>
      </w:r>
      <w:r w:rsidR="00506300">
        <w:rPr>
          <w:rFonts w:ascii="Arial" w:hAnsi="Arial" w:cs="Arial"/>
          <w:b/>
          <w:bCs/>
        </w:rPr>
        <w:t>3</w:t>
      </w:r>
      <w:r w:rsidR="006815C9">
        <w:rPr>
          <w:rFonts w:ascii="Arial" w:hAnsi="Arial" w:cs="Arial"/>
          <w:b/>
          <w:bCs/>
        </w:rPr>
        <w:t>–</w:t>
      </w:r>
      <w:r w:rsidR="00F1780B">
        <w:rPr>
          <w:rFonts w:ascii="Arial" w:hAnsi="Arial" w:cs="Arial"/>
          <w:b/>
          <w:bCs/>
        </w:rPr>
        <w:t>1</w:t>
      </w:r>
    </w:p>
    <w:p w14:paraId="466A3A43" w14:textId="77777777" w:rsidR="006815C9" w:rsidRDefault="006815C9" w:rsidP="00091D34">
      <w:pPr>
        <w:pStyle w:val="madeunder"/>
        <w:spacing w:before="300" w:after="0"/>
      </w:pPr>
      <w:r>
        <w:t xml:space="preserve">made under the  </w:t>
      </w:r>
    </w:p>
    <w:p w14:paraId="7449F1E8" w14:textId="16D2744D" w:rsidR="006815C9" w:rsidRPr="005D11C3" w:rsidRDefault="00AD4EBC" w:rsidP="00091D34">
      <w:pPr>
        <w:pStyle w:val="CoverActName"/>
        <w:spacing w:before="320" w:after="0"/>
        <w:rPr>
          <w:rFonts w:cs="Arial"/>
          <w:sz w:val="20"/>
        </w:rPr>
      </w:pPr>
      <w:r w:rsidRPr="005D11C3">
        <w:rPr>
          <w:rFonts w:cs="Arial"/>
          <w:sz w:val="20"/>
        </w:rPr>
        <w:t>Government Agencies (Land Acquisition Reporting) Act 2018</w:t>
      </w:r>
    </w:p>
    <w:p w14:paraId="53D23BC1" w14:textId="77777777" w:rsidR="006815C9" w:rsidRDefault="006815C9" w:rsidP="007633E6">
      <w:pPr>
        <w:spacing w:before="360"/>
        <w:rPr>
          <w:rFonts w:ascii="Arial" w:hAnsi="Arial" w:cs="Arial"/>
          <w:b/>
          <w:bCs/>
          <w:sz w:val="28"/>
          <w:szCs w:val="28"/>
        </w:rPr>
      </w:pPr>
      <w:r>
        <w:rPr>
          <w:rFonts w:ascii="Arial" w:hAnsi="Arial" w:cs="Arial"/>
          <w:b/>
          <w:bCs/>
          <w:sz w:val="28"/>
          <w:szCs w:val="28"/>
        </w:rPr>
        <w:t>EXPLANATORY STATEMENT</w:t>
      </w:r>
    </w:p>
    <w:p w14:paraId="434B394C" w14:textId="77777777" w:rsidR="006815C9" w:rsidRDefault="006815C9">
      <w:pPr>
        <w:pStyle w:val="N-line3"/>
        <w:pBdr>
          <w:bottom w:val="none" w:sz="0" w:space="0" w:color="auto"/>
        </w:pBdr>
      </w:pPr>
    </w:p>
    <w:p w14:paraId="37E1FED0" w14:textId="77777777" w:rsidR="006815C9" w:rsidRDefault="006815C9">
      <w:pPr>
        <w:pStyle w:val="N-line3"/>
        <w:pBdr>
          <w:top w:val="single" w:sz="12" w:space="1" w:color="auto"/>
          <w:bottom w:val="none" w:sz="0" w:space="0" w:color="auto"/>
        </w:pBdr>
      </w:pPr>
    </w:p>
    <w:bookmarkEnd w:id="0"/>
    <w:p w14:paraId="73F9421C" w14:textId="4B28D429" w:rsidR="006815C9" w:rsidRDefault="00AD4EBC" w:rsidP="00E65ACE">
      <w:pPr>
        <w:spacing w:after="240"/>
      </w:pPr>
      <w:r>
        <w:t xml:space="preserve">This explanatory statement relates to the </w:t>
      </w:r>
      <w:r w:rsidRPr="00AD4EBC">
        <w:rPr>
          <w:i/>
          <w:iCs/>
        </w:rPr>
        <w:t>Government Agencies (Land Acquisition Reporting) Amendment Regulation 202</w:t>
      </w:r>
      <w:r w:rsidR="00506300">
        <w:rPr>
          <w:i/>
          <w:iCs/>
        </w:rPr>
        <w:t>3</w:t>
      </w:r>
      <w:r>
        <w:t xml:space="preserve"> </w:t>
      </w:r>
      <w:r w:rsidRPr="005D11C3">
        <w:rPr>
          <w:i/>
          <w:iCs/>
        </w:rPr>
        <w:t>(No 1)</w:t>
      </w:r>
      <w:r>
        <w:t xml:space="preserve"> (the </w:t>
      </w:r>
      <w:r w:rsidRPr="00AD4EBC">
        <w:rPr>
          <w:b/>
          <w:bCs/>
          <w:i/>
          <w:iCs/>
        </w:rPr>
        <w:t>amendment regulation</w:t>
      </w:r>
      <w:r>
        <w:t>)</w:t>
      </w:r>
      <w:r w:rsidR="00E86CFD">
        <w:t xml:space="preserve"> as made by the </w:t>
      </w:r>
      <w:r w:rsidR="007F74F3">
        <w:t>Executive</w:t>
      </w:r>
      <w:r w:rsidR="00E86CFD">
        <w:t>. It has been prepared to assist the reader of the amendment regulation and to help inform any debate on it. It does not form part of the amendment regulation and has not been endorsed by the Legislative Assembly.</w:t>
      </w:r>
    </w:p>
    <w:p w14:paraId="7DD32B92" w14:textId="6AC6AC55" w:rsidR="00E86CFD" w:rsidRDefault="00E86CFD" w:rsidP="00E65ACE">
      <w:pPr>
        <w:spacing w:after="240"/>
      </w:pPr>
      <w:r>
        <w:t>This statement must be read in conjunction with the amendment regulation. It is not, and is not meant to be, a comprehensive description of the amendment regulation. What is said about a provision is not to be taken as an authoritative guide to the meaning of a provision, this being a task for the courts.</w:t>
      </w:r>
    </w:p>
    <w:p w14:paraId="2BBD248C" w14:textId="5D75E69E" w:rsidR="007F74F3" w:rsidRPr="007F74F3" w:rsidRDefault="007F74F3" w:rsidP="00E65ACE">
      <w:pPr>
        <w:spacing w:after="120"/>
        <w:rPr>
          <w:rFonts w:ascii="Arial" w:hAnsi="Arial" w:cs="Arial"/>
          <w:b/>
          <w:bCs/>
        </w:rPr>
      </w:pPr>
      <w:r w:rsidRPr="007F74F3">
        <w:rPr>
          <w:rFonts w:ascii="Arial" w:hAnsi="Arial" w:cs="Arial"/>
          <w:b/>
          <w:bCs/>
        </w:rPr>
        <w:t>OVERVIEW</w:t>
      </w:r>
    </w:p>
    <w:p w14:paraId="06E11055" w14:textId="77777777" w:rsidR="00112D2A" w:rsidRDefault="00867BAE" w:rsidP="00E65ACE">
      <w:pPr>
        <w:spacing w:after="240"/>
      </w:pPr>
      <w:r>
        <w:t>Th</w:t>
      </w:r>
      <w:r w:rsidR="005D11C3">
        <w:t>e amendment</w:t>
      </w:r>
      <w:r w:rsidR="00E86CFD">
        <w:t xml:space="preserve"> </w:t>
      </w:r>
      <w:r>
        <w:t>r</w:t>
      </w:r>
      <w:r w:rsidR="00E86CFD">
        <w:t xml:space="preserve">egulation </w:t>
      </w:r>
      <w:r>
        <w:t xml:space="preserve">amends the </w:t>
      </w:r>
      <w:r w:rsidRPr="00867BAE">
        <w:rPr>
          <w:i/>
          <w:iCs/>
        </w:rPr>
        <w:t>Government Agencies (Land Acquisition Reporting) Regulation 2019</w:t>
      </w:r>
      <w:r w:rsidR="00575C84">
        <w:t xml:space="preserve"> (the </w:t>
      </w:r>
      <w:r w:rsidR="005D11C3" w:rsidRPr="005D11C3">
        <w:rPr>
          <w:b/>
          <w:bCs/>
          <w:i/>
          <w:iCs/>
        </w:rPr>
        <w:t>r</w:t>
      </w:r>
      <w:r w:rsidR="00575C84" w:rsidRPr="005D11C3">
        <w:rPr>
          <w:b/>
          <w:bCs/>
          <w:i/>
          <w:iCs/>
        </w:rPr>
        <w:t>egulation</w:t>
      </w:r>
      <w:r w:rsidR="00575C84">
        <w:t>)</w:t>
      </w:r>
      <w:r>
        <w:t>.</w:t>
      </w:r>
    </w:p>
    <w:p w14:paraId="193B5BB1" w14:textId="30204781" w:rsidR="00112D2A" w:rsidRDefault="009330E0" w:rsidP="00E65ACE">
      <w:pPr>
        <w:spacing w:after="240"/>
      </w:pPr>
      <w:r>
        <w:t xml:space="preserve">The amendment regulation </w:t>
      </w:r>
      <w:r w:rsidR="00D83C7A">
        <w:t xml:space="preserve">prescribes that if an acquisition of land </w:t>
      </w:r>
      <w:r w:rsidR="008B3C3C">
        <w:t xml:space="preserve">occurs </w:t>
      </w:r>
      <w:r w:rsidR="00827F2C">
        <w:t>because of</w:t>
      </w:r>
      <w:r w:rsidR="00D83C7A">
        <w:t xml:space="preserve"> </w:t>
      </w:r>
      <w:r w:rsidR="003F66D3">
        <w:t xml:space="preserve">the </w:t>
      </w:r>
      <w:r w:rsidR="00D83C7A">
        <w:t xml:space="preserve">surrender of a </w:t>
      </w:r>
      <w:r w:rsidR="00D83C7A" w:rsidRPr="005D11C3">
        <w:t>development lease</w:t>
      </w:r>
      <w:r w:rsidR="00827F2C">
        <w:t>,</w:t>
      </w:r>
      <w:r w:rsidR="00112D2A">
        <w:t xml:space="preserve"> it </w:t>
      </w:r>
      <w:r w:rsidR="00827F2C">
        <w:t xml:space="preserve">does </w:t>
      </w:r>
      <w:r w:rsidR="00112D2A">
        <w:t xml:space="preserve">not </w:t>
      </w:r>
      <w:r w:rsidR="00827F2C">
        <w:t>require reporting as a government land acquisition. This is because</w:t>
      </w:r>
      <w:r w:rsidR="00112D2A">
        <w:t xml:space="preserve"> a development lease is </w:t>
      </w:r>
      <w:r w:rsidR="00827F2C">
        <w:t xml:space="preserve">designed to be </w:t>
      </w:r>
      <w:r w:rsidR="00112D2A">
        <w:t>temporar</w:t>
      </w:r>
      <w:r w:rsidR="00827F2C">
        <w:t>y. A development lease is</w:t>
      </w:r>
      <w:r w:rsidR="00112D2A">
        <w:t xml:space="preserve"> issued to a purchaser as part of a contract of sale for land to enable the</w:t>
      </w:r>
      <w:r w:rsidR="00827F2C">
        <w:t xml:space="preserve"> purchaser</w:t>
      </w:r>
      <w:r w:rsidR="00112D2A">
        <w:t xml:space="preserve"> to undertake specified works or improvements. Once the works are completed to the Territory’s satisfaction, the land subject to the development lease is surrendered to the Territory in accordance with the relevant agreement</w:t>
      </w:r>
      <w:r w:rsidR="00827F2C">
        <w:t>,</w:t>
      </w:r>
      <w:r w:rsidR="003F5C61">
        <w:t xml:space="preserve"> with</w:t>
      </w:r>
      <w:r w:rsidR="00112D2A">
        <w:t xml:space="preserve"> a Crown lease </w:t>
      </w:r>
      <w:r w:rsidR="003F5C61">
        <w:t>being</w:t>
      </w:r>
      <w:r w:rsidR="00112D2A">
        <w:t xml:space="preserve"> issued to the purchaser of the land thereafter.</w:t>
      </w:r>
    </w:p>
    <w:p w14:paraId="2460CB25" w14:textId="24E30E8D" w:rsidR="003F137C" w:rsidRDefault="00112D2A" w:rsidP="00E65ACE">
      <w:pPr>
        <w:spacing w:after="240"/>
      </w:pPr>
      <w:r>
        <w:t xml:space="preserve">The amendment regulation </w:t>
      </w:r>
      <w:r w:rsidR="00827F2C">
        <w:t xml:space="preserve">further </w:t>
      </w:r>
      <w:r>
        <w:t xml:space="preserve">exempts the reporting of the acquisition of land </w:t>
      </w:r>
      <w:r w:rsidR="00D83C7A" w:rsidRPr="005D11C3">
        <w:t>as a result of a forfeiture of tain</w:t>
      </w:r>
      <w:r w:rsidR="008B3C3C" w:rsidRPr="005D11C3">
        <w:t xml:space="preserve">ted property under the </w:t>
      </w:r>
      <w:r w:rsidR="008B3C3C" w:rsidRPr="005D11C3">
        <w:rPr>
          <w:i/>
          <w:iCs/>
        </w:rPr>
        <w:t>Co</w:t>
      </w:r>
      <w:r w:rsidR="008B3C3C" w:rsidRPr="008B3C3C">
        <w:rPr>
          <w:i/>
          <w:iCs/>
        </w:rPr>
        <w:t>nfiscation of Criminal Assets Act 2003</w:t>
      </w:r>
      <w:r>
        <w:t xml:space="preserve">. This amendment ensures alignment with the intent of the </w:t>
      </w:r>
      <w:r w:rsidR="003F137C" w:rsidRPr="008B3C3C">
        <w:rPr>
          <w:i/>
          <w:iCs/>
        </w:rPr>
        <w:t>Government Agencies (Land Acquisition Reporting) Act 2018</w:t>
      </w:r>
      <w:r w:rsidR="003F137C">
        <w:t xml:space="preserve"> (the </w:t>
      </w:r>
      <w:r w:rsidR="003F137C" w:rsidRPr="008B3C3C">
        <w:rPr>
          <w:b/>
          <w:bCs/>
          <w:i/>
          <w:iCs/>
        </w:rPr>
        <w:t>Act</w:t>
      </w:r>
      <w:r w:rsidR="003F137C">
        <w:t>)</w:t>
      </w:r>
      <w:r>
        <w:t xml:space="preserve">, as a forfeiture </w:t>
      </w:r>
      <w:r w:rsidR="00827F2C">
        <w:t xml:space="preserve">of property </w:t>
      </w:r>
      <w:r>
        <w:t>result</w:t>
      </w:r>
      <w:r w:rsidR="00827F2C">
        <w:t>s</w:t>
      </w:r>
      <w:r>
        <w:t xml:space="preserve"> from a court order</w:t>
      </w:r>
      <w:r w:rsidR="003F137C">
        <w:t>, with m</w:t>
      </w:r>
      <w:r>
        <w:t xml:space="preserve">ost </w:t>
      </w:r>
      <w:r w:rsidR="00827F2C">
        <w:t xml:space="preserve">property </w:t>
      </w:r>
      <w:r>
        <w:t xml:space="preserve">forfeitures </w:t>
      </w:r>
      <w:r w:rsidR="003F137C">
        <w:t>occurring</w:t>
      </w:r>
      <w:r>
        <w:t xml:space="preserve"> </w:t>
      </w:r>
      <w:r w:rsidR="00827F2C">
        <w:t>due to</w:t>
      </w:r>
      <w:r>
        <w:t xml:space="preserve"> restraint and control orders, and a later conviction</w:t>
      </w:r>
      <w:r w:rsidR="00827F2C">
        <w:t>. These details</w:t>
      </w:r>
      <w:r w:rsidR="003F137C">
        <w:t xml:space="preserve"> are publicly available </w:t>
      </w:r>
      <w:r>
        <w:t xml:space="preserve">on the </w:t>
      </w:r>
      <w:r>
        <w:lastRenderedPageBreak/>
        <w:t>ACT Courts’ website</w:t>
      </w:r>
      <w:r w:rsidR="00827F2C">
        <w:t xml:space="preserve"> and were never intended to be captured by the reporting scheme created by the Act</w:t>
      </w:r>
      <w:r w:rsidR="003F137C">
        <w:t>.</w:t>
      </w:r>
    </w:p>
    <w:p w14:paraId="5DCDC0EC" w14:textId="093D1BE5" w:rsidR="008B3C3C" w:rsidRDefault="008B3C3C" w:rsidP="00E65ACE">
      <w:pPr>
        <w:spacing w:after="240"/>
      </w:pPr>
      <w:r>
        <w:t xml:space="preserve">The amendment regulation also </w:t>
      </w:r>
      <w:r w:rsidR="003F66D3">
        <w:t xml:space="preserve">clarifies section 4 </w:t>
      </w:r>
      <w:r w:rsidR="008C4238">
        <w:t xml:space="preserve">of the regulation, </w:t>
      </w:r>
      <w:r w:rsidR="003F66D3">
        <w:t xml:space="preserve">relating to </w:t>
      </w:r>
      <w:r w:rsidR="00E65ACE">
        <w:t xml:space="preserve">loose-fill </w:t>
      </w:r>
      <w:r w:rsidR="003F66D3">
        <w:t>asbestos-affected properties</w:t>
      </w:r>
      <w:r w:rsidR="00827F2C">
        <w:t>,</w:t>
      </w:r>
      <w:r w:rsidR="009E6A31">
        <w:t xml:space="preserve"> in accordance with contemporary drafting standards.</w:t>
      </w:r>
    </w:p>
    <w:p w14:paraId="1824460E" w14:textId="505032E7" w:rsidR="009330E0" w:rsidRDefault="003F66D3" w:rsidP="00E65ACE">
      <w:pPr>
        <w:spacing w:after="240"/>
      </w:pPr>
      <w:r>
        <w:t>Th</w:t>
      </w:r>
      <w:r w:rsidR="00AF15EA">
        <w:t>ese</w:t>
      </w:r>
      <w:r>
        <w:t xml:space="preserve"> amendments align with the purpose of the Act</w:t>
      </w:r>
      <w:r w:rsidR="008C4238">
        <w:t xml:space="preserve"> to provide transparency in government acquisition of land</w:t>
      </w:r>
      <w:r w:rsidR="00AF15EA">
        <w:t xml:space="preserve">, </w:t>
      </w:r>
      <w:r w:rsidR="008C4238">
        <w:t>by</w:t>
      </w:r>
      <w:r w:rsidR="00AF15EA">
        <w:t xml:space="preserve"> preclud</w:t>
      </w:r>
      <w:r w:rsidR="008C4238">
        <w:t>ing</w:t>
      </w:r>
      <w:r w:rsidR="00AF15EA">
        <w:t xml:space="preserve"> the reporting of operational and deliberative matters, particularly </w:t>
      </w:r>
      <w:r w:rsidR="007633E6">
        <w:t xml:space="preserve">temporary acquisition of land </w:t>
      </w:r>
      <w:r w:rsidR="00AF15EA">
        <w:t xml:space="preserve">when compensation is not a consideration, or if the surrender </w:t>
      </w:r>
      <w:r w:rsidR="007633E6">
        <w:t xml:space="preserve">of land </w:t>
      </w:r>
      <w:r w:rsidR="00AF15EA">
        <w:t>is part of a</w:t>
      </w:r>
      <w:r w:rsidR="00827F2C">
        <w:t>n alternative</w:t>
      </w:r>
      <w:r w:rsidR="00AF15EA">
        <w:t xml:space="preserve"> statutory process</w:t>
      </w:r>
      <w:r w:rsidR="008C4238">
        <w:t>, the details of which are already publicly available</w:t>
      </w:r>
      <w:r w:rsidR="00AF15EA">
        <w:t>.</w:t>
      </w:r>
    </w:p>
    <w:p w14:paraId="1FBF4C8D" w14:textId="00118AB4" w:rsidR="008973D5" w:rsidRPr="003E58C4" w:rsidRDefault="008973D5" w:rsidP="00E65ACE">
      <w:pPr>
        <w:spacing w:after="120"/>
        <w:rPr>
          <w:rFonts w:ascii="Arial" w:hAnsi="Arial" w:cs="Arial"/>
          <w:b/>
          <w:bCs/>
        </w:rPr>
      </w:pPr>
      <w:r w:rsidRPr="003E58C4">
        <w:rPr>
          <w:rFonts w:ascii="Arial" w:hAnsi="Arial" w:cs="Arial"/>
          <w:b/>
          <w:bCs/>
        </w:rPr>
        <w:t>CONSULTATION ON THE PROPOSED APPROACH</w:t>
      </w:r>
    </w:p>
    <w:p w14:paraId="6B97B050" w14:textId="2FBD9698" w:rsidR="008973D5" w:rsidRDefault="008973D5" w:rsidP="00E65ACE">
      <w:pPr>
        <w:spacing w:after="240"/>
      </w:pPr>
      <w:r>
        <w:t xml:space="preserve">The amendment regulation </w:t>
      </w:r>
      <w:r w:rsidR="008C4238">
        <w:t>was</w:t>
      </w:r>
      <w:r>
        <w:t xml:space="preserve"> prepared in consultation with the </w:t>
      </w:r>
      <w:r w:rsidR="003E58C4">
        <w:t>Public Trustee and Guardian, and the Justice and Community Safety Directorate.</w:t>
      </w:r>
    </w:p>
    <w:p w14:paraId="16E54425" w14:textId="639C4D8E" w:rsidR="009330E0" w:rsidRPr="009330E0" w:rsidRDefault="009330E0" w:rsidP="00E65ACE">
      <w:pPr>
        <w:spacing w:after="120"/>
        <w:rPr>
          <w:rFonts w:ascii="Arial" w:hAnsi="Arial" w:cs="Arial"/>
          <w:b/>
          <w:bCs/>
        </w:rPr>
      </w:pPr>
      <w:r w:rsidRPr="009330E0">
        <w:rPr>
          <w:rFonts w:ascii="Arial" w:hAnsi="Arial" w:cs="Arial"/>
          <w:b/>
          <w:bCs/>
        </w:rPr>
        <w:t>REGULATORY IMPACT STATEMENT</w:t>
      </w:r>
    </w:p>
    <w:p w14:paraId="22C2D333" w14:textId="0C190C2E" w:rsidR="009330E0" w:rsidRDefault="00B32B1A" w:rsidP="00E65ACE">
      <w:pPr>
        <w:spacing w:after="240"/>
      </w:pPr>
      <w:r w:rsidRPr="00B32B1A">
        <w:t>A regulatory impact statement </w:t>
      </w:r>
      <w:bookmarkStart w:id="1" w:name="_Hlk47624591"/>
      <w:r w:rsidRPr="00B32B1A">
        <w:t>is not required as the amendment regulation does not impose appreciable costs on the community, or part of the community</w:t>
      </w:r>
      <w:r w:rsidR="008C4238">
        <w:t>,</w:t>
      </w:r>
      <w:r w:rsidRPr="00B32B1A">
        <w:t xml:space="preserve"> under section 34 (1) of the </w:t>
      </w:r>
      <w:r w:rsidRPr="00B32B1A">
        <w:rPr>
          <w:i/>
          <w:iCs/>
        </w:rPr>
        <w:t>Legislation Act 2001</w:t>
      </w:r>
      <w:r w:rsidRPr="00B32B1A">
        <w:t>.</w:t>
      </w:r>
      <w:bookmarkEnd w:id="1"/>
    </w:p>
    <w:p w14:paraId="4C91FEF5" w14:textId="328FFCAD" w:rsidR="009330E0" w:rsidRPr="004301A9" w:rsidRDefault="009330E0" w:rsidP="00E65ACE">
      <w:pPr>
        <w:spacing w:after="120"/>
        <w:rPr>
          <w:rFonts w:ascii="Arial" w:hAnsi="Arial" w:cs="Arial"/>
          <w:b/>
          <w:bCs/>
        </w:rPr>
      </w:pPr>
      <w:r w:rsidRPr="004301A9">
        <w:rPr>
          <w:rFonts w:ascii="Arial" w:hAnsi="Arial" w:cs="Arial"/>
          <w:b/>
          <w:bCs/>
        </w:rPr>
        <w:t>CONSISTENCY WITH HUMAN RIGHTS</w:t>
      </w:r>
    </w:p>
    <w:p w14:paraId="1A56A8AE" w14:textId="2C844548" w:rsidR="004301A9" w:rsidRPr="004301A9" w:rsidRDefault="00B32B1A" w:rsidP="00E65ACE">
      <w:pPr>
        <w:spacing w:after="240"/>
      </w:pPr>
      <w:r w:rsidRPr="004301A9">
        <w:rPr>
          <w:color w:val="000000"/>
          <w:shd w:val="clear" w:color="auto" w:fill="FFFFFF"/>
        </w:rPr>
        <w:t>There are no human rights impacts related to the amendment regulation.</w:t>
      </w:r>
    </w:p>
    <w:p w14:paraId="4779FBE1" w14:textId="696297C5" w:rsidR="009330E0" w:rsidRDefault="009330E0" w:rsidP="00E65ACE">
      <w:pPr>
        <w:spacing w:after="240"/>
      </w:pPr>
    </w:p>
    <w:p w14:paraId="06655EC0" w14:textId="77777777" w:rsidR="004301A9" w:rsidRPr="004C0A5E" w:rsidRDefault="004301A9" w:rsidP="00E65ACE">
      <w:pPr>
        <w:spacing w:after="240"/>
      </w:pPr>
    </w:p>
    <w:p w14:paraId="73B5B046" w14:textId="77777777" w:rsidR="00F622EA" w:rsidRDefault="00F622EA">
      <w:pPr>
        <w:rPr>
          <w:rFonts w:ascii="Arial" w:hAnsi="Arial" w:cs="Arial"/>
          <w:b/>
          <w:bCs/>
        </w:rPr>
      </w:pPr>
      <w:r>
        <w:rPr>
          <w:rFonts w:ascii="Arial" w:hAnsi="Arial" w:cs="Arial"/>
          <w:b/>
          <w:bCs/>
        </w:rPr>
        <w:br w:type="page"/>
      </w:r>
    </w:p>
    <w:p w14:paraId="56134629" w14:textId="20E10626" w:rsidR="009330E0" w:rsidRPr="004C0A5E" w:rsidRDefault="009330E0">
      <w:pPr>
        <w:rPr>
          <w:rFonts w:ascii="Arial" w:hAnsi="Arial" w:cs="Arial"/>
          <w:b/>
          <w:bCs/>
        </w:rPr>
      </w:pPr>
      <w:r w:rsidRPr="004C0A5E">
        <w:rPr>
          <w:rFonts w:ascii="Arial" w:hAnsi="Arial" w:cs="Arial"/>
          <w:b/>
          <w:bCs/>
        </w:rPr>
        <w:lastRenderedPageBreak/>
        <w:t>CLAUSE NOTES</w:t>
      </w:r>
    </w:p>
    <w:p w14:paraId="7AD24285" w14:textId="6F4ED376" w:rsidR="009330E0" w:rsidRPr="004C0A5E" w:rsidRDefault="009330E0"/>
    <w:p w14:paraId="5A6A28FF" w14:textId="6E97A606" w:rsidR="00CA5117" w:rsidRPr="004C0A5E" w:rsidRDefault="00CA5117" w:rsidP="005D11C3">
      <w:pPr>
        <w:spacing w:after="120"/>
        <w:rPr>
          <w:rFonts w:ascii="Arial" w:hAnsi="Arial" w:cs="Arial"/>
          <w:b/>
          <w:bCs/>
        </w:rPr>
      </w:pPr>
      <w:r w:rsidRPr="004C0A5E">
        <w:rPr>
          <w:rFonts w:ascii="Arial" w:hAnsi="Arial" w:cs="Arial"/>
          <w:b/>
          <w:bCs/>
        </w:rPr>
        <w:t>Clause 1</w:t>
      </w:r>
      <w:r w:rsidR="00C32BEC" w:rsidRPr="004C0A5E">
        <w:rPr>
          <w:rFonts w:ascii="Arial" w:hAnsi="Arial" w:cs="Arial"/>
          <w:b/>
          <w:bCs/>
        </w:rPr>
        <w:tab/>
      </w:r>
      <w:r w:rsidRPr="004C0A5E">
        <w:rPr>
          <w:rFonts w:ascii="Arial" w:hAnsi="Arial" w:cs="Arial"/>
          <w:b/>
          <w:bCs/>
        </w:rPr>
        <w:t xml:space="preserve">Name of </w:t>
      </w:r>
      <w:r w:rsidR="005D11C3">
        <w:rPr>
          <w:rFonts w:ascii="Arial" w:hAnsi="Arial" w:cs="Arial"/>
          <w:b/>
          <w:bCs/>
        </w:rPr>
        <w:t>r</w:t>
      </w:r>
      <w:r w:rsidRPr="004C0A5E">
        <w:rPr>
          <w:rFonts w:ascii="Arial" w:hAnsi="Arial" w:cs="Arial"/>
          <w:b/>
          <w:bCs/>
        </w:rPr>
        <w:t>egulation</w:t>
      </w:r>
    </w:p>
    <w:p w14:paraId="35B399E6" w14:textId="0B73F0F7" w:rsidR="00CA5117" w:rsidRPr="004C0A5E" w:rsidRDefault="00CA5117" w:rsidP="00CA5117">
      <w:r w:rsidRPr="004C0A5E">
        <w:t>This clause names the regulation</w:t>
      </w:r>
      <w:r w:rsidR="005D11C3">
        <w:t xml:space="preserve"> as the </w:t>
      </w:r>
      <w:r w:rsidR="005D11C3" w:rsidRPr="005D11C3">
        <w:rPr>
          <w:i/>
          <w:iCs/>
        </w:rPr>
        <w:t>Government Agencies (Land Acquisition Reporting) Amendment Regulation 202</w:t>
      </w:r>
      <w:r w:rsidR="00C4682D">
        <w:rPr>
          <w:i/>
          <w:iCs/>
        </w:rPr>
        <w:t>3</w:t>
      </w:r>
      <w:r w:rsidR="005D11C3" w:rsidRPr="005D11C3">
        <w:rPr>
          <w:i/>
          <w:iCs/>
        </w:rPr>
        <w:t xml:space="preserve"> (No 1)</w:t>
      </w:r>
      <w:r w:rsidRPr="004C0A5E">
        <w:t>.</w:t>
      </w:r>
    </w:p>
    <w:p w14:paraId="4623EF89" w14:textId="77777777" w:rsidR="00CA5117" w:rsidRPr="004C0A5E" w:rsidRDefault="00CA5117" w:rsidP="00CA5117"/>
    <w:p w14:paraId="6BA93295" w14:textId="31108086" w:rsidR="00CA5117" w:rsidRPr="004C0A5E" w:rsidRDefault="00CA5117" w:rsidP="005D11C3">
      <w:pPr>
        <w:spacing w:after="120"/>
        <w:rPr>
          <w:rFonts w:ascii="Arial" w:hAnsi="Arial" w:cs="Arial"/>
          <w:b/>
          <w:bCs/>
        </w:rPr>
      </w:pPr>
      <w:r w:rsidRPr="004C0A5E">
        <w:rPr>
          <w:rFonts w:ascii="Arial" w:hAnsi="Arial" w:cs="Arial"/>
          <w:b/>
          <w:bCs/>
        </w:rPr>
        <w:t>Clause 2</w:t>
      </w:r>
      <w:r w:rsidR="00C32BEC" w:rsidRPr="004C0A5E">
        <w:rPr>
          <w:rFonts w:ascii="Arial" w:hAnsi="Arial" w:cs="Arial"/>
          <w:b/>
          <w:bCs/>
        </w:rPr>
        <w:tab/>
      </w:r>
      <w:r w:rsidRPr="004C0A5E">
        <w:rPr>
          <w:rFonts w:ascii="Arial" w:hAnsi="Arial" w:cs="Arial"/>
          <w:b/>
          <w:bCs/>
        </w:rPr>
        <w:t>Commencement</w:t>
      </w:r>
    </w:p>
    <w:p w14:paraId="550679D6" w14:textId="3FF96D0B" w:rsidR="00CA5117" w:rsidRPr="004C0A5E" w:rsidRDefault="00CA5117" w:rsidP="00CA5117">
      <w:r w:rsidRPr="004C0A5E">
        <w:t xml:space="preserve">This clause provides for the commencement of the </w:t>
      </w:r>
      <w:r w:rsidR="005D11C3">
        <w:t>r</w:t>
      </w:r>
      <w:r w:rsidRPr="004C0A5E">
        <w:t>egulation</w:t>
      </w:r>
      <w:r w:rsidR="005D11C3">
        <w:t xml:space="preserve"> on the day after its notification day</w:t>
      </w:r>
      <w:r w:rsidRPr="004C0A5E">
        <w:t>.</w:t>
      </w:r>
    </w:p>
    <w:p w14:paraId="747CDC62" w14:textId="77777777" w:rsidR="00CA5117" w:rsidRPr="004C0A5E" w:rsidRDefault="00CA5117" w:rsidP="00CA5117"/>
    <w:p w14:paraId="751F8D0A" w14:textId="08D26856" w:rsidR="00CA5117" w:rsidRPr="004C0A5E" w:rsidRDefault="00CA5117" w:rsidP="005D11C3">
      <w:pPr>
        <w:spacing w:after="120"/>
        <w:rPr>
          <w:rFonts w:ascii="Arial" w:hAnsi="Arial" w:cs="Arial"/>
          <w:b/>
          <w:bCs/>
        </w:rPr>
      </w:pPr>
      <w:r w:rsidRPr="004C0A5E">
        <w:rPr>
          <w:rFonts w:ascii="Arial" w:hAnsi="Arial" w:cs="Arial"/>
          <w:b/>
          <w:bCs/>
        </w:rPr>
        <w:t>Clause 3</w:t>
      </w:r>
      <w:r w:rsidR="00C32BEC" w:rsidRPr="004C0A5E">
        <w:rPr>
          <w:rFonts w:ascii="Arial" w:hAnsi="Arial" w:cs="Arial"/>
          <w:b/>
          <w:bCs/>
        </w:rPr>
        <w:tab/>
      </w:r>
      <w:r w:rsidRPr="004C0A5E">
        <w:rPr>
          <w:rFonts w:ascii="Arial" w:hAnsi="Arial" w:cs="Arial"/>
          <w:b/>
          <w:bCs/>
        </w:rPr>
        <w:t>Legislation amended</w:t>
      </w:r>
    </w:p>
    <w:p w14:paraId="5672B922" w14:textId="1168596D" w:rsidR="00CA5117" w:rsidRDefault="00CA5117" w:rsidP="00CA5117">
      <w:r>
        <w:t xml:space="preserve">This clause provides </w:t>
      </w:r>
      <w:r w:rsidR="005D11C3">
        <w:t xml:space="preserve">that the regulation amends the </w:t>
      </w:r>
      <w:r w:rsidR="005D11C3" w:rsidRPr="005D11C3">
        <w:rPr>
          <w:i/>
          <w:iCs/>
        </w:rPr>
        <w:t>Government Agencies (Land Acquisition Reporting) Regulation 2019</w:t>
      </w:r>
      <w:r>
        <w:t>.</w:t>
      </w:r>
    </w:p>
    <w:p w14:paraId="0A353AFA" w14:textId="77777777" w:rsidR="00CA5117" w:rsidRDefault="00CA5117" w:rsidP="00CA5117"/>
    <w:p w14:paraId="37243255" w14:textId="2DA18456" w:rsidR="00CA5117" w:rsidRPr="004C0A5E" w:rsidRDefault="00CA5117" w:rsidP="00F622EA">
      <w:pPr>
        <w:spacing w:after="120"/>
        <w:rPr>
          <w:rFonts w:ascii="Arial" w:hAnsi="Arial" w:cs="Arial"/>
          <w:b/>
          <w:bCs/>
        </w:rPr>
      </w:pPr>
      <w:r w:rsidRPr="004C0A5E">
        <w:rPr>
          <w:rFonts w:ascii="Arial" w:hAnsi="Arial" w:cs="Arial"/>
          <w:b/>
          <w:bCs/>
        </w:rPr>
        <w:t>Clause 4</w:t>
      </w:r>
      <w:r w:rsidR="004C0A5E" w:rsidRPr="004C0A5E">
        <w:rPr>
          <w:rFonts w:ascii="Arial" w:hAnsi="Arial" w:cs="Arial"/>
          <w:b/>
          <w:bCs/>
        </w:rPr>
        <w:tab/>
        <w:t>Section 4 (1)</w:t>
      </w:r>
    </w:p>
    <w:p w14:paraId="785CD953" w14:textId="549DFDEA" w:rsidR="00617E0C" w:rsidRDefault="00BB47D8" w:rsidP="00617E0C">
      <w:pPr>
        <w:spacing w:after="240"/>
      </w:pPr>
      <w:r>
        <w:t xml:space="preserve">This clause </w:t>
      </w:r>
      <w:r w:rsidR="00F622EA">
        <w:t>redrafts</w:t>
      </w:r>
      <w:r>
        <w:t xml:space="preserve"> </w:t>
      </w:r>
      <w:r w:rsidR="00F622EA">
        <w:t>current</w:t>
      </w:r>
      <w:r>
        <w:t xml:space="preserve"> section 4 (1) </w:t>
      </w:r>
      <w:r w:rsidR="00575C84">
        <w:t xml:space="preserve">to clarify </w:t>
      </w:r>
      <w:r w:rsidR="00F622EA">
        <w:t xml:space="preserve">the wording </w:t>
      </w:r>
      <w:r>
        <w:t xml:space="preserve">that acquisitions under the buyback scheme or the eligible impacted property buyback program </w:t>
      </w:r>
      <w:r w:rsidR="00575C84">
        <w:t>are</w:t>
      </w:r>
      <w:r>
        <w:t xml:space="preserve"> an </w:t>
      </w:r>
      <w:r w:rsidR="00575C84">
        <w:t>exception</w:t>
      </w:r>
      <w:r>
        <w:t xml:space="preserve"> </w:t>
      </w:r>
      <w:r w:rsidR="00575C84">
        <w:t>to reporting</w:t>
      </w:r>
      <w:r w:rsidR="00CA5117">
        <w:t>.</w:t>
      </w:r>
    </w:p>
    <w:p w14:paraId="02ABB27C" w14:textId="2C8961B0" w:rsidR="00CA5117" w:rsidRDefault="00E65ACE" w:rsidP="00617E0C">
      <w:pPr>
        <w:spacing w:after="240"/>
      </w:pPr>
      <w:r w:rsidRPr="00E65ACE">
        <w:t>The term</w:t>
      </w:r>
      <w:r>
        <w:rPr>
          <w:b/>
          <w:bCs/>
          <w:i/>
          <w:iCs/>
        </w:rPr>
        <w:t xml:space="preserve"> b</w:t>
      </w:r>
      <w:r w:rsidR="00F622EA" w:rsidRPr="00F622EA">
        <w:rPr>
          <w:b/>
          <w:bCs/>
          <w:i/>
          <w:iCs/>
        </w:rPr>
        <w:t>uyback scheme</w:t>
      </w:r>
      <w:r w:rsidR="00F622EA">
        <w:t xml:space="preserve"> is defined in current section 4 (2) to mean ‘the scheme involving the acquisition by the Territory of residential premises that contain or have contained loose-fill asbestos insulation’. </w:t>
      </w:r>
      <w:r>
        <w:t xml:space="preserve">The term </w:t>
      </w:r>
      <w:r w:rsidRPr="00E65ACE">
        <w:rPr>
          <w:b/>
          <w:bCs/>
          <w:i/>
          <w:iCs/>
        </w:rPr>
        <w:t>e</w:t>
      </w:r>
      <w:r w:rsidR="00F622EA" w:rsidRPr="00F622EA">
        <w:rPr>
          <w:b/>
          <w:bCs/>
          <w:i/>
          <w:iCs/>
        </w:rPr>
        <w:t>ligible impacted property</w:t>
      </w:r>
      <w:r w:rsidR="00617E0C">
        <w:rPr>
          <w:b/>
          <w:bCs/>
          <w:i/>
          <w:iCs/>
        </w:rPr>
        <w:t xml:space="preserve"> buyback program</w:t>
      </w:r>
      <w:r w:rsidR="00F622EA">
        <w:t xml:space="preserve"> is defined in section 9A (1) of the </w:t>
      </w:r>
      <w:r w:rsidR="00F622EA" w:rsidRPr="00F622EA">
        <w:rPr>
          <w:i/>
          <w:iCs/>
        </w:rPr>
        <w:t>Civil Law (Sale of Residential Property) Act 2003</w:t>
      </w:r>
      <w:r w:rsidR="00F622EA">
        <w:t>.</w:t>
      </w:r>
    </w:p>
    <w:p w14:paraId="44FC1E1E" w14:textId="5B2FFA6A" w:rsidR="00CA5117" w:rsidRPr="004C0A5E" w:rsidRDefault="004C0A5E" w:rsidP="00F622EA">
      <w:pPr>
        <w:spacing w:after="120"/>
        <w:rPr>
          <w:rFonts w:ascii="Arial" w:hAnsi="Arial" w:cs="Arial"/>
          <w:b/>
          <w:bCs/>
        </w:rPr>
      </w:pPr>
      <w:r w:rsidRPr="004C0A5E">
        <w:rPr>
          <w:rFonts w:ascii="Arial" w:hAnsi="Arial" w:cs="Arial"/>
          <w:b/>
          <w:bCs/>
        </w:rPr>
        <w:t>Clause 5</w:t>
      </w:r>
      <w:r w:rsidRPr="004C0A5E">
        <w:rPr>
          <w:rFonts w:ascii="Arial" w:hAnsi="Arial" w:cs="Arial"/>
          <w:b/>
          <w:bCs/>
        </w:rPr>
        <w:tab/>
        <w:t xml:space="preserve">Section 4 (2), definition of </w:t>
      </w:r>
      <w:r w:rsidRPr="004C0A5E">
        <w:rPr>
          <w:rFonts w:ascii="Arial" w:hAnsi="Arial" w:cs="Arial"/>
          <w:b/>
          <w:bCs/>
          <w:i/>
          <w:iCs/>
        </w:rPr>
        <w:t>eligible impacted property</w:t>
      </w:r>
    </w:p>
    <w:p w14:paraId="203CBC99" w14:textId="4427285F" w:rsidR="00BB47D8" w:rsidRDefault="00BB47D8" w:rsidP="00BB47D8">
      <w:r>
        <w:t xml:space="preserve">Clause 5 omits the term </w:t>
      </w:r>
      <w:r w:rsidRPr="00F622EA">
        <w:rPr>
          <w:b/>
          <w:bCs/>
          <w:i/>
          <w:iCs/>
        </w:rPr>
        <w:t>eligible impacted property</w:t>
      </w:r>
      <w:r>
        <w:t xml:space="preserve"> </w:t>
      </w:r>
      <w:r w:rsidR="00F622EA">
        <w:t xml:space="preserve">as a consequence of the </w:t>
      </w:r>
      <w:r>
        <w:t xml:space="preserve">amendments made </w:t>
      </w:r>
      <w:r w:rsidR="00F622EA">
        <w:t>by</w:t>
      </w:r>
      <w:r>
        <w:t xml:space="preserve"> clause 4.</w:t>
      </w:r>
    </w:p>
    <w:p w14:paraId="01752037" w14:textId="77777777" w:rsidR="004C0A5E" w:rsidRDefault="004C0A5E" w:rsidP="00CA5117"/>
    <w:p w14:paraId="1F0A388B" w14:textId="265FAA6B" w:rsidR="004C0A5E" w:rsidRPr="004C0A5E" w:rsidRDefault="004C0A5E" w:rsidP="00F622EA">
      <w:pPr>
        <w:spacing w:after="120"/>
        <w:rPr>
          <w:rFonts w:ascii="Arial" w:hAnsi="Arial" w:cs="Arial"/>
          <w:b/>
          <w:bCs/>
        </w:rPr>
      </w:pPr>
      <w:r w:rsidRPr="004C0A5E">
        <w:rPr>
          <w:rFonts w:ascii="Arial" w:hAnsi="Arial" w:cs="Arial"/>
          <w:b/>
          <w:bCs/>
        </w:rPr>
        <w:t>Clause 6</w:t>
      </w:r>
      <w:r w:rsidRPr="004C0A5E">
        <w:rPr>
          <w:rFonts w:ascii="Arial" w:hAnsi="Arial" w:cs="Arial"/>
          <w:b/>
          <w:bCs/>
        </w:rPr>
        <w:tab/>
        <w:t>New sections 5 and 6</w:t>
      </w:r>
    </w:p>
    <w:p w14:paraId="4F4BCD0E" w14:textId="0C49AAC8" w:rsidR="00575C84" w:rsidRDefault="00575C84" w:rsidP="00F622EA">
      <w:pPr>
        <w:spacing w:after="240"/>
      </w:pPr>
      <w:r>
        <w:t xml:space="preserve">Clause 6 inserts two new exceptions </w:t>
      </w:r>
      <w:r w:rsidR="00827F2C">
        <w:t xml:space="preserve">from reporting under the Act </w:t>
      </w:r>
      <w:r>
        <w:t>in</w:t>
      </w:r>
      <w:r w:rsidR="00827F2C">
        <w:t>to</w:t>
      </w:r>
      <w:r>
        <w:t xml:space="preserve"> the </w:t>
      </w:r>
      <w:r w:rsidR="00F622EA">
        <w:t>r</w:t>
      </w:r>
      <w:r>
        <w:t>egulation.</w:t>
      </w:r>
    </w:p>
    <w:p w14:paraId="34294D1B" w14:textId="2DA97D91" w:rsidR="00CA5117" w:rsidRDefault="00575C84" w:rsidP="00F622EA">
      <w:pPr>
        <w:spacing w:after="240"/>
      </w:pPr>
      <w:r>
        <w:t>New section 5</w:t>
      </w:r>
      <w:r w:rsidR="00C307B4">
        <w:t xml:space="preserve"> (1)</w:t>
      </w:r>
      <w:r>
        <w:t xml:space="preserve"> </w:t>
      </w:r>
      <w:r w:rsidR="00827F2C">
        <w:t>provide</w:t>
      </w:r>
      <w:r w:rsidR="007633E6">
        <w:t>s</w:t>
      </w:r>
      <w:r>
        <w:t xml:space="preserve"> that </w:t>
      </w:r>
      <w:r w:rsidR="00C307B4" w:rsidRPr="00F622EA">
        <w:t xml:space="preserve">if </w:t>
      </w:r>
      <w:r w:rsidRPr="00F622EA">
        <w:t xml:space="preserve">a development lease </w:t>
      </w:r>
      <w:r w:rsidR="00C307B4" w:rsidRPr="00F622EA">
        <w:t>is</w:t>
      </w:r>
      <w:r w:rsidR="00C307B4">
        <w:t xml:space="preserve"> surrendered on or before 1 January 2019, and if no compensation was paid by the Territory</w:t>
      </w:r>
      <w:r w:rsidR="00ED4A6A">
        <w:t>,</w:t>
      </w:r>
      <w:r w:rsidR="00C307B4">
        <w:t xml:space="preserve"> the </w:t>
      </w:r>
      <w:r>
        <w:t xml:space="preserve">acquisition </w:t>
      </w:r>
      <w:r w:rsidR="00C307B4">
        <w:t xml:space="preserve">is </w:t>
      </w:r>
      <w:r>
        <w:t>exempt from reporting</w:t>
      </w:r>
      <w:r w:rsidR="00C307B4">
        <w:t>.</w:t>
      </w:r>
      <w:r>
        <w:t xml:space="preserve"> </w:t>
      </w:r>
      <w:r w:rsidR="00E65ACE">
        <w:t>New s</w:t>
      </w:r>
      <w:r w:rsidR="00CA5117">
        <w:t xml:space="preserve">ection </w:t>
      </w:r>
      <w:r w:rsidR="00E65ACE">
        <w:t xml:space="preserve">5 </w:t>
      </w:r>
      <w:r w:rsidR="00CA5117">
        <w:t xml:space="preserve">(2) </w:t>
      </w:r>
      <w:r w:rsidR="00C307B4">
        <w:t xml:space="preserve">defines the term </w:t>
      </w:r>
      <w:r w:rsidR="00C307B4" w:rsidRPr="00C307B4">
        <w:rPr>
          <w:b/>
          <w:bCs/>
          <w:i/>
          <w:iCs/>
        </w:rPr>
        <w:t>development lease</w:t>
      </w:r>
      <w:r w:rsidR="00CA5117">
        <w:t>.</w:t>
      </w:r>
    </w:p>
    <w:p w14:paraId="5C28F94D" w14:textId="43601EA7" w:rsidR="0037427E" w:rsidRDefault="00C307B4" w:rsidP="00F622EA">
      <w:pPr>
        <w:spacing w:after="240"/>
      </w:pPr>
      <w:r>
        <w:t xml:space="preserve">New section 6 </w:t>
      </w:r>
      <w:r w:rsidR="00F622EA">
        <w:t>provide</w:t>
      </w:r>
      <w:r>
        <w:t xml:space="preserve">s that </w:t>
      </w:r>
      <w:r w:rsidR="00ED4A6A">
        <w:t xml:space="preserve">the forfeiture </w:t>
      </w:r>
      <w:r w:rsidR="00F622EA">
        <w:t xml:space="preserve">of </w:t>
      </w:r>
      <w:r w:rsidR="00ED4A6A" w:rsidRPr="00F622EA">
        <w:t>tainted property to the Territory</w:t>
      </w:r>
      <w:r w:rsidR="007633E6">
        <w:t xml:space="preserve"> </w:t>
      </w:r>
      <w:r w:rsidRPr="00F622EA">
        <w:t xml:space="preserve">under </w:t>
      </w:r>
      <w:r w:rsidR="00F622EA">
        <w:t xml:space="preserve">part 5 of </w:t>
      </w:r>
      <w:r w:rsidRPr="00F622EA">
        <w:t xml:space="preserve">the </w:t>
      </w:r>
      <w:r w:rsidRPr="00F622EA">
        <w:rPr>
          <w:i/>
          <w:iCs/>
        </w:rPr>
        <w:t>Confiscation of Criminal Assets Act 2003</w:t>
      </w:r>
      <w:r w:rsidR="00F622EA">
        <w:t>,</w:t>
      </w:r>
      <w:r w:rsidRPr="00F622EA">
        <w:t xml:space="preserve"> </w:t>
      </w:r>
      <w:r w:rsidR="0037427E" w:rsidRPr="00F622EA">
        <w:t>on</w:t>
      </w:r>
      <w:r w:rsidR="0037427E">
        <w:t xml:space="preserve"> or after 1 January 2019, is exempt from reporting.</w:t>
      </w:r>
    </w:p>
    <w:p w14:paraId="758F2BA9" w14:textId="77777777" w:rsidR="0037427E" w:rsidRDefault="0037427E" w:rsidP="00CA5117"/>
    <w:p w14:paraId="43DF725D" w14:textId="77777777" w:rsidR="009330E0" w:rsidRDefault="009330E0"/>
    <w:sectPr w:rsidR="009330E0" w:rsidSect="00C1618B">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BEBF7" w14:textId="77777777" w:rsidR="00566EE9" w:rsidRDefault="00566EE9" w:rsidP="006815C9">
      <w:r>
        <w:separator/>
      </w:r>
    </w:p>
  </w:endnote>
  <w:endnote w:type="continuationSeparator" w:id="0">
    <w:p w14:paraId="70ACA3F4" w14:textId="77777777" w:rsidR="00566EE9" w:rsidRDefault="00566EE9"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0564" w14:textId="77777777" w:rsidR="00091D34" w:rsidRDefault="0009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FECA" w14:textId="16CDFE3C" w:rsidR="00091D34" w:rsidRPr="00DC5906" w:rsidRDefault="00DC5906" w:rsidP="00DC5906">
    <w:pPr>
      <w:pStyle w:val="Footer"/>
      <w:jc w:val="center"/>
      <w:rPr>
        <w:rFonts w:cs="Arial"/>
        <w:sz w:val="14"/>
      </w:rPr>
    </w:pPr>
    <w:r w:rsidRPr="00DC590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49E5" w14:textId="77777777" w:rsidR="00091D34" w:rsidRDefault="00091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F732F" w14:textId="77777777" w:rsidR="00566EE9" w:rsidRDefault="00566EE9" w:rsidP="006815C9">
      <w:r>
        <w:separator/>
      </w:r>
    </w:p>
  </w:footnote>
  <w:footnote w:type="continuationSeparator" w:id="0">
    <w:p w14:paraId="6372A771" w14:textId="77777777" w:rsidR="00566EE9" w:rsidRDefault="00566EE9"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9CDD" w14:textId="77777777" w:rsidR="00091D34" w:rsidRDefault="00091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23D8" w14:textId="77777777" w:rsidR="00091D34" w:rsidRDefault="0009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9B67" w14:textId="77777777" w:rsidR="00091D34" w:rsidRDefault="0009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820344560">
    <w:abstractNumId w:val="2"/>
  </w:num>
  <w:num w:numId="2" w16cid:durableId="1947539553">
    <w:abstractNumId w:val="0"/>
  </w:num>
  <w:num w:numId="3" w16cid:durableId="591937942">
    <w:abstractNumId w:val="3"/>
  </w:num>
  <w:num w:numId="4" w16cid:durableId="332877355">
    <w:abstractNumId w:val="6"/>
  </w:num>
  <w:num w:numId="5" w16cid:durableId="44763377">
    <w:abstractNumId w:val="8"/>
  </w:num>
  <w:num w:numId="6" w16cid:durableId="907884880">
    <w:abstractNumId w:val="1"/>
  </w:num>
  <w:num w:numId="7" w16cid:durableId="210263595">
    <w:abstractNumId w:val="4"/>
  </w:num>
  <w:num w:numId="8" w16cid:durableId="181481369">
    <w:abstractNumId w:val="5"/>
  </w:num>
  <w:num w:numId="9" w16cid:durableId="11470184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40E22"/>
    <w:rsid w:val="00091D34"/>
    <w:rsid w:val="000C2B5B"/>
    <w:rsid w:val="000E0420"/>
    <w:rsid w:val="00112D2A"/>
    <w:rsid w:val="00145068"/>
    <w:rsid w:val="00251F0B"/>
    <w:rsid w:val="0027449B"/>
    <w:rsid w:val="002C5EAA"/>
    <w:rsid w:val="0037427E"/>
    <w:rsid w:val="00380F97"/>
    <w:rsid w:val="003A5F85"/>
    <w:rsid w:val="003E58C4"/>
    <w:rsid w:val="003F137C"/>
    <w:rsid w:val="003F5C61"/>
    <w:rsid w:val="003F66D3"/>
    <w:rsid w:val="004301A9"/>
    <w:rsid w:val="004755CF"/>
    <w:rsid w:val="004B57EB"/>
    <w:rsid w:val="004C0A5E"/>
    <w:rsid w:val="00506300"/>
    <w:rsid w:val="00507F21"/>
    <w:rsid w:val="00566EE9"/>
    <w:rsid w:val="00575C84"/>
    <w:rsid w:val="005D11C3"/>
    <w:rsid w:val="005F68AF"/>
    <w:rsid w:val="00604DF9"/>
    <w:rsid w:val="00617E0C"/>
    <w:rsid w:val="006815C9"/>
    <w:rsid w:val="006E7046"/>
    <w:rsid w:val="007633E6"/>
    <w:rsid w:val="00776166"/>
    <w:rsid w:val="007F74F3"/>
    <w:rsid w:val="00827F2C"/>
    <w:rsid w:val="008511EC"/>
    <w:rsid w:val="00867BAE"/>
    <w:rsid w:val="008973D5"/>
    <w:rsid w:val="008B3C3C"/>
    <w:rsid w:val="008C4238"/>
    <w:rsid w:val="008D4E17"/>
    <w:rsid w:val="009330E0"/>
    <w:rsid w:val="009E6A31"/>
    <w:rsid w:val="00A619F7"/>
    <w:rsid w:val="00AC615B"/>
    <w:rsid w:val="00AD4EBC"/>
    <w:rsid w:val="00AF15EA"/>
    <w:rsid w:val="00B32B1A"/>
    <w:rsid w:val="00BB47D8"/>
    <w:rsid w:val="00BC39DD"/>
    <w:rsid w:val="00BF1658"/>
    <w:rsid w:val="00C050C4"/>
    <w:rsid w:val="00C1618B"/>
    <w:rsid w:val="00C307B4"/>
    <w:rsid w:val="00C32BEC"/>
    <w:rsid w:val="00C4682D"/>
    <w:rsid w:val="00CA5117"/>
    <w:rsid w:val="00CB3822"/>
    <w:rsid w:val="00CD1F4F"/>
    <w:rsid w:val="00D32AF9"/>
    <w:rsid w:val="00D83C7A"/>
    <w:rsid w:val="00DC5906"/>
    <w:rsid w:val="00DD53A3"/>
    <w:rsid w:val="00E23271"/>
    <w:rsid w:val="00E50C5F"/>
    <w:rsid w:val="00E65ACE"/>
    <w:rsid w:val="00E83AEF"/>
    <w:rsid w:val="00E86CFD"/>
    <w:rsid w:val="00ED4A6A"/>
    <w:rsid w:val="00EE44D7"/>
    <w:rsid w:val="00F1780B"/>
    <w:rsid w:val="00F5371D"/>
    <w:rsid w:val="00F622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2F664"/>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styleId="NormalWeb">
    <w:name w:val="Normal (Web)"/>
    <w:basedOn w:val="Normal"/>
    <w:uiPriority w:val="99"/>
    <w:semiHidden/>
    <w:unhideWhenUsed/>
    <w:rsid w:val="004C0A5E"/>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A619F7"/>
    <w:rPr>
      <w:sz w:val="16"/>
      <w:szCs w:val="16"/>
    </w:rPr>
  </w:style>
  <w:style w:type="paragraph" w:styleId="CommentText">
    <w:name w:val="annotation text"/>
    <w:basedOn w:val="Normal"/>
    <w:link w:val="CommentTextChar"/>
    <w:uiPriority w:val="99"/>
    <w:semiHidden/>
    <w:unhideWhenUsed/>
    <w:rsid w:val="00A619F7"/>
    <w:rPr>
      <w:sz w:val="20"/>
    </w:rPr>
  </w:style>
  <w:style w:type="character" w:customStyle="1" w:styleId="CommentTextChar">
    <w:name w:val="Comment Text Char"/>
    <w:basedOn w:val="DefaultParagraphFont"/>
    <w:link w:val="CommentText"/>
    <w:uiPriority w:val="99"/>
    <w:semiHidden/>
    <w:rsid w:val="00A619F7"/>
    <w:rPr>
      <w:lang w:eastAsia="en-US"/>
    </w:rPr>
  </w:style>
  <w:style w:type="paragraph" w:styleId="CommentSubject">
    <w:name w:val="annotation subject"/>
    <w:basedOn w:val="CommentText"/>
    <w:next w:val="CommentText"/>
    <w:link w:val="CommentSubjectChar"/>
    <w:uiPriority w:val="99"/>
    <w:semiHidden/>
    <w:unhideWhenUsed/>
    <w:rsid w:val="00A619F7"/>
    <w:rPr>
      <w:b/>
      <w:bCs/>
    </w:rPr>
  </w:style>
  <w:style w:type="character" w:customStyle="1" w:styleId="CommentSubjectChar">
    <w:name w:val="Comment Subject Char"/>
    <w:basedOn w:val="CommentTextChar"/>
    <w:link w:val="CommentSubject"/>
    <w:uiPriority w:val="99"/>
    <w:semiHidden/>
    <w:rsid w:val="00A619F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46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4326</Characters>
  <Application>Microsoft Office Word</Application>
  <DocSecurity>0</DocSecurity>
  <Lines>93</Lines>
  <Paragraphs>36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2023-01-31T00:32:00Z</dcterms:created>
  <dcterms:modified xsi:type="dcterms:W3CDTF">2023-01-31T00:32:00Z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A40495701</vt:lpwstr>
  </property>
  <property fmtid="{D5CDD505-2E9C-101B-9397-08002B2CF9AE}" pid="4" name="Objective-Title">
    <vt:lpwstr>ES</vt:lpwstr>
  </property>
  <property fmtid="{D5CDD505-2E9C-101B-9397-08002B2CF9AE}" pid="5" name="Objective-Comment">
    <vt:lpwstr/>
  </property>
  <property fmtid="{D5CDD505-2E9C-101B-9397-08002B2CF9AE}" pid="6" name="Objective-CreationStamp">
    <vt:filetime>2023-01-27T04:00:52Z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2023-01-27T04:00:52Z</vt:filetime>
  </property>
  <property fmtid="{D5CDD505-2E9C-101B-9397-08002B2CF9AE}" pid="10" name="Objective-ModificationStamp">
    <vt:filetime>2023-01-27T04:00:54Z</vt:filetime>
  </property>
  <property fmtid="{D5CDD505-2E9C-101B-9397-08002B2CF9AE}" pid="11" name="Objective-Owner">
    <vt:lpwstr>Cara Weekes</vt:lpwstr>
  </property>
  <property fmtid="{D5CDD505-2E9C-101B-9397-08002B2CF9AE}" pid="12" name="Objective-Path">
    <vt:lpwstr>Whole of ACT Government:EPSDD - Environment Planning and Sustainable Development Directorate:07. Ministerial, Cabinet and Government Relations:06. Ministerials:z. 2013 - 2022 Ministerial and Chief Ministerial Correspondence:2022 - Ministerial and Chief Ministerial Briefs / Correspondence:Corporate Services and Operations  (Chief Operating Officer):Governance, Compliance and Legal:01. April - June:22/69901 Ministerial-Information Brief - Gentleman - Government Agencies (Land Acquisition Reporting) Amendment Regulation 2022:</vt:lpwstr>
  </property>
  <property fmtid="{D5CDD505-2E9C-101B-9397-08002B2CF9AE}" pid="13" name="Objective-Parent">
    <vt:lpwstr>22/69901 Ministerial-Information Brief - Gentleman - Government Agencies (Land Acquisition Reporting) Amendment Regulation 2022</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1-2022/69901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CHECKEDOUTFROMJMS">
    <vt:lpwstr/>
  </property>
  <property fmtid="{D5CDD505-2E9C-101B-9397-08002B2CF9AE}" pid="33" name="DMSID">
    <vt:lpwstr>10136990</vt:lpwstr>
  </property>
  <property fmtid="{D5CDD505-2E9C-101B-9397-08002B2CF9AE}" pid="34" name="JMSREQUIREDCHECKIN">
    <vt:lpwstr/>
  </property>
</Properties>
</file>