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E5" w14:textId="77777777" w:rsidR="00525E2B" w:rsidRDefault="00525E2B" w:rsidP="00525E2B">
      <w:pPr>
        <w:spacing w:before="120"/>
        <w:rPr>
          <w:rFonts w:ascii="Arial" w:hAnsi="Arial" w:cs="Arial"/>
        </w:rPr>
      </w:pPr>
      <w:bookmarkStart w:id="0" w:name="_Toc44738651"/>
      <w:r>
        <w:rPr>
          <w:rFonts w:ascii="Arial" w:hAnsi="Arial" w:cs="Arial"/>
        </w:rPr>
        <w:t>Australian Capital Territory</w:t>
      </w:r>
    </w:p>
    <w:p w14:paraId="5A403B0A" w14:textId="59062A30" w:rsidR="005421C9" w:rsidRPr="005421C9" w:rsidRDefault="005421C9" w:rsidP="005421C9">
      <w:pPr>
        <w:pStyle w:val="Billname"/>
        <w:spacing w:before="700"/>
        <w:rPr>
          <w:bCs/>
        </w:rPr>
      </w:pPr>
      <w:r w:rsidRPr="005421C9">
        <w:rPr>
          <w:bCs/>
        </w:rPr>
        <w:t>Magistrates Court (Work Health and Safety Infringement Notices) Amendment Regulation 202</w:t>
      </w:r>
      <w:r w:rsidR="00277E95">
        <w:rPr>
          <w:bCs/>
        </w:rPr>
        <w:t>3</w:t>
      </w:r>
      <w:r>
        <w:rPr>
          <w:bCs/>
        </w:rPr>
        <w:t xml:space="preserve"> (No </w:t>
      </w:r>
      <w:r w:rsidR="00CA7251">
        <w:rPr>
          <w:bCs/>
        </w:rPr>
        <w:t>1</w:t>
      </w:r>
      <w:r>
        <w:rPr>
          <w:bCs/>
        </w:rPr>
        <w:t>)</w:t>
      </w:r>
    </w:p>
    <w:p w14:paraId="3D0286C0" w14:textId="32B54EC6" w:rsidR="00525E2B" w:rsidRDefault="00525E2B" w:rsidP="00525E2B">
      <w:pPr>
        <w:spacing w:before="340"/>
        <w:rPr>
          <w:rFonts w:ascii="Arial" w:hAnsi="Arial" w:cs="Arial"/>
          <w:b/>
          <w:bCs/>
        </w:rPr>
      </w:pPr>
      <w:r>
        <w:rPr>
          <w:rFonts w:ascii="Arial" w:hAnsi="Arial" w:cs="Arial"/>
          <w:b/>
          <w:bCs/>
        </w:rPr>
        <w:t>Subordinate law SL</w:t>
      </w:r>
      <w:r w:rsidR="006F46B8">
        <w:rPr>
          <w:rFonts w:ascii="Arial" w:hAnsi="Arial" w:cs="Arial"/>
          <w:b/>
          <w:bCs/>
        </w:rPr>
        <w:t>202</w:t>
      </w:r>
      <w:r w:rsidR="00277E95">
        <w:rPr>
          <w:rFonts w:ascii="Arial" w:hAnsi="Arial" w:cs="Arial"/>
          <w:b/>
          <w:bCs/>
        </w:rPr>
        <w:t>3</w:t>
      </w:r>
      <w:r>
        <w:rPr>
          <w:rFonts w:ascii="Arial" w:hAnsi="Arial" w:cs="Arial"/>
          <w:b/>
          <w:bCs/>
        </w:rPr>
        <w:t>–</w:t>
      </w:r>
      <w:r w:rsidR="00CC1D5C">
        <w:rPr>
          <w:rFonts w:ascii="Arial" w:hAnsi="Arial" w:cs="Arial"/>
          <w:b/>
          <w:bCs/>
        </w:rPr>
        <w:t>2</w:t>
      </w:r>
    </w:p>
    <w:p w14:paraId="24F846D9" w14:textId="77777777" w:rsidR="00525E2B" w:rsidRDefault="00525E2B" w:rsidP="00525E2B">
      <w:pPr>
        <w:pStyle w:val="madeunder"/>
        <w:spacing w:before="300" w:after="0"/>
      </w:pPr>
      <w:r>
        <w:t xml:space="preserve">made under the  </w:t>
      </w:r>
    </w:p>
    <w:p w14:paraId="63C2B72A" w14:textId="5384B195" w:rsidR="00525E2B" w:rsidRDefault="005421C9" w:rsidP="00525E2B">
      <w:pPr>
        <w:pStyle w:val="CoverActName"/>
        <w:spacing w:before="320" w:after="0"/>
        <w:rPr>
          <w:rFonts w:cs="Arial"/>
          <w:sz w:val="20"/>
        </w:rPr>
      </w:pPr>
      <w:r>
        <w:rPr>
          <w:rFonts w:cs="Arial"/>
          <w:i/>
          <w:iCs/>
          <w:sz w:val="20"/>
        </w:rPr>
        <w:t>Magistrates Court Act 1930</w:t>
      </w:r>
      <w:r w:rsidR="00144FB5">
        <w:rPr>
          <w:rFonts w:cs="Arial"/>
          <w:i/>
          <w:iCs/>
          <w:sz w:val="20"/>
        </w:rPr>
        <w:t>, section 321 (Regulation-making power)</w:t>
      </w:r>
    </w:p>
    <w:p w14:paraId="3FF9B946" w14:textId="77777777" w:rsidR="00525E2B" w:rsidRDefault="00525E2B" w:rsidP="00525E2B">
      <w:pPr>
        <w:spacing w:before="360"/>
        <w:ind w:right="565"/>
        <w:rPr>
          <w:rFonts w:ascii="Arial" w:hAnsi="Arial" w:cs="Arial"/>
          <w:b/>
          <w:bCs/>
          <w:sz w:val="28"/>
          <w:szCs w:val="28"/>
        </w:rPr>
      </w:pPr>
      <w:r>
        <w:rPr>
          <w:rFonts w:ascii="Arial" w:hAnsi="Arial" w:cs="Arial"/>
          <w:b/>
          <w:bCs/>
          <w:sz w:val="28"/>
          <w:szCs w:val="28"/>
        </w:rPr>
        <w:t>EXPLANATORY STATEMENT</w:t>
      </w:r>
    </w:p>
    <w:p w14:paraId="6A45854C" w14:textId="77777777" w:rsidR="00525E2B" w:rsidRDefault="00525E2B" w:rsidP="00525E2B">
      <w:pPr>
        <w:pStyle w:val="N-line3"/>
        <w:pBdr>
          <w:bottom w:val="none" w:sz="0" w:space="0" w:color="auto"/>
        </w:pBdr>
      </w:pPr>
    </w:p>
    <w:p w14:paraId="0817B0C5" w14:textId="77777777" w:rsidR="00525E2B" w:rsidRDefault="00525E2B" w:rsidP="00525E2B">
      <w:pPr>
        <w:pStyle w:val="N-line3"/>
        <w:pBdr>
          <w:top w:val="single" w:sz="12" w:space="1" w:color="auto"/>
          <w:bottom w:val="none" w:sz="0" w:space="0" w:color="auto"/>
        </w:pBdr>
      </w:pPr>
    </w:p>
    <w:bookmarkEnd w:id="0"/>
    <w:p w14:paraId="29C29316" w14:textId="0AACF5D5" w:rsidR="007B6A78" w:rsidRDefault="003323FA" w:rsidP="008C225D">
      <w:pPr>
        <w:pStyle w:val="Heading2"/>
      </w:pPr>
      <w:r>
        <w:t xml:space="preserve">OVERVIEW OF THE </w:t>
      </w:r>
      <w:r w:rsidR="00B43291">
        <w:t>REGULATION</w:t>
      </w:r>
    </w:p>
    <w:p w14:paraId="6D7F0411" w14:textId="55F2DA26" w:rsidR="005421C9" w:rsidRPr="00144FB5" w:rsidRDefault="005421C9" w:rsidP="005421C9">
      <w:pPr>
        <w:rPr>
          <w:rFonts w:ascii="Arial" w:hAnsi="Arial" w:cs="Arial"/>
          <w:iCs/>
          <w:sz w:val="24"/>
          <w:szCs w:val="24"/>
        </w:rPr>
      </w:pPr>
      <w:r w:rsidRPr="00144FB5">
        <w:rPr>
          <w:rFonts w:ascii="Arial" w:hAnsi="Arial" w:cs="Arial"/>
          <w:iCs/>
          <w:sz w:val="24"/>
          <w:szCs w:val="24"/>
        </w:rPr>
        <w:t xml:space="preserve">The </w:t>
      </w:r>
      <w:r w:rsidRPr="00651E24">
        <w:rPr>
          <w:rFonts w:ascii="Arial" w:hAnsi="Arial" w:cs="Arial"/>
          <w:i/>
          <w:sz w:val="24"/>
          <w:szCs w:val="24"/>
        </w:rPr>
        <w:t>Magistrates Court (Work Health and Safety Infringement Notices) Amendment Regulation 202</w:t>
      </w:r>
      <w:r w:rsidR="00277E95" w:rsidRPr="00651E24">
        <w:rPr>
          <w:rFonts w:ascii="Arial" w:hAnsi="Arial" w:cs="Arial"/>
          <w:i/>
          <w:sz w:val="24"/>
          <w:szCs w:val="24"/>
        </w:rPr>
        <w:t>3</w:t>
      </w:r>
      <w:r w:rsidRPr="00651E24">
        <w:rPr>
          <w:rFonts w:ascii="Arial" w:hAnsi="Arial" w:cs="Arial"/>
          <w:i/>
          <w:sz w:val="24"/>
          <w:szCs w:val="24"/>
        </w:rPr>
        <w:t xml:space="preserve"> (No </w:t>
      </w:r>
      <w:r w:rsidR="00CA7251">
        <w:rPr>
          <w:rFonts w:ascii="Arial" w:hAnsi="Arial" w:cs="Arial"/>
          <w:i/>
          <w:sz w:val="24"/>
          <w:szCs w:val="24"/>
        </w:rPr>
        <w:t>1</w:t>
      </w:r>
      <w:r w:rsidRPr="00651E24">
        <w:rPr>
          <w:rFonts w:ascii="Arial" w:hAnsi="Arial" w:cs="Arial"/>
          <w:i/>
          <w:sz w:val="24"/>
          <w:szCs w:val="24"/>
        </w:rPr>
        <w:t>)</w:t>
      </w:r>
      <w:r w:rsidRPr="00144FB5">
        <w:rPr>
          <w:rFonts w:ascii="Arial" w:hAnsi="Arial" w:cs="Arial"/>
          <w:iCs/>
          <w:sz w:val="24"/>
          <w:szCs w:val="24"/>
        </w:rPr>
        <w:t xml:space="preserve"> includes </w:t>
      </w:r>
      <w:r w:rsidR="00144FB5" w:rsidRPr="00144FB5">
        <w:rPr>
          <w:rFonts w:ascii="Arial" w:hAnsi="Arial" w:cs="Arial"/>
          <w:iCs/>
          <w:sz w:val="24"/>
          <w:szCs w:val="24"/>
        </w:rPr>
        <w:t xml:space="preserve">additional offences against the </w:t>
      </w:r>
      <w:r w:rsidR="00144FB5" w:rsidRPr="00144FB5">
        <w:rPr>
          <w:rFonts w:ascii="Arial" w:hAnsi="Arial" w:cs="Arial"/>
          <w:i/>
          <w:sz w:val="24"/>
          <w:szCs w:val="24"/>
        </w:rPr>
        <w:t>Work Health and Safety Act 2011</w:t>
      </w:r>
      <w:r w:rsidR="00144FB5" w:rsidRPr="00144FB5">
        <w:rPr>
          <w:rFonts w:ascii="Arial" w:hAnsi="Arial" w:cs="Arial"/>
          <w:iCs/>
          <w:sz w:val="24"/>
          <w:szCs w:val="24"/>
        </w:rPr>
        <w:t xml:space="preserve"> (WHS Act) </w:t>
      </w:r>
      <w:r w:rsidR="00144FB5" w:rsidRPr="00144FB5">
        <w:rPr>
          <w:rFonts w:ascii="Arial" w:hAnsi="Arial" w:cs="Arial"/>
          <w:i/>
          <w:sz w:val="24"/>
          <w:szCs w:val="24"/>
        </w:rPr>
        <w:t>and Work Health and Safety Regulation 2011</w:t>
      </w:r>
      <w:r w:rsidR="00144FB5" w:rsidRPr="00144FB5">
        <w:rPr>
          <w:rFonts w:ascii="Arial" w:hAnsi="Arial" w:cs="Arial"/>
          <w:iCs/>
          <w:sz w:val="24"/>
          <w:szCs w:val="24"/>
        </w:rPr>
        <w:t xml:space="preserve"> (WHS Regulation), for which the work safety regulator may issue an infringement notice. </w:t>
      </w:r>
    </w:p>
    <w:p w14:paraId="714E0E78" w14:textId="0BDA7EB8" w:rsidR="00144FB5" w:rsidRDefault="00144FB5" w:rsidP="00414921">
      <w:pPr>
        <w:rPr>
          <w:rFonts w:ascii="Arial" w:hAnsi="Arial" w:cs="Arial"/>
          <w:b/>
          <w:bCs/>
          <w:iCs/>
          <w:sz w:val="24"/>
          <w:szCs w:val="24"/>
          <w:u w:val="single"/>
        </w:rPr>
      </w:pPr>
      <w:r>
        <w:rPr>
          <w:rFonts w:ascii="Arial" w:hAnsi="Arial" w:cs="Arial"/>
          <w:b/>
          <w:bCs/>
          <w:iCs/>
          <w:sz w:val="24"/>
          <w:szCs w:val="24"/>
          <w:u w:val="single"/>
        </w:rPr>
        <w:t>Infringement Notice</w:t>
      </w:r>
    </w:p>
    <w:p w14:paraId="13EBBB23" w14:textId="1ED7E56E" w:rsidR="00144FB5" w:rsidRPr="00144FB5" w:rsidRDefault="00144FB5" w:rsidP="00414921">
      <w:pPr>
        <w:rPr>
          <w:rFonts w:ascii="Arial" w:hAnsi="Arial" w:cs="Arial"/>
          <w:iCs/>
          <w:sz w:val="24"/>
          <w:szCs w:val="24"/>
        </w:rPr>
      </w:pPr>
      <w:r w:rsidRPr="00144FB5">
        <w:rPr>
          <w:rFonts w:ascii="Arial" w:hAnsi="Arial" w:cs="Arial"/>
          <w:iCs/>
          <w:sz w:val="24"/>
          <w:szCs w:val="24"/>
        </w:rPr>
        <w:t>Infringement notices are an effective regulatory tool used for certain objectively based offences. They are issue</w:t>
      </w:r>
      <w:r w:rsidR="00FF1F8E">
        <w:rPr>
          <w:rFonts w:ascii="Arial" w:hAnsi="Arial" w:cs="Arial"/>
          <w:iCs/>
          <w:sz w:val="24"/>
          <w:szCs w:val="24"/>
        </w:rPr>
        <w:t>d</w:t>
      </w:r>
      <w:r w:rsidRPr="00144FB5">
        <w:rPr>
          <w:rFonts w:ascii="Arial" w:hAnsi="Arial" w:cs="Arial"/>
          <w:iCs/>
          <w:sz w:val="24"/>
          <w:szCs w:val="24"/>
        </w:rPr>
        <w:t xml:space="preserve"> by the work </w:t>
      </w:r>
      <w:r w:rsidR="00340E78">
        <w:rPr>
          <w:rFonts w:ascii="Arial" w:hAnsi="Arial" w:cs="Arial"/>
          <w:iCs/>
          <w:sz w:val="24"/>
          <w:szCs w:val="24"/>
        </w:rPr>
        <w:t xml:space="preserve">health and </w:t>
      </w:r>
      <w:r w:rsidRPr="00144FB5">
        <w:rPr>
          <w:rFonts w:ascii="Arial" w:hAnsi="Arial" w:cs="Arial"/>
          <w:iCs/>
          <w:sz w:val="24"/>
          <w:szCs w:val="24"/>
        </w:rPr>
        <w:t xml:space="preserve">safety regulator on identification of an alleged Work Health and Safety (WHS) breach as an alternative to having the matter prosecuted through the courts. Infringement notices also provide a more timely regulatory tool to deter non-compliance. </w:t>
      </w:r>
    </w:p>
    <w:p w14:paraId="1053BAFA" w14:textId="087904D2" w:rsidR="00144FB5" w:rsidRPr="00144FB5" w:rsidRDefault="0056516A" w:rsidP="00144FB5">
      <w:pPr>
        <w:spacing w:after="160" w:line="256" w:lineRule="auto"/>
        <w:rPr>
          <w:rFonts w:ascii="Arial" w:hAnsi="Arial" w:cs="Arial"/>
          <w:iCs/>
          <w:sz w:val="24"/>
          <w:szCs w:val="24"/>
        </w:rPr>
      </w:pPr>
      <w:r>
        <w:rPr>
          <w:rFonts w:ascii="Arial" w:hAnsi="Arial" w:cs="Arial"/>
          <w:iCs/>
          <w:sz w:val="24"/>
          <w:szCs w:val="24"/>
        </w:rPr>
        <w:t>The following k</w:t>
      </w:r>
      <w:r w:rsidR="00144FB5" w:rsidRPr="00144FB5">
        <w:rPr>
          <w:rFonts w:ascii="Arial" w:hAnsi="Arial" w:cs="Arial"/>
          <w:iCs/>
          <w:sz w:val="24"/>
          <w:szCs w:val="24"/>
        </w:rPr>
        <w:t>ey principles</w:t>
      </w:r>
      <w:r>
        <w:rPr>
          <w:rFonts w:ascii="Arial" w:hAnsi="Arial" w:cs="Arial"/>
          <w:iCs/>
          <w:sz w:val="24"/>
          <w:szCs w:val="24"/>
        </w:rPr>
        <w:t xml:space="preserve"> apply</w:t>
      </w:r>
      <w:r w:rsidR="00144FB5" w:rsidRPr="00144FB5">
        <w:rPr>
          <w:rFonts w:ascii="Arial" w:hAnsi="Arial" w:cs="Arial"/>
          <w:iCs/>
          <w:sz w:val="24"/>
          <w:szCs w:val="24"/>
        </w:rPr>
        <w:t xml:space="preserve"> in setting infringement notice penalties in the ACT:</w:t>
      </w:r>
    </w:p>
    <w:p w14:paraId="7738CD9A" w14:textId="79744313" w:rsidR="00144FB5" w:rsidRPr="00144FB5" w:rsidRDefault="00144FB5" w:rsidP="00144FB5">
      <w:pPr>
        <w:numPr>
          <w:ilvl w:val="0"/>
          <w:numId w:val="19"/>
        </w:numPr>
        <w:spacing w:after="160" w:line="256" w:lineRule="auto"/>
        <w:rPr>
          <w:rFonts w:ascii="Arial" w:hAnsi="Arial" w:cs="Arial"/>
          <w:iCs/>
          <w:sz w:val="24"/>
          <w:szCs w:val="24"/>
        </w:rPr>
      </w:pPr>
      <w:r w:rsidRPr="00144FB5">
        <w:rPr>
          <w:rFonts w:ascii="Arial" w:hAnsi="Arial" w:cs="Arial"/>
          <w:iCs/>
          <w:sz w:val="24"/>
          <w:szCs w:val="24"/>
        </w:rPr>
        <w:t xml:space="preserve">the offence must be a strict liability offence </w:t>
      </w:r>
      <w:r w:rsidR="00FF1F8E">
        <w:rPr>
          <w:rFonts w:ascii="Arial" w:hAnsi="Arial" w:cs="Arial"/>
          <w:iCs/>
          <w:sz w:val="24"/>
          <w:szCs w:val="24"/>
        </w:rPr>
        <w:t xml:space="preserve">with </w:t>
      </w:r>
      <w:r w:rsidRPr="00144FB5">
        <w:rPr>
          <w:rFonts w:ascii="Arial" w:hAnsi="Arial" w:cs="Arial"/>
          <w:iCs/>
          <w:sz w:val="24"/>
          <w:szCs w:val="24"/>
        </w:rPr>
        <w:t>no proof of intention or other mental element for the offence;</w:t>
      </w:r>
    </w:p>
    <w:p w14:paraId="39E787CC" w14:textId="0828C7B4" w:rsidR="00144FB5" w:rsidRPr="00144FB5" w:rsidRDefault="00144FB5" w:rsidP="00144FB5">
      <w:pPr>
        <w:numPr>
          <w:ilvl w:val="0"/>
          <w:numId w:val="19"/>
        </w:numPr>
        <w:spacing w:after="160" w:line="256" w:lineRule="auto"/>
        <w:rPr>
          <w:rFonts w:ascii="Arial" w:hAnsi="Arial" w:cs="Arial"/>
          <w:iCs/>
          <w:sz w:val="24"/>
          <w:szCs w:val="24"/>
        </w:rPr>
      </w:pPr>
      <w:r w:rsidRPr="00144FB5">
        <w:rPr>
          <w:rFonts w:ascii="Arial" w:hAnsi="Arial" w:cs="Arial"/>
          <w:iCs/>
          <w:sz w:val="24"/>
          <w:szCs w:val="24"/>
        </w:rPr>
        <w:t xml:space="preserve">evidence of the commission of the offence </w:t>
      </w:r>
      <w:r w:rsidR="00721314">
        <w:rPr>
          <w:rFonts w:ascii="Arial" w:hAnsi="Arial" w:cs="Arial"/>
          <w:iCs/>
          <w:sz w:val="24"/>
          <w:szCs w:val="24"/>
        </w:rPr>
        <w:t>is to</w:t>
      </w:r>
      <w:r w:rsidR="00721314" w:rsidRPr="00144FB5">
        <w:rPr>
          <w:rFonts w:ascii="Arial" w:hAnsi="Arial" w:cs="Arial"/>
          <w:iCs/>
          <w:sz w:val="24"/>
          <w:szCs w:val="24"/>
        </w:rPr>
        <w:t xml:space="preserve"> </w:t>
      </w:r>
      <w:r w:rsidRPr="00144FB5">
        <w:rPr>
          <w:rFonts w:ascii="Arial" w:hAnsi="Arial" w:cs="Arial"/>
          <w:iCs/>
          <w:sz w:val="24"/>
          <w:szCs w:val="24"/>
        </w:rPr>
        <w:t>be readily apparent without further inquiry;</w:t>
      </w:r>
      <w:r w:rsidR="00FF1F8E">
        <w:rPr>
          <w:rFonts w:ascii="Arial" w:hAnsi="Arial" w:cs="Arial"/>
          <w:iCs/>
          <w:sz w:val="24"/>
          <w:szCs w:val="24"/>
        </w:rPr>
        <w:t xml:space="preserve"> and</w:t>
      </w:r>
    </w:p>
    <w:p w14:paraId="1906A89B" w14:textId="5B114F94" w:rsidR="00144FB5" w:rsidRDefault="004B6C1D" w:rsidP="00414921">
      <w:pPr>
        <w:numPr>
          <w:ilvl w:val="0"/>
          <w:numId w:val="19"/>
        </w:numPr>
        <w:spacing w:after="160" w:line="256" w:lineRule="auto"/>
        <w:rPr>
          <w:rFonts w:ascii="Arial" w:hAnsi="Arial" w:cs="Arial"/>
          <w:iCs/>
          <w:sz w:val="24"/>
          <w:szCs w:val="24"/>
        </w:rPr>
      </w:pPr>
      <w:r>
        <w:rPr>
          <w:rFonts w:ascii="Arial" w:hAnsi="Arial" w:cs="Arial"/>
          <w:iCs/>
          <w:sz w:val="24"/>
          <w:szCs w:val="24"/>
        </w:rPr>
        <w:t>u</w:t>
      </w:r>
      <w:r w:rsidR="001219DB">
        <w:rPr>
          <w:rFonts w:ascii="Arial" w:hAnsi="Arial" w:cs="Arial"/>
          <w:iCs/>
          <w:sz w:val="24"/>
          <w:szCs w:val="24"/>
        </w:rPr>
        <w:t xml:space="preserve">nder the </w:t>
      </w:r>
      <w:r w:rsidR="00C51822" w:rsidRPr="001219DB">
        <w:rPr>
          <w:rFonts w:ascii="Arial" w:hAnsi="Arial" w:cs="Arial"/>
          <w:i/>
          <w:sz w:val="24"/>
          <w:szCs w:val="24"/>
        </w:rPr>
        <w:t>Guide for Framing Offences</w:t>
      </w:r>
      <w:r w:rsidR="00C51822">
        <w:rPr>
          <w:rFonts w:ascii="Arial" w:hAnsi="Arial" w:cs="Arial"/>
          <w:iCs/>
          <w:sz w:val="24"/>
          <w:szCs w:val="24"/>
        </w:rPr>
        <w:t xml:space="preserve">, the ACT Government has a longstanding policy that the nominal amount in the infringement notice should not exceed 20% of the maximum fine stipulated in the offence. </w:t>
      </w:r>
    </w:p>
    <w:p w14:paraId="64AEC883" w14:textId="77777777" w:rsidR="004B6C1D" w:rsidRDefault="004B6C1D" w:rsidP="00414921">
      <w:pPr>
        <w:rPr>
          <w:rFonts w:ascii="Arial" w:hAnsi="Arial" w:cs="Arial"/>
          <w:b/>
          <w:sz w:val="24"/>
          <w:szCs w:val="24"/>
        </w:rPr>
      </w:pPr>
    </w:p>
    <w:p w14:paraId="17F4FA4A" w14:textId="77777777" w:rsidR="004B6C1D" w:rsidRDefault="004B6C1D" w:rsidP="00414921">
      <w:pPr>
        <w:rPr>
          <w:rFonts w:ascii="Arial" w:hAnsi="Arial" w:cs="Arial"/>
          <w:b/>
          <w:sz w:val="24"/>
          <w:szCs w:val="24"/>
        </w:rPr>
      </w:pPr>
    </w:p>
    <w:p w14:paraId="5D5C6C0D" w14:textId="204F296D"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5DB21171" w14:textId="34B2398E" w:rsidR="00D459AF" w:rsidRDefault="00D459AF" w:rsidP="00414921">
      <w:pPr>
        <w:rPr>
          <w:rFonts w:ascii="Arial" w:hAnsi="Arial" w:cs="Arial"/>
          <w:iCs/>
          <w:sz w:val="24"/>
          <w:szCs w:val="24"/>
        </w:rPr>
      </w:pPr>
      <w:r>
        <w:rPr>
          <w:rFonts w:ascii="Arial" w:hAnsi="Arial" w:cs="Arial"/>
          <w:iCs/>
          <w:sz w:val="24"/>
          <w:szCs w:val="24"/>
        </w:rPr>
        <w:t>ACT Government directorates and agencies including WorkSafe ACT and the Justice and Community Safety Directorate have been consulted in the development of this Regulation.</w:t>
      </w:r>
    </w:p>
    <w:p w14:paraId="292A8FEF" w14:textId="02D1413F" w:rsidR="00D2223E" w:rsidRDefault="00D2223E" w:rsidP="00414921">
      <w:pPr>
        <w:rPr>
          <w:rFonts w:ascii="Arial" w:hAnsi="Arial" w:cs="Arial"/>
          <w:iCs/>
          <w:sz w:val="24"/>
          <w:szCs w:val="24"/>
        </w:rPr>
      </w:pPr>
      <w:r>
        <w:rPr>
          <w:rFonts w:ascii="Arial" w:hAnsi="Arial" w:cs="Arial"/>
          <w:iCs/>
          <w:sz w:val="24"/>
          <w:szCs w:val="24"/>
        </w:rPr>
        <w:t xml:space="preserve">As the additional infringement notice penalties are existing offences under WHS laws further external consultation was not required. This amendment does not change current standards and obligations of Persons Conducting a Business or Undertaking (PCBUs) but rather introduces another tool through which </w:t>
      </w:r>
      <w:r w:rsidR="00277E95">
        <w:rPr>
          <w:rFonts w:ascii="Arial" w:hAnsi="Arial" w:cs="Arial"/>
          <w:iCs/>
          <w:sz w:val="24"/>
          <w:szCs w:val="24"/>
        </w:rPr>
        <w:t xml:space="preserve">compliance against </w:t>
      </w:r>
      <w:r>
        <w:rPr>
          <w:rFonts w:ascii="Arial" w:hAnsi="Arial" w:cs="Arial"/>
          <w:iCs/>
          <w:sz w:val="24"/>
          <w:szCs w:val="24"/>
        </w:rPr>
        <w:t xml:space="preserve">certain </w:t>
      </w:r>
      <w:r w:rsidR="001E3F9E">
        <w:rPr>
          <w:rFonts w:ascii="Arial" w:hAnsi="Arial" w:cs="Arial"/>
          <w:iCs/>
          <w:sz w:val="24"/>
          <w:szCs w:val="24"/>
        </w:rPr>
        <w:t>offences</w:t>
      </w:r>
      <w:r>
        <w:rPr>
          <w:rFonts w:ascii="Arial" w:hAnsi="Arial" w:cs="Arial"/>
          <w:iCs/>
          <w:sz w:val="24"/>
          <w:szCs w:val="24"/>
        </w:rPr>
        <w:t xml:space="preserve"> may be regulated. </w:t>
      </w:r>
    </w:p>
    <w:p w14:paraId="1A2BA5E1" w14:textId="6E3769AB" w:rsidR="00790FE4" w:rsidRDefault="00503AAB" w:rsidP="008C225D">
      <w:pPr>
        <w:pStyle w:val="Heading2"/>
      </w:pPr>
      <w:r>
        <w:t xml:space="preserve">CONSISTENCY WITH </w:t>
      </w:r>
      <w:r w:rsidR="00790FE4" w:rsidRPr="008C225D">
        <w:t>HUMAN RIGHTS</w:t>
      </w:r>
    </w:p>
    <w:p w14:paraId="6A451FBB" w14:textId="0725CF8C" w:rsidR="0086755A" w:rsidRDefault="005F6326" w:rsidP="007A33E6">
      <w:pPr>
        <w:shd w:val="clear" w:color="auto" w:fill="FFFFFF"/>
        <w:rPr>
          <w:rFonts w:ascii="Arial" w:hAnsi="Arial" w:cs="Arial"/>
          <w:iCs/>
          <w:sz w:val="24"/>
          <w:szCs w:val="24"/>
        </w:rPr>
      </w:pPr>
      <w:r>
        <w:rPr>
          <w:rFonts w:ascii="Arial" w:hAnsi="Arial" w:cs="Arial"/>
          <w:iCs/>
          <w:sz w:val="24"/>
          <w:szCs w:val="24"/>
        </w:rPr>
        <w:t xml:space="preserve">All </w:t>
      </w:r>
      <w:r w:rsidR="003A19D5">
        <w:rPr>
          <w:rFonts w:ascii="Arial" w:hAnsi="Arial" w:cs="Arial"/>
          <w:iCs/>
          <w:sz w:val="24"/>
          <w:szCs w:val="24"/>
        </w:rPr>
        <w:t>a</w:t>
      </w:r>
      <w:r>
        <w:rPr>
          <w:rFonts w:ascii="Arial" w:hAnsi="Arial" w:cs="Arial"/>
          <w:iCs/>
          <w:sz w:val="24"/>
          <w:szCs w:val="24"/>
        </w:rPr>
        <w:t xml:space="preserve">mendment </w:t>
      </w:r>
      <w:r w:rsidR="003A19D5">
        <w:rPr>
          <w:rFonts w:ascii="Arial" w:hAnsi="Arial" w:cs="Arial"/>
          <w:iCs/>
          <w:sz w:val="24"/>
          <w:szCs w:val="24"/>
        </w:rPr>
        <w:t>r</w:t>
      </w:r>
      <w:r>
        <w:rPr>
          <w:rFonts w:ascii="Arial" w:hAnsi="Arial" w:cs="Arial"/>
          <w:iCs/>
          <w:sz w:val="24"/>
          <w:szCs w:val="24"/>
        </w:rPr>
        <w:t xml:space="preserve">egulations must be compatible with the </w:t>
      </w:r>
      <w:r>
        <w:rPr>
          <w:rFonts w:ascii="Arial" w:hAnsi="Arial" w:cs="Arial"/>
          <w:i/>
          <w:sz w:val="24"/>
          <w:szCs w:val="24"/>
        </w:rPr>
        <w:t xml:space="preserve">Human Rights Act 2004 </w:t>
      </w:r>
      <w:r>
        <w:rPr>
          <w:rFonts w:ascii="Arial" w:hAnsi="Arial" w:cs="Arial"/>
          <w:iCs/>
          <w:sz w:val="24"/>
          <w:szCs w:val="24"/>
        </w:rPr>
        <w:t xml:space="preserve">(HRA). </w:t>
      </w:r>
      <w:r w:rsidR="001E3F9E">
        <w:rPr>
          <w:rFonts w:ascii="Arial" w:hAnsi="Arial" w:cs="Arial"/>
          <w:iCs/>
          <w:sz w:val="24"/>
          <w:szCs w:val="24"/>
        </w:rPr>
        <w:t xml:space="preserve">During the development of </w:t>
      </w:r>
      <w:r>
        <w:rPr>
          <w:rFonts w:ascii="Arial" w:hAnsi="Arial" w:cs="Arial"/>
          <w:iCs/>
          <w:sz w:val="24"/>
          <w:szCs w:val="24"/>
        </w:rPr>
        <w:t>this Amendment Regulation</w:t>
      </w:r>
      <w:r w:rsidR="001E3F9E">
        <w:rPr>
          <w:rFonts w:ascii="Arial" w:hAnsi="Arial" w:cs="Arial"/>
          <w:iCs/>
          <w:sz w:val="24"/>
          <w:szCs w:val="24"/>
        </w:rPr>
        <w:t xml:space="preserve">, consideration was given to its compatibility with </w:t>
      </w:r>
      <w:r>
        <w:rPr>
          <w:rFonts w:ascii="Arial" w:hAnsi="Arial" w:cs="Arial"/>
          <w:iCs/>
          <w:sz w:val="24"/>
          <w:szCs w:val="24"/>
        </w:rPr>
        <w:t>the HRA</w:t>
      </w:r>
      <w:r w:rsidR="001E3F9E">
        <w:rPr>
          <w:rFonts w:ascii="Arial" w:hAnsi="Arial" w:cs="Arial"/>
          <w:iCs/>
          <w:sz w:val="24"/>
          <w:szCs w:val="24"/>
        </w:rPr>
        <w:t>.</w:t>
      </w:r>
    </w:p>
    <w:p w14:paraId="276091F1"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28(1) of the HRA provides that human rights may be subject to reasonable limits set by laws that can be demonstrably justified in a free and democratic society.</w:t>
      </w:r>
    </w:p>
    <w:p w14:paraId="226C04A9" w14:textId="6DECA344"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The</w:t>
      </w:r>
      <w:r w:rsidR="001E3F9E">
        <w:rPr>
          <w:rFonts w:ascii="Arial" w:hAnsi="Arial" w:cs="Arial"/>
          <w:iCs/>
          <w:sz w:val="24"/>
          <w:szCs w:val="24"/>
        </w:rPr>
        <w:t xml:space="preserve"> regulatory</w:t>
      </w:r>
      <w:r w:rsidRPr="005F6326">
        <w:rPr>
          <w:rFonts w:ascii="Arial" w:hAnsi="Arial" w:cs="Arial"/>
          <w:iCs/>
          <w:sz w:val="24"/>
          <w:szCs w:val="24"/>
        </w:rPr>
        <w:t xml:space="preserve"> </w:t>
      </w:r>
      <w:r w:rsidR="00FF1F8E">
        <w:rPr>
          <w:rFonts w:ascii="Arial" w:hAnsi="Arial" w:cs="Arial"/>
          <w:iCs/>
          <w:sz w:val="24"/>
          <w:szCs w:val="24"/>
        </w:rPr>
        <w:t>impact</w:t>
      </w:r>
      <w:r w:rsidR="001E3F9E">
        <w:rPr>
          <w:rFonts w:ascii="Arial" w:hAnsi="Arial" w:cs="Arial"/>
          <w:iCs/>
          <w:sz w:val="24"/>
          <w:szCs w:val="24"/>
        </w:rPr>
        <w:t xml:space="preserve"> of t</w:t>
      </w:r>
      <w:r w:rsidRPr="005F6326">
        <w:rPr>
          <w:rFonts w:ascii="Arial" w:hAnsi="Arial" w:cs="Arial"/>
          <w:iCs/>
          <w:sz w:val="24"/>
          <w:szCs w:val="24"/>
        </w:rPr>
        <w:t>hi</w:t>
      </w:r>
      <w:r>
        <w:rPr>
          <w:rFonts w:ascii="Arial" w:hAnsi="Arial" w:cs="Arial"/>
          <w:iCs/>
          <w:sz w:val="24"/>
          <w:szCs w:val="24"/>
        </w:rPr>
        <w:t>s Amendment Regulation</w:t>
      </w:r>
      <w:r w:rsidR="00B801FA">
        <w:rPr>
          <w:rFonts w:ascii="Arial" w:hAnsi="Arial" w:cs="Arial"/>
          <w:iCs/>
          <w:sz w:val="24"/>
          <w:szCs w:val="24"/>
        </w:rPr>
        <w:t>,</w:t>
      </w:r>
      <w:r w:rsidR="00F30BAC">
        <w:rPr>
          <w:rFonts w:ascii="Arial" w:hAnsi="Arial" w:cs="Arial"/>
          <w:iCs/>
          <w:sz w:val="24"/>
          <w:szCs w:val="24"/>
        </w:rPr>
        <w:t xml:space="preserve"> to deter unsafe work practices</w:t>
      </w:r>
      <w:r w:rsidR="00B801FA">
        <w:rPr>
          <w:rFonts w:ascii="Arial" w:hAnsi="Arial" w:cs="Arial"/>
          <w:iCs/>
          <w:sz w:val="24"/>
          <w:szCs w:val="24"/>
        </w:rPr>
        <w:t>,</w:t>
      </w:r>
      <w:r>
        <w:rPr>
          <w:rFonts w:ascii="Arial" w:hAnsi="Arial" w:cs="Arial"/>
          <w:iCs/>
          <w:sz w:val="24"/>
          <w:szCs w:val="24"/>
        </w:rPr>
        <w:t xml:space="preserve"> </w:t>
      </w:r>
      <w:r w:rsidRPr="005F6326">
        <w:rPr>
          <w:rFonts w:ascii="Arial" w:hAnsi="Arial" w:cs="Arial"/>
          <w:iCs/>
          <w:sz w:val="24"/>
          <w:szCs w:val="24"/>
        </w:rPr>
        <w:t>are considered demonstrably justifiable pursuant to section 28 of the HRA.</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7247706A" w14:textId="7177ED18" w:rsidR="00D459AF" w:rsidRDefault="00D459AF" w:rsidP="00414921">
      <w:pPr>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Regulation engages and promotes the right to life under section 9 of the HRA.</w:t>
      </w:r>
    </w:p>
    <w:p w14:paraId="0CBC4F90" w14:textId="5651D173" w:rsidR="00B13084" w:rsidRDefault="00B13084" w:rsidP="00414921">
      <w:pPr>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Regulation engages and promotes the right to work under section 27B of the HRA.</w:t>
      </w:r>
    </w:p>
    <w:p w14:paraId="699D2A0A" w14:textId="398AFA35" w:rsidR="00D459AF" w:rsidRDefault="00D459AF" w:rsidP="00414921">
      <w:pPr>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 xml:space="preserve">Regulation also engages and may limit </w:t>
      </w:r>
      <w:r w:rsidR="00AD22F9">
        <w:rPr>
          <w:rFonts w:ascii="Arial" w:hAnsi="Arial" w:cs="Arial"/>
          <w:iCs/>
          <w:sz w:val="24"/>
          <w:szCs w:val="24"/>
        </w:rPr>
        <w:t>the right to privacy and reputation under section 12</w:t>
      </w:r>
      <w:r w:rsidR="00FF1F8E">
        <w:rPr>
          <w:rFonts w:ascii="Arial" w:hAnsi="Arial" w:cs="Arial"/>
          <w:iCs/>
          <w:sz w:val="24"/>
          <w:szCs w:val="24"/>
        </w:rPr>
        <w:t xml:space="preserve"> of the HRA</w:t>
      </w:r>
      <w:r w:rsidR="00AD22F9">
        <w:rPr>
          <w:rFonts w:ascii="Arial" w:hAnsi="Arial" w:cs="Arial"/>
          <w:iCs/>
          <w:sz w:val="24"/>
          <w:szCs w:val="24"/>
        </w:rPr>
        <w:t xml:space="preserve">. </w:t>
      </w:r>
    </w:p>
    <w:p w14:paraId="23AD8CB0" w14:textId="66926EE5" w:rsidR="00C1613D" w:rsidRPr="00D459AF" w:rsidRDefault="00C1613D" w:rsidP="00414921">
      <w:pPr>
        <w:rPr>
          <w:rFonts w:ascii="Arial" w:hAnsi="Arial" w:cs="Arial"/>
          <w:iCs/>
          <w:sz w:val="24"/>
          <w:szCs w:val="24"/>
        </w:rPr>
      </w:pPr>
      <w:r>
        <w:rPr>
          <w:rFonts w:ascii="Arial" w:hAnsi="Arial" w:cs="Arial"/>
          <w:iCs/>
          <w:sz w:val="24"/>
          <w:szCs w:val="24"/>
        </w:rPr>
        <w:t xml:space="preserve">The Amendment </w:t>
      </w:r>
      <w:r w:rsidR="00225C24">
        <w:rPr>
          <w:rFonts w:ascii="Arial" w:hAnsi="Arial" w:cs="Arial"/>
          <w:iCs/>
          <w:sz w:val="24"/>
          <w:szCs w:val="24"/>
        </w:rPr>
        <w:t>R</w:t>
      </w:r>
      <w:r>
        <w:rPr>
          <w:rFonts w:ascii="Arial" w:hAnsi="Arial" w:cs="Arial"/>
          <w:iCs/>
          <w:sz w:val="24"/>
          <w:szCs w:val="24"/>
        </w:rPr>
        <w:t>egulation engages and may limit the right to be presumed innocent until prove</w:t>
      </w:r>
      <w:r w:rsidR="00C6498E">
        <w:rPr>
          <w:rFonts w:ascii="Arial" w:hAnsi="Arial" w:cs="Arial"/>
          <w:iCs/>
          <w:sz w:val="24"/>
          <w:szCs w:val="24"/>
        </w:rPr>
        <w:t>n</w:t>
      </w:r>
      <w:r>
        <w:rPr>
          <w:rFonts w:ascii="Arial" w:hAnsi="Arial" w:cs="Arial"/>
          <w:iCs/>
          <w:sz w:val="24"/>
          <w:szCs w:val="24"/>
        </w:rPr>
        <w:t xml:space="preserve"> guilty according to law under section 22(1) of the HRA. </w:t>
      </w:r>
    </w:p>
    <w:p w14:paraId="56D5AAAF" w14:textId="4DF8EE52" w:rsidR="00BC3EF0" w:rsidRPr="00831FE2" w:rsidRDefault="00BC3EF0" w:rsidP="00414921">
      <w:pPr>
        <w:rPr>
          <w:rFonts w:ascii="Arial" w:hAnsi="Arial" w:cs="Arial"/>
          <w:b/>
          <w:bCs/>
          <w:iCs/>
          <w:sz w:val="24"/>
          <w:szCs w:val="24"/>
        </w:rPr>
      </w:pPr>
      <w:r w:rsidRPr="00831FE2">
        <w:rPr>
          <w:rFonts w:ascii="Arial" w:hAnsi="Arial" w:cs="Arial"/>
          <w:b/>
          <w:bCs/>
          <w:iCs/>
          <w:sz w:val="24"/>
          <w:szCs w:val="24"/>
        </w:rPr>
        <w:t>Rights Promoted</w:t>
      </w:r>
    </w:p>
    <w:p w14:paraId="3CE84429" w14:textId="45C1C00B" w:rsidR="00B13084" w:rsidRDefault="00B13084" w:rsidP="00B13084">
      <w:pPr>
        <w:jc w:val="both"/>
        <w:rPr>
          <w:rFonts w:ascii="Arial" w:hAnsi="Arial" w:cs="Arial"/>
          <w:iCs/>
          <w:sz w:val="24"/>
          <w:szCs w:val="24"/>
        </w:rPr>
      </w:pPr>
      <w:r>
        <w:rPr>
          <w:rFonts w:ascii="Arial" w:hAnsi="Arial" w:cs="Arial"/>
          <w:iCs/>
          <w:sz w:val="24"/>
          <w:szCs w:val="24"/>
        </w:rPr>
        <w:t xml:space="preserve">The </w:t>
      </w:r>
      <w:r w:rsidR="002D7844">
        <w:rPr>
          <w:rFonts w:ascii="Arial" w:hAnsi="Arial" w:cs="Arial"/>
          <w:iCs/>
          <w:sz w:val="24"/>
          <w:szCs w:val="24"/>
        </w:rPr>
        <w:t xml:space="preserve">Amendment </w:t>
      </w:r>
      <w:r>
        <w:rPr>
          <w:rFonts w:ascii="Arial" w:hAnsi="Arial" w:cs="Arial"/>
          <w:iCs/>
          <w:sz w:val="24"/>
          <w:szCs w:val="24"/>
        </w:rPr>
        <w:t xml:space="preserve">Regulation engages and promotes the </w:t>
      </w:r>
      <w:r w:rsidR="00FF1F8E">
        <w:rPr>
          <w:rFonts w:ascii="Arial" w:hAnsi="Arial" w:cs="Arial"/>
          <w:iCs/>
          <w:sz w:val="24"/>
          <w:szCs w:val="24"/>
        </w:rPr>
        <w:t xml:space="preserve">HRA </w:t>
      </w:r>
      <w:r>
        <w:rPr>
          <w:rFonts w:ascii="Arial" w:hAnsi="Arial" w:cs="Arial"/>
          <w:iCs/>
          <w:sz w:val="24"/>
          <w:szCs w:val="24"/>
        </w:rPr>
        <w:t xml:space="preserve">right to life (section 9), and the right to work (section 27B). </w:t>
      </w:r>
      <w:r w:rsidR="00DC4947">
        <w:rPr>
          <w:rFonts w:ascii="Arial" w:hAnsi="Arial" w:cs="Arial"/>
          <w:iCs/>
          <w:sz w:val="24"/>
          <w:szCs w:val="24"/>
        </w:rPr>
        <w:t xml:space="preserve">The </w:t>
      </w:r>
      <w:r>
        <w:rPr>
          <w:rFonts w:ascii="Arial" w:hAnsi="Arial" w:cs="Arial"/>
          <w:iCs/>
          <w:sz w:val="24"/>
          <w:szCs w:val="24"/>
        </w:rPr>
        <w:t xml:space="preserve">right to work </w:t>
      </w:r>
      <w:r w:rsidR="00DC4947">
        <w:rPr>
          <w:rFonts w:ascii="Arial" w:hAnsi="Arial" w:cs="Arial"/>
          <w:iCs/>
          <w:sz w:val="24"/>
          <w:szCs w:val="24"/>
        </w:rPr>
        <w:t>safeguards</w:t>
      </w:r>
      <w:r>
        <w:rPr>
          <w:rFonts w:ascii="Arial" w:hAnsi="Arial" w:cs="Arial"/>
          <w:iCs/>
          <w:sz w:val="24"/>
          <w:szCs w:val="24"/>
        </w:rPr>
        <w:t xml:space="preserve"> just and favourable conditions of work, including safe and healthy working conditions</w:t>
      </w:r>
      <w:r w:rsidR="00DC4947">
        <w:rPr>
          <w:rFonts w:ascii="Arial" w:hAnsi="Arial" w:cs="Arial"/>
          <w:iCs/>
          <w:sz w:val="24"/>
          <w:szCs w:val="24"/>
        </w:rPr>
        <w:t xml:space="preserve">, free form discrimination. Relevantly, </w:t>
      </w:r>
      <w:bookmarkStart w:id="1" w:name="_Hlk120279517"/>
      <w:r w:rsidR="00DC4947">
        <w:rPr>
          <w:rFonts w:ascii="Arial" w:hAnsi="Arial" w:cs="Arial"/>
          <w:iCs/>
          <w:sz w:val="24"/>
          <w:szCs w:val="24"/>
        </w:rPr>
        <w:t>under the WHS Act workers are protected from harm to their health, safety and welfare through the elimination or minimisation o</w:t>
      </w:r>
      <w:r w:rsidR="00FF1F8E">
        <w:rPr>
          <w:rFonts w:ascii="Arial" w:hAnsi="Arial" w:cs="Arial"/>
          <w:iCs/>
          <w:sz w:val="24"/>
          <w:szCs w:val="24"/>
        </w:rPr>
        <w:t xml:space="preserve">f </w:t>
      </w:r>
      <w:r w:rsidR="00DC4947">
        <w:rPr>
          <w:rFonts w:ascii="Arial" w:hAnsi="Arial" w:cs="Arial"/>
          <w:iCs/>
          <w:sz w:val="24"/>
          <w:szCs w:val="24"/>
        </w:rPr>
        <w:t xml:space="preserve">risks arising from work. </w:t>
      </w:r>
    </w:p>
    <w:bookmarkEnd w:id="1"/>
    <w:p w14:paraId="1E32E2F4" w14:textId="2C6444E2" w:rsidR="00DC4947" w:rsidRDefault="00DC4947" w:rsidP="00B13084">
      <w:pPr>
        <w:rPr>
          <w:rFonts w:ascii="Arial" w:hAnsi="Arial" w:cs="Arial"/>
          <w:iCs/>
          <w:sz w:val="24"/>
          <w:szCs w:val="24"/>
        </w:rPr>
      </w:pPr>
      <w:r>
        <w:rPr>
          <w:rFonts w:ascii="Arial" w:hAnsi="Arial" w:cs="Arial"/>
          <w:iCs/>
          <w:sz w:val="24"/>
          <w:szCs w:val="24"/>
        </w:rPr>
        <w:t xml:space="preserve">This amendment regulation introduces additional infringement notice penalties as a greater deterrent against non-compliance with WHS laws. </w:t>
      </w:r>
      <w:bookmarkStart w:id="2" w:name="_Hlk120525440"/>
      <w:r>
        <w:rPr>
          <w:rFonts w:ascii="Arial" w:hAnsi="Arial" w:cs="Arial"/>
          <w:iCs/>
          <w:sz w:val="24"/>
          <w:szCs w:val="24"/>
        </w:rPr>
        <w:t>Infringement notice</w:t>
      </w:r>
      <w:r w:rsidR="00EC2F81">
        <w:rPr>
          <w:rFonts w:ascii="Arial" w:hAnsi="Arial" w:cs="Arial"/>
          <w:iCs/>
          <w:sz w:val="24"/>
          <w:szCs w:val="24"/>
        </w:rPr>
        <w:t xml:space="preserve"> penalties</w:t>
      </w:r>
      <w:r>
        <w:rPr>
          <w:rFonts w:ascii="Arial" w:hAnsi="Arial" w:cs="Arial"/>
          <w:iCs/>
          <w:sz w:val="24"/>
          <w:szCs w:val="24"/>
        </w:rPr>
        <w:t xml:space="preserve"> </w:t>
      </w:r>
      <w:r w:rsidR="00EC2F81">
        <w:rPr>
          <w:rFonts w:ascii="Arial" w:hAnsi="Arial" w:cs="Arial"/>
          <w:iCs/>
          <w:sz w:val="24"/>
          <w:szCs w:val="24"/>
        </w:rPr>
        <w:t>are</w:t>
      </w:r>
      <w:r>
        <w:rPr>
          <w:rFonts w:ascii="Arial" w:hAnsi="Arial" w:cs="Arial"/>
          <w:iCs/>
          <w:sz w:val="24"/>
          <w:szCs w:val="24"/>
        </w:rPr>
        <w:t xml:space="preserve"> a</w:t>
      </w:r>
      <w:r w:rsidR="00EC2F81">
        <w:rPr>
          <w:rFonts w:ascii="Arial" w:hAnsi="Arial" w:cs="Arial"/>
          <w:iCs/>
          <w:sz w:val="24"/>
          <w:szCs w:val="24"/>
        </w:rPr>
        <w:t>n effective</w:t>
      </w:r>
      <w:r>
        <w:rPr>
          <w:rFonts w:ascii="Arial" w:hAnsi="Arial" w:cs="Arial"/>
          <w:iCs/>
          <w:sz w:val="24"/>
          <w:szCs w:val="24"/>
        </w:rPr>
        <w:t xml:space="preserve"> regulatory </w:t>
      </w:r>
      <w:r w:rsidR="00651E24">
        <w:rPr>
          <w:rFonts w:ascii="Arial" w:hAnsi="Arial" w:cs="Arial"/>
          <w:iCs/>
          <w:sz w:val="24"/>
          <w:szCs w:val="24"/>
        </w:rPr>
        <w:t>tool</w:t>
      </w:r>
      <w:r>
        <w:rPr>
          <w:rFonts w:ascii="Arial" w:hAnsi="Arial" w:cs="Arial"/>
          <w:iCs/>
          <w:sz w:val="24"/>
          <w:szCs w:val="24"/>
        </w:rPr>
        <w:t xml:space="preserve"> where the work safety regulator has </w:t>
      </w:r>
      <w:r>
        <w:rPr>
          <w:rFonts w:ascii="Arial" w:hAnsi="Arial" w:cs="Arial"/>
          <w:iCs/>
          <w:sz w:val="24"/>
          <w:szCs w:val="24"/>
        </w:rPr>
        <w:lastRenderedPageBreak/>
        <w:t xml:space="preserve">identified an alleged WHS breach. Allowing the expansion of this effective compliance tool will </w:t>
      </w:r>
      <w:r w:rsidR="00C6498E">
        <w:rPr>
          <w:rFonts w:ascii="Arial" w:hAnsi="Arial" w:cs="Arial"/>
          <w:iCs/>
          <w:sz w:val="24"/>
          <w:szCs w:val="24"/>
        </w:rPr>
        <w:t xml:space="preserve">positively </w:t>
      </w:r>
      <w:r>
        <w:rPr>
          <w:rFonts w:ascii="Arial" w:hAnsi="Arial" w:cs="Arial"/>
          <w:iCs/>
          <w:sz w:val="24"/>
          <w:szCs w:val="24"/>
        </w:rPr>
        <w:t xml:space="preserve">engage the greater protection of worker rights, and right to life where an unsafe practice may pose a fatal risk.  </w:t>
      </w:r>
    </w:p>
    <w:bookmarkEnd w:id="2"/>
    <w:p w14:paraId="7C3B0F88" w14:textId="781CE0AE" w:rsidR="00BC3EF0" w:rsidRPr="00831FE2" w:rsidRDefault="00BC3EF0" w:rsidP="00414921">
      <w:pPr>
        <w:rPr>
          <w:rFonts w:ascii="Arial" w:hAnsi="Arial" w:cs="Arial"/>
          <w:b/>
          <w:bCs/>
          <w:iCs/>
          <w:sz w:val="24"/>
          <w:szCs w:val="24"/>
        </w:rPr>
      </w:pPr>
      <w:r w:rsidRPr="00831FE2">
        <w:rPr>
          <w:rFonts w:ascii="Arial" w:hAnsi="Arial" w:cs="Arial"/>
          <w:b/>
          <w:bCs/>
          <w:iCs/>
          <w:sz w:val="24"/>
          <w:szCs w:val="24"/>
        </w:rPr>
        <w:t>Rights Limited</w:t>
      </w:r>
      <w:r w:rsidR="00BE4C5B" w:rsidRPr="00831FE2">
        <w:rPr>
          <w:rFonts w:ascii="Arial" w:hAnsi="Arial" w:cs="Arial"/>
          <w:b/>
          <w:bCs/>
          <w:iCs/>
          <w:sz w:val="24"/>
          <w:szCs w:val="24"/>
        </w:rPr>
        <w:t xml:space="preserve"> </w:t>
      </w:r>
    </w:p>
    <w:p w14:paraId="05BFF737" w14:textId="6CC14A3A" w:rsidR="00376166"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07BDD990" w14:textId="77777777" w:rsidR="00C1613D" w:rsidRDefault="00C1613D" w:rsidP="00277E95">
      <w:pPr>
        <w:rPr>
          <w:rFonts w:ascii="Arial" w:hAnsi="Arial" w:cs="Arial"/>
          <w:iCs/>
          <w:sz w:val="24"/>
          <w:szCs w:val="24"/>
        </w:rPr>
      </w:pPr>
    </w:p>
    <w:p w14:paraId="061B81A0" w14:textId="24450AD8" w:rsidR="00C1613D" w:rsidRPr="00C1613D" w:rsidRDefault="00C1613D" w:rsidP="00277E95">
      <w:pPr>
        <w:rPr>
          <w:rFonts w:ascii="Arial" w:hAnsi="Arial" w:cs="Arial"/>
          <w:iCs/>
          <w:sz w:val="24"/>
          <w:szCs w:val="24"/>
          <w:u w:val="single"/>
        </w:rPr>
      </w:pPr>
      <w:r>
        <w:rPr>
          <w:rFonts w:ascii="Arial" w:hAnsi="Arial" w:cs="Arial"/>
          <w:iCs/>
          <w:sz w:val="24"/>
          <w:szCs w:val="24"/>
          <w:u w:val="single"/>
        </w:rPr>
        <w:t>Public Register</w:t>
      </w:r>
    </w:p>
    <w:p w14:paraId="67FC0FE8" w14:textId="0550C17D" w:rsidR="00A254DC" w:rsidRDefault="00277E95" w:rsidP="00277E95">
      <w:pPr>
        <w:rPr>
          <w:rFonts w:ascii="Arial" w:hAnsi="Arial" w:cs="Arial"/>
          <w:iCs/>
          <w:sz w:val="24"/>
          <w:szCs w:val="24"/>
        </w:rPr>
      </w:pPr>
      <w:r w:rsidRPr="00277E95">
        <w:rPr>
          <w:rFonts w:ascii="Arial" w:hAnsi="Arial" w:cs="Arial"/>
          <w:iCs/>
          <w:sz w:val="24"/>
          <w:szCs w:val="24"/>
        </w:rPr>
        <w:t>This amendment regulation engages and may limit the right to privacy and reputation under section 1</w:t>
      </w:r>
      <w:r>
        <w:rPr>
          <w:rFonts w:ascii="Arial" w:hAnsi="Arial" w:cs="Arial"/>
          <w:iCs/>
          <w:sz w:val="24"/>
          <w:szCs w:val="24"/>
        </w:rPr>
        <w:t>2 of the HRA.</w:t>
      </w:r>
      <w:r w:rsidR="00A254DC">
        <w:rPr>
          <w:rFonts w:ascii="Arial" w:hAnsi="Arial" w:cs="Arial"/>
          <w:iCs/>
          <w:sz w:val="24"/>
          <w:szCs w:val="24"/>
        </w:rPr>
        <w:t xml:space="preserve"> The WHS Regulation, section </w:t>
      </w:r>
      <w:r w:rsidR="001B6573">
        <w:rPr>
          <w:rFonts w:ascii="Arial" w:hAnsi="Arial" w:cs="Arial"/>
          <w:iCs/>
          <w:sz w:val="24"/>
          <w:szCs w:val="24"/>
        </w:rPr>
        <w:t>698A</w:t>
      </w:r>
      <w:r w:rsidR="00A254DC">
        <w:rPr>
          <w:rFonts w:ascii="Arial" w:hAnsi="Arial" w:cs="Arial"/>
          <w:iCs/>
          <w:sz w:val="24"/>
          <w:szCs w:val="24"/>
        </w:rPr>
        <w:t>, states that the regulator</w:t>
      </w:r>
      <w:r w:rsidR="001B6573">
        <w:rPr>
          <w:rFonts w:ascii="Arial" w:hAnsi="Arial" w:cs="Arial"/>
          <w:iCs/>
          <w:sz w:val="24"/>
          <w:szCs w:val="24"/>
        </w:rPr>
        <w:t xml:space="preserve"> must keep a register</w:t>
      </w:r>
      <w:r w:rsidR="00B8145B">
        <w:rPr>
          <w:rFonts w:ascii="Arial" w:hAnsi="Arial" w:cs="Arial"/>
          <w:iCs/>
          <w:sz w:val="24"/>
          <w:szCs w:val="24"/>
        </w:rPr>
        <w:t>, available for public inspection,</w:t>
      </w:r>
      <w:r w:rsidR="001B6573">
        <w:rPr>
          <w:rFonts w:ascii="Arial" w:hAnsi="Arial" w:cs="Arial"/>
          <w:iCs/>
          <w:sz w:val="24"/>
          <w:szCs w:val="24"/>
        </w:rPr>
        <w:t xml:space="preserve"> for the following kinds of license:</w:t>
      </w:r>
    </w:p>
    <w:p w14:paraId="624682BA" w14:textId="2EE9ECF9" w:rsidR="0039536C" w:rsidRPr="0039536C" w:rsidRDefault="004B6C1D" w:rsidP="0039536C">
      <w:pPr>
        <w:pStyle w:val="ListParagraph"/>
        <w:numPr>
          <w:ilvl w:val="0"/>
          <w:numId w:val="20"/>
        </w:numPr>
        <w:rPr>
          <w:rFonts w:ascii="Arial" w:hAnsi="Arial" w:cs="Arial"/>
          <w:iCs/>
          <w:sz w:val="24"/>
          <w:szCs w:val="24"/>
        </w:rPr>
      </w:pPr>
      <w:r>
        <w:rPr>
          <w:rFonts w:ascii="Arial" w:hAnsi="Arial" w:cs="Arial"/>
          <w:iCs/>
          <w:sz w:val="24"/>
          <w:szCs w:val="24"/>
        </w:rPr>
        <w:t>h</w:t>
      </w:r>
      <w:r w:rsidR="0039536C" w:rsidRPr="0039536C">
        <w:rPr>
          <w:rFonts w:ascii="Arial" w:hAnsi="Arial" w:cs="Arial"/>
          <w:iCs/>
          <w:sz w:val="24"/>
          <w:szCs w:val="24"/>
        </w:rPr>
        <w:t>igh risk work</w:t>
      </w:r>
    </w:p>
    <w:p w14:paraId="57534B59" w14:textId="36431147" w:rsidR="0039536C" w:rsidRPr="0039536C" w:rsidRDefault="0039536C" w:rsidP="0039536C">
      <w:pPr>
        <w:pStyle w:val="ListParagraph"/>
        <w:numPr>
          <w:ilvl w:val="0"/>
          <w:numId w:val="20"/>
        </w:numPr>
        <w:rPr>
          <w:rFonts w:ascii="Arial" w:hAnsi="Arial" w:cs="Arial"/>
          <w:iCs/>
          <w:sz w:val="24"/>
          <w:szCs w:val="24"/>
        </w:rPr>
      </w:pPr>
      <w:r w:rsidRPr="0039536C">
        <w:rPr>
          <w:rFonts w:ascii="Arial" w:hAnsi="Arial" w:cs="Arial"/>
          <w:iCs/>
          <w:sz w:val="24"/>
          <w:szCs w:val="24"/>
        </w:rPr>
        <w:t>asbestos removal</w:t>
      </w:r>
      <w:r w:rsidR="00582CD9">
        <w:rPr>
          <w:rFonts w:ascii="Arial" w:hAnsi="Arial" w:cs="Arial"/>
          <w:iCs/>
          <w:sz w:val="24"/>
          <w:szCs w:val="24"/>
        </w:rPr>
        <w:t xml:space="preserve"> or asbestos assessor</w:t>
      </w:r>
      <w:r w:rsidR="004B6C1D">
        <w:rPr>
          <w:rFonts w:ascii="Arial" w:hAnsi="Arial" w:cs="Arial"/>
          <w:iCs/>
          <w:sz w:val="24"/>
          <w:szCs w:val="24"/>
        </w:rPr>
        <w:t>,</w:t>
      </w:r>
      <w:r w:rsidR="0062242F">
        <w:rPr>
          <w:rFonts w:ascii="Arial" w:hAnsi="Arial" w:cs="Arial"/>
          <w:iCs/>
          <w:sz w:val="24"/>
          <w:szCs w:val="24"/>
        </w:rPr>
        <w:t xml:space="preserve"> </w:t>
      </w:r>
      <w:r w:rsidRPr="0039536C">
        <w:rPr>
          <w:rFonts w:ascii="Arial" w:hAnsi="Arial" w:cs="Arial"/>
          <w:iCs/>
          <w:sz w:val="24"/>
          <w:szCs w:val="24"/>
        </w:rPr>
        <w:t>and</w:t>
      </w:r>
    </w:p>
    <w:p w14:paraId="0A718CC1" w14:textId="075D725C" w:rsidR="0039536C" w:rsidRDefault="004B6C1D" w:rsidP="0039536C">
      <w:pPr>
        <w:pStyle w:val="ListParagraph"/>
        <w:numPr>
          <w:ilvl w:val="0"/>
          <w:numId w:val="20"/>
        </w:numPr>
        <w:rPr>
          <w:rFonts w:ascii="Arial" w:hAnsi="Arial" w:cs="Arial"/>
          <w:iCs/>
          <w:sz w:val="24"/>
          <w:szCs w:val="24"/>
        </w:rPr>
      </w:pPr>
      <w:r>
        <w:rPr>
          <w:rFonts w:ascii="Arial" w:hAnsi="Arial" w:cs="Arial"/>
          <w:iCs/>
          <w:sz w:val="24"/>
          <w:szCs w:val="24"/>
        </w:rPr>
        <w:t>a</w:t>
      </w:r>
      <w:r w:rsidR="0039536C" w:rsidRPr="0039536C">
        <w:rPr>
          <w:rFonts w:ascii="Arial" w:hAnsi="Arial" w:cs="Arial"/>
          <w:iCs/>
          <w:sz w:val="24"/>
          <w:szCs w:val="24"/>
        </w:rPr>
        <w:t xml:space="preserve"> major hazard facility</w:t>
      </w:r>
    </w:p>
    <w:p w14:paraId="188B89B9" w14:textId="77777777" w:rsidR="001B6573" w:rsidRDefault="001B6573" w:rsidP="001B6573">
      <w:pPr>
        <w:pStyle w:val="ListParagraph"/>
        <w:rPr>
          <w:rFonts w:ascii="Arial" w:hAnsi="Arial" w:cs="Arial"/>
          <w:iCs/>
          <w:sz w:val="24"/>
          <w:szCs w:val="24"/>
        </w:rPr>
      </w:pPr>
    </w:p>
    <w:p w14:paraId="375C2D58" w14:textId="77777777" w:rsidR="00B8145B" w:rsidRPr="00B8145B" w:rsidRDefault="00B8145B" w:rsidP="00B8145B">
      <w:pPr>
        <w:rPr>
          <w:rFonts w:ascii="Arial" w:hAnsi="Arial" w:cs="Arial"/>
          <w:iCs/>
          <w:sz w:val="24"/>
          <w:szCs w:val="24"/>
        </w:rPr>
      </w:pPr>
      <w:r w:rsidRPr="00B8145B">
        <w:rPr>
          <w:rFonts w:ascii="Arial" w:hAnsi="Arial" w:cs="Arial"/>
          <w:iCs/>
          <w:sz w:val="24"/>
          <w:szCs w:val="24"/>
        </w:rPr>
        <w:t>The register must include the following:</w:t>
      </w:r>
    </w:p>
    <w:p w14:paraId="664462F5" w14:textId="77777777" w:rsidR="00B8145B" w:rsidRPr="00297FC6" w:rsidRDefault="00B8145B" w:rsidP="004B6C1D">
      <w:pPr>
        <w:ind w:left="720"/>
        <w:rPr>
          <w:rFonts w:ascii="Arial" w:hAnsi="Arial" w:cs="Arial"/>
          <w:i/>
          <w:sz w:val="24"/>
          <w:szCs w:val="24"/>
        </w:rPr>
      </w:pPr>
      <w:r w:rsidRPr="00B8145B">
        <w:rPr>
          <w:rFonts w:ascii="Arial" w:hAnsi="Arial" w:cs="Arial"/>
          <w:iCs/>
          <w:sz w:val="24"/>
          <w:szCs w:val="24"/>
        </w:rPr>
        <w:t> </w:t>
      </w:r>
      <w:r w:rsidRPr="00297FC6">
        <w:rPr>
          <w:rFonts w:ascii="Arial" w:hAnsi="Arial" w:cs="Arial"/>
          <w:i/>
          <w:sz w:val="24"/>
          <w:szCs w:val="24"/>
        </w:rPr>
        <w:t>(a) if the licensee operates a business in relation to the licence—</w:t>
      </w:r>
    </w:p>
    <w:p w14:paraId="6895309C" w14:textId="77777777" w:rsidR="00B8145B" w:rsidRPr="00297FC6" w:rsidRDefault="00B8145B" w:rsidP="004B6C1D">
      <w:pPr>
        <w:ind w:left="1440"/>
        <w:rPr>
          <w:rFonts w:ascii="Arial" w:hAnsi="Arial" w:cs="Arial"/>
          <w:i/>
          <w:sz w:val="24"/>
          <w:szCs w:val="24"/>
        </w:rPr>
      </w:pPr>
      <w:r w:rsidRPr="00297FC6">
        <w:rPr>
          <w:rFonts w:ascii="Arial" w:hAnsi="Arial" w:cs="Arial"/>
          <w:i/>
          <w:sz w:val="24"/>
          <w:szCs w:val="24"/>
        </w:rPr>
        <w:t> (i) the registered business name and any trading name; and</w:t>
      </w:r>
    </w:p>
    <w:p w14:paraId="3E76C82F" w14:textId="77777777" w:rsidR="00B8145B" w:rsidRPr="00297FC6" w:rsidRDefault="00B8145B" w:rsidP="004B6C1D">
      <w:pPr>
        <w:ind w:left="1440"/>
        <w:rPr>
          <w:rFonts w:ascii="Arial" w:hAnsi="Arial" w:cs="Arial"/>
          <w:i/>
          <w:sz w:val="24"/>
          <w:szCs w:val="24"/>
        </w:rPr>
      </w:pPr>
      <w:r w:rsidRPr="00297FC6">
        <w:rPr>
          <w:rFonts w:ascii="Arial" w:hAnsi="Arial" w:cs="Arial"/>
          <w:i/>
          <w:sz w:val="24"/>
          <w:szCs w:val="24"/>
        </w:rPr>
        <w:t> (ii) the ABN or ACN;</w:t>
      </w:r>
    </w:p>
    <w:p w14:paraId="6DEA820C" w14:textId="77777777" w:rsidR="00B8145B" w:rsidRPr="00297FC6" w:rsidRDefault="00B8145B" w:rsidP="004B6C1D">
      <w:pPr>
        <w:ind w:left="720"/>
        <w:rPr>
          <w:rFonts w:ascii="Arial" w:hAnsi="Arial" w:cs="Arial"/>
          <w:i/>
          <w:sz w:val="24"/>
          <w:szCs w:val="24"/>
        </w:rPr>
      </w:pPr>
      <w:r w:rsidRPr="00297FC6">
        <w:rPr>
          <w:rFonts w:ascii="Arial" w:hAnsi="Arial" w:cs="Arial"/>
          <w:i/>
          <w:sz w:val="24"/>
          <w:szCs w:val="24"/>
        </w:rPr>
        <w:t> (b) the licence type and number;</w:t>
      </w:r>
    </w:p>
    <w:p w14:paraId="588BF16E" w14:textId="77777777" w:rsidR="00B8145B" w:rsidRPr="00297FC6" w:rsidRDefault="00B8145B" w:rsidP="004B6C1D">
      <w:pPr>
        <w:ind w:left="720"/>
        <w:rPr>
          <w:rFonts w:ascii="Arial" w:hAnsi="Arial" w:cs="Arial"/>
          <w:i/>
          <w:sz w:val="24"/>
          <w:szCs w:val="24"/>
        </w:rPr>
      </w:pPr>
      <w:r w:rsidRPr="00297FC6">
        <w:rPr>
          <w:rFonts w:ascii="Arial" w:hAnsi="Arial" w:cs="Arial"/>
          <w:i/>
          <w:sz w:val="24"/>
          <w:szCs w:val="24"/>
        </w:rPr>
        <w:t> (d) the expiry date for the licence;</w:t>
      </w:r>
    </w:p>
    <w:p w14:paraId="3BD6B793" w14:textId="1DB35025" w:rsidR="00277E95" w:rsidRDefault="001B6573" w:rsidP="00277E95">
      <w:pPr>
        <w:rPr>
          <w:rFonts w:ascii="Arial" w:hAnsi="Arial" w:cs="Arial"/>
          <w:iCs/>
          <w:sz w:val="24"/>
          <w:szCs w:val="24"/>
        </w:rPr>
      </w:pPr>
      <w:r>
        <w:rPr>
          <w:rFonts w:ascii="Arial" w:hAnsi="Arial" w:cs="Arial"/>
          <w:iCs/>
          <w:sz w:val="24"/>
          <w:szCs w:val="24"/>
        </w:rPr>
        <w:t>If the licensee has been given an infringement notice under the</w:t>
      </w:r>
      <w:r w:rsidRPr="001B6573">
        <w:rPr>
          <w:rFonts w:ascii="Arial" w:hAnsi="Arial" w:cs="Arial"/>
          <w:i/>
          <w:sz w:val="24"/>
          <w:szCs w:val="24"/>
        </w:rPr>
        <w:t xml:space="preserve"> </w:t>
      </w:r>
      <w:r w:rsidRPr="001B6573">
        <w:rPr>
          <w:rFonts w:ascii="Arial" w:hAnsi="Arial" w:cs="Arial"/>
          <w:i/>
          <w:iCs/>
          <w:sz w:val="24"/>
          <w:szCs w:val="24"/>
        </w:rPr>
        <w:t>Magistrates Court (Work Health and Safety Infringement Notices) Regulation 2011</w:t>
      </w:r>
      <w:r w:rsidRPr="001B6573">
        <w:rPr>
          <w:rFonts w:ascii="Arial" w:hAnsi="Arial" w:cs="Arial"/>
          <w:iCs/>
          <w:sz w:val="24"/>
          <w:szCs w:val="24"/>
        </w:rPr>
        <w:t xml:space="preserve"> </w:t>
      </w:r>
      <w:r w:rsidRPr="001B6573">
        <w:rPr>
          <w:rFonts w:ascii="Arial" w:hAnsi="Arial" w:cs="Arial"/>
          <w:sz w:val="24"/>
          <w:szCs w:val="24"/>
        </w:rPr>
        <w:t>information about the infringement notice is included in a public register.</w:t>
      </w:r>
      <w:r w:rsidR="00AD04CE">
        <w:rPr>
          <w:rFonts w:ascii="Arial" w:hAnsi="Arial" w:cs="Arial"/>
          <w:sz w:val="24"/>
          <w:szCs w:val="24"/>
        </w:rPr>
        <w:t xml:space="preserve"> </w:t>
      </w:r>
      <w:r w:rsidR="005254F6">
        <w:rPr>
          <w:rFonts w:ascii="Arial" w:hAnsi="Arial" w:cs="Arial"/>
          <w:iCs/>
          <w:sz w:val="24"/>
          <w:szCs w:val="24"/>
        </w:rPr>
        <w:t>This amendment regulation expands on the number of offences against which an infringement notice may be issued and</w:t>
      </w:r>
      <w:r w:rsidR="00566A7C">
        <w:rPr>
          <w:rFonts w:ascii="Arial" w:hAnsi="Arial" w:cs="Arial"/>
          <w:iCs/>
          <w:sz w:val="24"/>
          <w:szCs w:val="24"/>
        </w:rPr>
        <w:t>, if issued,</w:t>
      </w:r>
      <w:r w:rsidR="005254F6">
        <w:rPr>
          <w:rFonts w:ascii="Arial" w:hAnsi="Arial" w:cs="Arial"/>
          <w:iCs/>
          <w:sz w:val="24"/>
          <w:szCs w:val="24"/>
        </w:rPr>
        <w:t xml:space="preserve"> </w:t>
      </w:r>
      <w:r w:rsidR="00C6498E">
        <w:rPr>
          <w:rFonts w:ascii="Arial" w:hAnsi="Arial" w:cs="Arial"/>
          <w:iCs/>
          <w:sz w:val="24"/>
          <w:szCs w:val="24"/>
        </w:rPr>
        <w:t xml:space="preserve">information about the notice </w:t>
      </w:r>
      <w:r w:rsidR="00736617">
        <w:rPr>
          <w:rFonts w:ascii="Arial" w:hAnsi="Arial" w:cs="Arial"/>
          <w:iCs/>
          <w:sz w:val="24"/>
          <w:szCs w:val="24"/>
        </w:rPr>
        <w:t xml:space="preserve">will </w:t>
      </w:r>
      <w:r w:rsidR="00C6498E">
        <w:rPr>
          <w:rFonts w:ascii="Arial" w:hAnsi="Arial" w:cs="Arial"/>
          <w:iCs/>
          <w:sz w:val="24"/>
          <w:szCs w:val="24"/>
        </w:rPr>
        <w:t xml:space="preserve">also </w:t>
      </w:r>
      <w:r w:rsidR="00736617">
        <w:rPr>
          <w:rFonts w:ascii="Arial" w:hAnsi="Arial" w:cs="Arial"/>
          <w:iCs/>
          <w:sz w:val="24"/>
          <w:szCs w:val="24"/>
        </w:rPr>
        <w:t xml:space="preserve">be included on the public register. </w:t>
      </w:r>
      <w:r w:rsidR="005254F6">
        <w:rPr>
          <w:rFonts w:ascii="Arial" w:hAnsi="Arial" w:cs="Arial"/>
          <w:iCs/>
          <w:sz w:val="24"/>
          <w:szCs w:val="24"/>
        </w:rPr>
        <w:t>This engages</w:t>
      </w:r>
      <w:r w:rsidR="00EC2F81">
        <w:rPr>
          <w:rFonts w:ascii="Arial" w:hAnsi="Arial" w:cs="Arial"/>
          <w:iCs/>
          <w:sz w:val="24"/>
          <w:szCs w:val="24"/>
        </w:rPr>
        <w:t xml:space="preserve"> and may limit</w:t>
      </w:r>
      <w:r w:rsidR="005254F6">
        <w:rPr>
          <w:rFonts w:ascii="Arial" w:hAnsi="Arial" w:cs="Arial"/>
          <w:iCs/>
          <w:sz w:val="24"/>
          <w:szCs w:val="24"/>
        </w:rPr>
        <w:t xml:space="preserve"> the right to privacy and reputation of licensees whose reputation may be </w:t>
      </w:r>
      <w:r w:rsidR="006E6F74">
        <w:rPr>
          <w:rFonts w:ascii="Arial" w:hAnsi="Arial" w:cs="Arial"/>
          <w:iCs/>
          <w:sz w:val="24"/>
          <w:szCs w:val="24"/>
        </w:rPr>
        <w:t>scrutinised</w:t>
      </w:r>
      <w:r w:rsidR="005254F6">
        <w:rPr>
          <w:rFonts w:ascii="Arial" w:hAnsi="Arial" w:cs="Arial"/>
          <w:iCs/>
          <w:sz w:val="24"/>
          <w:szCs w:val="24"/>
        </w:rPr>
        <w:t xml:space="preserve"> due t</w:t>
      </w:r>
      <w:r w:rsidR="006E6F74">
        <w:rPr>
          <w:rFonts w:ascii="Arial" w:hAnsi="Arial" w:cs="Arial"/>
          <w:iCs/>
          <w:sz w:val="24"/>
          <w:szCs w:val="24"/>
        </w:rPr>
        <w:t>o being</w:t>
      </w:r>
      <w:r w:rsidR="005254F6">
        <w:rPr>
          <w:rFonts w:ascii="Arial" w:hAnsi="Arial" w:cs="Arial"/>
          <w:iCs/>
          <w:sz w:val="24"/>
          <w:szCs w:val="24"/>
        </w:rPr>
        <w:t xml:space="preserve"> </w:t>
      </w:r>
      <w:r w:rsidR="00651E24">
        <w:rPr>
          <w:rFonts w:ascii="Arial" w:hAnsi="Arial" w:cs="Arial"/>
          <w:iCs/>
          <w:sz w:val="24"/>
          <w:szCs w:val="24"/>
        </w:rPr>
        <w:t>issued</w:t>
      </w:r>
      <w:r w:rsidR="005254F6">
        <w:rPr>
          <w:rFonts w:ascii="Arial" w:hAnsi="Arial" w:cs="Arial"/>
          <w:iCs/>
          <w:sz w:val="24"/>
          <w:szCs w:val="24"/>
        </w:rPr>
        <w:t xml:space="preserve"> an infringement notice. </w:t>
      </w:r>
      <w:r w:rsidR="00736617">
        <w:rPr>
          <w:rFonts w:ascii="Arial" w:hAnsi="Arial" w:cs="Arial"/>
          <w:iCs/>
          <w:sz w:val="24"/>
          <w:szCs w:val="24"/>
        </w:rPr>
        <w:t xml:space="preserve">Particularly where, in some cases, the business or trading name is the full name of the licensee. </w:t>
      </w:r>
    </w:p>
    <w:p w14:paraId="314224FF" w14:textId="05F3DAF0" w:rsidR="00C1613D" w:rsidRPr="00265DF2" w:rsidRDefault="00C1613D" w:rsidP="00277E95">
      <w:pPr>
        <w:rPr>
          <w:rFonts w:ascii="Arial" w:hAnsi="Arial" w:cs="Arial"/>
          <w:iCs/>
          <w:sz w:val="24"/>
          <w:szCs w:val="24"/>
          <w:u w:val="single"/>
        </w:rPr>
      </w:pPr>
      <w:bookmarkStart w:id="3" w:name="_Hlk120534722"/>
      <w:r w:rsidRPr="004853E4">
        <w:rPr>
          <w:rFonts w:ascii="Arial" w:hAnsi="Arial" w:cs="Arial"/>
          <w:iCs/>
          <w:sz w:val="24"/>
          <w:szCs w:val="24"/>
          <w:u w:val="single"/>
        </w:rPr>
        <w:t>Presum</w:t>
      </w:r>
      <w:r w:rsidR="001700DA">
        <w:rPr>
          <w:rFonts w:ascii="Arial" w:hAnsi="Arial" w:cs="Arial"/>
          <w:iCs/>
          <w:sz w:val="24"/>
          <w:szCs w:val="24"/>
          <w:u w:val="single"/>
        </w:rPr>
        <w:t>ption of Innocence</w:t>
      </w:r>
    </w:p>
    <w:bookmarkEnd w:id="3"/>
    <w:p w14:paraId="2D05660B" w14:textId="6F369F47" w:rsidR="00C1613D" w:rsidRDefault="00C1613D" w:rsidP="00C1613D">
      <w:pPr>
        <w:rPr>
          <w:rFonts w:ascii="Arial" w:hAnsi="Arial" w:cs="Arial"/>
          <w:iCs/>
          <w:sz w:val="24"/>
          <w:szCs w:val="24"/>
        </w:rPr>
      </w:pPr>
      <w:r w:rsidRPr="00C1613D">
        <w:rPr>
          <w:rFonts w:ascii="Arial" w:hAnsi="Arial" w:cs="Arial"/>
          <w:iCs/>
          <w:sz w:val="24"/>
          <w:szCs w:val="24"/>
        </w:rPr>
        <w:t xml:space="preserve">The Amendment regulation also engages and may limit the right to be presumed innocent until proved guilty according to law under section 22(1) of the HRA. </w:t>
      </w:r>
    </w:p>
    <w:p w14:paraId="1D67AA85" w14:textId="130D6416" w:rsidR="00C1613D" w:rsidRPr="009A5B97" w:rsidRDefault="009A5B97" w:rsidP="00277E95">
      <w:pPr>
        <w:rPr>
          <w:rFonts w:ascii="Arial" w:hAnsi="Arial" w:cs="Arial"/>
          <w:iCs/>
          <w:sz w:val="24"/>
          <w:szCs w:val="24"/>
        </w:rPr>
      </w:pPr>
      <w:r>
        <w:rPr>
          <w:rFonts w:ascii="Arial" w:hAnsi="Arial" w:cs="Arial"/>
          <w:iCs/>
          <w:sz w:val="24"/>
          <w:szCs w:val="24"/>
        </w:rPr>
        <w:t xml:space="preserve">Infringement notices are on-the-spot fines and are not a substitution for prosecution and trial. They instead provide </w:t>
      </w:r>
      <w:r w:rsidR="00B33D49">
        <w:rPr>
          <w:rFonts w:ascii="Arial" w:hAnsi="Arial" w:cs="Arial"/>
          <w:iCs/>
          <w:sz w:val="24"/>
          <w:szCs w:val="24"/>
        </w:rPr>
        <w:t xml:space="preserve">an alternative to </w:t>
      </w:r>
      <w:r>
        <w:rPr>
          <w:rFonts w:ascii="Arial" w:hAnsi="Arial" w:cs="Arial"/>
          <w:iCs/>
          <w:sz w:val="24"/>
          <w:szCs w:val="24"/>
        </w:rPr>
        <w:t>proceed</w:t>
      </w:r>
      <w:r w:rsidR="00B33D49">
        <w:rPr>
          <w:rFonts w:ascii="Arial" w:hAnsi="Arial" w:cs="Arial"/>
          <w:iCs/>
          <w:sz w:val="24"/>
          <w:szCs w:val="24"/>
        </w:rPr>
        <w:t>ing</w:t>
      </w:r>
      <w:r>
        <w:rPr>
          <w:rFonts w:ascii="Arial" w:hAnsi="Arial" w:cs="Arial"/>
          <w:iCs/>
          <w:sz w:val="24"/>
          <w:szCs w:val="24"/>
        </w:rPr>
        <w:t xml:space="preserve"> with a prosecution if the</w:t>
      </w:r>
      <w:r w:rsidR="00B33D49">
        <w:rPr>
          <w:rFonts w:ascii="Arial" w:hAnsi="Arial" w:cs="Arial"/>
          <w:iCs/>
          <w:sz w:val="24"/>
          <w:szCs w:val="24"/>
        </w:rPr>
        <w:t xml:space="preserve"> person</w:t>
      </w:r>
      <w:r>
        <w:rPr>
          <w:rFonts w:ascii="Arial" w:hAnsi="Arial" w:cs="Arial"/>
          <w:iCs/>
          <w:sz w:val="24"/>
          <w:szCs w:val="24"/>
        </w:rPr>
        <w:t xml:space="preserve"> pay</w:t>
      </w:r>
      <w:r w:rsidR="00B33D49">
        <w:rPr>
          <w:rFonts w:ascii="Arial" w:hAnsi="Arial" w:cs="Arial"/>
          <w:iCs/>
          <w:sz w:val="24"/>
          <w:szCs w:val="24"/>
        </w:rPr>
        <w:t>s</w:t>
      </w:r>
      <w:r>
        <w:rPr>
          <w:rFonts w:ascii="Arial" w:hAnsi="Arial" w:cs="Arial"/>
          <w:iCs/>
          <w:sz w:val="24"/>
          <w:szCs w:val="24"/>
        </w:rPr>
        <w:t xml:space="preserve"> a nominal amount of the potential fine for the offence. Under an </w:t>
      </w:r>
      <w:r>
        <w:rPr>
          <w:rFonts w:ascii="Arial" w:hAnsi="Arial" w:cs="Arial"/>
          <w:iCs/>
          <w:sz w:val="24"/>
          <w:szCs w:val="24"/>
        </w:rPr>
        <w:lastRenderedPageBreak/>
        <w:t xml:space="preserve">infringement notice scheme, the alleged offender does not undergo a prosecution or trial where the full right to presumed innocence until proven guilty is upheld. </w:t>
      </w:r>
    </w:p>
    <w:p w14:paraId="4C31D8E5" w14:textId="4F57F74F" w:rsidR="007C565D"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1C722C02" w14:textId="77777777" w:rsidR="00BC4490" w:rsidRDefault="00BC4490" w:rsidP="005254F6">
      <w:pPr>
        <w:rPr>
          <w:rFonts w:ascii="Arial" w:hAnsi="Arial" w:cs="Arial"/>
          <w:iCs/>
          <w:sz w:val="24"/>
          <w:szCs w:val="24"/>
        </w:rPr>
      </w:pPr>
    </w:p>
    <w:p w14:paraId="1AA70251" w14:textId="630F1AB2" w:rsidR="009A5B97" w:rsidRPr="005254F6" w:rsidRDefault="00BC4490" w:rsidP="005254F6">
      <w:pPr>
        <w:rPr>
          <w:rFonts w:ascii="Arial" w:hAnsi="Arial" w:cs="Arial"/>
          <w:iCs/>
          <w:sz w:val="24"/>
          <w:szCs w:val="24"/>
        </w:rPr>
      </w:pPr>
      <w:r>
        <w:rPr>
          <w:rFonts w:ascii="Arial" w:hAnsi="Arial" w:cs="Arial"/>
          <w:iCs/>
          <w:sz w:val="24"/>
          <w:szCs w:val="24"/>
        </w:rPr>
        <w:t xml:space="preserve">The purpose of the </w:t>
      </w:r>
      <w:r w:rsidRPr="00BC4490">
        <w:rPr>
          <w:rFonts w:ascii="Arial" w:hAnsi="Arial" w:cs="Arial"/>
          <w:i/>
          <w:sz w:val="24"/>
          <w:szCs w:val="24"/>
        </w:rPr>
        <w:t>Work Health and Safety Act 2011</w:t>
      </w:r>
      <w:r>
        <w:rPr>
          <w:rFonts w:ascii="Arial" w:hAnsi="Arial" w:cs="Arial"/>
          <w:i/>
          <w:sz w:val="24"/>
          <w:szCs w:val="24"/>
        </w:rPr>
        <w:t xml:space="preserve"> </w:t>
      </w:r>
      <w:r>
        <w:rPr>
          <w:rFonts w:ascii="Arial" w:hAnsi="Arial" w:cs="Arial"/>
          <w:iCs/>
          <w:sz w:val="24"/>
          <w:szCs w:val="24"/>
        </w:rPr>
        <w:t xml:space="preserve">is to provide for a balanced and nationally consistent framework to secure the health and safety of workers and workplaces by </w:t>
      </w:r>
      <w:r w:rsidRPr="00BC4490">
        <w:rPr>
          <w:rFonts w:ascii="Arial" w:hAnsi="Arial" w:cs="Arial"/>
          <w:iCs/>
          <w:sz w:val="24"/>
          <w:szCs w:val="24"/>
        </w:rPr>
        <w:t>protecting workers and other persons against harm to their health, safety and welfare through the elimination or minimisation of risks arising from work</w:t>
      </w:r>
      <w:r>
        <w:rPr>
          <w:rFonts w:ascii="Arial" w:hAnsi="Arial" w:cs="Arial"/>
          <w:iCs/>
          <w:sz w:val="24"/>
          <w:szCs w:val="24"/>
        </w:rPr>
        <w:t>. C</w:t>
      </w:r>
      <w:r w:rsidRPr="00BC4490">
        <w:rPr>
          <w:rFonts w:ascii="Arial" w:hAnsi="Arial" w:cs="Arial"/>
          <w:iCs/>
          <w:sz w:val="24"/>
          <w:szCs w:val="24"/>
        </w:rPr>
        <w:t xml:space="preserve">ompliance with this Act </w:t>
      </w:r>
      <w:r>
        <w:rPr>
          <w:rFonts w:ascii="Arial" w:hAnsi="Arial" w:cs="Arial"/>
          <w:iCs/>
          <w:sz w:val="24"/>
          <w:szCs w:val="24"/>
        </w:rPr>
        <w:t xml:space="preserve">is secured </w:t>
      </w:r>
      <w:r w:rsidRPr="00BC4490">
        <w:rPr>
          <w:rFonts w:ascii="Arial" w:hAnsi="Arial" w:cs="Arial"/>
          <w:iCs/>
          <w:sz w:val="24"/>
          <w:szCs w:val="24"/>
        </w:rPr>
        <w:t>through effective and appropriate compliance and enforcement measure</w:t>
      </w:r>
      <w:r>
        <w:rPr>
          <w:rFonts w:ascii="Arial" w:hAnsi="Arial" w:cs="Arial"/>
          <w:iCs/>
          <w:sz w:val="24"/>
          <w:szCs w:val="24"/>
        </w:rPr>
        <w:t>s.</w:t>
      </w:r>
    </w:p>
    <w:p w14:paraId="2B25A9ED" w14:textId="785C3B98" w:rsidR="00752FE0" w:rsidRDefault="00376166" w:rsidP="00277E95">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05671CE0" w14:textId="77777777" w:rsidR="00752FE0" w:rsidRPr="00752FE0" w:rsidRDefault="00752FE0" w:rsidP="00752FE0">
      <w:pPr>
        <w:pStyle w:val="ListParagraph"/>
        <w:ind w:left="360"/>
        <w:rPr>
          <w:rFonts w:ascii="Arial" w:hAnsi="Arial" w:cs="Arial"/>
          <w:b/>
          <w:bCs/>
          <w:i/>
          <w:sz w:val="24"/>
          <w:szCs w:val="24"/>
        </w:rPr>
      </w:pPr>
    </w:p>
    <w:p w14:paraId="43441935" w14:textId="77777777" w:rsidR="00BC4490" w:rsidRPr="00BC4490" w:rsidRDefault="00BC4490" w:rsidP="00BC4490">
      <w:pPr>
        <w:rPr>
          <w:rFonts w:ascii="Arial" w:hAnsi="Arial" w:cs="Arial"/>
          <w:iCs/>
          <w:sz w:val="24"/>
          <w:szCs w:val="24"/>
          <w:u w:val="single"/>
        </w:rPr>
      </w:pPr>
      <w:r w:rsidRPr="00BC4490">
        <w:rPr>
          <w:rFonts w:ascii="Arial" w:hAnsi="Arial" w:cs="Arial"/>
          <w:iCs/>
          <w:sz w:val="24"/>
          <w:szCs w:val="24"/>
          <w:u w:val="single"/>
        </w:rPr>
        <w:t>Public Register</w:t>
      </w:r>
    </w:p>
    <w:p w14:paraId="2687DAED" w14:textId="77777777" w:rsidR="00BC4490" w:rsidRPr="00BC4490" w:rsidRDefault="00BC4490" w:rsidP="00BC4490">
      <w:pPr>
        <w:rPr>
          <w:rFonts w:ascii="Arial" w:hAnsi="Arial" w:cs="Arial"/>
          <w:iCs/>
          <w:sz w:val="24"/>
          <w:szCs w:val="24"/>
        </w:rPr>
      </w:pPr>
      <w:r w:rsidRPr="00BC4490">
        <w:rPr>
          <w:rFonts w:ascii="Arial" w:hAnsi="Arial" w:cs="Arial"/>
          <w:iCs/>
          <w:sz w:val="24"/>
          <w:szCs w:val="24"/>
        </w:rPr>
        <w:t xml:space="preserve">This potential limitation on the right to privacy and reputation has a legitimate purpose as it further safeguards and protects workers from unsafe work practices through the introduction of an additional regulatory tool to ensure compliance with WHS laws. </w:t>
      </w:r>
    </w:p>
    <w:p w14:paraId="44E67350" w14:textId="77777777" w:rsidR="00BC4490" w:rsidRPr="00BC4490" w:rsidRDefault="00BC4490" w:rsidP="00BC4490">
      <w:pPr>
        <w:rPr>
          <w:rFonts w:ascii="Arial" w:hAnsi="Arial" w:cs="Arial"/>
          <w:iCs/>
          <w:sz w:val="24"/>
          <w:szCs w:val="24"/>
        </w:rPr>
      </w:pPr>
      <w:r w:rsidRPr="00BC4490">
        <w:rPr>
          <w:rFonts w:ascii="Arial" w:hAnsi="Arial" w:cs="Arial"/>
          <w:iCs/>
          <w:sz w:val="24"/>
          <w:szCs w:val="24"/>
        </w:rPr>
        <w:t xml:space="preserve">The public register license condition under the WHS Regulation was established on 1 February 2021. The publication of information about a license holder’s non-compliance with WHS obligations acts as an importance deterrence to systemic and repeated non-compliance. </w:t>
      </w:r>
    </w:p>
    <w:p w14:paraId="57E2AD43" w14:textId="77777777" w:rsidR="00BC4490" w:rsidRPr="00BC4490" w:rsidRDefault="00BC4490" w:rsidP="00BC4490">
      <w:pPr>
        <w:rPr>
          <w:rFonts w:ascii="Arial" w:hAnsi="Arial" w:cs="Arial"/>
          <w:iCs/>
          <w:sz w:val="24"/>
          <w:szCs w:val="24"/>
        </w:rPr>
      </w:pPr>
      <w:r w:rsidRPr="00BC4490">
        <w:rPr>
          <w:rFonts w:ascii="Arial" w:hAnsi="Arial" w:cs="Arial"/>
          <w:iCs/>
          <w:sz w:val="24"/>
          <w:szCs w:val="24"/>
        </w:rPr>
        <w:t xml:space="preserve">Under the WHS Act, workers are protected from harm to their health, safety and welfare. The WHS Act requires that persons conducting a business or undertaking must ensure, so far as is reasonably practicable, the health and safety of workers through the elimination or minimisation of risks arising from work. </w:t>
      </w:r>
    </w:p>
    <w:p w14:paraId="2E1DBE14" w14:textId="77777777" w:rsidR="00BC4490" w:rsidRPr="00BC4490" w:rsidRDefault="00BC4490" w:rsidP="00BC4490">
      <w:pPr>
        <w:rPr>
          <w:rFonts w:ascii="Arial" w:hAnsi="Arial" w:cs="Arial"/>
          <w:iCs/>
          <w:sz w:val="24"/>
          <w:szCs w:val="24"/>
        </w:rPr>
      </w:pPr>
      <w:r w:rsidRPr="00BC4490">
        <w:rPr>
          <w:rFonts w:ascii="Arial" w:hAnsi="Arial" w:cs="Arial"/>
          <w:iCs/>
          <w:sz w:val="24"/>
          <w:szCs w:val="24"/>
        </w:rPr>
        <w:t>Taking timely action to penalise alleged WHS breaches, including failures in eliminating or minimising risks, acts as an effective deterrent against unsafe work practices which pose serious risks to worker’s welfare. For instance, sections 446(1) and 446(3) of the WHS Regulation relates to a duty to limit use of equipment on asbestos or asbestos containing material. Compliance with this section is crucial to addressing the significant harm that asbestos exposes to workers.</w:t>
      </w:r>
    </w:p>
    <w:p w14:paraId="4611DDD5" w14:textId="77777777" w:rsidR="00BC4490" w:rsidRPr="00BC4490" w:rsidRDefault="00BC4490" w:rsidP="00BC4490">
      <w:pPr>
        <w:rPr>
          <w:rFonts w:ascii="Arial" w:hAnsi="Arial" w:cs="Arial"/>
          <w:iCs/>
          <w:sz w:val="24"/>
          <w:szCs w:val="24"/>
          <w:u w:val="single"/>
        </w:rPr>
      </w:pPr>
      <w:r w:rsidRPr="00BC4490">
        <w:rPr>
          <w:rFonts w:ascii="Arial" w:hAnsi="Arial" w:cs="Arial"/>
          <w:iCs/>
          <w:sz w:val="24"/>
          <w:szCs w:val="24"/>
          <w:u w:val="single"/>
        </w:rPr>
        <w:t>Presumption of Innocence</w:t>
      </w:r>
    </w:p>
    <w:p w14:paraId="367802AE" w14:textId="11745497" w:rsidR="00BC4490" w:rsidRPr="00BC4490" w:rsidRDefault="00BC4490" w:rsidP="00BC4490">
      <w:pPr>
        <w:rPr>
          <w:rFonts w:ascii="Arial" w:hAnsi="Arial" w:cs="Arial"/>
          <w:iCs/>
          <w:sz w:val="24"/>
          <w:szCs w:val="24"/>
        </w:rPr>
      </w:pPr>
      <w:r w:rsidRPr="00BC4490">
        <w:rPr>
          <w:rFonts w:ascii="Arial" w:hAnsi="Arial" w:cs="Arial"/>
          <w:iCs/>
          <w:sz w:val="24"/>
          <w:szCs w:val="24"/>
        </w:rPr>
        <w:t xml:space="preserve">Infringement notice schemes have been supported by Australian Law Reform Commission Report No 95: Principled Regulation. The ACT Government’s policy for infringement notices, as set out in the </w:t>
      </w:r>
      <w:r w:rsidRPr="00BC4490">
        <w:rPr>
          <w:rFonts w:ascii="Arial" w:hAnsi="Arial" w:cs="Arial"/>
          <w:i/>
          <w:iCs/>
          <w:sz w:val="24"/>
          <w:szCs w:val="24"/>
        </w:rPr>
        <w:t>Guide for Framing Offences</w:t>
      </w:r>
      <w:r w:rsidRPr="00BC4490">
        <w:rPr>
          <w:rFonts w:ascii="Arial" w:hAnsi="Arial" w:cs="Arial"/>
          <w:iCs/>
          <w:sz w:val="24"/>
          <w:szCs w:val="24"/>
        </w:rPr>
        <w:t>, is informed by the Australian Law Reform Commission</w:t>
      </w:r>
      <w:r w:rsidR="00A76187">
        <w:rPr>
          <w:rFonts w:ascii="Arial" w:hAnsi="Arial" w:cs="Arial"/>
          <w:iCs/>
          <w:sz w:val="24"/>
          <w:szCs w:val="24"/>
        </w:rPr>
        <w:t>’s</w:t>
      </w:r>
      <w:r w:rsidRPr="00BC4490">
        <w:rPr>
          <w:rFonts w:ascii="Arial" w:hAnsi="Arial" w:cs="Arial"/>
          <w:iCs/>
          <w:sz w:val="24"/>
          <w:szCs w:val="24"/>
        </w:rPr>
        <w:t xml:space="preserve"> report. This policy is established to ensure infringement notices meet a legitimate purpose with full consideration and justification when approving offences as an infringement notice offence. </w:t>
      </w:r>
    </w:p>
    <w:p w14:paraId="350B9FEF" w14:textId="77777777" w:rsidR="00BC4490" w:rsidRPr="00BC4490" w:rsidRDefault="00BC4490" w:rsidP="00BC4490">
      <w:pPr>
        <w:rPr>
          <w:rFonts w:ascii="Arial" w:hAnsi="Arial" w:cs="Arial"/>
          <w:iCs/>
          <w:sz w:val="24"/>
          <w:szCs w:val="24"/>
        </w:rPr>
      </w:pPr>
      <w:r w:rsidRPr="00BC4490">
        <w:rPr>
          <w:rFonts w:ascii="Arial" w:hAnsi="Arial" w:cs="Arial"/>
          <w:iCs/>
          <w:sz w:val="24"/>
          <w:szCs w:val="24"/>
        </w:rPr>
        <w:lastRenderedPageBreak/>
        <w:t>In the case of WHS laws, infringement notice penalties work as an important regulatory tool to ensure compliance and protection of worker rights to safety. They provide the work safety regulator with the appropriate means to meet their functions under the WHS Act and undertake compliance and enforcement action.</w:t>
      </w:r>
    </w:p>
    <w:p w14:paraId="6AAF429F" w14:textId="77777777" w:rsidR="00BC4490" w:rsidRPr="00EC2F81" w:rsidRDefault="00BC4490" w:rsidP="00277E95">
      <w:pPr>
        <w:rPr>
          <w:rFonts w:ascii="Arial" w:hAnsi="Arial" w:cs="Arial"/>
          <w:iCs/>
          <w:sz w:val="24"/>
          <w:szCs w:val="24"/>
        </w:rPr>
      </w:pPr>
    </w:p>
    <w:p w14:paraId="29C39D87" w14:textId="6F1278E8" w:rsidR="007D660F"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4E2847">
        <w:rPr>
          <w:rFonts w:ascii="Arial" w:hAnsi="Arial" w:cs="Arial"/>
          <w:b/>
          <w:bCs/>
          <w:i/>
          <w:sz w:val="24"/>
          <w:szCs w:val="24"/>
        </w:rPr>
        <w:t>(e)</w:t>
      </w:r>
      <w:r w:rsidR="003F68EE" w:rsidRPr="00414921">
        <w:rPr>
          <w:rFonts w:ascii="Arial" w:hAnsi="Arial" w:cs="Arial"/>
          <w:b/>
          <w:bCs/>
          <w:i/>
          <w:sz w:val="24"/>
          <w:szCs w:val="24"/>
        </w:rPr>
        <w:t>)</w:t>
      </w:r>
    </w:p>
    <w:p w14:paraId="0363A9F1" w14:textId="7C018CBE" w:rsidR="009E6656" w:rsidRDefault="009E6656" w:rsidP="009E6656">
      <w:pPr>
        <w:rPr>
          <w:rFonts w:ascii="Arial" w:hAnsi="Arial" w:cs="Arial"/>
          <w:b/>
          <w:bCs/>
          <w:i/>
          <w:sz w:val="24"/>
          <w:szCs w:val="24"/>
        </w:rPr>
      </w:pPr>
    </w:p>
    <w:p w14:paraId="62815539" w14:textId="23FBEBE6" w:rsidR="009E6656" w:rsidRPr="009E6656" w:rsidRDefault="009E6656" w:rsidP="009E6656">
      <w:pPr>
        <w:rPr>
          <w:rFonts w:ascii="Arial" w:hAnsi="Arial" w:cs="Arial"/>
          <w:iCs/>
          <w:sz w:val="24"/>
          <w:szCs w:val="24"/>
          <w:u w:val="single"/>
        </w:rPr>
      </w:pPr>
      <w:r w:rsidRPr="009E6656">
        <w:rPr>
          <w:rFonts w:ascii="Arial" w:hAnsi="Arial" w:cs="Arial"/>
          <w:iCs/>
          <w:sz w:val="24"/>
          <w:szCs w:val="24"/>
          <w:u w:val="single"/>
        </w:rPr>
        <w:t>Public Register</w:t>
      </w:r>
    </w:p>
    <w:p w14:paraId="0D9A562C" w14:textId="5410C5E6" w:rsidR="00114E7F" w:rsidRDefault="00114E7F" w:rsidP="00114E7F">
      <w:pPr>
        <w:rPr>
          <w:rFonts w:ascii="Arial" w:hAnsi="Arial" w:cs="Arial"/>
          <w:iCs/>
          <w:sz w:val="24"/>
          <w:szCs w:val="24"/>
        </w:rPr>
      </w:pPr>
      <w:r w:rsidRPr="00114E7F">
        <w:rPr>
          <w:rFonts w:ascii="Arial" w:hAnsi="Arial" w:cs="Arial"/>
          <w:iCs/>
          <w:sz w:val="24"/>
          <w:szCs w:val="24"/>
        </w:rPr>
        <w:t xml:space="preserve">In developing this amendment regulation </w:t>
      </w:r>
      <w:r>
        <w:rPr>
          <w:rFonts w:ascii="Arial" w:hAnsi="Arial" w:cs="Arial"/>
          <w:iCs/>
          <w:sz w:val="24"/>
          <w:szCs w:val="24"/>
        </w:rPr>
        <w:t xml:space="preserve">consideration has been given to the proportionality of potential human rights limitations to the importance of </w:t>
      </w:r>
      <w:r w:rsidR="00EC2F81">
        <w:rPr>
          <w:rFonts w:ascii="Arial" w:hAnsi="Arial" w:cs="Arial"/>
          <w:iCs/>
          <w:sz w:val="24"/>
          <w:szCs w:val="24"/>
        </w:rPr>
        <w:t>protecting</w:t>
      </w:r>
      <w:r>
        <w:rPr>
          <w:rFonts w:ascii="Arial" w:hAnsi="Arial" w:cs="Arial"/>
          <w:iCs/>
          <w:sz w:val="24"/>
          <w:szCs w:val="24"/>
        </w:rPr>
        <w:t xml:space="preserve"> worker safety. </w:t>
      </w:r>
    </w:p>
    <w:p w14:paraId="2284F008" w14:textId="23A33E21" w:rsidR="00B14265" w:rsidRDefault="00B14265" w:rsidP="00114E7F">
      <w:pPr>
        <w:rPr>
          <w:rFonts w:ascii="Arial" w:hAnsi="Arial" w:cs="Arial"/>
          <w:iCs/>
          <w:sz w:val="24"/>
          <w:szCs w:val="24"/>
        </w:rPr>
      </w:pPr>
      <w:r>
        <w:rPr>
          <w:rFonts w:ascii="Arial" w:hAnsi="Arial" w:cs="Arial"/>
          <w:iCs/>
          <w:sz w:val="24"/>
          <w:szCs w:val="24"/>
        </w:rPr>
        <w:t xml:space="preserve">On balance, any limitation </w:t>
      </w:r>
      <w:r w:rsidR="00BC080E">
        <w:rPr>
          <w:rFonts w:ascii="Arial" w:hAnsi="Arial" w:cs="Arial"/>
          <w:iCs/>
          <w:sz w:val="24"/>
          <w:szCs w:val="24"/>
        </w:rPr>
        <w:t xml:space="preserve">on </w:t>
      </w:r>
      <w:r>
        <w:rPr>
          <w:rFonts w:ascii="Arial" w:hAnsi="Arial" w:cs="Arial"/>
          <w:iCs/>
          <w:sz w:val="24"/>
          <w:szCs w:val="24"/>
        </w:rPr>
        <w:t xml:space="preserve">the right to privacy and reputation is justified through the protection of the right to life and the right to work. Where an alleged breach of safety obligations has occurred, it is the practice of the ACT’s regulatory system to make this publicly known to meet community and social expectations. This </w:t>
      </w:r>
      <w:r w:rsidR="00B33D49">
        <w:rPr>
          <w:rFonts w:ascii="Arial" w:hAnsi="Arial" w:cs="Arial"/>
          <w:iCs/>
          <w:sz w:val="24"/>
          <w:szCs w:val="24"/>
        </w:rPr>
        <w:t xml:space="preserve">supports the principle of </w:t>
      </w:r>
      <w:r>
        <w:rPr>
          <w:rFonts w:ascii="Arial" w:hAnsi="Arial" w:cs="Arial"/>
          <w:iCs/>
          <w:sz w:val="24"/>
          <w:szCs w:val="24"/>
        </w:rPr>
        <w:t>deterren</w:t>
      </w:r>
      <w:r w:rsidR="00B33D49">
        <w:rPr>
          <w:rFonts w:ascii="Arial" w:hAnsi="Arial" w:cs="Arial"/>
          <w:iCs/>
          <w:sz w:val="24"/>
          <w:szCs w:val="24"/>
        </w:rPr>
        <w:t>ce</w:t>
      </w:r>
      <w:r>
        <w:rPr>
          <w:rFonts w:ascii="Arial" w:hAnsi="Arial" w:cs="Arial"/>
          <w:iCs/>
          <w:sz w:val="24"/>
          <w:szCs w:val="24"/>
        </w:rPr>
        <w:t xml:space="preserve"> against non-compliance </w:t>
      </w:r>
      <w:r w:rsidR="00B33D49">
        <w:rPr>
          <w:rFonts w:ascii="Arial" w:hAnsi="Arial" w:cs="Arial"/>
          <w:iCs/>
          <w:sz w:val="24"/>
          <w:szCs w:val="24"/>
        </w:rPr>
        <w:t>by upholding and focussing on</w:t>
      </w:r>
      <w:r>
        <w:rPr>
          <w:rFonts w:ascii="Arial" w:hAnsi="Arial" w:cs="Arial"/>
          <w:iCs/>
          <w:sz w:val="24"/>
          <w:szCs w:val="24"/>
        </w:rPr>
        <w:t xml:space="preserve"> safety </w:t>
      </w:r>
      <w:r w:rsidR="00B33D49">
        <w:rPr>
          <w:rFonts w:ascii="Arial" w:hAnsi="Arial" w:cs="Arial"/>
          <w:iCs/>
          <w:sz w:val="24"/>
          <w:szCs w:val="24"/>
        </w:rPr>
        <w:t xml:space="preserve">compliance </w:t>
      </w:r>
      <w:r>
        <w:rPr>
          <w:rFonts w:ascii="Arial" w:hAnsi="Arial" w:cs="Arial"/>
          <w:iCs/>
          <w:sz w:val="24"/>
          <w:szCs w:val="24"/>
        </w:rPr>
        <w:t xml:space="preserve">in </w:t>
      </w:r>
      <w:r w:rsidR="006B5889">
        <w:rPr>
          <w:rFonts w:ascii="Arial" w:hAnsi="Arial" w:cs="Arial"/>
          <w:iCs/>
          <w:sz w:val="24"/>
          <w:szCs w:val="24"/>
        </w:rPr>
        <w:t xml:space="preserve">the </w:t>
      </w:r>
      <w:r>
        <w:rPr>
          <w:rFonts w:ascii="Arial" w:hAnsi="Arial" w:cs="Arial"/>
          <w:iCs/>
          <w:sz w:val="24"/>
          <w:szCs w:val="24"/>
        </w:rPr>
        <w:t>services</w:t>
      </w:r>
      <w:r w:rsidR="006B5889">
        <w:rPr>
          <w:rFonts w:ascii="Arial" w:hAnsi="Arial" w:cs="Arial"/>
          <w:iCs/>
          <w:sz w:val="24"/>
          <w:szCs w:val="24"/>
        </w:rPr>
        <w:t xml:space="preserve"> delivered by licensees</w:t>
      </w:r>
      <w:r>
        <w:rPr>
          <w:rFonts w:ascii="Arial" w:hAnsi="Arial" w:cs="Arial"/>
          <w:iCs/>
          <w:sz w:val="24"/>
          <w:szCs w:val="24"/>
        </w:rPr>
        <w:t>.</w:t>
      </w:r>
      <w:r w:rsidR="00CE37F7">
        <w:rPr>
          <w:rFonts w:ascii="Arial" w:hAnsi="Arial" w:cs="Arial"/>
          <w:iCs/>
          <w:sz w:val="24"/>
          <w:szCs w:val="24"/>
        </w:rPr>
        <w:t xml:space="preserve"> </w:t>
      </w:r>
      <w:r w:rsidR="00CE37F7" w:rsidRPr="00CE37F7">
        <w:rPr>
          <w:rFonts w:ascii="Arial" w:hAnsi="Arial" w:cs="Arial"/>
          <w:iCs/>
          <w:sz w:val="24"/>
          <w:szCs w:val="24"/>
        </w:rPr>
        <w:t>It is important to note that the public register, and publication of all information including trading names, are already online at the WorkSafe ACT website. Th</w:t>
      </w:r>
      <w:r w:rsidR="00FD33E6">
        <w:rPr>
          <w:rFonts w:ascii="Arial" w:hAnsi="Arial" w:cs="Arial"/>
          <w:iCs/>
          <w:sz w:val="24"/>
          <w:szCs w:val="24"/>
        </w:rPr>
        <w:t>is Amendment Regulation will only</w:t>
      </w:r>
      <w:r w:rsidR="00CE37F7" w:rsidRPr="00CE37F7">
        <w:rPr>
          <w:rFonts w:ascii="Arial" w:hAnsi="Arial" w:cs="Arial"/>
          <w:iCs/>
          <w:sz w:val="24"/>
          <w:szCs w:val="24"/>
        </w:rPr>
        <w:t xml:space="preserve"> impact </w:t>
      </w:r>
      <w:r w:rsidR="00FD33E6">
        <w:rPr>
          <w:rFonts w:ascii="Arial" w:hAnsi="Arial" w:cs="Arial"/>
          <w:iCs/>
          <w:sz w:val="24"/>
          <w:szCs w:val="24"/>
        </w:rPr>
        <w:t xml:space="preserve">the register </w:t>
      </w:r>
      <w:r w:rsidR="00CE37F7" w:rsidRPr="00CE37F7">
        <w:rPr>
          <w:rFonts w:ascii="Arial" w:hAnsi="Arial" w:cs="Arial"/>
          <w:iCs/>
          <w:sz w:val="24"/>
          <w:szCs w:val="24"/>
        </w:rPr>
        <w:t>whe</w:t>
      </w:r>
      <w:r w:rsidR="00FD33E6">
        <w:rPr>
          <w:rFonts w:ascii="Arial" w:hAnsi="Arial" w:cs="Arial"/>
          <w:iCs/>
          <w:sz w:val="24"/>
          <w:szCs w:val="24"/>
        </w:rPr>
        <w:t>n</w:t>
      </w:r>
      <w:r w:rsidR="00CE37F7" w:rsidRPr="00CE37F7">
        <w:rPr>
          <w:rFonts w:ascii="Arial" w:hAnsi="Arial" w:cs="Arial"/>
          <w:iCs/>
          <w:sz w:val="24"/>
          <w:szCs w:val="24"/>
        </w:rPr>
        <w:t xml:space="preserve"> licensees ha</w:t>
      </w:r>
      <w:r w:rsidR="00FD33E6">
        <w:rPr>
          <w:rFonts w:ascii="Arial" w:hAnsi="Arial" w:cs="Arial"/>
          <w:iCs/>
          <w:sz w:val="24"/>
          <w:szCs w:val="24"/>
        </w:rPr>
        <w:t>ve</w:t>
      </w:r>
      <w:r w:rsidR="00CE37F7" w:rsidRPr="00CE37F7">
        <w:rPr>
          <w:rFonts w:ascii="Arial" w:hAnsi="Arial" w:cs="Arial"/>
          <w:iCs/>
          <w:sz w:val="24"/>
          <w:szCs w:val="24"/>
        </w:rPr>
        <w:t xml:space="preserve"> allegedly breached their WHS obligations</w:t>
      </w:r>
      <w:r w:rsidR="00B33D49">
        <w:rPr>
          <w:rFonts w:ascii="Arial" w:hAnsi="Arial" w:cs="Arial"/>
          <w:iCs/>
          <w:sz w:val="24"/>
          <w:szCs w:val="24"/>
        </w:rPr>
        <w:t xml:space="preserve"> and been issued with an infringement notice for the alleged breach</w:t>
      </w:r>
      <w:r w:rsidR="00CE37F7" w:rsidRPr="00CE37F7">
        <w:rPr>
          <w:rFonts w:ascii="Arial" w:hAnsi="Arial" w:cs="Arial"/>
          <w:iCs/>
          <w:sz w:val="24"/>
          <w:szCs w:val="24"/>
        </w:rPr>
        <w:t>.</w:t>
      </w:r>
    </w:p>
    <w:p w14:paraId="4F9CBC69" w14:textId="11517946" w:rsidR="00D82BF1" w:rsidRPr="00114E7F" w:rsidRDefault="00D82BF1" w:rsidP="00114E7F">
      <w:pPr>
        <w:rPr>
          <w:rFonts w:ascii="Arial" w:hAnsi="Arial" w:cs="Arial"/>
          <w:iCs/>
          <w:sz w:val="24"/>
          <w:szCs w:val="24"/>
        </w:rPr>
      </w:pPr>
      <w:r>
        <w:rPr>
          <w:rFonts w:ascii="Arial" w:hAnsi="Arial" w:cs="Arial"/>
          <w:iCs/>
          <w:sz w:val="24"/>
          <w:szCs w:val="24"/>
        </w:rPr>
        <w:t xml:space="preserve">The type of information included on the public register is reasonable and proportionate to achieving the policy objective of protecting worker safety. The information included on the register is circumscribed according to this purpose. The register focuses on the license type and basic business information. This is the minimum information needed for the register to be an effective deterrent against non-compliance. </w:t>
      </w:r>
    </w:p>
    <w:p w14:paraId="105B49DF" w14:textId="455B7D57" w:rsidR="009E6656" w:rsidRDefault="00EF37C8" w:rsidP="00163ADE">
      <w:pPr>
        <w:rPr>
          <w:rFonts w:ascii="Arial" w:hAnsi="Arial" w:cs="Arial"/>
          <w:iCs/>
          <w:sz w:val="24"/>
          <w:szCs w:val="24"/>
        </w:rPr>
      </w:pPr>
      <w:bookmarkStart w:id="4" w:name="OLE_LINK1"/>
      <w:r>
        <w:rPr>
          <w:rFonts w:ascii="Arial" w:hAnsi="Arial" w:cs="Arial"/>
          <w:iCs/>
          <w:sz w:val="24"/>
          <w:szCs w:val="24"/>
        </w:rPr>
        <w:t>Given t</w:t>
      </w:r>
      <w:r w:rsidRPr="00EF37C8">
        <w:rPr>
          <w:rFonts w:ascii="Arial" w:hAnsi="Arial" w:cs="Arial"/>
          <w:iCs/>
          <w:sz w:val="24"/>
          <w:szCs w:val="24"/>
        </w:rPr>
        <w:t>he importance of ensuring compliance with laws that protect the health and safety of workers and other people, th</w:t>
      </w:r>
      <w:r>
        <w:rPr>
          <w:rFonts w:ascii="Arial" w:hAnsi="Arial" w:cs="Arial"/>
          <w:iCs/>
          <w:sz w:val="24"/>
          <w:szCs w:val="24"/>
        </w:rPr>
        <w:t>e</w:t>
      </w:r>
      <w:r w:rsidRPr="00EF37C8">
        <w:rPr>
          <w:rFonts w:ascii="Arial" w:hAnsi="Arial" w:cs="Arial"/>
          <w:iCs/>
          <w:sz w:val="24"/>
          <w:szCs w:val="24"/>
        </w:rPr>
        <w:t xml:space="preserve"> limitation on privacy and reputation </w:t>
      </w:r>
      <w:r>
        <w:rPr>
          <w:rFonts w:ascii="Arial" w:hAnsi="Arial" w:cs="Arial"/>
          <w:iCs/>
          <w:sz w:val="24"/>
          <w:szCs w:val="24"/>
        </w:rPr>
        <w:t>caused by the establishment of the public register is</w:t>
      </w:r>
      <w:r w:rsidRPr="00EF37C8">
        <w:rPr>
          <w:rFonts w:ascii="Arial" w:hAnsi="Arial" w:cs="Arial"/>
          <w:iCs/>
          <w:sz w:val="24"/>
          <w:szCs w:val="24"/>
        </w:rPr>
        <w:t xml:space="preserve"> </w:t>
      </w:r>
      <w:r w:rsidR="00C51822">
        <w:rPr>
          <w:rFonts w:ascii="Arial" w:hAnsi="Arial" w:cs="Arial"/>
          <w:iCs/>
          <w:sz w:val="24"/>
          <w:szCs w:val="24"/>
        </w:rPr>
        <w:t xml:space="preserve">the </w:t>
      </w:r>
      <w:r w:rsidR="00B14265">
        <w:rPr>
          <w:rFonts w:ascii="Arial" w:hAnsi="Arial" w:cs="Arial"/>
          <w:iCs/>
          <w:sz w:val="24"/>
          <w:szCs w:val="24"/>
        </w:rPr>
        <w:t xml:space="preserve">only </w:t>
      </w:r>
      <w:r w:rsidRPr="00EF37C8">
        <w:rPr>
          <w:rFonts w:ascii="Arial" w:hAnsi="Arial" w:cs="Arial"/>
          <w:iCs/>
          <w:sz w:val="24"/>
          <w:szCs w:val="24"/>
        </w:rPr>
        <w:t xml:space="preserve">reasonable and proportionate </w:t>
      </w:r>
      <w:r w:rsidR="00C51822">
        <w:rPr>
          <w:rFonts w:ascii="Arial" w:hAnsi="Arial" w:cs="Arial"/>
          <w:iCs/>
          <w:sz w:val="24"/>
          <w:szCs w:val="24"/>
        </w:rPr>
        <w:t xml:space="preserve">means to uphold </w:t>
      </w:r>
      <w:r>
        <w:rPr>
          <w:rFonts w:ascii="Arial" w:hAnsi="Arial" w:cs="Arial"/>
          <w:iCs/>
          <w:sz w:val="24"/>
          <w:szCs w:val="24"/>
        </w:rPr>
        <w:t>this</w:t>
      </w:r>
      <w:r w:rsidRPr="00EF37C8">
        <w:rPr>
          <w:rFonts w:ascii="Arial" w:hAnsi="Arial" w:cs="Arial"/>
          <w:iCs/>
          <w:sz w:val="24"/>
          <w:szCs w:val="24"/>
        </w:rPr>
        <w:t xml:space="preserve"> regulatory framework</w:t>
      </w:r>
      <w:r w:rsidR="00C51822">
        <w:rPr>
          <w:rFonts w:ascii="Arial" w:hAnsi="Arial" w:cs="Arial"/>
          <w:iCs/>
          <w:sz w:val="24"/>
          <w:szCs w:val="24"/>
        </w:rPr>
        <w:t xml:space="preserve"> and achieve the policy objective</w:t>
      </w:r>
      <w:r w:rsidR="00FD33E6">
        <w:rPr>
          <w:rFonts w:ascii="Arial" w:hAnsi="Arial" w:cs="Arial"/>
          <w:iCs/>
          <w:sz w:val="24"/>
          <w:szCs w:val="24"/>
        </w:rPr>
        <w:t>.</w:t>
      </w:r>
    </w:p>
    <w:p w14:paraId="19B47DCF" w14:textId="77777777" w:rsidR="001700DA" w:rsidRPr="001700DA" w:rsidRDefault="001700DA" w:rsidP="001700DA">
      <w:pPr>
        <w:rPr>
          <w:rFonts w:ascii="Arial" w:hAnsi="Arial" w:cs="Arial"/>
          <w:iCs/>
          <w:sz w:val="24"/>
          <w:szCs w:val="24"/>
          <w:u w:val="single"/>
        </w:rPr>
      </w:pPr>
      <w:r w:rsidRPr="001700DA">
        <w:rPr>
          <w:rFonts w:ascii="Arial" w:hAnsi="Arial" w:cs="Arial"/>
          <w:iCs/>
          <w:sz w:val="24"/>
          <w:szCs w:val="24"/>
          <w:u w:val="single"/>
        </w:rPr>
        <w:t>Presumption of Innocence</w:t>
      </w:r>
    </w:p>
    <w:p w14:paraId="1713671D" w14:textId="326DAF44" w:rsidR="00265DF2" w:rsidRDefault="00382EB3" w:rsidP="00163ADE">
      <w:pPr>
        <w:rPr>
          <w:rFonts w:asciiTheme="minorHAnsi" w:hAnsiTheme="minorHAnsi" w:cs="Arial"/>
          <w:bCs/>
          <w:sz w:val="28"/>
          <w:szCs w:val="28"/>
          <w:lang w:eastAsia="en-AU"/>
        </w:rPr>
      </w:pPr>
      <w:r w:rsidRPr="00265DF2">
        <w:rPr>
          <w:rFonts w:ascii="Arial" w:hAnsi="Arial" w:cs="Arial"/>
          <w:iCs/>
          <w:sz w:val="24"/>
          <w:szCs w:val="24"/>
        </w:rPr>
        <w:t>The limitation on the right to presumption of innocence is proportionate in the context of infringement notice schemes within the regulatory system. These schemes serv</w:t>
      </w:r>
      <w:r w:rsidR="006B5889">
        <w:rPr>
          <w:rFonts w:ascii="Arial" w:hAnsi="Arial" w:cs="Arial"/>
          <w:iCs/>
          <w:sz w:val="24"/>
          <w:szCs w:val="24"/>
        </w:rPr>
        <w:t xml:space="preserve">e </w:t>
      </w:r>
      <w:r w:rsidRPr="00265DF2">
        <w:rPr>
          <w:rFonts w:ascii="Arial" w:hAnsi="Arial" w:cs="Arial"/>
          <w:iCs/>
          <w:sz w:val="24"/>
          <w:szCs w:val="24"/>
        </w:rPr>
        <w:t>a legitimate purpose when used appropriately and with suitable offences</w:t>
      </w:r>
      <w:r>
        <w:rPr>
          <w:rFonts w:asciiTheme="minorHAnsi" w:hAnsiTheme="minorHAnsi" w:cs="Arial"/>
          <w:bCs/>
          <w:sz w:val="28"/>
          <w:szCs w:val="28"/>
          <w:lang w:eastAsia="en-AU"/>
        </w:rPr>
        <w:t xml:space="preserve">. </w:t>
      </w:r>
    </w:p>
    <w:p w14:paraId="34E98052" w14:textId="48933D72" w:rsidR="00BC4490" w:rsidRPr="00BC4490" w:rsidRDefault="00BC4490" w:rsidP="00163ADE">
      <w:pPr>
        <w:rPr>
          <w:rFonts w:ascii="Arial" w:hAnsi="Arial" w:cs="Arial"/>
          <w:iCs/>
          <w:sz w:val="24"/>
          <w:szCs w:val="24"/>
        </w:rPr>
      </w:pPr>
      <w:r w:rsidRPr="00BC4490">
        <w:rPr>
          <w:rFonts w:ascii="Arial" w:hAnsi="Arial" w:cs="Arial"/>
          <w:iCs/>
          <w:sz w:val="24"/>
          <w:szCs w:val="24"/>
        </w:rPr>
        <w:t>A thorough assessment, including consultation with the work safety regulator, has been undertaken</w:t>
      </w:r>
      <w:r w:rsidR="00355DEA">
        <w:rPr>
          <w:rFonts w:ascii="Arial" w:hAnsi="Arial" w:cs="Arial"/>
          <w:iCs/>
          <w:sz w:val="24"/>
          <w:szCs w:val="24"/>
        </w:rPr>
        <w:t xml:space="preserve"> in line with the </w:t>
      </w:r>
      <w:r w:rsidR="00355DEA" w:rsidRPr="00355DEA">
        <w:rPr>
          <w:rFonts w:ascii="Arial" w:hAnsi="Arial" w:cs="Arial"/>
          <w:i/>
          <w:iCs/>
          <w:sz w:val="24"/>
          <w:szCs w:val="24"/>
        </w:rPr>
        <w:t>Guide for Framing Offences</w:t>
      </w:r>
      <w:r w:rsidRPr="00BC4490">
        <w:rPr>
          <w:rFonts w:ascii="Arial" w:hAnsi="Arial" w:cs="Arial"/>
          <w:iCs/>
          <w:sz w:val="24"/>
          <w:szCs w:val="24"/>
        </w:rPr>
        <w:t xml:space="preserve"> to ensure the additional offences against which an infringement notice may be issued are necessary to </w:t>
      </w:r>
      <w:r w:rsidRPr="00BC4490">
        <w:rPr>
          <w:rFonts w:ascii="Arial" w:hAnsi="Arial" w:cs="Arial"/>
          <w:iCs/>
          <w:sz w:val="24"/>
          <w:szCs w:val="24"/>
        </w:rPr>
        <w:lastRenderedPageBreak/>
        <w:t xml:space="preserve">ensure appropriate compliance and enforcement. </w:t>
      </w:r>
      <w:r w:rsidR="00355DEA">
        <w:rPr>
          <w:rFonts w:ascii="Arial" w:hAnsi="Arial" w:cs="Arial"/>
          <w:iCs/>
          <w:sz w:val="24"/>
          <w:szCs w:val="24"/>
        </w:rPr>
        <w:t xml:space="preserve">This includes the general application of strict liability to each physical element of each offence under the WHS Act and WHS Regulations. </w:t>
      </w:r>
      <w:r w:rsidRPr="00BC4490">
        <w:rPr>
          <w:rFonts w:ascii="Arial" w:hAnsi="Arial" w:cs="Arial"/>
          <w:iCs/>
          <w:sz w:val="24"/>
          <w:szCs w:val="24"/>
        </w:rPr>
        <w:t>The expansion of this scheme</w:t>
      </w:r>
      <w:r w:rsidR="00C2361F">
        <w:rPr>
          <w:rFonts w:ascii="Arial" w:hAnsi="Arial" w:cs="Arial"/>
          <w:iCs/>
          <w:sz w:val="24"/>
          <w:szCs w:val="24"/>
        </w:rPr>
        <w:t xml:space="preserve"> </w:t>
      </w:r>
      <w:r w:rsidRPr="00BC4490">
        <w:rPr>
          <w:rFonts w:ascii="Arial" w:hAnsi="Arial" w:cs="Arial"/>
          <w:iCs/>
          <w:sz w:val="24"/>
          <w:szCs w:val="24"/>
        </w:rPr>
        <w:t xml:space="preserve">is the mechanism required to uphold the ACT’s work health and safety regulatory framework. </w:t>
      </w:r>
    </w:p>
    <w:p w14:paraId="04F50CE4" w14:textId="09AAACFE" w:rsidR="00774277" w:rsidRPr="00265DF2" w:rsidRDefault="00265DF2" w:rsidP="00163ADE">
      <w:pPr>
        <w:rPr>
          <w:rFonts w:ascii="Arial" w:hAnsi="Arial" w:cs="Arial"/>
          <w:iCs/>
          <w:sz w:val="24"/>
          <w:szCs w:val="24"/>
        </w:rPr>
      </w:pPr>
      <w:r>
        <w:rPr>
          <w:rFonts w:ascii="Arial" w:hAnsi="Arial" w:cs="Arial"/>
          <w:iCs/>
          <w:sz w:val="24"/>
          <w:szCs w:val="24"/>
        </w:rPr>
        <w:t>P</w:t>
      </w:r>
      <w:r w:rsidRPr="00265DF2">
        <w:rPr>
          <w:rFonts w:ascii="Arial" w:hAnsi="Arial" w:cs="Arial"/>
          <w:iCs/>
          <w:sz w:val="24"/>
          <w:szCs w:val="24"/>
        </w:rPr>
        <w:t xml:space="preserve">aying an infringement notice is not a plea of guilt or an acceptance of guilt. </w:t>
      </w:r>
      <w:r w:rsidR="00607D39">
        <w:rPr>
          <w:rFonts w:ascii="Arial" w:hAnsi="Arial" w:cs="Arial"/>
          <w:iCs/>
          <w:sz w:val="24"/>
          <w:szCs w:val="24"/>
        </w:rPr>
        <w:t xml:space="preserve">The </w:t>
      </w:r>
      <w:r w:rsidR="00607D39" w:rsidRPr="00607D39">
        <w:rPr>
          <w:rFonts w:ascii="Arial" w:hAnsi="Arial" w:cs="Arial"/>
          <w:i/>
          <w:sz w:val="24"/>
          <w:szCs w:val="24"/>
        </w:rPr>
        <w:t>Magistrates Court Act 1930</w:t>
      </w:r>
      <w:r w:rsidR="00607D39">
        <w:rPr>
          <w:rFonts w:ascii="Arial" w:hAnsi="Arial" w:cs="Arial"/>
          <w:iCs/>
          <w:sz w:val="24"/>
          <w:szCs w:val="24"/>
        </w:rPr>
        <w:t xml:space="preserve"> section 122(e)</w:t>
      </w:r>
      <w:r w:rsidR="001700DA">
        <w:rPr>
          <w:rFonts w:ascii="Arial" w:hAnsi="Arial" w:cs="Arial"/>
          <w:iCs/>
          <w:sz w:val="24"/>
          <w:szCs w:val="24"/>
        </w:rPr>
        <w:t xml:space="preserve"> provides that i</w:t>
      </w:r>
      <w:r w:rsidR="00607D39">
        <w:rPr>
          <w:rFonts w:ascii="Arial" w:hAnsi="Arial" w:cs="Arial"/>
          <w:iCs/>
          <w:sz w:val="24"/>
          <w:szCs w:val="24"/>
        </w:rPr>
        <w:t>f</w:t>
      </w:r>
      <w:r w:rsidR="001700DA">
        <w:rPr>
          <w:rFonts w:ascii="Arial" w:hAnsi="Arial" w:cs="Arial"/>
          <w:iCs/>
          <w:sz w:val="24"/>
          <w:szCs w:val="24"/>
        </w:rPr>
        <w:t xml:space="preserve"> a person</w:t>
      </w:r>
      <w:r w:rsidR="001700DA" w:rsidRPr="001700DA">
        <w:rPr>
          <w:color w:val="000000"/>
          <w:shd w:val="clear" w:color="auto" w:fill="FFFFFF"/>
        </w:rPr>
        <w:t xml:space="preserve"> </w:t>
      </w:r>
      <w:r w:rsidR="001700DA" w:rsidRPr="001700DA">
        <w:rPr>
          <w:rFonts w:ascii="Arial" w:hAnsi="Arial" w:cs="Arial"/>
          <w:iCs/>
          <w:sz w:val="24"/>
          <w:szCs w:val="24"/>
        </w:rPr>
        <w:t>wishes to dispute liability for the offence, the issue may be referred to the Magistrates Court</w:t>
      </w:r>
      <w:r w:rsidR="00607D39">
        <w:rPr>
          <w:rFonts w:ascii="Arial" w:hAnsi="Arial" w:cs="Arial"/>
          <w:iCs/>
          <w:sz w:val="24"/>
          <w:szCs w:val="24"/>
        </w:rPr>
        <w:t>. W</w:t>
      </w:r>
      <w:r w:rsidRPr="00265DF2">
        <w:rPr>
          <w:rFonts w:ascii="Arial" w:hAnsi="Arial" w:cs="Arial"/>
          <w:iCs/>
          <w:sz w:val="24"/>
          <w:szCs w:val="24"/>
        </w:rPr>
        <w:t xml:space="preserve">here this occurs the Government and prosecuting agency is responsible for proceeding with prosecution or dropping the allegation. This </w:t>
      </w:r>
      <w:r w:rsidR="006B5889">
        <w:rPr>
          <w:rFonts w:ascii="Arial" w:hAnsi="Arial" w:cs="Arial"/>
          <w:iCs/>
          <w:sz w:val="24"/>
          <w:szCs w:val="24"/>
        </w:rPr>
        <w:t>offers</w:t>
      </w:r>
      <w:r w:rsidRPr="00265DF2">
        <w:rPr>
          <w:rFonts w:ascii="Arial" w:hAnsi="Arial" w:cs="Arial"/>
          <w:iCs/>
          <w:sz w:val="24"/>
          <w:szCs w:val="24"/>
        </w:rPr>
        <w:t xml:space="preserve"> an avenue for review and provides some agency for the alleged offender to preserve their right to innocence until proved guilty. </w:t>
      </w:r>
      <w:r>
        <w:rPr>
          <w:rFonts w:ascii="Arial" w:hAnsi="Arial" w:cs="Arial"/>
          <w:iCs/>
          <w:sz w:val="24"/>
          <w:szCs w:val="24"/>
        </w:rPr>
        <w:t>On balance, given th</w:t>
      </w:r>
      <w:r w:rsidR="00607D39">
        <w:rPr>
          <w:rFonts w:ascii="Arial" w:hAnsi="Arial" w:cs="Arial"/>
          <w:iCs/>
          <w:sz w:val="24"/>
          <w:szCs w:val="24"/>
        </w:rPr>
        <w:t xml:space="preserve">e option </w:t>
      </w:r>
      <w:r w:rsidR="00C2361F">
        <w:rPr>
          <w:rFonts w:ascii="Arial" w:hAnsi="Arial" w:cs="Arial"/>
          <w:iCs/>
          <w:sz w:val="24"/>
          <w:szCs w:val="24"/>
        </w:rPr>
        <w:t xml:space="preserve">to </w:t>
      </w:r>
      <w:r w:rsidR="00607D39">
        <w:rPr>
          <w:rFonts w:ascii="Arial" w:hAnsi="Arial" w:cs="Arial"/>
          <w:iCs/>
          <w:sz w:val="24"/>
          <w:szCs w:val="24"/>
        </w:rPr>
        <w:t>dispute liability for the offence</w:t>
      </w:r>
      <w:r>
        <w:rPr>
          <w:rFonts w:ascii="Arial" w:hAnsi="Arial" w:cs="Arial"/>
          <w:iCs/>
          <w:sz w:val="24"/>
          <w:szCs w:val="24"/>
        </w:rPr>
        <w:t>, the expansion of WHS infringement notices is necessary to ensure the ACT WHS regulatory framework continue</w:t>
      </w:r>
      <w:r w:rsidR="006B5889">
        <w:rPr>
          <w:rFonts w:ascii="Arial" w:hAnsi="Arial" w:cs="Arial"/>
          <w:iCs/>
          <w:sz w:val="24"/>
          <w:szCs w:val="24"/>
        </w:rPr>
        <w:t>s</w:t>
      </w:r>
      <w:r>
        <w:rPr>
          <w:rFonts w:ascii="Arial" w:hAnsi="Arial" w:cs="Arial"/>
          <w:iCs/>
          <w:sz w:val="24"/>
          <w:szCs w:val="24"/>
        </w:rPr>
        <w:t xml:space="preserve"> to protect worker health and safety. </w:t>
      </w:r>
      <w:r w:rsidR="00774277" w:rsidRPr="00265DF2">
        <w:rPr>
          <w:rFonts w:ascii="Arial" w:hAnsi="Arial" w:cs="Arial"/>
          <w:iCs/>
          <w:sz w:val="24"/>
          <w:szCs w:val="24"/>
        </w:rPr>
        <w:br w:type="page"/>
      </w:r>
    </w:p>
    <w:bookmarkEnd w:id="4"/>
    <w:p w14:paraId="6173867E" w14:textId="11ABFDA6" w:rsidR="008C76C4" w:rsidRDefault="008C76C4">
      <w:pPr>
        <w:pStyle w:val="Heading2"/>
        <w:pageBreakBefore/>
        <w:spacing w:before="240" w:after="240"/>
      </w:pPr>
      <w:r w:rsidRPr="008C225D">
        <w:lastRenderedPageBreak/>
        <w:t>CLAUSE NOTES</w:t>
      </w:r>
    </w:p>
    <w:p w14:paraId="6D3ABCCB" w14:textId="27A6CA5A" w:rsidR="004C6E50" w:rsidRDefault="00C61B07" w:rsidP="004C6E50">
      <w:pPr>
        <w:pStyle w:val="Heading3"/>
      </w:pPr>
      <w:r w:rsidRPr="00ED3B77">
        <w:t>Clause 1</w:t>
      </w:r>
      <w:r w:rsidRPr="00ED3B77">
        <w:tab/>
        <w:t xml:space="preserve">Name of </w:t>
      </w:r>
      <w:r w:rsidR="00EC6EFE">
        <w:t>regulation</w:t>
      </w:r>
    </w:p>
    <w:p w14:paraId="3B78DA71" w14:textId="60A7D325" w:rsidR="004C6E50" w:rsidRPr="004C6E50" w:rsidRDefault="004C6E50" w:rsidP="004C6E50">
      <w:pPr>
        <w:rPr>
          <w:rFonts w:ascii="Arial" w:hAnsi="Arial" w:cs="Arial"/>
          <w:sz w:val="24"/>
          <w:szCs w:val="24"/>
        </w:rPr>
      </w:pPr>
      <w:r w:rsidRPr="004C6E50">
        <w:rPr>
          <w:rFonts w:ascii="Arial" w:hAnsi="Arial" w:cs="Arial"/>
          <w:sz w:val="24"/>
          <w:szCs w:val="24"/>
        </w:rPr>
        <w:t>Clause 1 establishes the name of the</w:t>
      </w:r>
      <w:r w:rsidR="00F557A1" w:rsidRPr="00F557A1">
        <w:t xml:space="preserve"> </w:t>
      </w:r>
      <w:r w:rsidR="00F557A1" w:rsidRPr="00F557A1">
        <w:rPr>
          <w:rFonts w:ascii="Arial" w:hAnsi="Arial" w:cs="Arial"/>
          <w:i/>
          <w:iCs/>
          <w:sz w:val="24"/>
          <w:szCs w:val="24"/>
        </w:rPr>
        <w:t xml:space="preserve">Magistrates Court (Work Health and Safety Infringement Notices) Amendment Regulation 2023 (No </w:t>
      </w:r>
      <w:r w:rsidR="00CA7251">
        <w:rPr>
          <w:rFonts w:ascii="Arial" w:hAnsi="Arial" w:cs="Arial"/>
          <w:i/>
          <w:iCs/>
          <w:sz w:val="24"/>
          <w:szCs w:val="24"/>
        </w:rPr>
        <w:t>1</w:t>
      </w:r>
      <w:r w:rsidR="00F557A1" w:rsidRPr="00F557A1">
        <w:rPr>
          <w:rFonts w:ascii="Arial" w:hAnsi="Arial" w:cs="Arial"/>
          <w:i/>
          <w:iCs/>
          <w:sz w:val="24"/>
          <w:szCs w:val="24"/>
        </w:rPr>
        <w:t>).</w:t>
      </w:r>
    </w:p>
    <w:p w14:paraId="341827EE" w14:textId="2909C025" w:rsidR="00C61B07" w:rsidRDefault="00C61B07" w:rsidP="008C225D">
      <w:pPr>
        <w:pStyle w:val="Heading3"/>
      </w:pPr>
      <w:r w:rsidRPr="00ED3B77">
        <w:t>Clause 2</w:t>
      </w:r>
      <w:r w:rsidRPr="00ED3B77">
        <w:tab/>
        <w:t>Commencement</w:t>
      </w:r>
    </w:p>
    <w:p w14:paraId="761D0BE0" w14:textId="528EBA55" w:rsidR="00F557A1" w:rsidRPr="00F557A1" w:rsidRDefault="00F557A1" w:rsidP="00F557A1">
      <w:pPr>
        <w:rPr>
          <w:rFonts w:ascii="Arial" w:hAnsi="Arial" w:cs="Arial"/>
          <w:sz w:val="24"/>
          <w:szCs w:val="24"/>
        </w:rPr>
      </w:pPr>
      <w:r w:rsidRPr="00F557A1">
        <w:rPr>
          <w:rFonts w:ascii="Arial" w:hAnsi="Arial" w:cs="Arial"/>
          <w:sz w:val="24"/>
          <w:szCs w:val="24"/>
        </w:rPr>
        <w:t xml:space="preserve">This clause provides the commencement of the regulation. The regulation, other than schedule 1, commences on 20 March 2023. Schedule 1 commences immediately after the commencement of the </w:t>
      </w:r>
      <w:r w:rsidRPr="009113F9">
        <w:rPr>
          <w:rFonts w:ascii="Arial" w:hAnsi="Arial" w:cs="Arial"/>
          <w:i/>
          <w:iCs/>
          <w:sz w:val="24"/>
          <w:szCs w:val="24"/>
        </w:rPr>
        <w:t>Work Health and Safety Amendment Regulation 2022 (No 1),</w:t>
      </w:r>
      <w:r w:rsidRPr="00F557A1">
        <w:rPr>
          <w:rFonts w:ascii="Arial" w:hAnsi="Arial" w:cs="Arial"/>
          <w:sz w:val="24"/>
          <w:szCs w:val="24"/>
        </w:rPr>
        <w:t xml:space="preserve"> schedule 1.</w:t>
      </w:r>
    </w:p>
    <w:p w14:paraId="7B3788A3" w14:textId="46FCAB93" w:rsidR="00F07E7E" w:rsidRDefault="00D803F1" w:rsidP="00D803F1">
      <w:pPr>
        <w:pStyle w:val="Heading3"/>
      </w:pPr>
      <w:r>
        <w:t xml:space="preserve">Clause 3       Legislation Amended </w:t>
      </w:r>
    </w:p>
    <w:p w14:paraId="664F01F7" w14:textId="0EB2BA26" w:rsidR="00F557A1" w:rsidRPr="00F557A1" w:rsidRDefault="00F557A1" w:rsidP="00F557A1">
      <w:pPr>
        <w:rPr>
          <w:rFonts w:ascii="Arial" w:hAnsi="Arial" w:cs="Arial"/>
          <w:sz w:val="24"/>
          <w:szCs w:val="24"/>
        </w:rPr>
      </w:pPr>
      <w:r w:rsidRPr="00F557A1">
        <w:rPr>
          <w:rFonts w:ascii="Arial" w:hAnsi="Arial" w:cs="Arial"/>
          <w:sz w:val="24"/>
          <w:szCs w:val="24"/>
        </w:rPr>
        <w:t xml:space="preserve">This clause provides that the regulation amends the </w:t>
      </w:r>
      <w:r w:rsidRPr="009113F9">
        <w:rPr>
          <w:rFonts w:ascii="Arial" w:hAnsi="Arial" w:cs="Arial"/>
          <w:i/>
          <w:iCs/>
          <w:sz w:val="24"/>
          <w:szCs w:val="24"/>
        </w:rPr>
        <w:t>Magistrates Court (Work Health and Safety Infringement Notices) Regulation 2011</w:t>
      </w:r>
      <w:r w:rsidRPr="00F557A1">
        <w:rPr>
          <w:rFonts w:ascii="Arial" w:hAnsi="Arial" w:cs="Arial"/>
          <w:sz w:val="24"/>
          <w:szCs w:val="24"/>
        </w:rPr>
        <w:t>.</w:t>
      </w:r>
    </w:p>
    <w:p w14:paraId="513917BD" w14:textId="3874FB65" w:rsidR="00D803F1" w:rsidRDefault="00D803F1" w:rsidP="00D803F1">
      <w:pPr>
        <w:pStyle w:val="Heading3"/>
      </w:pPr>
      <w:r>
        <w:t>Clause 4</w:t>
      </w:r>
      <w:r w:rsidR="00853BFF">
        <w:t xml:space="preserve">       </w:t>
      </w:r>
      <w:r>
        <w:t>Schedule 1, part 1.1, new items 2A and 2B</w:t>
      </w:r>
    </w:p>
    <w:p w14:paraId="4415EB12" w14:textId="4ADBBE15" w:rsidR="001219DB" w:rsidRPr="00497317" w:rsidRDefault="00F557A1" w:rsidP="00163CED">
      <w:pPr>
        <w:rPr>
          <w:rFonts w:ascii="Arial" w:hAnsi="Arial" w:cs="Arial"/>
          <w:i/>
          <w:iCs/>
          <w:sz w:val="24"/>
          <w:szCs w:val="24"/>
        </w:rPr>
      </w:pPr>
      <w:r w:rsidRPr="00AA0D51">
        <w:rPr>
          <w:rFonts w:ascii="Arial" w:hAnsi="Arial" w:cs="Arial"/>
          <w:sz w:val="24"/>
          <w:szCs w:val="24"/>
        </w:rPr>
        <w:t xml:space="preserve">This clause inserts sections 43(1) and 43(2) </w:t>
      </w:r>
      <w:r w:rsidR="00FB19F4" w:rsidRPr="00AA0D51">
        <w:rPr>
          <w:rFonts w:ascii="Arial" w:hAnsi="Arial" w:cs="Arial"/>
          <w:sz w:val="24"/>
          <w:szCs w:val="24"/>
        </w:rPr>
        <w:t xml:space="preserve">of the WHS Act </w:t>
      </w:r>
      <w:r w:rsidRPr="00AA0D51">
        <w:rPr>
          <w:rFonts w:ascii="Arial" w:hAnsi="Arial" w:cs="Arial"/>
          <w:sz w:val="24"/>
          <w:szCs w:val="24"/>
        </w:rPr>
        <w:t xml:space="preserve">into Schedule 1, part 1.1. </w:t>
      </w:r>
      <w:r w:rsidR="00FB19F4" w:rsidRPr="00AA0D51">
        <w:rPr>
          <w:rFonts w:ascii="Arial" w:hAnsi="Arial" w:cs="Arial"/>
          <w:sz w:val="24"/>
          <w:szCs w:val="24"/>
        </w:rPr>
        <w:t>It provides that infringement notice</w:t>
      </w:r>
      <w:r w:rsidR="005D0389">
        <w:rPr>
          <w:rFonts w:ascii="Arial" w:hAnsi="Arial" w:cs="Arial"/>
          <w:sz w:val="24"/>
          <w:szCs w:val="24"/>
        </w:rPr>
        <w:t>s</w:t>
      </w:r>
      <w:r w:rsidR="00FB19F4" w:rsidRPr="00AA0D51">
        <w:rPr>
          <w:rFonts w:ascii="Arial" w:hAnsi="Arial" w:cs="Arial"/>
          <w:sz w:val="24"/>
          <w:szCs w:val="24"/>
        </w:rPr>
        <w:t xml:space="preserve"> may be issued against offences relating to the requirements for </w:t>
      </w:r>
      <w:r w:rsidR="005D0389">
        <w:rPr>
          <w:rFonts w:ascii="Arial" w:hAnsi="Arial" w:cs="Arial"/>
          <w:sz w:val="24"/>
          <w:szCs w:val="24"/>
        </w:rPr>
        <w:t>regulated work to be carried out by workers who are authorised to do so</w:t>
      </w:r>
      <w:r w:rsidR="00B44117">
        <w:rPr>
          <w:rFonts w:ascii="Arial" w:hAnsi="Arial" w:cs="Arial"/>
          <w:sz w:val="24"/>
          <w:szCs w:val="24"/>
        </w:rPr>
        <w:t>.</w:t>
      </w:r>
    </w:p>
    <w:p w14:paraId="3971B7B0" w14:textId="18E80F47" w:rsidR="001A5B10" w:rsidRDefault="001A5B10" w:rsidP="00F557A1">
      <w:pPr>
        <w:rPr>
          <w:rFonts w:ascii="Arial" w:hAnsi="Arial" w:cs="Arial"/>
          <w:iCs/>
          <w:sz w:val="24"/>
          <w:szCs w:val="24"/>
        </w:rPr>
      </w:pPr>
      <w:r>
        <w:rPr>
          <w:rFonts w:ascii="Arial" w:hAnsi="Arial" w:cs="Arial"/>
          <w:iCs/>
          <w:sz w:val="24"/>
          <w:szCs w:val="24"/>
        </w:rPr>
        <w:t>Breaches of s</w:t>
      </w:r>
      <w:r w:rsidR="00B8145B" w:rsidRPr="00B8145B">
        <w:rPr>
          <w:rFonts w:ascii="Arial" w:hAnsi="Arial" w:cs="Arial"/>
          <w:iCs/>
          <w:sz w:val="24"/>
          <w:szCs w:val="24"/>
        </w:rPr>
        <w:t xml:space="preserve">ections 43(1) and 43(2) of the WHS Act may result in serious risks to the safety of workers or other people. </w:t>
      </w:r>
      <w:r>
        <w:rPr>
          <w:rFonts w:ascii="Arial" w:hAnsi="Arial" w:cs="Arial"/>
          <w:iCs/>
          <w:sz w:val="24"/>
          <w:szCs w:val="24"/>
        </w:rPr>
        <w:t xml:space="preserve">The ability to issue infringement notices for these offences </w:t>
      </w:r>
      <w:r w:rsidR="00B44117">
        <w:rPr>
          <w:rFonts w:ascii="Arial" w:hAnsi="Arial" w:cs="Arial"/>
          <w:iCs/>
          <w:sz w:val="24"/>
          <w:szCs w:val="24"/>
        </w:rPr>
        <w:t xml:space="preserve">offers an option for early intervention and deterrence. </w:t>
      </w:r>
      <w:r w:rsidR="00B44117" w:rsidRPr="00B8145B">
        <w:rPr>
          <w:rFonts w:ascii="Arial" w:hAnsi="Arial" w:cs="Arial"/>
          <w:iCs/>
          <w:sz w:val="24"/>
          <w:szCs w:val="24"/>
        </w:rPr>
        <w:t xml:space="preserve">A matter under these sections that warrants </w:t>
      </w:r>
      <w:r w:rsidR="00B44117">
        <w:rPr>
          <w:rFonts w:ascii="Arial" w:hAnsi="Arial" w:cs="Arial"/>
          <w:iCs/>
          <w:sz w:val="24"/>
          <w:szCs w:val="24"/>
        </w:rPr>
        <w:t>more serious intervention</w:t>
      </w:r>
      <w:r w:rsidR="00B44117" w:rsidRPr="00B8145B">
        <w:rPr>
          <w:rFonts w:ascii="Arial" w:hAnsi="Arial" w:cs="Arial"/>
          <w:iCs/>
          <w:sz w:val="24"/>
          <w:szCs w:val="24"/>
        </w:rPr>
        <w:t xml:space="preserve"> may be prosecuted through the courts in instances where the work safety regulator has deemed this as the more appropriate course.</w:t>
      </w:r>
    </w:p>
    <w:p w14:paraId="306116D6" w14:textId="231F1BC3" w:rsidR="00B8145B" w:rsidRPr="00B8145B" w:rsidRDefault="001A5B10" w:rsidP="00F557A1">
      <w:pPr>
        <w:rPr>
          <w:rFonts w:ascii="Arial" w:hAnsi="Arial" w:cs="Arial"/>
          <w:iCs/>
          <w:sz w:val="24"/>
          <w:szCs w:val="24"/>
        </w:rPr>
      </w:pPr>
      <w:r>
        <w:rPr>
          <w:rFonts w:ascii="Arial" w:hAnsi="Arial" w:cs="Arial"/>
          <w:iCs/>
          <w:sz w:val="24"/>
          <w:szCs w:val="24"/>
        </w:rPr>
        <w:t>S</w:t>
      </w:r>
      <w:r w:rsidRPr="00B8145B">
        <w:rPr>
          <w:rFonts w:ascii="Arial" w:hAnsi="Arial" w:cs="Arial"/>
          <w:iCs/>
          <w:sz w:val="24"/>
          <w:szCs w:val="24"/>
        </w:rPr>
        <w:t>ections 43(1) and 43(2) of the WHS Act</w:t>
      </w:r>
      <w:r>
        <w:rPr>
          <w:rFonts w:ascii="Arial" w:hAnsi="Arial" w:cs="Arial"/>
          <w:iCs/>
          <w:sz w:val="24"/>
          <w:szCs w:val="24"/>
        </w:rPr>
        <w:t xml:space="preserve"> </w:t>
      </w:r>
      <w:r w:rsidRPr="00B8145B">
        <w:rPr>
          <w:rFonts w:ascii="Arial" w:hAnsi="Arial" w:cs="Arial"/>
          <w:iCs/>
          <w:sz w:val="24"/>
          <w:szCs w:val="24"/>
        </w:rPr>
        <w:t xml:space="preserve">have higher </w:t>
      </w:r>
      <w:r>
        <w:rPr>
          <w:rFonts w:ascii="Arial" w:hAnsi="Arial" w:cs="Arial"/>
          <w:iCs/>
          <w:sz w:val="24"/>
          <w:szCs w:val="24"/>
        </w:rPr>
        <w:t>maximum</w:t>
      </w:r>
      <w:r w:rsidRPr="00B8145B">
        <w:rPr>
          <w:rFonts w:ascii="Arial" w:hAnsi="Arial" w:cs="Arial"/>
          <w:iCs/>
          <w:sz w:val="24"/>
          <w:szCs w:val="24"/>
        </w:rPr>
        <w:t xml:space="preserve"> penalties</w:t>
      </w:r>
      <w:r>
        <w:rPr>
          <w:rFonts w:ascii="Arial" w:hAnsi="Arial" w:cs="Arial"/>
          <w:iCs/>
          <w:sz w:val="24"/>
          <w:szCs w:val="24"/>
        </w:rPr>
        <w:t xml:space="preserve"> than some other infringement notice offences, </w:t>
      </w:r>
      <w:r w:rsidR="00B44117">
        <w:rPr>
          <w:rFonts w:ascii="Arial" w:hAnsi="Arial" w:cs="Arial"/>
          <w:iCs/>
          <w:sz w:val="24"/>
          <w:szCs w:val="24"/>
        </w:rPr>
        <w:t>due to</w:t>
      </w:r>
      <w:r>
        <w:rPr>
          <w:rFonts w:ascii="Arial" w:hAnsi="Arial" w:cs="Arial"/>
          <w:iCs/>
          <w:sz w:val="24"/>
          <w:szCs w:val="24"/>
        </w:rPr>
        <w:t xml:space="preserve"> the significant safety risks that breaches may involve. </w:t>
      </w:r>
      <w:r w:rsidRPr="00B8145B">
        <w:rPr>
          <w:rFonts w:ascii="Arial" w:hAnsi="Arial" w:cs="Arial"/>
          <w:iCs/>
          <w:sz w:val="24"/>
          <w:szCs w:val="24"/>
        </w:rPr>
        <w:t xml:space="preserve">The infringement penalty amount is set at 20% of the maximum penalty amount in line with the </w:t>
      </w:r>
      <w:r w:rsidRPr="00B8145B">
        <w:rPr>
          <w:rFonts w:ascii="Arial" w:hAnsi="Arial" w:cs="Arial"/>
          <w:i/>
          <w:iCs/>
          <w:sz w:val="24"/>
          <w:szCs w:val="24"/>
        </w:rPr>
        <w:t>ACT Guide for Framing Offences</w:t>
      </w:r>
      <w:r>
        <w:rPr>
          <w:rFonts w:ascii="Arial" w:hAnsi="Arial" w:cs="Arial"/>
          <w:iCs/>
          <w:sz w:val="24"/>
          <w:szCs w:val="24"/>
        </w:rPr>
        <w:t xml:space="preserve">. </w:t>
      </w:r>
    </w:p>
    <w:p w14:paraId="5915CF2C" w14:textId="5A3B7E7D" w:rsidR="00D803F1" w:rsidRDefault="00D803F1" w:rsidP="00D803F1">
      <w:pPr>
        <w:pStyle w:val="Heading3"/>
      </w:pPr>
      <w:r>
        <w:t xml:space="preserve">Clause 5 </w:t>
      </w:r>
      <w:r w:rsidR="00853BFF">
        <w:t xml:space="preserve">      </w:t>
      </w:r>
      <w:r>
        <w:t>Schedule 1, part 1.1, new item 13A</w:t>
      </w:r>
    </w:p>
    <w:p w14:paraId="08FD06C5" w14:textId="25BDEA53" w:rsidR="001219DB" w:rsidRPr="00C9619D" w:rsidRDefault="00FB19F4" w:rsidP="00163CED">
      <w:pPr>
        <w:rPr>
          <w:rFonts w:ascii="Arial" w:hAnsi="Arial" w:cs="Arial"/>
          <w:i/>
          <w:iCs/>
          <w:sz w:val="24"/>
          <w:szCs w:val="24"/>
        </w:rPr>
      </w:pPr>
      <w:r w:rsidRPr="00AA0D51">
        <w:rPr>
          <w:rFonts w:ascii="Arial" w:hAnsi="Arial" w:cs="Arial"/>
          <w:sz w:val="24"/>
          <w:szCs w:val="24"/>
        </w:rPr>
        <w:t xml:space="preserve">This clause inserts section 210(1) of the WHS Act into Schedule 1, part 1.1. It provides that an infringement notice may be issued against </w:t>
      </w:r>
      <w:r w:rsidR="00B44117">
        <w:rPr>
          <w:rFonts w:ascii="Arial" w:hAnsi="Arial" w:cs="Arial"/>
          <w:sz w:val="24"/>
          <w:szCs w:val="24"/>
        </w:rPr>
        <w:t>an</w:t>
      </w:r>
      <w:r w:rsidR="00B44117" w:rsidRPr="00AA0D51">
        <w:rPr>
          <w:rFonts w:ascii="Arial" w:hAnsi="Arial" w:cs="Arial"/>
          <w:sz w:val="24"/>
          <w:szCs w:val="24"/>
        </w:rPr>
        <w:t xml:space="preserve"> </w:t>
      </w:r>
      <w:r w:rsidRPr="00AA0D51">
        <w:rPr>
          <w:rFonts w:ascii="Arial" w:hAnsi="Arial" w:cs="Arial"/>
          <w:sz w:val="24"/>
          <w:szCs w:val="24"/>
        </w:rPr>
        <w:t>offence relating to display of notice</w:t>
      </w:r>
      <w:r w:rsidR="00B44117">
        <w:rPr>
          <w:rFonts w:ascii="Arial" w:hAnsi="Arial" w:cs="Arial"/>
          <w:sz w:val="24"/>
          <w:szCs w:val="24"/>
        </w:rPr>
        <w:t>s.</w:t>
      </w:r>
    </w:p>
    <w:p w14:paraId="65CC9143" w14:textId="6DB30239" w:rsidR="00D803F1" w:rsidRDefault="00D803F1" w:rsidP="00D803F1">
      <w:pPr>
        <w:pStyle w:val="Heading3"/>
      </w:pPr>
      <w:r>
        <w:t xml:space="preserve">Clause 6 </w:t>
      </w:r>
      <w:r w:rsidR="00853BFF">
        <w:t xml:space="preserve">      </w:t>
      </w:r>
      <w:r>
        <w:t>Schedule 1, part 1.2, new item 8A</w:t>
      </w:r>
    </w:p>
    <w:p w14:paraId="558FEEE9" w14:textId="50B3A0E9" w:rsidR="001219DB" w:rsidRPr="00C9619D" w:rsidRDefault="00FB19F4" w:rsidP="00163CED">
      <w:pPr>
        <w:rPr>
          <w:rFonts w:ascii="Arial" w:hAnsi="Arial" w:cs="Arial"/>
          <w:i/>
          <w:iCs/>
          <w:sz w:val="24"/>
          <w:szCs w:val="24"/>
        </w:rPr>
      </w:pPr>
      <w:r w:rsidRPr="00AA0D51">
        <w:rPr>
          <w:rFonts w:ascii="Arial" w:hAnsi="Arial" w:cs="Arial"/>
          <w:sz w:val="24"/>
          <w:szCs w:val="24"/>
        </w:rPr>
        <w:t xml:space="preserve">This clause inserts section 50(3) of the WHS Regulation into Schedule 1, part 1.2. It provides that an infringement notice may be issued against </w:t>
      </w:r>
      <w:r w:rsidR="00B44117">
        <w:rPr>
          <w:rFonts w:ascii="Arial" w:hAnsi="Arial" w:cs="Arial"/>
          <w:sz w:val="24"/>
          <w:szCs w:val="24"/>
        </w:rPr>
        <w:t>an</w:t>
      </w:r>
      <w:r w:rsidR="00B44117" w:rsidRPr="00AA0D51">
        <w:rPr>
          <w:rFonts w:ascii="Arial" w:hAnsi="Arial" w:cs="Arial"/>
          <w:sz w:val="24"/>
          <w:szCs w:val="24"/>
        </w:rPr>
        <w:t xml:space="preserve"> </w:t>
      </w:r>
      <w:r w:rsidRPr="00AA0D51">
        <w:rPr>
          <w:rFonts w:ascii="Arial" w:hAnsi="Arial" w:cs="Arial"/>
          <w:sz w:val="24"/>
          <w:szCs w:val="24"/>
        </w:rPr>
        <w:t>offence relating to monitoring airborne contaminant level</w:t>
      </w:r>
      <w:r w:rsidR="00B44117">
        <w:rPr>
          <w:rFonts w:ascii="Arial" w:hAnsi="Arial" w:cs="Arial"/>
          <w:sz w:val="24"/>
          <w:szCs w:val="24"/>
        </w:rPr>
        <w:t>s.</w:t>
      </w:r>
    </w:p>
    <w:p w14:paraId="5F3A827E" w14:textId="02C575DE" w:rsidR="00D803F1" w:rsidRDefault="00D803F1" w:rsidP="00D803F1">
      <w:pPr>
        <w:pStyle w:val="Heading3"/>
      </w:pPr>
      <w:r>
        <w:lastRenderedPageBreak/>
        <w:t xml:space="preserve">Clause 7 </w:t>
      </w:r>
      <w:r w:rsidR="00853BFF">
        <w:t xml:space="preserve">      </w:t>
      </w:r>
      <w:r>
        <w:t>Schedule 1, part 1.2, new items 56A and 56B</w:t>
      </w:r>
    </w:p>
    <w:p w14:paraId="22CE40F7" w14:textId="19DE7C3A" w:rsidR="00B070FD" w:rsidRDefault="00FB19F4" w:rsidP="00163CED">
      <w:pPr>
        <w:rPr>
          <w:rFonts w:ascii="Arial" w:eastAsiaTheme="majorEastAsia" w:hAnsi="Arial" w:cstheme="majorBidi"/>
          <w:b/>
          <w:sz w:val="24"/>
          <w:szCs w:val="24"/>
        </w:rPr>
      </w:pPr>
      <w:r w:rsidRPr="00AA0D51">
        <w:rPr>
          <w:rFonts w:ascii="Arial" w:hAnsi="Arial" w:cs="Arial"/>
          <w:sz w:val="24"/>
          <w:szCs w:val="24"/>
        </w:rPr>
        <w:t>This clause inserts sections 225(2) and 225(5) of the WHS Regulation into Schedule1, part 1.2. It provides that infringement notice</w:t>
      </w:r>
      <w:r w:rsidR="005D0389">
        <w:rPr>
          <w:rFonts w:ascii="Arial" w:hAnsi="Arial" w:cs="Arial"/>
          <w:sz w:val="24"/>
          <w:szCs w:val="24"/>
        </w:rPr>
        <w:t>s</w:t>
      </w:r>
      <w:r w:rsidRPr="00AA0D51">
        <w:rPr>
          <w:rFonts w:ascii="Arial" w:hAnsi="Arial" w:cs="Arial"/>
          <w:sz w:val="24"/>
          <w:szCs w:val="24"/>
        </w:rPr>
        <w:t xml:space="preserve"> may be issued against </w:t>
      </w:r>
      <w:r w:rsidR="00B44117">
        <w:rPr>
          <w:rFonts w:ascii="Arial" w:hAnsi="Arial" w:cs="Arial"/>
          <w:sz w:val="24"/>
          <w:szCs w:val="24"/>
        </w:rPr>
        <w:t>certain</w:t>
      </w:r>
      <w:r w:rsidR="00B44117" w:rsidRPr="00AA0D51">
        <w:rPr>
          <w:rFonts w:ascii="Arial" w:hAnsi="Arial" w:cs="Arial"/>
          <w:sz w:val="24"/>
          <w:szCs w:val="24"/>
        </w:rPr>
        <w:t xml:space="preserve"> </w:t>
      </w:r>
      <w:r w:rsidRPr="00AA0D51">
        <w:rPr>
          <w:rFonts w:ascii="Arial" w:hAnsi="Arial" w:cs="Arial"/>
          <w:sz w:val="24"/>
          <w:szCs w:val="24"/>
        </w:rPr>
        <w:t>offences relating to scaffolds</w:t>
      </w:r>
      <w:r w:rsidR="00B44117">
        <w:t>.</w:t>
      </w:r>
    </w:p>
    <w:p w14:paraId="06E9F5FA" w14:textId="763D2556" w:rsidR="00D803F1" w:rsidRDefault="00D803F1" w:rsidP="00D803F1">
      <w:pPr>
        <w:pStyle w:val="Heading3"/>
      </w:pPr>
      <w:r>
        <w:t xml:space="preserve">Clause 8 </w:t>
      </w:r>
      <w:r w:rsidR="00853BFF">
        <w:t xml:space="preserve">      </w:t>
      </w:r>
      <w:r>
        <w:t>Schedule 1, part 1.2, new item 86A</w:t>
      </w:r>
    </w:p>
    <w:p w14:paraId="2C6E1F81" w14:textId="484185A0" w:rsidR="001219DB" w:rsidRPr="00AC361F" w:rsidRDefault="00FB19F4" w:rsidP="00163CED">
      <w:pPr>
        <w:rPr>
          <w:rFonts w:ascii="Arial" w:hAnsi="Arial" w:cs="Arial"/>
          <w:i/>
          <w:iCs/>
          <w:sz w:val="24"/>
          <w:szCs w:val="24"/>
        </w:rPr>
      </w:pPr>
      <w:r w:rsidRPr="00AA0D51">
        <w:rPr>
          <w:rFonts w:ascii="Arial" w:hAnsi="Arial" w:cs="Arial"/>
          <w:sz w:val="24"/>
          <w:szCs w:val="24"/>
        </w:rPr>
        <w:t xml:space="preserve">This clause inserts section 302 of the WHS Regulation into Schedule 1, part 1.2. It provides that an infringement notice may be issued against </w:t>
      </w:r>
      <w:r w:rsidR="00B44117">
        <w:rPr>
          <w:rFonts w:ascii="Arial" w:hAnsi="Arial" w:cs="Arial"/>
          <w:sz w:val="24"/>
          <w:szCs w:val="24"/>
        </w:rPr>
        <w:t>an</w:t>
      </w:r>
      <w:r w:rsidR="00B44117" w:rsidRPr="00AA0D51">
        <w:rPr>
          <w:rFonts w:ascii="Arial" w:hAnsi="Arial" w:cs="Arial"/>
          <w:sz w:val="24"/>
          <w:szCs w:val="24"/>
        </w:rPr>
        <w:t xml:space="preserve"> </w:t>
      </w:r>
      <w:r w:rsidRPr="00AA0D51">
        <w:rPr>
          <w:rFonts w:ascii="Arial" w:hAnsi="Arial" w:cs="Arial"/>
          <w:sz w:val="24"/>
          <w:szCs w:val="24"/>
        </w:rPr>
        <w:t>offence relating to</w:t>
      </w:r>
      <w:r w:rsidR="00F954CC" w:rsidRPr="00AA0D51">
        <w:rPr>
          <w:rFonts w:ascii="Arial" w:hAnsi="Arial" w:cs="Arial"/>
          <w:sz w:val="24"/>
          <w:szCs w:val="24"/>
        </w:rPr>
        <w:t xml:space="preserve"> requirements for</w:t>
      </w:r>
      <w:r w:rsidRPr="00AA0D51">
        <w:rPr>
          <w:rFonts w:ascii="Arial" w:hAnsi="Arial" w:cs="Arial"/>
          <w:sz w:val="24"/>
          <w:szCs w:val="24"/>
        </w:rPr>
        <w:t xml:space="preserve"> </w:t>
      </w:r>
      <w:r w:rsidR="00F954CC" w:rsidRPr="00AA0D51">
        <w:rPr>
          <w:rFonts w:ascii="Arial" w:hAnsi="Arial" w:cs="Arial"/>
          <w:sz w:val="24"/>
          <w:szCs w:val="24"/>
        </w:rPr>
        <w:t>review of safe work method statement</w:t>
      </w:r>
      <w:r w:rsidR="00B44117">
        <w:rPr>
          <w:rFonts w:ascii="Arial" w:hAnsi="Arial" w:cs="Arial"/>
          <w:sz w:val="24"/>
          <w:szCs w:val="24"/>
        </w:rPr>
        <w:t>s.</w:t>
      </w:r>
    </w:p>
    <w:p w14:paraId="5D4BAA71" w14:textId="36912CB5" w:rsidR="00D803F1" w:rsidRDefault="00D803F1" w:rsidP="00D803F1">
      <w:pPr>
        <w:pStyle w:val="Heading3"/>
      </w:pPr>
      <w:r>
        <w:t xml:space="preserve">Clause 9 </w:t>
      </w:r>
      <w:r w:rsidR="00853BFF">
        <w:t xml:space="preserve">      </w:t>
      </w:r>
      <w:r>
        <w:t>Schedule 1, part 1.2, new item 89A</w:t>
      </w:r>
    </w:p>
    <w:p w14:paraId="1AFD266B" w14:textId="48D79CDD" w:rsidR="001219DB" w:rsidRPr="00C9619D" w:rsidRDefault="00F954CC" w:rsidP="00163CED">
      <w:pPr>
        <w:rPr>
          <w:rFonts w:ascii="Arial" w:hAnsi="Arial" w:cs="Arial"/>
          <w:i/>
          <w:iCs/>
          <w:sz w:val="24"/>
          <w:szCs w:val="24"/>
        </w:rPr>
      </w:pPr>
      <w:r w:rsidRPr="00AA0D51">
        <w:rPr>
          <w:rFonts w:ascii="Arial" w:hAnsi="Arial" w:cs="Arial"/>
          <w:sz w:val="24"/>
          <w:szCs w:val="24"/>
        </w:rPr>
        <w:t xml:space="preserve">This clause inserts section 303(4) of the WHS Regulation into Schedule 1, part 1.2. It provides that an infringement notice may be issued against </w:t>
      </w:r>
      <w:r w:rsidR="00B44117">
        <w:rPr>
          <w:rFonts w:ascii="Arial" w:hAnsi="Arial" w:cs="Arial"/>
          <w:sz w:val="24"/>
          <w:szCs w:val="24"/>
        </w:rPr>
        <w:t>an</w:t>
      </w:r>
      <w:r w:rsidR="00B44117" w:rsidRPr="00AA0D51">
        <w:rPr>
          <w:rFonts w:ascii="Arial" w:hAnsi="Arial" w:cs="Arial"/>
          <w:sz w:val="24"/>
          <w:szCs w:val="24"/>
        </w:rPr>
        <w:t xml:space="preserve"> </w:t>
      </w:r>
      <w:r w:rsidRPr="00AA0D51">
        <w:rPr>
          <w:rFonts w:ascii="Arial" w:hAnsi="Arial" w:cs="Arial"/>
          <w:sz w:val="24"/>
          <w:szCs w:val="24"/>
        </w:rPr>
        <w:t xml:space="preserve">offence relating to requirements </w:t>
      </w:r>
      <w:r w:rsidR="00B44117">
        <w:rPr>
          <w:rFonts w:ascii="Arial" w:hAnsi="Arial" w:cs="Arial"/>
          <w:sz w:val="24"/>
          <w:szCs w:val="24"/>
        </w:rPr>
        <w:t xml:space="preserve">to keep </w:t>
      </w:r>
      <w:r w:rsidRPr="00AA0D51">
        <w:rPr>
          <w:rFonts w:ascii="Arial" w:hAnsi="Arial" w:cs="Arial"/>
          <w:sz w:val="24"/>
          <w:szCs w:val="24"/>
        </w:rPr>
        <w:t>safe work method statement</w:t>
      </w:r>
      <w:r w:rsidR="00B44117">
        <w:rPr>
          <w:rFonts w:ascii="Arial" w:hAnsi="Arial" w:cs="Arial"/>
          <w:sz w:val="24"/>
          <w:szCs w:val="24"/>
        </w:rPr>
        <w:t>s.</w:t>
      </w:r>
      <w:r w:rsidRPr="00AA0D51">
        <w:rPr>
          <w:rFonts w:ascii="Arial" w:hAnsi="Arial" w:cs="Arial"/>
          <w:sz w:val="24"/>
          <w:szCs w:val="24"/>
        </w:rPr>
        <w:t xml:space="preserve"> </w:t>
      </w:r>
    </w:p>
    <w:p w14:paraId="4FADDBBE" w14:textId="0B3423F7" w:rsidR="00D803F1" w:rsidRDefault="00D803F1" w:rsidP="00D803F1">
      <w:pPr>
        <w:pStyle w:val="Heading3"/>
      </w:pPr>
      <w:r>
        <w:t xml:space="preserve">Clause 10 </w:t>
      </w:r>
      <w:r w:rsidR="00853BFF">
        <w:t xml:space="preserve">    </w:t>
      </w:r>
      <w:r>
        <w:t>Schedule 1, part 1.2, new items 104A to 104E</w:t>
      </w:r>
    </w:p>
    <w:p w14:paraId="1F6C195A" w14:textId="166E42E3" w:rsidR="00B070FD" w:rsidRDefault="00F954CC" w:rsidP="00163CED">
      <w:r w:rsidRPr="00AA0D51">
        <w:rPr>
          <w:rFonts w:ascii="Arial" w:hAnsi="Arial" w:cs="Arial"/>
          <w:sz w:val="24"/>
          <w:szCs w:val="24"/>
        </w:rPr>
        <w:t xml:space="preserve">This clause inserts sections </w:t>
      </w:r>
      <w:r w:rsidR="00B44117">
        <w:rPr>
          <w:rFonts w:ascii="Arial" w:hAnsi="Arial" w:cs="Arial"/>
          <w:sz w:val="24"/>
          <w:szCs w:val="24"/>
        </w:rPr>
        <w:t xml:space="preserve">330(1), 330(3), 330(4), 339(1) and 339(3) </w:t>
      </w:r>
      <w:r w:rsidRPr="00AA0D51">
        <w:rPr>
          <w:rFonts w:ascii="Arial" w:hAnsi="Arial" w:cs="Arial"/>
          <w:sz w:val="24"/>
          <w:szCs w:val="24"/>
        </w:rPr>
        <w:t>of the WHS Regulation into Schedule 1, part 1.2</w:t>
      </w:r>
      <w:r w:rsidR="00B44117">
        <w:rPr>
          <w:rFonts w:ascii="Arial" w:hAnsi="Arial" w:cs="Arial"/>
          <w:sz w:val="24"/>
          <w:szCs w:val="24"/>
        </w:rPr>
        <w:t xml:space="preserve">. It provides that </w:t>
      </w:r>
      <w:bookmarkStart w:id="5" w:name="_Hlk120182373"/>
      <w:r w:rsidRPr="00AA0D51">
        <w:rPr>
          <w:rFonts w:ascii="Arial" w:hAnsi="Arial" w:cs="Arial"/>
          <w:sz w:val="24"/>
          <w:szCs w:val="24"/>
        </w:rPr>
        <w:t>infringement notice</w:t>
      </w:r>
      <w:r w:rsidR="00B44117">
        <w:rPr>
          <w:rFonts w:ascii="Arial" w:hAnsi="Arial" w:cs="Arial"/>
          <w:sz w:val="24"/>
          <w:szCs w:val="24"/>
        </w:rPr>
        <w:t>s</w:t>
      </w:r>
      <w:r w:rsidRPr="00AA0D51">
        <w:rPr>
          <w:rFonts w:ascii="Arial" w:hAnsi="Arial" w:cs="Arial"/>
          <w:sz w:val="24"/>
          <w:szCs w:val="24"/>
        </w:rPr>
        <w:t xml:space="preserve"> may be issued against </w:t>
      </w:r>
      <w:r w:rsidR="00B44117">
        <w:rPr>
          <w:rFonts w:ascii="Arial" w:hAnsi="Arial" w:cs="Arial"/>
          <w:sz w:val="24"/>
          <w:szCs w:val="24"/>
        </w:rPr>
        <w:t>certain</w:t>
      </w:r>
      <w:r w:rsidR="00B44117" w:rsidRPr="00AA0D51">
        <w:rPr>
          <w:rFonts w:ascii="Arial" w:hAnsi="Arial" w:cs="Arial"/>
          <w:sz w:val="24"/>
          <w:szCs w:val="24"/>
        </w:rPr>
        <w:t xml:space="preserve"> </w:t>
      </w:r>
      <w:r w:rsidRPr="00AA0D51">
        <w:rPr>
          <w:rFonts w:ascii="Arial" w:hAnsi="Arial" w:cs="Arial"/>
          <w:sz w:val="24"/>
          <w:szCs w:val="24"/>
        </w:rPr>
        <w:t>offences</w:t>
      </w:r>
      <w:r w:rsidR="00B44117">
        <w:rPr>
          <w:rFonts w:ascii="Arial" w:hAnsi="Arial" w:cs="Arial"/>
          <w:sz w:val="24"/>
          <w:szCs w:val="24"/>
        </w:rPr>
        <w:t xml:space="preserve"> relating to data sheets for hazardous chemicals</w:t>
      </w:r>
      <w:r w:rsidRPr="00AA0D51">
        <w:rPr>
          <w:rFonts w:ascii="Arial" w:hAnsi="Arial" w:cs="Arial"/>
          <w:sz w:val="24"/>
          <w:szCs w:val="24"/>
        </w:rPr>
        <w:t xml:space="preserve">. </w:t>
      </w:r>
      <w:bookmarkEnd w:id="5"/>
    </w:p>
    <w:p w14:paraId="72EAFFE3" w14:textId="1B15690F" w:rsidR="00D803F1" w:rsidRDefault="00D803F1" w:rsidP="00D803F1">
      <w:pPr>
        <w:pStyle w:val="Heading3"/>
      </w:pPr>
      <w:r>
        <w:t xml:space="preserve">Clause 11 </w:t>
      </w:r>
      <w:r w:rsidR="00853BFF">
        <w:t xml:space="preserve">    </w:t>
      </w:r>
      <w:r>
        <w:t>Schedule 1, part 1.2, new items 106A and 106B</w:t>
      </w:r>
    </w:p>
    <w:p w14:paraId="74F1C09D" w14:textId="538CDE95" w:rsidR="00DD4574" w:rsidRPr="00497317" w:rsidRDefault="007335F8" w:rsidP="00163CED">
      <w:pPr>
        <w:rPr>
          <w:rFonts w:ascii="Arial" w:hAnsi="Arial" w:cs="Arial"/>
          <w:i/>
          <w:iCs/>
          <w:sz w:val="24"/>
          <w:szCs w:val="24"/>
        </w:rPr>
      </w:pPr>
      <w:r w:rsidRPr="00AA0D51">
        <w:rPr>
          <w:rFonts w:ascii="Arial" w:hAnsi="Arial" w:cs="Arial"/>
          <w:sz w:val="24"/>
          <w:szCs w:val="24"/>
        </w:rPr>
        <w:t xml:space="preserve">This clause inserts section 346(1) and 346(3) of the WHS Regulation in Schedule 1, part 1.2. It provides that an infringement notice may be issued against </w:t>
      </w:r>
      <w:r w:rsidR="00B44117">
        <w:rPr>
          <w:rFonts w:ascii="Arial" w:hAnsi="Arial" w:cs="Arial"/>
          <w:sz w:val="24"/>
          <w:szCs w:val="24"/>
        </w:rPr>
        <w:t>certain</w:t>
      </w:r>
      <w:r w:rsidR="00B44117" w:rsidRPr="00AA0D51">
        <w:rPr>
          <w:rFonts w:ascii="Arial" w:hAnsi="Arial" w:cs="Arial"/>
          <w:sz w:val="24"/>
          <w:szCs w:val="24"/>
        </w:rPr>
        <w:t xml:space="preserve"> </w:t>
      </w:r>
      <w:r w:rsidRPr="00AA0D51">
        <w:rPr>
          <w:rFonts w:ascii="Arial" w:hAnsi="Arial" w:cs="Arial"/>
          <w:sz w:val="24"/>
          <w:szCs w:val="24"/>
        </w:rPr>
        <w:t>offences relating t</w:t>
      </w:r>
      <w:r w:rsidR="00517D59" w:rsidRPr="00AA0D51">
        <w:rPr>
          <w:rFonts w:ascii="Arial" w:hAnsi="Arial" w:cs="Arial"/>
          <w:sz w:val="24"/>
          <w:szCs w:val="24"/>
        </w:rPr>
        <w:t xml:space="preserve">o requirements </w:t>
      </w:r>
      <w:r w:rsidR="00B44117">
        <w:rPr>
          <w:rFonts w:ascii="Arial" w:hAnsi="Arial" w:cs="Arial"/>
          <w:sz w:val="24"/>
          <w:szCs w:val="24"/>
        </w:rPr>
        <w:t>to keep</w:t>
      </w:r>
      <w:r w:rsidR="00B44117" w:rsidRPr="00AA0D51">
        <w:rPr>
          <w:rFonts w:ascii="Arial" w:hAnsi="Arial" w:cs="Arial"/>
          <w:sz w:val="24"/>
          <w:szCs w:val="24"/>
        </w:rPr>
        <w:t xml:space="preserve"> </w:t>
      </w:r>
      <w:r w:rsidR="00517D59" w:rsidRPr="00AA0D51">
        <w:rPr>
          <w:rFonts w:ascii="Arial" w:hAnsi="Arial" w:cs="Arial"/>
          <w:sz w:val="24"/>
          <w:szCs w:val="24"/>
        </w:rPr>
        <w:t>a</w:t>
      </w:r>
      <w:r w:rsidRPr="00AA0D51">
        <w:rPr>
          <w:rFonts w:ascii="Arial" w:hAnsi="Arial" w:cs="Arial"/>
          <w:sz w:val="24"/>
          <w:szCs w:val="24"/>
        </w:rPr>
        <w:t xml:space="preserve"> hazardous chemicals register</w:t>
      </w:r>
      <w:r w:rsidR="00B44117">
        <w:rPr>
          <w:rFonts w:ascii="Arial" w:hAnsi="Arial" w:cs="Arial"/>
          <w:sz w:val="24"/>
          <w:szCs w:val="24"/>
        </w:rPr>
        <w:t>.</w:t>
      </w:r>
    </w:p>
    <w:p w14:paraId="787352C7" w14:textId="6AD60787" w:rsidR="00D803F1" w:rsidRDefault="00D803F1" w:rsidP="00D803F1">
      <w:pPr>
        <w:pStyle w:val="Heading3"/>
      </w:pPr>
      <w:r>
        <w:t xml:space="preserve">Clause 12 </w:t>
      </w:r>
      <w:r w:rsidR="00853BFF">
        <w:t xml:space="preserve">    </w:t>
      </w:r>
      <w:r>
        <w:t>Schedule 1, part 1.2, new item 107A</w:t>
      </w:r>
    </w:p>
    <w:p w14:paraId="2FEBB52A" w14:textId="3ED78644" w:rsidR="00517D59" w:rsidRDefault="00517D59" w:rsidP="00517D59">
      <w:pPr>
        <w:rPr>
          <w:rFonts w:ascii="Arial" w:hAnsi="Arial" w:cs="Arial"/>
          <w:sz w:val="24"/>
          <w:szCs w:val="24"/>
        </w:rPr>
      </w:pPr>
      <w:r w:rsidRPr="00AA0D51">
        <w:rPr>
          <w:rFonts w:ascii="Arial" w:hAnsi="Arial" w:cs="Arial"/>
          <w:sz w:val="24"/>
          <w:szCs w:val="24"/>
        </w:rPr>
        <w:t>This clause inserts section 376 of the WHS Regulation into Schedule 1, part 1.2. It provides that an infringement notice may be issue</w:t>
      </w:r>
      <w:r w:rsidR="00AA0D51">
        <w:rPr>
          <w:rFonts w:ascii="Arial" w:hAnsi="Arial" w:cs="Arial"/>
          <w:sz w:val="24"/>
          <w:szCs w:val="24"/>
        </w:rPr>
        <w:t>d</w:t>
      </w:r>
      <w:r w:rsidRPr="00AA0D51">
        <w:rPr>
          <w:rFonts w:ascii="Arial" w:hAnsi="Arial" w:cs="Arial"/>
          <w:sz w:val="24"/>
          <w:szCs w:val="24"/>
        </w:rPr>
        <w:t xml:space="preserve"> against </w:t>
      </w:r>
      <w:r w:rsidR="00B44117">
        <w:rPr>
          <w:rFonts w:ascii="Arial" w:hAnsi="Arial" w:cs="Arial"/>
          <w:sz w:val="24"/>
          <w:szCs w:val="24"/>
        </w:rPr>
        <w:t>an</w:t>
      </w:r>
      <w:r w:rsidR="00B44117" w:rsidRPr="00AA0D51">
        <w:rPr>
          <w:rFonts w:ascii="Arial" w:hAnsi="Arial" w:cs="Arial"/>
          <w:sz w:val="24"/>
          <w:szCs w:val="24"/>
        </w:rPr>
        <w:t xml:space="preserve"> </w:t>
      </w:r>
      <w:r w:rsidRPr="00AA0D51">
        <w:rPr>
          <w:rFonts w:ascii="Arial" w:hAnsi="Arial" w:cs="Arial"/>
          <w:sz w:val="24"/>
          <w:szCs w:val="24"/>
        </w:rPr>
        <w:t xml:space="preserve">offence relating to </w:t>
      </w:r>
      <w:bookmarkStart w:id="6" w:name="_Toc118273265"/>
      <w:r w:rsidRPr="00AA0D51">
        <w:rPr>
          <w:rFonts w:ascii="Arial" w:hAnsi="Arial" w:cs="Arial"/>
          <w:sz w:val="24"/>
          <w:szCs w:val="24"/>
        </w:rPr>
        <w:t>a duty to give health monitoring report</w:t>
      </w:r>
      <w:r w:rsidR="00B44117">
        <w:rPr>
          <w:rFonts w:ascii="Arial" w:hAnsi="Arial" w:cs="Arial"/>
          <w:sz w:val="24"/>
          <w:szCs w:val="24"/>
        </w:rPr>
        <w:t>s</w:t>
      </w:r>
      <w:r w:rsidRPr="00AA0D51">
        <w:rPr>
          <w:rFonts w:ascii="Arial" w:hAnsi="Arial" w:cs="Arial"/>
          <w:sz w:val="24"/>
          <w:szCs w:val="24"/>
        </w:rPr>
        <w:t xml:space="preserve"> to </w:t>
      </w:r>
      <w:r w:rsidR="00B44117">
        <w:rPr>
          <w:rFonts w:ascii="Arial" w:hAnsi="Arial" w:cs="Arial"/>
          <w:sz w:val="24"/>
          <w:szCs w:val="24"/>
        </w:rPr>
        <w:t>the</w:t>
      </w:r>
      <w:r w:rsidR="00B24CCE">
        <w:rPr>
          <w:rFonts w:ascii="Arial" w:hAnsi="Arial" w:cs="Arial"/>
          <w:sz w:val="24"/>
          <w:szCs w:val="24"/>
        </w:rPr>
        <w:t xml:space="preserve"> work safety</w:t>
      </w:r>
      <w:r w:rsidR="00B44117">
        <w:rPr>
          <w:rFonts w:ascii="Arial" w:hAnsi="Arial" w:cs="Arial"/>
          <w:sz w:val="24"/>
          <w:szCs w:val="24"/>
        </w:rPr>
        <w:t xml:space="preserve"> </w:t>
      </w:r>
      <w:r w:rsidRPr="00AA0D51">
        <w:rPr>
          <w:rFonts w:ascii="Arial" w:hAnsi="Arial" w:cs="Arial"/>
          <w:sz w:val="24"/>
          <w:szCs w:val="24"/>
        </w:rPr>
        <w:t>regulator</w:t>
      </w:r>
      <w:bookmarkEnd w:id="6"/>
      <w:r w:rsidR="00B44117">
        <w:rPr>
          <w:rFonts w:ascii="Arial" w:hAnsi="Arial" w:cs="Arial"/>
          <w:sz w:val="24"/>
          <w:szCs w:val="24"/>
        </w:rPr>
        <w:t>.</w:t>
      </w:r>
    </w:p>
    <w:p w14:paraId="0728B8A9" w14:textId="6BF46A7F" w:rsidR="00D803F1" w:rsidRDefault="00D803F1" w:rsidP="00D803F1">
      <w:pPr>
        <w:pStyle w:val="Heading3"/>
      </w:pPr>
      <w:r>
        <w:t xml:space="preserve">Clause 13 </w:t>
      </w:r>
      <w:r w:rsidR="00853BFF">
        <w:t xml:space="preserve">    </w:t>
      </w:r>
      <w:r>
        <w:t>Schedule 1, part 1.2, new items 109A and 109B</w:t>
      </w:r>
    </w:p>
    <w:p w14:paraId="66E9C3DF" w14:textId="0F448B4B" w:rsidR="00DD4574" w:rsidRPr="00497317" w:rsidRDefault="00AA0D51" w:rsidP="00163CED">
      <w:pPr>
        <w:rPr>
          <w:rFonts w:ascii="Arial" w:hAnsi="Arial" w:cs="Arial"/>
          <w:i/>
          <w:iCs/>
          <w:sz w:val="24"/>
          <w:szCs w:val="24"/>
        </w:rPr>
      </w:pPr>
      <w:r w:rsidRPr="00434942">
        <w:rPr>
          <w:rFonts w:ascii="Arial" w:hAnsi="Arial" w:cs="Arial"/>
          <w:sz w:val="24"/>
          <w:szCs w:val="24"/>
        </w:rPr>
        <w:t>This clause inserts sections 388(2) and 388(3) of the WHS Regulation into Schedule</w:t>
      </w:r>
      <w:r w:rsidR="000B11E1">
        <w:rPr>
          <w:rFonts w:ascii="Arial" w:hAnsi="Arial" w:cs="Arial"/>
          <w:sz w:val="24"/>
          <w:szCs w:val="24"/>
        </w:rPr>
        <w:t> </w:t>
      </w:r>
      <w:r w:rsidRPr="00434942">
        <w:rPr>
          <w:rFonts w:ascii="Arial" w:hAnsi="Arial" w:cs="Arial"/>
          <w:sz w:val="24"/>
          <w:szCs w:val="24"/>
        </w:rPr>
        <w:t>1, part 1.2. It provides that infringement notice</w:t>
      </w:r>
      <w:r w:rsidR="005D0389">
        <w:rPr>
          <w:rFonts w:ascii="Arial" w:hAnsi="Arial" w:cs="Arial"/>
          <w:sz w:val="24"/>
          <w:szCs w:val="24"/>
        </w:rPr>
        <w:t>s</w:t>
      </w:r>
      <w:r w:rsidRPr="00434942">
        <w:rPr>
          <w:rFonts w:ascii="Arial" w:hAnsi="Arial" w:cs="Arial"/>
          <w:sz w:val="24"/>
          <w:szCs w:val="24"/>
        </w:rPr>
        <w:t xml:space="preserve"> may be issued against </w:t>
      </w:r>
      <w:r w:rsidR="005D0389">
        <w:rPr>
          <w:rFonts w:ascii="Arial" w:hAnsi="Arial" w:cs="Arial"/>
          <w:sz w:val="24"/>
          <w:szCs w:val="24"/>
        </w:rPr>
        <w:t>certain</w:t>
      </w:r>
      <w:r w:rsidR="005D0389" w:rsidRPr="00434942">
        <w:rPr>
          <w:rFonts w:ascii="Arial" w:hAnsi="Arial" w:cs="Arial"/>
          <w:sz w:val="24"/>
          <w:szCs w:val="24"/>
        </w:rPr>
        <w:t xml:space="preserve"> </w:t>
      </w:r>
      <w:r w:rsidRPr="00434942">
        <w:rPr>
          <w:rFonts w:ascii="Arial" w:hAnsi="Arial" w:cs="Arial"/>
          <w:sz w:val="24"/>
          <w:szCs w:val="24"/>
        </w:rPr>
        <w:t xml:space="preserve">offences relating </w:t>
      </w:r>
      <w:r w:rsidR="005D0389">
        <w:rPr>
          <w:rFonts w:ascii="Arial" w:hAnsi="Arial" w:cs="Arial"/>
          <w:sz w:val="24"/>
          <w:szCs w:val="24"/>
        </w:rPr>
        <w:t>to records of workers likely to be exposed to carcinogens.</w:t>
      </w:r>
    </w:p>
    <w:p w14:paraId="47690014" w14:textId="0DA3E5F5" w:rsidR="00D803F1" w:rsidRDefault="00D803F1" w:rsidP="00D803F1">
      <w:pPr>
        <w:pStyle w:val="Heading3"/>
      </w:pPr>
      <w:r>
        <w:t xml:space="preserve">Clause 14 </w:t>
      </w:r>
      <w:r w:rsidR="00853BFF">
        <w:t xml:space="preserve">    </w:t>
      </w:r>
      <w:r>
        <w:t>Schedule 1, part 1.2, new items 114A to 114C</w:t>
      </w:r>
    </w:p>
    <w:p w14:paraId="0475F621" w14:textId="08B56AAA" w:rsidR="00AA0D51" w:rsidRPr="00C324E0" w:rsidRDefault="00AA0D51" w:rsidP="00163CED">
      <w:pPr>
        <w:rPr>
          <w:rFonts w:ascii="Arial" w:hAnsi="Arial" w:cs="Arial"/>
          <w:sz w:val="24"/>
          <w:szCs w:val="24"/>
        </w:rPr>
      </w:pPr>
      <w:r w:rsidRPr="00AA0D51">
        <w:rPr>
          <w:rFonts w:ascii="Arial" w:hAnsi="Arial" w:cs="Arial"/>
          <w:sz w:val="24"/>
          <w:szCs w:val="24"/>
        </w:rPr>
        <w:t>This clause inserts sections</w:t>
      </w:r>
      <w:r w:rsidR="005D0389">
        <w:rPr>
          <w:rFonts w:ascii="Arial" w:hAnsi="Arial" w:cs="Arial"/>
          <w:sz w:val="24"/>
          <w:szCs w:val="24"/>
        </w:rPr>
        <w:t xml:space="preserve"> 409(1), 415(1) and 415(2)</w:t>
      </w:r>
      <w:r w:rsidRPr="00AA0D51">
        <w:rPr>
          <w:rFonts w:ascii="Arial" w:hAnsi="Arial" w:cs="Arial"/>
          <w:sz w:val="24"/>
          <w:szCs w:val="24"/>
        </w:rPr>
        <w:t xml:space="preserve"> of the WHS Regulation into Schedule 1, part 1.2</w:t>
      </w:r>
      <w:r w:rsidR="005D0389">
        <w:rPr>
          <w:rFonts w:ascii="Arial" w:hAnsi="Arial" w:cs="Arial"/>
          <w:sz w:val="24"/>
          <w:szCs w:val="24"/>
        </w:rPr>
        <w:t xml:space="preserve">. </w:t>
      </w:r>
      <w:r w:rsidR="003D4E7E">
        <w:rPr>
          <w:rFonts w:ascii="Arial" w:hAnsi="Arial" w:cs="Arial"/>
          <w:sz w:val="24"/>
          <w:szCs w:val="24"/>
        </w:rPr>
        <w:t>This clause</w:t>
      </w:r>
      <w:r w:rsidRPr="00AA0D51">
        <w:rPr>
          <w:rFonts w:ascii="Arial" w:hAnsi="Arial" w:cs="Arial"/>
          <w:sz w:val="24"/>
          <w:szCs w:val="24"/>
        </w:rPr>
        <w:t xml:space="preserve"> provides that infringement notice</w:t>
      </w:r>
      <w:r w:rsidR="00B24CCE">
        <w:rPr>
          <w:rFonts w:ascii="Arial" w:hAnsi="Arial" w:cs="Arial"/>
          <w:sz w:val="24"/>
          <w:szCs w:val="24"/>
        </w:rPr>
        <w:t>s</w:t>
      </w:r>
      <w:r w:rsidRPr="00AA0D51">
        <w:rPr>
          <w:rFonts w:ascii="Arial" w:hAnsi="Arial" w:cs="Arial"/>
          <w:sz w:val="24"/>
          <w:szCs w:val="24"/>
        </w:rPr>
        <w:t xml:space="preserve"> may be issued against </w:t>
      </w:r>
      <w:r w:rsidR="005D0389">
        <w:rPr>
          <w:rFonts w:ascii="Arial" w:hAnsi="Arial" w:cs="Arial"/>
          <w:sz w:val="24"/>
          <w:szCs w:val="24"/>
        </w:rPr>
        <w:t>certain</w:t>
      </w:r>
      <w:r w:rsidR="005D0389" w:rsidRPr="00AA0D51">
        <w:rPr>
          <w:rFonts w:ascii="Arial" w:hAnsi="Arial" w:cs="Arial"/>
          <w:sz w:val="24"/>
          <w:szCs w:val="24"/>
        </w:rPr>
        <w:t xml:space="preserve"> </w:t>
      </w:r>
      <w:r w:rsidRPr="00AA0D51">
        <w:rPr>
          <w:rFonts w:ascii="Arial" w:hAnsi="Arial" w:cs="Arial"/>
          <w:sz w:val="24"/>
          <w:szCs w:val="24"/>
        </w:rPr>
        <w:t>offences</w:t>
      </w:r>
      <w:r w:rsidR="005D0389">
        <w:rPr>
          <w:rFonts w:ascii="Arial" w:hAnsi="Arial" w:cs="Arial"/>
          <w:sz w:val="24"/>
          <w:szCs w:val="24"/>
        </w:rPr>
        <w:t xml:space="preserve"> relating to lead risk work</w:t>
      </w:r>
      <w:r w:rsidRPr="00AA0D51">
        <w:rPr>
          <w:rFonts w:ascii="Arial" w:hAnsi="Arial" w:cs="Arial"/>
          <w:sz w:val="24"/>
          <w:szCs w:val="24"/>
        </w:rPr>
        <w:t xml:space="preserve">. </w:t>
      </w:r>
    </w:p>
    <w:p w14:paraId="0E7EA9B2" w14:textId="6C3CB3FF" w:rsidR="00D803F1" w:rsidRDefault="00D803F1" w:rsidP="00AA0D51">
      <w:pPr>
        <w:pStyle w:val="Heading3"/>
        <w:tabs>
          <w:tab w:val="left" w:pos="7003"/>
        </w:tabs>
      </w:pPr>
      <w:r>
        <w:lastRenderedPageBreak/>
        <w:t xml:space="preserve">Clause 15 </w:t>
      </w:r>
      <w:r w:rsidR="00853BFF">
        <w:t xml:space="preserve">    </w:t>
      </w:r>
      <w:r>
        <w:t>Schedule 1, part 1.2, new items 116A to 116C</w:t>
      </w:r>
      <w:r w:rsidR="00AA0D51">
        <w:tab/>
      </w:r>
    </w:p>
    <w:p w14:paraId="6FD2287B" w14:textId="75EF9027" w:rsidR="00AA0D51" w:rsidRPr="00434942" w:rsidRDefault="00AA0D51" w:rsidP="00163CED">
      <w:pPr>
        <w:rPr>
          <w:rFonts w:ascii="Arial" w:hAnsi="Arial" w:cs="Arial"/>
          <w:sz w:val="24"/>
          <w:szCs w:val="24"/>
        </w:rPr>
      </w:pPr>
      <w:r w:rsidRPr="00AA0D51">
        <w:rPr>
          <w:rFonts w:ascii="Arial" w:hAnsi="Arial" w:cs="Arial"/>
          <w:sz w:val="24"/>
          <w:szCs w:val="24"/>
        </w:rPr>
        <w:t xml:space="preserve">This clause inserts sections </w:t>
      </w:r>
      <w:r w:rsidR="005D0389">
        <w:rPr>
          <w:rFonts w:ascii="Arial" w:hAnsi="Arial" w:cs="Arial"/>
          <w:sz w:val="24"/>
          <w:szCs w:val="24"/>
        </w:rPr>
        <w:t xml:space="preserve">418B, 418BAA and 419(1) </w:t>
      </w:r>
      <w:r w:rsidRPr="00AA0D51">
        <w:rPr>
          <w:rFonts w:ascii="Arial" w:hAnsi="Arial" w:cs="Arial"/>
          <w:sz w:val="24"/>
          <w:szCs w:val="24"/>
        </w:rPr>
        <w:t>of the WHS Regulation into Schedule 1, part 1.2</w:t>
      </w:r>
      <w:r w:rsidR="005D0389">
        <w:rPr>
          <w:rFonts w:ascii="Arial" w:hAnsi="Arial" w:cs="Arial"/>
          <w:sz w:val="24"/>
          <w:szCs w:val="24"/>
        </w:rPr>
        <w:t>.</w:t>
      </w:r>
      <w:r w:rsidR="000A09F2">
        <w:rPr>
          <w:rFonts w:ascii="Arial" w:hAnsi="Arial" w:cs="Arial"/>
          <w:sz w:val="24"/>
          <w:szCs w:val="24"/>
        </w:rPr>
        <w:t xml:space="preserve"> </w:t>
      </w:r>
      <w:r w:rsidRPr="00AA0D51">
        <w:rPr>
          <w:rFonts w:ascii="Arial" w:hAnsi="Arial" w:cs="Arial"/>
          <w:sz w:val="24"/>
          <w:szCs w:val="24"/>
        </w:rPr>
        <w:t>It provides that infringement notice</w:t>
      </w:r>
      <w:r w:rsidR="000A09F2">
        <w:rPr>
          <w:rFonts w:ascii="Arial" w:hAnsi="Arial" w:cs="Arial"/>
          <w:sz w:val="24"/>
          <w:szCs w:val="24"/>
        </w:rPr>
        <w:t>s</w:t>
      </w:r>
      <w:r w:rsidRPr="00AA0D51">
        <w:rPr>
          <w:rFonts w:ascii="Arial" w:hAnsi="Arial" w:cs="Arial"/>
          <w:sz w:val="24"/>
          <w:szCs w:val="24"/>
        </w:rPr>
        <w:t xml:space="preserve"> may be issued against </w:t>
      </w:r>
      <w:r w:rsidR="005D0389">
        <w:rPr>
          <w:rFonts w:ascii="Arial" w:hAnsi="Arial" w:cs="Arial"/>
          <w:sz w:val="24"/>
          <w:szCs w:val="24"/>
        </w:rPr>
        <w:t>certain</w:t>
      </w:r>
      <w:r w:rsidR="005D0389" w:rsidRPr="00AA0D51">
        <w:rPr>
          <w:rFonts w:ascii="Arial" w:hAnsi="Arial" w:cs="Arial"/>
          <w:sz w:val="24"/>
          <w:szCs w:val="24"/>
        </w:rPr>
        <w:t xml:space="preserve"> </w:t>
      </w:r>
      <w:r w:rsidRPr="00AA0D51">
        <w:rPr>
          <w:rFonts w:ascii="Arial" w:hAnsi="Arial" w:cs="Arial"/>
          <w:sz w:val="24"/>
          <w:szCs w:val="24"/>
        </w:rPr>
        <w:t>offences</w:t>
      </w:r>
      <w:r w:rsidR="005D0389">
        <w:rPr>
          <w:rFonts w:ascii="Arial" w:hAnsi="Arial" w:cs="Arial"/>
          <w:sz w:val="24"/>
          <w:szCs w:val="24"/>
        </w:rPr>
        <w:t xml:space="preserve"> relating to work with asbestos, asbestos containing material (ACM), engineered stone or other crystalline silica material</w:t>
      </w:r>
      <w:r w:rsidRPr="00AA0D51">
        <w:rPr>
          <w:rFonts w:ascii="Arial" w:hAnsi="Arial" w:cs="Arial"/>
          <w:sz w:val="24"/>
          <w:szCs w:val="24"/>
        </w:rPr>
        <w:t xml:space="preserve">. </w:t>
      </w:r>
    </w:p>
    <w:p w14:paraId="6CE9F2AC" w14:textId="41D371B3" w:rsidR="00D803F1" w:rsidRDefault="00D803F1" w:rsidP="00D803F1">
      <w:pPr>
        <w:pStyle w:val="Heading3"/>
      </w:pPr>
      <w:r>
        <w:t xml:space="preserve">Clause 16 </w:t>
      </w:r>
      <w:r w:rsidR="00853BFF">
        <w:t xml:space="preserve">    </w:t>
      </w:r>
      <w:r>
        <w:t>Schedule 1, part 1.2, new items 131A and 131B</w:t>
      </w:r>
    </w:p>
    <w:p w14:paraId="46A33C3B" w14:textId="44C4BA75" w:rsidR="00CE752A" w:rsidRPr="009C3CF3" w:rsidRDefault="00335433" w:rsidP="00163CED">
      <w:pPr>
        <w:rPr>
          <w:rFonts w:ascii="Arial" w:hAnsi="Arial" w:cs="Arial"/>
          <w:i/>
          <w:iCs/>
          <w:sz w:val="24"/>
          <w:szCs w:val="24"/>
        </w:rPr>
      </w:pPr>
      <w:r w:rsidRPr="00953C00">
        <w:rPr>
          <w:rFonts w:ascii="Arial" w:hAnsi="Arial" w:cs="Arial"/>
          <w:sz w:val="24"/>
          <w:szCs w:val="24"/>
        </w:rPr>
        <w:t>This clause inserts sections 446(1) and 446(3) of the WHS Regulation into Schedule</w:t>
      </w:r>
      <w:r w:rsidR="00497317">
        <w:rPr>
          <w:rFonts w:ascii="Arial" w:hAnsi="Arial" w:cs="Arial"/>
          <w:sz w:val="24"/>
          <w:szCs w:val="24"/>
        </w:rPr>
        <w:t> </w:t>
      </w:r>
      <w:r w:rsidRPr="00953C00">
        <w:rPr>
          <w:rFonts w:ascii="Arial" w:hAnsi="Arial" w:cs="Arial"/>
          <w:sz w:val="24"/>
          <w:szCs w:val="24"/>
        </w:rPr>
        <w:t>1, part 1.2. It provides that infringement notice</w:t>
      </w:r>
      <w:r w:rsidR="000A09F2">
        <w:rPr>
          <w:rFonts w:ascii="Arial" w:hAnsi="Arial" w:cs="Arial"/>
          <w:sz w:val="24"/>
          <w:szCs w:val="24"/>
        </w:rPr>
        <w:t>s</w:t>
      </w:r>
      <w:r w:rsidRPr="00953C00">
        <w:rPr>
          <w:rFonts w:ascii="Arial" w:hAnsi="Arial" w:cs="Arial"/>
          <w:sz w:val="24"/>
          <w:szCs w:val="24"/>
        </w:rPr>
        <w:t xml:space="preserve"> may be issued against offences relating to </w:t>
      </w:r>
      <w:r w:rsidR="000A09F2">
        <w:rPr>
          <w:rFonts w:ascii="Arial" w:hAnsi="Arial" w:cs="Arial"/>
          <w:sz w:val="24"/>
          <w:szCs w:val="24"/>
        </w:rPr>
        <w:t>the</w:t>
      </w:r>
      <w:r w:rsidRPr="00953C00">
        <w:rPr>
          <w:rFonts w:ascii="Arial" w:hAnsi="Arial" w:cs="Arial"/>
          <w:sz w:val="24"/>
          <w:szCs w:val="24"/>
        </w:rPr>
        <w:t xml:space="preserve"> use of </w:t>
      </w:r>
      <w:r w:rsidR="000A09F2">
        <w:rPr>
          <w:rFonts w:ascii="Arial" w:hAnsi="Arial" w:cs="Arial"/>
          <w:sz w:val="24"/>
          <w:szCs w:val="24"/>
        </w:rPr>
        <w:t xml:space="preserve">certain </w:t>
      </w:r>
      <w:r w:rsidRPr="00953C00">
        <w:rPr>
          <w:rFonts w:ascii="Arial" w:hAnsi="Arial" w:cs="Arial"/>
          <w:sz w:val="24"/>
          <w:szCs w:val="24"/>
        </w:rPr>
        <w:t>equipment</w:t>
      </w:r>
      <w:r w:rsidR="000A09F2">
        <w:rPr>
          <w:rFonts w:ascii="Arial" w:hAnsi="Arial" w:cs="Arial"/>
          <w:sz w:val="24"/>
          <w:szCs w:val="24"/>
        </w:rPr>
        <w:t xml:space="preserve"> on asbestos or ACM.</w:t>
      </w:r>
    </w:p>
    <w:p w14:paraId="23B0BC01" w14:textId="18A5ACD7" w:rsidR="00D803F1" w:rsidRDefault="00D803F1" w:rsidP="00D803F1">
      <w:pPr>
        <w:pStyle w:val="Heading3"/>
      </w:pPr>
      <w:r>
        <w:t>Clause 17</w:t>
      </w:r>
      <w:r w:rsidR="00853BFF">
        <w:t xml:space="preserve">     </w:t>
      </w:r>
      <w:r>
        <w:t>Schedule 1, part 1.2, new item 134A</w:t>
      </w:r>
    </w:p>
    <w:p w14:paraId="26E4615D" w14:textId="52074F4D" w:rsidR="00335433" w:rsidRDefault="00335433" w:rsidP="00335433">
      <w:pPr>
        <w:rPr>
          <w:rFonts w:ascii="Arial" w:hAnsi="Arial" w:cs="Arial"/>
          <w:sz w:val="24"/>
          <w:szCs w:val="24"/>
        </w:rPr>
      </w:pPr>
      <w:r w:rsidRPr="00953C00">
        <w:rPr>
          <w:rFonts w:ascii="Arial" w:hAnsi="Arial" w:cs="Arial"/>
          <w:sz w:val="24"/>
          <w:szCs w:val="24"/>
        </w:rPr>
        <w:t xml:space="preserve">This clause inserts section 458 of the WHS Regulation into Schedule 1, part 1.2. It provides that an infringement notice may be issued against </w:t>
      </w:r>
      <w:r w:rsidR="000A09F2">
        <w:rPr>
          <w:rFonts w:ascii="Arial" w:hAnsi="Arial" w:cs="Arial"/>
          <w:sz w:val="24"/>
          <w:szCs w:val="24"/>
        </w:rPr>
        <w:t>an</w:t>
      </w:r>
      <w:r w:rsidR="000A09F2" w:rsidRPr="00953C00">
        <w:rPr>
          <w:rFonts w:ascii="Arial" w:hAnsi="Arial" w:cs="Arial"/>
          <w:sz w:val="24"/>
          <w:szCs w:val="24"/>
        </w:rPr>
        <w:t xml:space="preserve"> </w:t>
      </w:r>
      <w:r w:rsidRPr="00953C00">
        <w:rPr>
          <w:rFonts w:ascii="Arial" w:hAnsi="Arial" w:cs="Arial"/>
          <w:sz w:val="24"/>
          <w:szCs w:val="24"/>
        </w:rPr>
        <w:t xml:space="preserve">offence relating to </w:t>
      </w:r>
      <w:bookmarkStart w:id="7" w:name="_Toc118273375"/>
      <w:r w:rsidRPr="00953C00">
        <w:rPr>
          <w:rFonts w:ascii="Arial" w:hAnsi="Arial" w:cs="Arial"/>
          <w:sz w:val="24"/>
          <w:szCs w:val="24"/>
        </w:rPr>
        <w:t xml:space="preserve">a duty to ensure </w:t>
      </w:r>
      <w:r w:rsidR="000A09F2">
        <w:rPr>
          <w:rFonts w:ascii="Arial" w:hAnsi="Arial" w:cs="Arial"/>
          <w:sz w:val="24"/>
          <w:szCs w:val="24"/>
        </w:rPr>
        <w:t xml:space="preserve">asbestos removal work is carried out by a licensed </w:t>
      </w:r>
      <w:r w:rsidRPr="00953C00">
        <w:rPr>
          <w:rFonts w:ascii="Arial" w:hAnsi="Arial" w:cs="Arial"/>
          <w:sz w:val="24"/>
          <w:szCs w:val="24"/>
        </w:rPr>
        <w:t>asbestos removalist</w:t>
      </w:r>
      <w:bookmarkEnd w:id="7"/>
      <w:r w:rsidR="000A09F2">
        <w:rPr>
          <w:rFonts w:ascii="Arial" w:hAnsi="Arial" w:cs="Arial"/>
          <w:sz w:val="24"/>
          <w:szCs w:val="24"/>
        </w:rPr>
        <w:t>.</w:t>
      </w:r>
    </w:p>
    <w:p w14:paraId="755CA2C1" w14:textId="43B3764A" w:rsidR="00D803F1" w:rsidRDefault="00D803F1" w:rsidP="00D803F1">
      <w:pPr>
        <w:pStyle w:val="Heading3"/>
      </w:pPr>
      <w:r>
        <w:t xml:space="preserve">Clause 18 </w:t>
      </w:r>
      <w:r w:rsidR="00853BFF">
        <w:t xml:space="preserve">    </w:t>
      </w:r>
      <w:r>
        <w:t xml:space="preserve">Schedule 1, part 1.2, new items </w:t>
      </w:r>
      <w:r w:rsidR="00853BFF">
        <w:t>150A and 150B</w:t>
      </w:r>
    </w:p>
    <w:p w14:paraId="4A816706" w14:textId="6CA65C88" w:rsidR="00CD2F80" w:rsidRPr="009C3CF3" w:rsidRDefault="00335433" w:rsidP="00163CED">
      <w:pPr>
        <w:rPr>
          <w:rFonts w:ascii="Arial" w:hAnsi="Arial" w:cs="Arial"/>
          <w:i/>
          <w:iCs/>
          <w:sz w:val="24"/>
          <w:szCs w:val="24"/>
        </w:rPr>
      </w:pPr>
      <w:r w:rsidRPr="00953C00">
        <w:rPr>
          <w:rFonts w:ascii="Arial" w:hAnsi="Arial" w:cs="Arial"/>
          <w:sz w:val="24"/>
          <w:szCs w:val="24"/>
        </w:rPr>
        <w:t>This clause inserts section</w:t>
      </w:r>
      <w:r w:rsidR="000A09F2">
        <w:rPr>
          <w:rFonts w:ascii="Arial" w:hAnsi="Arial" w:cs="Arial"/>
          <w:sz w:val="24"/>
          <w:szCs w:val="24"/>
        </w:rPr>
        <w:t>s</w:t>
      </w:r>
      <w:r w:rsidRPr="00953C00">
        <w:rPr>
          <w:rFonts w:ascii="Arial" w:hAnsi="Arial" w:cs="Arial"/>
          <w:sz w:val="24"/>
          <w:szCs w:val="24"/>
        </w:rPr>
        <w:t xml:space="preserve"> 555(4) and 555(5)</w:t>
      </w:r>
      <w:r w:rsidR="008D1826">
        <w:rPr>
          <w:rFonts w:ascii="Arial" w:hAnsi="Arial" w:cs="Arial"/>
          <w:sz w:val="24"/>
          <w:szCs w:val="24"/>
        </w:rPr>
        <w:t xml:space="preserve"> </w:t>
      </w:r>
      <w:r w:rsidRPr="00953C00">
        <w:rPr>
          <w:rFonts w:ascii="Arial" w:hAnsi="Arial" w:cs="Arial"/>
          <w:sz w:val="24"/>
          <w:szCs w:val="24"/>
        </w:rPr>
        <w:t>of the WHS Regulation into Schedule</w:t>
      </w:r>
      <w:r w:rsidR="009C3CF3">
        <w:rPr>
          <w:rFonts w:ascii="Arial" w:hAnsi="Arial" w:cs="Arial"/>
          <w:sz w:val="24"/>
          <w:szCs w:val="24"/>
        </w:rPr>
        <w:t> </w:t>
      </w:r>
      <w:r w:rsidRPr="00953C00">
        <w:rPr>
          <w:rFonts w:ascii="Arial" w:hAnsi="Arial" w:cs="Arial"/>
          <w:sz w:val="24"/>
          <w:szCs w:val="24"/>
        </w:rPr>
        <w:t>1, part 1.2. It provides that infringement notice</w:t>
      </w:r>
      <w:r w:rsidR="000A09F2">
        <w:rPr>
          <w:rFonts w:ascii="Arial" w:hAnsi="Arial" w:cs="Arial"/>
          <w:sz w:val="24"/>
          <w:szCs w:val="24"/>
        </w:rPr>
        <w:t>s</w:t>
      </w:r>
      <w:r w:rsidRPr="00953C00">
        <w:rPr>
          <w:rFonts w:ascii="Arial" w:hAnsi="Arial" w:cs="Arial"/>
          <w:sz w:val="24"/>
          <w:szCs w:val="24"/>
        </w:rPr>
        <w:t xml:space="preserve"> may be issued against offences relating to determined major hazard facility</w:t>
      </w:r>
      <w:r w:rsidR="000A09F2">
        <w:rPr>
          <w:rFonts w:ascii="Arial" w:hAnsi="Arial" w:cs="Arial"/>
          <w:sz w:val="24"/>
          <w:szCs w:val="24"/>
        </w:rPr>
        <w:t xml:space="preserve"> </w:t>
      </w:r>
      <w:r w:rsidRPr="00953C00">
        <w:rPr>
          <w:rFonts w:ascii="Arial" w:hAnsi="Arial" w:cs="Arial"/>
          <w:sz w:val="24"/>
          <w:szCs w:val="24"/>
        </w:rPr>
        <w:t>safety assessment</w:t>
      </w:r>
      <w:r w:rsidR="000A09F2">
        <w:rPr>
          <w:rFonts w:ascii="Arial" w:hAnsi="Arial" w:cs="Arial"/>
          <w:sz w:val="24"/>
          <w:szCs w:val="24"/>
        </w:rPr>
        <w:t>s.</w:t>
      </w:r>
    </w:p>
    <w:p w14:paraId="223A508B" w14:textId="037A0994" w:rsidR="00853BFF" w:rsidRDefault="00853BFF" w:rsidP="00853BFF">
      <w:pPr>
        <w:pStyle w:val="Heading3"/>
      </w:pPr>
      <w:r>
        <w:t>Schedule 1     Other amendment</w:t>
      </w:r>
    </w:p>
    <w:p w14:paraId="2B0B3999" w14:textId="16807599" w:rsidR="003D4E7E" w:rsidRPr="00C6498E" w:rsidRDefault="00953C00" w:rsidP="00163CED">
      <w:pPr>
        <w:rPr>
          <w:rFonts w:ascii="Arial" w:hAnsi="Arial" w:cs="Arial"/>
          <w:i/>
          <w:iCs/>
          <w:sz w:val="24"/>
          <w:szCs w:val="24"/>
        </w:rPr>
      </w:pPr>
      <w:r w:rsidRPr="00953C00">
        <w:rPr>
          <w:rFonts w:ascii="Arial" w:hAnsi="Arial" w:cs="Arial"/>
          <w:sz w:val="24"/>
          <w:szCs w:val="24"/>
        </w:rPr>
        <w:t>Schedule 1 inserts sections 418D(1), 418D(4), and 418D(5) of the WHS Regulation into Schedule 1, part 1.2. This provides that infringement notice</w:t>
      </w:r>
      <w:r w:rsidR="000A09F2">
        <w:rPr>
          <w:rFonts w:ascii="Arial" w:hAnsi="Arial" w:cs="Arial"/>
          <w:sz w:val="24"/>
          <w:szCs w:val="24"/>
        </w:rPr>
        <w:t>s</w:t>
      </w:r>
      <w:r w:rsidRPr="00953C00">
        <w:rPr>
          <w:rFonts w:ascii="Arial" w:hAnsi="Arial" w:cs="Arial"/>
          <w:sz w:val="24"/>
          <w:szCs w:val="24"/>
        </w:rPr>
        <w:t xml:space="preserve"> may be issued against offences which relate to a </w:t>
      </w:r>
      <w:hyperlink r:id="rId9" w:history="1">
        <w:r>
          <w:rPr>
            <w:rFonts w:ascii="Arial" w:eastAsiaTheme="majorEastAsia" w:hAnsi="Arial" w:cs="Arial"/>
            <w:sz w:val="24"/>
            <w:szCs w:val="24"/>
          </w:rPr>
          <w:t>d</w:t>
        </w:r>
        <w:r w:rsidRPr="00953C00">
          <w:rPr>
            <w:rFonts w:ascii="Arial" w:eastAsiaTheme="majorEastAsia" w:hAnsi="Arial" w:cs="Arial"/>
            <w:sz w:val="24"/>
            <w:szCs w:val="24"/>
          </w:rPr>
          <w:t>uty to train workers about crystalline silica awareness</w:t>
        </w:r>
      </w:hyperlink>
      <w:r w:rsidR="000A09F2">
        <w:rPr>
          <w:rFonts w:ascii="Arial" w:eastAsiaTheme="majorEastAsia" w:hAnsi="Arial" w:cs="Arial"/>
          <w:sz w:val="24"/>
          <w:szCs w:val="24"/>
        </w:rPr>
        <w:t xml:space="preserve">. </w:t>
      </w:r>
    </w:p>
    <w:p w14:paraId="71EF2081" w14:textId="68AD7B4C" w:rsidR="00F44DD5" w:rsidRPr="00953C00" w:rsidRDefault="00F44DD5" w:rsidP="00335433">
      <w:pPr>
        <w:rPr>
          <w:rFonts w:ascii="Arial" w:hAnsi="Arial" w:cs="Arial"/>
          <w:sz w:val="24"/>
          <w:szCs w:val="24"/>
        </w:rPr>
      </w:pPr>
      <w:r>
        <w:rPr>
          <w:rFonts w:ascii="Arial" w:hAnsi="Arial" w:cs="Arial"/>
          <w:sz w:val="24"/>
          <w:szCs w:val="24"/>
        </w:rPr>
        <w:t xml:space="preserve">These sections have been notified in the </w:t>
      </w:r>
      <w:r w:rsidRPr="00F44DD5">
        <w:rPr>
          <w:rFonts w:ascii="Arial" w:hAnsi="Arial" w:cs="Arial"/>
          <w:i/>
          <w:iCs/>
          <w:sz w:val="24"/>
          <w:szCs w:val="24"/>
        </w:rPr>
        <w:t>Work Health and Safety Amendment Regulation 2022 (No 1)</w:t>
      </w:r>
      <w:r>
        <w:rPr>
          <w:rFonts w:ascii="Arial" w:hAnsi="Arial" w:cs="Arial"/>
          <w:sz w:val="24"/>
          <w:szCs w:val="24"/>
        </w:rPr>
        <w:t xml:space="preserve"> and do not commence until 1 July 2023. </w:t>
      </w:r>
    </w:p>
    <w:sectPr w:rsidR="00F44DD5" w:rsidRPr="00953C00" w:rsidSect="00F41A2F">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A504" w14:textId="77777777" w:rsidR="00F02A6A" w:rsidRDefault="00F02A6A">
      <w:pPr>
        <w:spacing w:after="0" w:line="240" w:lineRule="auto"/>
      </w:pPr>
      <w:r>
        <w:separator/>
      </w:r>
    </w:p>
  </w:endnote>
  <w:endnote w:type="continuationSeparator" w:id="0">
    <w:p w14:paraId="274EDD2C" w14:textId="77777777" w:rsidR="00F02A6A" w:rsidRDefault="00F02A6A">
      <w:pPr>
        <w:spacing w:after="0" w:line="240" w:lineRule="auto"/>
      </w:pPr>
      <w:r>
        <w:continuationSeparator/>
      </w:r>
    </w:p>
  </w:endnote>
  <w:endnote w:type="continuationNotice" w:id="1">
    <w:p w14:paraId="4BE92FE7" w14:textId="77777777" w:rsidR="00F02A6A" w:rsidRDefault="00F02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168B" w14:textId="77777777" w:rsidR="00A32097" w:rsidRDefault="00A3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5A5456D"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0655C62" w14:textId="2B960A1F" w:rsidR="008412EA" w:rsidRPr="008412EA" w:rsidRDefault="008412EA" w:rsidP="008412EA">
    <w:pPr>
      <w:pStyle w:val="Footer"/>
      <w:spacing w:before="60" w:line="240" w:lineRule="auto"/>
      <w:jc w:val="center"/>
      <w:rPr>
        <w:rFonts w:cs="Arial"/>
        <w:sz w:val="14"/>
      </w:rPr>
    </w:pPr>
    <w:r w:rsidRPr="008412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4BAAECA3"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7450992" w14:textId="2E8D1682" w:rsidR="008412EA" w:rsidRPr="008412EA" w:rsidRDefault="008412EA" w:rsidP="008412EA">
    <w:pPr>
      <w:pStyle w:val="Footer"/>
      <w:jc w:val="center"/>
      <w:rPr>
        <w:rFonts w:cs="Arial"/>
        <w:sz w:val="14"/>
      </w:rPr>
    </w:pPr>
    <w:r w:rsidRPr="008412E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EB6A" w14:textId="77777777" w:rsidR="00F02A6A" w:rsidRDefault="00F02A6A">
      <w:pPr>
        <w:spacing w:after="0" w:line="240" w:lineRule="auto"/>
      </w:pPr>
      <w:r>
        <w:separator/>
      </w:r>
    </w:p>
  </w:footnote>
  <w:footnote w:type="continuationSeparator" w:id="0">
    <w:p w14:paraId="3D0508A6" w14:textId="77777777" w:rsidR="00F02A6A" w:rsidRDefault="00F02A6A">
      <w:pPr>
        <w:spacing w:after="0" w:line="240" w:lineRule="auto"/>
      </w:pPr>
      <w:r>
        <w:continuationSeparator/>
      </w:r>
    </w:p>
  </w:footnote>
  <w:footnote w:type="continuationNotice" w:id="1">
    <w:p w14:paraId="299D12D9" w14:textId="77777777" w:rsidR="00F02A6A" w:rsidRDefault="00F02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AA82" w14:textId="77777777" w:rsidR="00A32097" w:rsidRDefault="00A3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0EE4" w14:textId="77777777" w:rsidR="00A32097" w:rsidRDefault="00A32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EB8A" w14:textId="77777777" w:rsidR="00A32097" w:rsidRDefault="00A32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F2"/>
    <w:multiLevelType w:val="hybridMultilevel"/>
    <w:tmpl w:val="DF204A3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004F8D"/>
    <w:multiLevelType w:val="hybridMultilevel"/>
    <w:tmpl w:val="C75A81BA"/>
    <w:lvl w:ilvl="0" w:tplc="847C3244">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07EC9"/>
    <w:multiLevelType w:val="hybridMultilevel"/>
    <w:tmpl w:val="DCCE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2F5F36"/>
    <w:multiLevelType w:val="hybridMultilevel"/>
    <w:tmpl w:val="B1F69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502F39"/>
    <w:multiLevelType w:val="hybridMultilevel"/>
    <w:tmpl w:val="CECC1F64"/>
    <w:lvl w:ilvl="0" w:tplc="847C3244">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EA611E"/>
    <w:multiLevelType w:val="hybridMultilevel"/>
    <w:tmpl w:val="B23C2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B7934"/>
    <w:multiLevelType w:val="hybridMultilevel"/>
    <w:tmpl w:val="40A46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C20967"/>
    <w:multiLevelType w:val="hybridMultilevel"/>
    <w:tmpl w:val="5F7A2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80133"/>
    <w:multiLevelType w:val="hybridMultilevel"/>
    <w:tmpl w:val="3BB4DD1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53F66"/>
    <w:multiLevelType w:val="hybridMultilevel"/>
    <w:tmpl w:val="381ABC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2966551"/>
    <w:multiLevelType w:val="hybridMultilevel"/>
    <w:tmpl w:val="1F56AC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8265A20"/>
    <w:multiLevelType w:val="hybridMultilevel"/>
    <w:tmpl w:val="7E1A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CA35AB"/>
    <w:multiLevelType w:val="hybridMultilevel"/>
    <w:tmpl w:val="1A30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50624D"/>
    <w:multiLevelType w:val="hybridMultilevel"/>
    <w:tmpl w:val="24507E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C4001C"/>
    <w:multiLevelType w:val="hybridMultilevel"/>
    <w:tmpl w:val="99E6B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C7526"/>
    <w:multiLevelType w:val="hybridMultilevel"/>
    <w:tmpl w:val="EC343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6A6081"/>
    <w:multiLevelType w:val="hybridMultilevel"/>
    <w:tmpl w:val="E35CF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7B06A5"/>
    <w:multiLevelType w:val="hybridMultilevel"/>
    <w:tmpl w:val="0EBE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96B20"/>
    <w:multiLevelType w:val="hybridMultilevel"/>
    <w:tmpl w:val="659A4576"/>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A703294"/>
    <w:multiLevelType w:val="hybridMultilevel"/>
    <w:tmpl w:val="4ACE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1787C55"/>
    <w:multiLevelType w:val="hybridMultilevel"/>
    <w:tmpl w:val="F146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6239E7"/>
    <w:multiLevelType w:val="hybridMultilevel"/>
    <w:tmpl w:val="432C6B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F11AE6"/>
    <w:multiLevelType w:val="hybridMultilevel"/>
    <w:tmpl w:val="8604D5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880A44"/>
    <w:multiLevelType w:val="hybridMultilevel"/>
    <w:tmpl w:val="F1001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E2076C"/>
    <w:multiLevelType w:val="hybridMultilevel"/>
    <w:tmpl w:val="C22E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5042E0"/>
    <w:multiLevelType w:val="hybridMultilevel"/>
    <w:tmpl w:val="8EB6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E2776EB"/>
    <w:multiLevelType w:val="hybridMultilevel"/>
    <w:tmpl w:val="DE8C49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1322807">
    <w:abstractNumId w:val="21"/>
  </w:num>
  <w:num w:numId="2" w16cid:durableId="1695037115">
    <w:abstractNumId w:val="29"/>
  </w:num>
  <w:num w:numId="3" w16cid:durableId="275526467">
    <w:abstractNumId w:val="1"/>
  </w:num>
  <w:num w:numId="4" w16cid:durableId="1969427957">
    <w:abstractNumId w:val="4"/>
  </w:num>
  <w:num w:numId="5" w16cid:durableId="837428986">
    <w:abstractNumId w:val="16"/>
  </w:num>
  <w:num w:numId="6" w16cid:durableId="541526008">
    <w:abstractNumId w:val="26"/>
  </w:num>
  <w:num w:numId="7" w16cid:durableId="1553492764">
    <w:abstractNumId w:val="27"/>
  </w:num>
  <w:num w:numId="8" w16cid:durableId="2102874189">
    <w:abstractNumId w:val="0"/>
  </w:num>
  <w:num w:numId="9" w16cid:durableId="1662922515">
    <w:abstractNumId w:val="22"/>
  </w:num>
  <w:num w:numId="10" w16cid:durableId="1223905613">
    <w:abstractNumId w:val="23"/>
  </w:num>
  <w:num w:numId="11" w16cid:durableId="744302132">
    <w:abstractNumId w:val="6"/>
  </w:num>
  <w:num w:numId="12" w16cid:durableId="1169518476">
    <w:abstractNumId w:val="9"/>
  </w:num>
  <w:num w:numId="13" w16cid:durableId="495151147">
    <w:abstractNumId w:val="24"/>
  </w:num>
  <w:num w:numId="14" w16cid:durableId="294531467">
    <w:abstractNumId w:val="30"/>
  </w:num>
  <w:num w:numId="15" w16cid:durableId="148252533">
    <w:abstractNumId w:val="14"/>
  </w:num>
  <w:num w:numId="16" w16cid:durableId="1262224202">
    <w:abstractNumId w:val="3"/>
  </w:num>
  <w:num w:numId="17" w16cid:durableId="932320510">
    <w:abstractNumId w:val="25"/>
  </w:num>
  <w:num w:numId="18" w16cid:durableId="1679385958">
    <w:abstractNumId w:val="8"/>
  </w:num>
  <w:num w:numId="19" w16cid:durableId="2056270708">
    <w:abstractNumId w:val="17"/>
  </w:num>
  <w:num w:numId="20" w16cid:durableId="1818767475">
    <w:abstractNumId w:val="20"/>
  </w:num>
  <w:num w:numId="21" w16cid:durableId="1699694187">
    <w:abstractNumId w:val="2"/>
  </w:num>
  <w:num w:numId="22" w16cid:durableId="1865631795">
    <w:abstractNumId w:val="5"/>
  </w:num>
  <w:num w:numId="23" w16cid:durableId="108402873">
    <w:abstractNumId w:val="19"/>
  </w:num>
  <w:num w:numId="24" w16cid:durableId="865555496">
    <w:abstractNumId w:val="18"/>
  </w:num>
  <w:num w:numId="25" w16cid:durableId="1818256705">
    <w:abstractNumId w:val="13"/>
  </w:num>
  <w:num w:numId="26" w16cid:durableId="581717125">
    <w:abstractNumId w:val="15"/>
  </w:num>
  <w:num w:numId="27" w16cid:durableId="473643424">
    <w:abstractNumId w:val="28"/>
  </w:num>
  <w:num w:numId="28" w16cid:durableId="1958444481">
    <w:abstractNumId w:val="11"/>
  </w:num>
  <w:num w:numId="29" w16cid:durableId="1023820888">
    <w:abstractNumId w:val="12"/>
  </w:num>
  <w:num w:numId="30" w16cid:durableId="920532011">
    <w:abstractNumId w:val="7"/>
  </w:num>
  <w:num w:numId="31" w16cid:durableId="57193295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B08"/>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B03"/>
    <w:rsid w:val="0001535A"/>
    <w:rsid w:val="0001570F"/>
    <w:rsid w:val="00016330"/>
    <w:rsid w:val="0001665A"/>
    <w:rsid w:val="00016A3A"/>
    <w:rsid w:val="00017B43"/>
    <w:rsid w:val="00017E9E"/>
    <w:rsid w:val="00017F39"/>
    <w:rsid w:val="00020A0B"/>
    <w:rsid w:val="00020FD5"/>
    <w:rsid w:val="000227DF"/>
    <w:rsid w:val="00022DEC"/>
    <w:rsid w:val="00022F73"/>
    <w:rsid w:val="00022FF4"/>
    <w:rsid w:val="000235BB"/>
    <w:rsid w:val="00023B23"/>
    <w:rsid w:val="00024137"/>
    <w:rsid w:val="00024DD6"/>
    <w:rsid w:val="00025DFC"/>
    <w:rsid w:val="000273A7"/>
    <w:rsid w:val="000274AB"/>
    <w:rsid w:val="000276C7"/>
    <w:rsid w:val="00027B9E"/>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6303"/>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601"/>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43BF"/>
    <w:rsid w:val="000851B2"/>
    <w:rsid w:val="0008530E"/>
    <w:rsid w:val="00085645"/>
    <w:rsid w:val="000857B4"/>
    <w:rsid w:val="00085C8C"/>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97F20"/>
    <w:rsid w:val="000A0766"/>
    <w:rsid w:val="000A09F2"/>
    <w:rsid w:val="000A09FC"/>
    <w:rsid w:val="000A119F"/>
    <w:rsid w:val="000A13E0"/>
    <w:rsid w:val="000A13F5"/>
    <w:rsid w:val="000A1945"/>
    <w:rsid w:val="000A2470"/>
    <w:rsid w:val="000A2684"/>
    <w:rsid w:val="000A2A5C"/>
    <w:rsid w:val="000A2F6F"/>
    <w:rsid w:val="000A345B"/>
    <w:rsid w:val="000A3C79"/>
    <w:rsid w:val="000A4586"/>
    <w:rsid w:val="000A49BF"/>
    <w:rsid w:val="000A4DAA"/>
    <w:rsid w:val="000A5FDC"/>
    <w:rsid w:val="000A6F14"/>
    <w:rsid w:val="000A71FE"/>
    <w:rsid w:val="000A76D9"/>
    <w:rsid w:val="000A7D8D"/>
    <w:rsid w:val="000B080D"/>
    <w:rsid w:val="000B0B2F"/>
    <w:rsid w:val="000B11E1"/>
    <w:rsid w:val="000B136E"/>
    <w:rsid w:val="000B13E0"/>
    <w:rsid w:val="000B14AF"/>
    <w:rsid w:val="000B2446"/>
    <w:rsid w:val="000B29EF"/>
    <w:rsid w:val="000B31C6"/>
    <w:rsid w:val="000B3285"/>
    <w:rsid w:val="000B370E"/>
    <w:rsid w:val="000B3958"/>
    <w:rsid w:val="000B3C76"/>
    <w:rsid w:val="000B478E"/>
    <w:rsid w:val="000B4CEC"/>
    <w:rsid w:val="000B5287"/>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3AE"/>
    <w:rsid w:val="000D4F31"/>
    <w:rsid w:val="000D5345"/>
    <w:rsid w:val="000D53DB"/>
    <w:rsid w:val="000D6034"/>
    <w:rsid w:val="000D652C"/>
    <w:rsid w:val="000D6905"/>
    <w:rsid w:val="000D703B"/>
    <w:rsid w:val="000D758B"/>
    <w:rsid w:val="000E0525"/>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0F7CB2"/>
    <w:rsid w:val="00100757"/>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4E7F"/>
    <w:rsid w:val="0011524E"/>
    <w:rsid w:val="00115FCF"/>
    <w:rsid w:val="00116274"/>
    <w:rsid w:val="0011672E"/>
    <w:rsid w:val="0011691E"/>
    <w:rsid w:val="001169D1"/>
    <w:rsid w:val="0011712A"/>
    <w:rsid w:val="001179F7"/>
    <w:rsid w:val="00121855"/>
    <w:rsid w:val="001219DB"/>
    <w:rsid w:val="00121DDC"/>
    <w:rsid w:val="0012202A"/>
    <w:rsid w:val="001223B0"/>
    <w:rsid w:val="001227CF"/>
    <w:rsid w:val="00122EE1"/>
    <w:rsid w:val="00123C64"/>
    <w:rsid w:val="00124189"/>
    <w:rsid w:val="00124CDD"/>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6493"/>
    <w:rsid w:val="001370BD"/>
    <w:rsid w:val="00137192"/>
    <w:rsid w:val="00137741"/>
    <w:rsid w:val="00137DC9"/>
    <w:rsid w:val="0014031C"/>
    <w:rsid w:val="001404FF"/>
    <w:rsid w:val="00141A37"/>
    <w:rsid w:val="00142808"/>
    <w:rsid w:val="00143701"/>
    <w:rsid w:val="001439C6"/>
    <w:rsid w:val="00143E5B"/>
    <w:rsid w:val="00143E6D"/>
    <w:rsid w:val="00144447"/>
    <w:rsid w:val="0014457E"/>
    <w:rsid w:val="00144FB5"/>
    <w:rsid w:val="00145364"/>
    <w:rsid w:val="00145728"/>
    <w:rsid w:val="00145C8A"/>
    <w:rsid w:val="00145ECF"/>
    <w:rsid w:val="00146857"/>
    <w:rsid w:val="001468AC"/>
    <w:rsid w:val="00146B74"/>
    <w:rsid w:val="00146CBD"/>
    <w:rsid w:val="00146CD7"/>
    <w:rsid w:val="001470EF"/>
    <w:rsid w:val="001475AF"/>
    <w:rsid w:val="001478E7"/>
    <w:rsid w:val="00147B5B"/>
    <w:rsid w:val="00147E27"/>
    <w:rsid w:val="00151B9B"/>
    <w:rsid w:val="00152730"/>
    <w:rsid w:val="00152D25"/>
    <w:rsid w:val="0015320A"/>
    <w:rsid w:val="0015362B"/>
    <w:rsid w:val="001538A4"/>
    <w:rsid w:val="00153971"/>
    <w:rsid w:val="001564B6"/>
    <w:rsid w:val="001577A9"/>
    <w:rsid w:val="0016098D"/>
    <w:rsid w:val="001609F9"/>
    <w:rsid w:val="00160B3A"/>
    <w:rsid w:val="0016184C"/>
    <w:rsid w:val="00162E78"/>
    <w:rsid w:val="001630FA"/>
    <w:rsid w:val="00163ADE"/>
    <w:rsid w:val="00163CED"/>
    <w:rsid w:val="0016454F"/>
    <w:rsid w:val="00164A49"/>
    <w:rsid w:val="00164B78"/>
    <w:rsid w:val="00164D68"/>
    <w:rsid w:val="00164E7A"/>
    <w:rsid w:val="00164FFB"/>
    <w:rsid w:val="001650A1"/>
    <w:rsid w:val="001652C5"/>
    <w:rsid w:val="001656F8"/>
    <w:rsid w:val="00165F0C"/>
    <w:rsid w:val="00165FDB"/>
    <w:rsid w:val="00166CA8"/>
    <w:rsid w:val="00166D97"/>
    <w:rsid w:val="001700DA"/>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C0"/>
    <w:rsid w:val="00186CF6"/>
    <w:rsid w:val="00187A97"/>
    <w:rsid w:val="00190048"/>
    <w:rsid w:val="001909E6"/>
    <w:rsid w:val="0019122A"/>
    <w:rsid w:val="0019177A"/>
    <w:rsid w:val="00191B79"/>
    <w:rsid w:val="00191DB6"/>
    <w:rsid w:val="00192203"/>
    <w:rsid w:val="0019223A"/>
    <w:rsid w:val="0019295E"/>
    <w:rsid w:val="0019375C"/>
    <w:rsid w:val="00193BA2"/>
    <w:rsid w:val="00193FCD"/>
    <w:rsid w:val="0019444B"/>
    <w:rsid w:val="00194C40"/>
    <w:rsid w:val="00194D63"/>
    <w:rsid w:val="0019677F"/>
    <w:rsid w:val="00196D85"/>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5B10"/>
    <w:rsid w:val="001A6C2F"/>
    <w:rsid w:val="001A79CF"/>
    <w:rsid w:val="001A7AAC"/>
    <w:rsid w:val="001B01CD"/>
    <w:rsid w:val="001B0684"/>
    <w:rsid w:val="001B06B5"/>
    <w:rsid w:val="001B0BCC"/>
    <w:rsid w:val="001B0E7F"/>
    <w:rsid w:val="001B11FC"/>
    <w:rsid w:val="001B144E"/>
    <w:rsid w:val="001B1C20"/>
    <w:rsid w:val="001B1FD7"/>
    <w:rsid w:val="001B2479"/>
    <w:rsid w:val="001B258C"/>
    <w:rsid w:val="001B3BEB"/>
    <w:rsid w:val="001B5233"/>
    <w:rsid w:val="001B6376"/>
    <w:rsid w:val="001B6573"/>
    <w:rsid w:val="001B69AD"/>
    <w:rsid w:val="001B6AFA"/>
    <w:rsid w:val="001B6B07"/>
    <w:rsid w:val="001B7090"/>
    <w:rsid w:val="001B7472"/>
    <w:rsid w:val="001B760A"/>
    <w:rsid w:val="001B7731"/>
    <w:rsid w:val="001C0F8B"/>
    <w:rsid w:val="001C1DB2"/>
    <w:rsid w:val="001C1E66"/>
    <w:rsid w:val="001C1F12"/>
    <w:rsid w:val="001C2558"/>
    <w:rsid w:val="001C3D42"/>
    <w:rsid w:val="001C42EE"/>
    <w:rsid w:val="001C43BB"/>
    <w:rsid w:val="001C49B8"/>
    <w:rsid w:val="001C4B20"/>
    <w:rsid w:val="001C53A2"/>
    <w:rsid w:val="001C54AB"/>
    <w:rsid w:val="001C59DB"/>
    <w:rsid w:val="001C6204"/>
    <w:rsid w:val="001C69F4"/>
    <w:rsid w:val="001C7271"/>
    <w:rsid w:val="001D00F1"/>
    <w:rsid w:val="001D0F73"/>
    <w:rsid w:val="001D22AD"/>
    <w:rsid w:val="001D25BC"/>
    <w:rsid w:val="001D27E5"/>
    <w:rsid w:val="001D2A06"/>
    <w:rsid w:val="001D3540"/>
    <w:rsid w:val="001D4C4A"/>
    <w:rsid w:val="001D4CA4"/>
    <w:rsid w:val="001D5235"/>
    <w:rsid w:val="001D5852"/>
    <w:rsid w:val="001D5E8F"/>
    <w:rsid w:val="001D60F6"/>
    <w:rsid w:val="001D6F31"/>
    <w:rsid w:val="001E110E"/>
    <w:rsid w:val="001E1617"/>
    <w:rsid w:val="001E1FA1"/>
    <w:rsid w:val="001E2028"/>
    <w:rsid w:val="001E25FA"/>
    <w:rsid w:val="001E26F3"/>
    <w:rsid w:val="001E2952"/>
    <w:rsid w:val="001E2B5B"/>
    <w:rsid w:val="001E2DED"/>
    <w:rsid w:val="001E33FE"/>
    <w:rsid w:val="001E3F9E"/>
    <w:rsid w:val="001E4E14"/>
    <w:rsid w:val="001E6382"/>
    <w:rsid w:val="001E63B6"/>
    <w:rsid w:val="001E6977"/>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3405"/>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29D2"/>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6B"/>
    <w:rsid w:val="00221BFA"/>
    <w:rsid w:val="002220FE"/>
    <w:rsid w:val="0022225E"/>
    <w:rsid w:val="002222B7"/>
    <w:rsid w:val="00222E7B"/>
    <w:rsid w:val="00223187"/>
    <w:rsid w:val="00223360"/>
    <w:rsid w:val="00223FAE"/>
    <w:rsid w:val="00224320"/>
    <w:rsid w:val="002250E9"/>
    <w:rsid w:val="0022586C"/>
    <w:rsid w:val="00225C24"/>
    <w:rsid w:val="00225E8D"/>
    <w:rsid w:val="00230C82"/>
    <w:rsid w:val="00230F6B"/>
    <w:rsid w:val="00231962"/>
    <w:rsid w:val="00232952"/>
    <w:rsid w:val="00232D47"/>
    <w:rsid w:val="00233E64"/>
    <w:rsid w:val="00233E70"/>
    <w:rsid w:val="00233EF5"/>
    <w:rsid w:val="002345BD"/>
    <w:rsid w:val="00234C11"/>
    <w:rsid w:val="00234D9D"/>
    <w:rsid w:val="00236041"/>
    <w:rsid w:val="00236190"/>
    <w:rsid w:val="00236543"/>
    <w:rsid w:val="00237096"/>
    <w:rsid w:val="00240238"/>
    <w:rsid w:val="00240642"/>
    <w:rsid w:val="00240E94"/>
    <w:rsid w:val="00241944"/>
    <w:rsid w:val="00242879"/>
    <w:rsid w:val="0024360C"/>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08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DF2"/>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0E3"/>
    <w:rsid w:val="0027423C"/>
    <w:rsid w:val="00274F51"/>
    <w:rsid w:val="0027734B"/>
    <w:rsid w:val="002774DB"/>
    <w:rsid w:val="00277A64"/>
    <w:rsid w:val="00277CA0"/>
    <w:rsid w:val="00277E95"/>
    <w:rsid w:val="0028000F"/>
    <w:rsid w:val="00280425"/>
    <w:rsid w:val="0028089A"/>
    <w:rsid w:val="00280C5C"/>
    <w:rsid w:val="00281563"/>
    <w:rsid w:val="0028217C"/>
    <w:rsid w:val="00283845"/>
    <w:rsid w:val="00284004"/>
    <w:rsid w:val="0028502E"/>
    <w:rsid w:val="00285597"/>
    <w:rsid w:val="00285790"/>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97FC6"/>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5FDF"/>
    <w:rsid w:val="002B6575"/>
    <w:rsid w:val="002B662C"/>
    <w:rsid w:val="002B665C"/>
    <w:rsid w:val="002B683D"/>
    <w:rsid w:val="002B686D"/>
    <w:rsid w:val="002B6915"/>
    <w:rsid w:val="002C0A46"/>
    <w:rsid w:val="002C1031"/>
    <w:rsid w:val="002C2037"/>
    <w:rsid w:val="002C21DA"/>
    <w:rsid w:val="002C2A59"/>
    <w:rsid w:val="002C35B3"/>
    <w:rsid w:val="002C36FD"/>
    <w:rsid w:val="002C5519"/>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84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184"/>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956"/>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2FEC"/>
    <w:rsid w:val="00333679"/>
    <w:rsid w:val="00333CBB"/>
    <w:rsid w:val="00334227"/>
    <w:rsid w:val="00334951"/>
    <w:rsid w:val="00334960"/>
    <w:rsid w:val="00334B0E"/>
    <w:rsid w:val="00334F0B"/>
    <w:rsid w:val="003350FC"/>
    <w:rsid w:val="00335433"/>
    <w:rsid w:val="003358A7"/>
    <w:rsid w:val="00335C47"/>
    <w:rsid w:val="00335DFC"/>
    <w:rsid w:val="00336924"/>
    <w:rsid w:val="0033716E"/>
    <w:rsid w:val="00337637"/>
    <w:rsid w:val="00337D14"/>
    <w:rsid w:val="00340102"/>
    <w:rsid w:val="0034077A"/>
    <w:rsid w:val="00340E78"/>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5DEA"/>
    <w:rsid w:val="0035606E"/>
    <w:rsid w:val="003568D2"/>
    <w:rsid w:val="00357385"/>
    <w:rsid w:val="00357774"/>
    <w:rsid w:val="00357D5C"/>
    <w:rsid w:val="00360233"/>
    <w:rsid w:val="0036028E"/>
    <w:rsid w:val="0036091C"/>
    <w:rsid w:val="0036102E"/>
    <w:rsid w:val="00361309"/>
    <w:rsid w:val="0036130C"/>
    <w:rsid w:val="00361E7A"/>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702"/>
    <w:rsid w:val="00380575"/>
    <w:rsid w:val="00381626"/>
    <w:rsid w:val="00381C38"/>
    <w:rsid w:val="00381D4B"/>
    <w:rsid w:val="0038214F"/>
    <w:rsid w:val="003827A9"/>
    <w:rsid w:val="00382E5F"/>
    <w:rsid w:val="00382EB3"/>
    <w:rsid w:val="0038423E"/>
    <w:rsid w:val="00384870"/>
    <w:rsid w:val="003848E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6C"/>
    <w:rsid w:val="003953C7"/>
    <w:rsid w:val="003959A3"/>
    <w:rsid w:val="00396D87"/>
    <w:rsid w:val="00397193"/>
    <w:rsid w:val="00397DC1"/>
    <w:rsid w:val="00397F6D"/>
    <w:rsid w:val="003A0B00"/>
    <w:rsid w:val="003A0F53"/>
    <w:rsid w:val="003A15A4"/>
    <w:rsid w:val="003A15E1"/>
    <w:rsid w:val="003A1799"/>
    <w:rsid w:val="003A19D5"/>
    <w:rsid w:val="003A2378"/>
    <w:rsid w:val="003A2BC4"/>
    <w:rsid w:val="003A2FA7"/>
    <w:rsid w:val="003A371E"/>
    <w:rsid w:val="003A3CAD"/>
    <w:rsid w:val="003A5B5A"/>
    <w:rsid w:val="003A5C68"/>
    <w:rsid w:val="003A631F"/>
    <w:rsid w:val="003A6448"/>
    <w:rsid w:val="003A6D12"/>
    <w:rsid w:val="003A7637"/>
    <w:rsid w:val="003B074C"/>
    <w:rsid w:val="003B0BB3"/>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656"/>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4E7E"/>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9A1"/>
    <w:rsid w:val="003E5B05"/>
    <w:rsid w:val="003E5FA3"/>
    <w:rsid w:val="003E61C0"/>
    <w:rsid w:val="003E64B3"/>
    <w:rsid w:val="003E69CE"/>
    <w:rsid w:val="003E6FB5"/>
    <w:rsid w:val="003E7B04"/>
    <w:rsid w:val="003F23D6"/>
    <w:rsid w:val="003F28B1"/>
    <w:rsid w:val="003F2E41"/>
    <w:rsid w:val="003F4D5D"/>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816"/>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2F2"/>
    <w:rsid w:val="00433B49"/>
    <w:rsid w:val="0043422C"/>
    <w:rsid w:val="004343AE"/>
    <w:rsid w:val="0043455B"/>
    <w:rsid w:val="00434771"/>
    <w:rsid w:val="00434942"/>
    <w:rsid w:val="00434E9C"/>
    <w:rsid w:val="004355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16E"/>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5839"/>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3E4"/>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31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6A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C1D"/>
    <w:rsid w:val="004B6E7B"/>
    <w:rsid w:val="004B7091"/>
    <w:rsid w:val="004B7590"/>
    <w:rsid w:val="004C0525"/>
    <w:rsid w:val="004C0D6A"/>
    <w:rsid w:val="004C16D9"/>
    <w:rsid w:val="004C180D"/>
    <w:rsid w:val="004C197D"/>
    <w:rsid w:val="004C2727"/>
    <w:rsid w:val="004C272D"/>
    <w:rsid w:val="004C2815"/>
    <w:rsid w:val="004C2CD6"/>
    <w:rsid w:val="004C33BC"/>
    <w:rsid w:val="004C386F"/>
    <w:rsid w:val="004C4753"/>
    <w:rsid w:val="004C551E"/>
    <w:rsid w:val="004C56A9"/>
    <w:rsid w:val="004C5C64"/>
    <w:rsid w:val="004C67C1"/>
    <w:rsid w:val="004C6E50"/>
    <w:rsid w:val="004C7068"/>
    <w:rsid w:val="004D08C1"/>
    <w:rsid w:val="004D0E75"/>
    <w:rsid w:val="004D1162"/>
    <w:rsid w:val="004D1192"/>
    <w:rsid w:val="004D1224"/>
    <w:rsid w:val="004D1AD6"/>
    <w:rsid w:val="004D1E7C"/>
    <w:rsid w:val="004D1F05"/>
    <w:rsid w:val="004D2268"/>
    <w:rsid w:val="004D24EA"/>
    <w:rsid w:val="004D2BF1"/>
    <w:rsid w:val="004D32FD"/>
    <w:rsid w:val="004D3317"/>
    <w:rsid w:val="004D3939"/>
    <w:rsid w:val="004D3B6C"/>
    <w:rsid w:val="004D40A6"/>
    <w:rsid w:val="004D45C7"/>
    <w:rsid w:val="004D4610"/>
    <w:rsid w:val="004D4D6A"/>
    <w:rsid w:val="004D58DA"/>
    <w:rsid w:val="004D5F79"/>
    <w:rsid w:val="004D6514"/>
    <w:rsid w:val="004D6700"/>
    <w:rsid w:val="004D70FB"/>
    <w:rsid w:val="004E04EE"/>
    <w:rsid w:val="004E0526"/>
    <w:rsid w:val="004E0E1E"/>
    <w:rsid w:val="004E10AA"/>
    <w:rsid w:val="004E1388"/>
    <w:rsid w:val="004E14B9"/>
    <w:rsid w:val="004E1579"/>
    <w:rsid w:val="004E173A"/>
    <w:rsid w:val="004E2847"/>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17D59"/>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4F6"/>
    <w:rsid w:val="005255E5"/>
    <w:rsid w:val="005259AE"/>
    <w:rsid w:val="00525E2B"/>
    <w:rsid w:val="005261F7"/>
    <w:rsid w:val="00526565"/>
    <w:rsid w:val="005266FF"/>
    <w:rsid w:val="005269EF"/>
    <w:rsid w:val="00526C23"/>
    <w:rsid w:val="00527C0E"/>
    <w:rsid w:val="00530F6B"/>
    <w:rsid w:val="00532056"/>
    <w:rsid w:val="005322E7"/>
    <w:rsid w:val="0053277B"/>
    <w:rsid w:val="00532BA2"/>
    <w:rsid w:val="00532EC8"/>
    <w:rsid w:val="0053361A"/>
    <w:rsid w:val="005341B2"/>
    <w:rsid w:val="00534839"/>
    <w:rsid w:val="00534AD4"/>
    <w:rsid w:val="00534E94"/>
    <w:rsid w:val="005351FB"/>
    <w:rsid w:val="0053563A"/>
    <w:rsid w:val="005358FB"/>
    <w:rsid w:val="005363F2"/>
    <w:rsid w:val="00537541"/>
    <w:rsid w:val="00537760"/>
    <w:rsid w:val="00540411"/>
    <w:rsid w:val="00541788"/>
    <w:rsid w:val="00541C26"/>
    <w:rsid w:val="005421C9"/>
    <w:rsid w:val="005429CB"/>
    <w:rsid w:val="00543111"/>
    <w:rsid w:val="005431F6"/>
    <w:rsid w:val="005437F5"/>
    <w:rsid w:val="00543D9F"/>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16A"/>
    <w:rsid w:val="005652B6"/>
    <w:rsid w:val="0056579D"/>
    <w:rsid w:val="005659AB"/>
    <w:rsid w:val="00566627"/>
    <w:rsid w:val="005667AF"/>
    <w:rsid w:val="0056680C"/>
    <w:rsid w:val="00566A7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76"/>
    <w:rsid w:val="00577F77"/>
    <w:rsid w:val="005805C1"/>
    <w:rsid w:val="00582246"/>
    <w:rsid w:val="0058269D"/>
    <w:rsid w:val="00582CD9"/>
    <w:rsid w:val="00582D0F"/>
    <w:rsid w:val="005834C4"/>
    <w:rsid w:val="00584942"/>
    <w:rsid w:val="00585947"/>
    <w:rsid w:val="005863EC"/>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AFE"/>
    <w:rsid w:val="00595B26"/>
    <w:rsid w:val="005963A7"/>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A7E06"/>
    <w:rsid w:val="005B0FB6"/>
    <w:rsid w:val="005B23A3"/>
    <w:rsid w:val="005B2C3F"/>
    <w:rsid w:val="005B36E3"/>
    <w:rsid w:val="005B3751"/>
    <w:rsid w:val="005B38F2"/>
    <w:rsid w:val="005B3FCE"/>
    <w:rsid w:val="005B452D"/>
    <w:rsid w:val="005B4F22"/>
    <w:rsid w:val="005B53D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389"/>
    <w:rsid w:val="005D058B"/>
    <w:rsid w:val="005D05DB"/>
    <w:rsid w:val="005D0A41"/>
    <w:rsid w:val="005D0EDD"/>
    <w:rsid w:val="005D121D"/>
    <w:rsid w:val="005D1616"/>
    <w:rsid w:val="005D1754"/>
    <w:rsid w:val="005D230C"/>
    <w:rsid w:val="005D3570"/>
    <w:rsid w:val="005D3E51"/>
    <w:rsid w:val="005D405C"/>
    <w:rsid w:val="005D4DA8"/>
    <w:rsid w:val="005D50C0"/>
    <w:rsid w:val="005D511A"/>
    <w:rsid w:val="005D513C"/>
    <w:rsid w:val="005D591E"/>
    <w:rsid w:val="005D5BFA"/>
    <w:rsid w:val="005D6672"/>
    <w:rsid w:val="005D686D"/>
    <w:rsid w:val="005D7819"/>
    <w:rsid w:val="005D79BE"/>
    <w:rsid w:val="005E09A7"/>
    <w:rsid w:val="005E0B8D"/>
    <w:rsid w:val="005E15C5"/>
    <w:rsid w:val="005E209D"/>
    <w:rsid w:val="005E2196"/>
    <w:rsid w:val="005E3E13"/>
    <w:rsid w:val="005E41D4"/>
    <w:rsid w:val="005E4415"/>
    <w:rsid w:val="005E454E"/>
    <w:rsid w:val="005E4C63"/>
    <w:rsid w:val="005E5BCB"/>
    <w:rsid w:val="005E64AA"/>
    <w:rsid w:val="005E68DA"/>
    <w:rsid w:val="005E7243"/>
    <w:rsid w:val="005F01EA"/>
    <w:rsid w:val="005F03F6"/>
    <w:rsid w:val="005F0BDF"/>
    <w:rsid w:val="005F1326"/>
    <w:rsid w:val="005F30A2"/>
    <w:rsid w:val="005F31DD"/>
    <w:rsid w:val="005F4619"/>
    <w:rsid w:val="005F49C8"/>
    <w:rsid w:val="005F49CB"/>
    <w:rsid w:val="005F5FC5"/>
    <w:rsid w:val="005F61FB"/>
    <w:rsid w:val="005F6326"/>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07D39"/>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242F"/>
    <w:rsid w:val="0062300E"/>
    <w:rsid w:val="00623483"/>
    <w:rsid w:val="00623655"/>
    <w:rsid w:val="00623B53"/>
    <w:rsid w:val="00625BC3"/>
    <w:rsid w:val="00625DA8"/>
    <w:rsid w:val="006266C5"/>
    <w:rsid w:val="006271A3"/>
    <w:rsid w:val="0062779A"/>
    <w:rsid w:val="00627B4F"/>
    <w:rsid w:val="00627B91"/>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1E24"/>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329"/>
    <w:rsid w:val="00665195"/>
    <w:rsid w:val="0066575D"/>
    <w:rsid w:val="00665791"/>
    <w:rsid w:val="00665C2E"/>
    <w:rsid w:val="00665E11"/>
    <w:rsid w:val="006662D8"/>
    <w:rsid w:val="00666A23"/>
    <w:rsid w:val="0066718C"/>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633"/>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5889"/>
    <w:rsid w:val="006B616A"/>
    <w:rsid w:val="006B6D43"/>
    <w:rsid w:val="006B7358"/>
    <w:rsid w:val="006B772D"/>
    <w:rsid w:val="006B7797"/>
    <w:rsid w:val="006B7A2D"/>
    <w:rsid w:val="006C022B"/>
    <w:rsid w:val="006C0386"/>
    <w:rsid w:val="006C0AEC"/>
    <w:rsid w:val="006C0D0C"/>
    <w:rsid w:val="006C0D5A"/>
    <w:rsid w:val="006C165F"/>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E3C"/>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6F74"/>
    <w:rsid w:val="006E7344"/>
    <w:rsid w:val="006E74DA"/>
    <w:rsid w:val="006E7B71"/>
    <w:rsid w:val="006E7E43"/>
    <w:rsid w:val="006E7EE1"/>
    <w:rsid w:val="006F1312"/>
    <w:rsid w:val="006F1776"/>
    <w:rsid w:val="006F1C8B"/>
    <w:rsid w:val="006F1F52"/>
    <w:rsid w:val="006F21D8"/>
    <w:rsid w:val="006F2DB5"/>
    <w:rsid w:val="006F2E92"/>
    <w:rsid w:val="006F35F0"/>
    <w:rsid w:val="006F3CBF"/>
    <w:rsid w:val="006F46B8"/>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3488"/>
    <w:rsid w:val="00703E99"/>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314"/>
    <w:rsid w:val="00721791"/>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5F8"/>
    <w:rsid w:val="007349B8"/>
    <w:rsid w:val="0073546A"/>
    <w:rsid w:val="00735E50"/>
    <w:rsid w:val="00735FB3"/>
    <w:rsid w:val="00736109"/>
    <w:rsid w:val="00736617"/>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8C0"/>
    <w:rsid w:val="00752C3A"/>
    <w:rsid w:val="00752FE0"/>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1E"/>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480"/>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1A5"/>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0E1"/>
    <w:rsid w:val="007D63F7"/>
    <w:rsid w:val="007D6581"/>
    <w:rsid w:val="007D660F"/>
    <w:rsid w:val="007D6F50"/>
    <w:rsid w:val="007D7156"/>
    <w:rsid w:val="007D7696"/>
    <w:rsid w:val="007D7C91"/>
    <w:rsid w:val="007E001F"/>
    <w:rsid w:val="007E099B"/>
    <w:rsid w:val="007E1079"/>
    <w:rsid w:val="007E1B95"/>
    <w:rsid w:val="007E2928"/>
    <w:rsid w:val="007E29E6"/>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0F20"/>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1FE2"/>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2EA"/>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BFF"/>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F47"/>
    <w:rsid w:val="0086422A"/>
    <w:rsid w:val="00864255"/>
    <w:rsid w:val="008645E6"/>
    <w:rsid w:val="00864629"/>
    <w:rsid w:val="008650DA"/>
    <w:rsid w:val="00865B08"/>
    <w:rsid w:val="0086677F"/>
    <w:rsid w:val="0086755A"/>
    <w:rsid w:val="008679F0"/>
    <w:rsid w:val="00870AE1"/>
    <w:rsid w:val="00870E5C"/>
    <w:rsid w:val="00871823"/>
    <w:rsid w:val="00871C70"/>
    <w:rsid w:val="00871DF3"/>
    <w:rsid w:val="00871E08"/>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439"/>
    <w:rsid w:val="008837A3"/>
    <w:rsid w:val="00884EDD"/>
    <w:rsid w:val="00884FF2"/>
    <w:rsid w:val="00885580"/>
    <w:rsid w:val="008859B7"/>
    <w:rsid w:val="0088608D"/>
    <w:rsid w:val="00886384"/>
    <w:rsid w:val="0088641E"/>
    <w:rsid w:val="00886F8C"/>
    <w:rsid w:val="00887DBF"/>
    <w:rsid w:val="0089177B"/>
    <w:rsid w:val="00892DB1"/>
    <w:rsid w:val="0089386B"/>
    <w:rsid w:val="00893FE7"/>
    <w:rsid w:val="008947E4"/>
    <w:rsid w:val="008950F3"/>
    <w:rsid w:val="00895619"/>
    <w:rsid w:val="0089578E"/>
    <w:rsid w:val="00896BC7"/>
    <w:rsid w:val="008A0D2C"/>
    <w:rsid w:val="008A17B4"/>
    <w:rsid w:val="008A1E44"/>
    <w:rsid w:val="008A28FF"/>
    <w:rsid w:val="008A331A"/>
    <w:rsid w:val="008A33AA"/>
    <w:rsid w:val="008A34DC"/>
    <w:rsid w:val="008A3835"/>
    <w:rsid w:val="008A499F"/>
    <w:rsid w:val="008A52E3"/>
    <w:rsid w:val="008A546C"/>
    <w:rsid w:val="008A54FE"/>
    <w:rsid w:val="008A5EF2"/>
    <w:rsid w:val="008A6036"/>
    <w:rsid w:val="008A6F74"/>
    <w:rsid w:val="008A7DA2"/>
    <w:rsid w:val="008B069E"/>
    <w:rsid w:val="008B0A83"/>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5EF2"/>
    <w:rsid w:val="008C6DE5"/>
    <w:rsid w:val="008C7174"/>
    <w:rsid w:val="008C7431"/>
    <w:rsid w:val="008C76C4"/>
    <w:rsid w:val="008C7840"/>
    <w:rsid w:val="008C7CB3"/>
    <w:rsid w:val="008D07F6"/>
    <w:rsid w:val="008D182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85A"/>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3F9"/>
    <w:rsid w:val="00911B87"/>
    <w:rsid w:val="009123C3"/>
    <w:rsid w:val="00912445"/>
    <w:rsid w:val="009125F6"/>
    <w:rsid w:val="00912AE3"/>
    <w:rsid w:val="009137CB"/>
    <w:rsid w:val="00913C69"/>
    <w:rsid w:val="009147D6"/>
    <w:rsid w:val="00915159"/>
    <w:rsid w:val="0091545D"/>
    <w:rsid w:val="00915470"/>
    <w:rsid w:val="009158E3"/>
    <w:rsid w:val="0091788D"/>
    <w:rsid w:val="009178F1"/>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085"/>
    <w:rsid w:val="00943E07"/>
    <w:rsid w:val="009441F9"/>
    <w:rsid w:val="00944B9C"/>
    <w:rsid w:val="00944C87"/>
    <w:rsid w:val="00944C9D"/>
    <w:rsid w:val="00945D90"/>
    <w:rsid w:val="0094647A"/>
    <w:rsid w:val="00947472"/>
    <w:rsid w:val="009478D4"/>
    <w:rsid w:val="00947F4A"/>
    <w:rsid w:val="00947F5C"/>
    <w:rsid w:val="00950C53"/>
    <w:rsid w:val="00950DB5"/>
    <w:rsid w:val="00950E6E"/>
    <w:rsid w:val="00951013"/>
    <w:rsid w:val="00951511"/>
    <w:rsid w:val="00951A4A"/>
    <w:rsid w:val="00951B14"/>
    <w:rsid w:val="009520FC"/>
    <w:rsid w:val="0095257B"/>
    <w:rsid w:val="0095335B"/>
    <w:rsid w:val="00953C00"/>
    <w:rsid w:val="00953C30"/>
    <w:rsid w:val="009544A5"/>
    <w:rsid w:val="00955182"/>
    <w:rsid w:val="00955C77"/>
    <w:rsid w:val="00956D7D"/>
    <w:rsid w:val="00957779"/>
    <w:rsid w:val="00960F61"/>
    <w:rsid w:val="00961BF3"/>
    <w:rsid w:val="0096219A"/>
    <w:rsid w:val="00962361"/>
    <w:rsid w:val="009624C0"/>
    <w:rsid w:val="00962E07"/>
    <w:rsid w:val="00963B28"/>
    <w:rsid w:val="00963FAF"/>
    <w:rsid w:val="0096463A"/>
    <w:rsid w:val="0096471F"/>
    <w:rsid w:val="009647FF"/>
    <w:rsid w:val="009650F2"/>
    <w:rsid w:val="00965440"/>
    <w:rsid w:val="00965653"/>
    <w:rsid w:val="0096569A"/>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22C"/>
    <w:rsid w:val="0098294F"/>
    <w:rsid w:val="00982D2C"/>
    <w:rsid w:val="0098417E"/>
    <w:rsid w:val="00984FEA"/>
    <w:rsid w:val="00985043"/>
    <w:rsid w:val="00985094"/>
    <w:rsid w:val="009850CF"/>
    <w:rsid w:val="0098536D"/>
    <w:rsid w:val="009867FF"/>
    <w:rsid w:val="009869DE"/>
    <w:rsid w:val="00986ED2"/>
    <w:rsid w:val="009872CC"/>
    <w:rsid w:val="00987454"/>
    <w:rsid w:val="00990313"/>
    <w:rsid w:val="009906DF"/>
    <w:rsid w:val="00990A07"/>
    <w:rsid w:val="009910C5"/>
    <w:rsid w:val="009913C6"/>
    <w:rsid w:val="009914B4"/>
    <w:rsid w:val="009918F7"/>
    <w:rsid w:val="00991C59"/>
    <w:rsid w:val="00991E74"/>
    <w:rsid w:val="00992149"/>
    <w:rsid w:val="009921C5"/>
    <w:rsid w:val="00993A0E"/>
    <w:rsid w:val="00994710"/>
    <w:rsid w:val="00994A76"/>
    <w:rsid w:val="00994D36"/>
    <w:rsid w:val="00994DC7"/>
    <w:rsid w:val="00994E7F"/>
    <w:rsid w:val="00996329"/>
    <w:rsid w:val="0099670B"/>
    <w:rsid w:val="0099693C"/>
    <w:rsid w:val="00996DAA"/>
    <w:rsid w:val="00996E02"/>
    <w:rsid w:val="009977FC"/>
    <w:rsid w:val="009A1BE2"/>
    <w:rsid w:val="009A26D4"/>
    <w:rsid w:val="009A2CE2"/>
    <w:rsid w:val="009A31AA"/>
    <w:rsid w:val="009A5B97"/>
    <w:rsid w:val="009A5CA6"/>
    <w:rsid w:val="009A6156"/>
    <w:rsid w:val="009A636F"/>
    <w:rsid w:val="009A66D1"/>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5CD"/>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3CF3"/>
    <w:rsid w:val="009C44C7"/>
    <w:rsid w:val="009C458F"/>
    <w:rsid w:val="009C5C21"/>
    <w:rsid w:val="009C6375"/>
    <w:rsid w:val="009C6628"/>
    <w:rsid w:val="009C7452"/>
    <w:rsid w:val="009C748E"/>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6656"/>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CF8"/>
    <w:rsid w:val="00A126BC"/>
    <w:rsid w:val="00A131D2"/>
    <w:rsid w:val="00A13F17"/>
    <w:rsid w:val="00A13F5B"/>
    <w:rsid w:val="00A140BB"/>
    <w:rsid w:val="00A14D50"/>
    <w:rsid w:val="00A15835"/>
    <w:rsid w:val="00A15D0B"/>
    <w:rsid w:val="00A15FDC"/>
    <w:rsid w:val="00A16A51"/>
    <w:rsid w:val="00A16CB7"/>
    <w:rsid w:val="00A1754A"/>
    <w:rsid w:val="00A17CF9"/>
    <w:rsid w:val="00A204E7"/>
    <w:rsid w:val="00A20748"/>
    <w:rsid w:val="00A227A1"/>
    <w:rsid w:val="00A22988"/>
    <w:rsid w:val="00A22C8D"/>
    <w:rsid w:val="00A2422B"/>
    <w:rsid w:val="00A24E3A"/>
    <w:rsid w:val="00A252C4"/>
    <w:rsid w:val="00A254DC"/>
    <w:rsid w:val="00A261E1"/>
    <w:rsid w:val="00A27067"/>
    <w:rsid w:val="00A27140"/>
    <w:rsid w:val="00A279BB"/>
    <w:rsid w:val="00A27C2B"/>
    <w:rsid w:val="00A27CF5"/>
    <w:rsid w:val="00A30701"/>
    <w:rsid w:val="00A317CB"/>
    <w:rsid w:val="00A31920"/>
    <w:rsid w:val="00A32097"/>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504"/>
    <w:rsid w:val="00A4473C"/>
    <w:rsid w:val="00A500A0"/>
    <w:rsid w:val="00A50657"/>
    <w:rsid w:val="00A50E6E"/>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C40"/>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002"/>
    <w:rsid w:val="00A76187"/>
    <w:rsid w:val="00A762AC"/>
    <w:rsid w:val="00A7634F"/>
    <w:rsid w:val="00A76B6C"/>
    <w:rsid w:val="00A76D93"/>
    <w:rsid w:val="00A77737"/>
    <w:rsid w:val="00A800B5"/>
    <w:rsid w:val="00A8099C"/>
    <w:rsid w:val="00A80CC7"/>
    <w:rsid w:val="00A80D2C"/>
    <w:rsid w:val="00A813F4"/>
    <w:rsid w:val="00A81F47"/>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0D51"/>
    <w:rsid w:val="00AA127C"/>
    <w:rsid w:val="00AA1A7B"/>
    <w:rsid w:val="00AA1EDA"/>
    <w:rsid w:val="00AA26F6"/>
    <w:rsid w:val="00AA27F7"/>
    <w:rsid w:val="00AA2967"/>
    <w:rsid w:val="00AA3F39"/>
    <w:rsid w:val="00AA4233"/>
    <w:rsid w:val="00AA5067"/>
    <w:rsid w:val="00AA511F"/>
    <w:rsid w:val="00AA7DE5"/>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361F"/>
    <w:rsid w:val="00AC41B4"/>
    <w:rsid w:val="00AC48F6"/>
    <w:rsid w:val="00AC4947"/>
    <w:rsid w:val="00AC49B9"/>
    <w:rsid w:val="00AC59DF"/>
    <w:rsid w:val="00AC5F64"/>
    <w:rsid w:val="00AC6493"/>
    <w:rsid w:val="00AC6C62"/>
    <w:rsid w:val="00AC7407"/>
    <w:rsid w:val="00AC7C2E"/>
    <w:rsid w:val="00AC7E00"/>
    <w:rsid w:val="00AC7F57"/>
    <w:rsid w:val="00AD04CE"/>
    <w:rsid w:val="00AD1709"/>
    <w:rsid w:val="00AD1BB5"/>
    <w:rsid w:val="00AD21A3"/>
    <w:rsid w:val="00AD22F9"/>
    <w:rsid w:val="00AD2463"/>
    <w:rsid w:val="00AD2985"/>
    <w:rsid w:val="00AD318F"/>
    <w:rsid w:val="00AD4948"/>
    <w:rsid w:val="00AD557B"/>
    <w:rsid w:val="00AD56C0"/>
    <w:rsid w:val="00AD7416"/>
    <w:rsid w:val="00AD7640"/>
    <w:rsid w:val="00AD76C6"/>
    <w:rsid w:val="00AD7817"/>
    <w:rsid w:val="00AD7E28"/>
    <w:rsid w:val="00AE1316"/>
    <w:rsid w:val="00AE1450"/>
    <w:rsid w:val="00AE180A"/>
    <w:rsid w:val="00AE1C12"/>
    <w:rsid w:val="00AE1DB7"/>
    <w:rsid w:val="00AE2050"/>
    <w:rsid w:val="00AE4728"/>
    <w:rsid w:val="00AE57B4"/>
    <w:rsid w:val="00AE6CA7"/>
    <w:rsid w:val="00AF031C"/>
    <w:rsid w:val="00AF045B"/>
    <w:rsid w:val="00AF05AA"/>
    <w:rsid w:val="00AF06C7"/>
    <w:rsid w:val="00AF1041"/>
    <w:rsid w:val="00AF12A8"/>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0FD"/>
    <w:rsid w:val="00B07591"/>
    <w:rsid w:val="00B076E3"/>
    <w:rsid w:val="00B10C81"/>
    <w:rsid w:val="00B10DEA"/>
    <w:rsid w:val="00B10F0E"/>
    <w:rsid w:val="00B10F57"/>
    <w:rsid w:val="00B1103C"/>
    <w:rsid w:val="00B118D2"/>
    <w:rsid w:val="00B1211B"/>
    <w:rsid w:val="00B12745"/>
    <w:rsid w:val="00B12B7F"/>
    <w:rsid w:val="00B13084"/>
    <w:rsid w:val="00B13C95"/>
    <w:rsid w:val="00B1426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4CCE"/>
    <w:rsid w:val="00B25570"/>
    <w:rsid w:val="00B25A3E"/>
    <w:rsid w:val="00B2606E"/>
    <w:rsid w:val="00B26973"/>
    <w:rsid w:val="00B26AF2"/>
    <w:rsid w:val="00B27697"/>
    <w:rsid w:val="00B27BB2"/>
    <w:rsid w:val="00B302CB"/>
    <w:rsid w:val="00B307EB"/>
    <w:rsid w:val="00B30AC6"/>
    <w:rsid w:val="00B31692"/>
    <w:rsid w:val="00B31797"/>
    <w:rsid w:val="00B31BC3"/>
    <w:rsid w:val="00B31CA9"/>
    <w:rsid w:val="00B32064"/>
    <w:rsid w:val="00B322A4"/>
    <w:rsid w:val="00B330B1"/>
    <w:rsid w:val="00B332C7"/>
    <w:rsid w:val="00B334F5"/>
    <w:rsid w:val="00B33D13"/>
    <w:rsid w:val="00B33D49"/>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3291"/>
    <w:rsid w:val="00B44117"/>
    <w:rsid w:val="00B441D3"/>
    <w:rsid w:val="00B455BD"/>
    <w:rsid w:val="00B45F5C"/>
    <w:rsid w:val="00B46C4B"/>
    <w:rsid w:val="00B47D7D"/>
    <w:rsid w:val="00B5015E"/>
    <w:rsid w:val="00B5017A"/>
    <w:rsid w:val="00B518E0"/>
    <w:rsid w:val="00B51A1C"/>
    <w:rsid w:val="00B51E92"/>
    <w:rsid w:val="00B5237A"/>
    <w:rsid w:val="00B5325E"/>
    <w:rsid w:val="00B536EB"/>
    <w:rsid w:val="00B53776"/>
    <w:rsid w:val="00B53F69"/>
    <w:rsid w:val="00B540B4"/>
    <w:rsid w:val="00B54DB2"/>
    <w:rsid w:val="00B5547A"/>
    <w:rsid w:val="00B5573B"/>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817"/>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5F7A"/>
    <w:rsid w:val="00B763A2"/>
    <w:rsid w:val="00B7682E"/>
    <w:rsid w:val="00B76832"/>
    <w:rsid w:val="00B7697A"/>
    <w:rsid w:val="00B770F1"/>
    <w:rsid w:val="00B800FC"/>
    <w:rsid w:val="00B801FA"/>
    <w:rsid w:val="00B80361"/>
    <w:rsid w:val="00B8098B"/>
    <w:rsid w:val="00B8145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687"/>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80E"/>
    <w:rsid w:val="00BC0A98"/>
    <w:rsid w:val="00BC0FB8"/>
    <w:rsid w:val="00BC14F6"/>
    <w:rsid w:val="00BC217E"/>
    <w:rsid w:val="00BC22D0"/>
    <w:rsid w:val="00BC28C4"/>
    <w:rsid w:val="00BC3542"/>
    <w:rsid w:val="00BC3ADE"/>
    <w:rsid w:val="00BC3EF0"/>
    <w:rsid w:val="00BC449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735"/>
    <w:rsid w:val="00BE1856"/>
    <w:rsid w:val="00BE2372"/>
    <w:rsid w:val="00BE268F"/>
    <w:rsid w:val="00BE3E6C"/>
    <w:rsid w:val="00BE4168"/>
    <w:rsid w:val="00BE455B"/>
    <w:rsid w:val="00BE4AF1"/>
    <w:rsid w:val="00BE4B47"/>
    <w:rsid w:val="00BE4C5B"/>
    <w:rsid w:val="00BE5D4F"/>
    <w:rsid w:val="00BE640F"/>
    <w:rsid w:val="00BE652A"/>
    <w:rsid w:val="00BE65CF"/>
    <w:rsid w:val="00BF0070"/>
    <w:rsid w:val="00BF012E"/>
    <w:rsid w:val="00BF01C7"/>
    <w:rsid w:val="00BF107D"/>
    <w:rsid w:val="00BF122D"/>
    <w:rsid w:val="00BF141D"/>
    <w:rsid w:val="00BF1684"/>
    <w:rsid w:val="00BF3094"/>
    <w:rsid w:val="00BF31F0"/>
    <w:rsid w:val="00BF3E82"/>
    <w:rsid w:val="00BF3F4C"/>
    <w:rsid w:val="00BF4F87"/>
    <w:rsid w:val="00BF5A0C"/>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96A"/>
    <w:rsid w:val="00C10AB3"/>
    <w:rsid w:val="00C10FF0"/>
    <w:rsid w:val="00C11950"/>
    <w:rsid w:val="00C124C7"/>
    <w:rsid w:val="00C1276F"/>
    <w:rsid w:val="00C12A6C"/>
    <w:rsid w:val="00C12B07"/>
    <w:rsid w:val="00C12E94"/>
    <w:rsid w:val="00C12EBA"/>
    <w:rsid w:val="00C12FCF"/>
    <w:rsid w:val="00C130C4"/>
    <w:rsid w:val="00C13BF5"/>
    <w:rsid w:val="00C13C70"/>
    <w:rsid w:val="00C13D17"/>
    <w:rsid w:val="00C142AC"/>
    <w:rsid w:val="00C157D8"/>
    <w:rsid w:val="00C1613D"/>
    <w:rsid w:val="00C17179"/>
    <w:rsid w:val="00C1732B"/>
    <w:rsid w:val="00C17422"/>
    <w:rsid w:val="00C17C56"/>
    <w:rsid w:val="00C17D82"/>
    <w:rsid w:val="00C2040D"/>
    <w:rsid w:val="00C20B13"/>
    <w:rsid w:val="00C21160"/>
    <w:rsid w:val="00C211D7"/>
    <w:rsid w:val="00C21360"/>
    <w:rsid w:val="00C22961"/>
    <w:rsid w:val="00C2356C"/>
    <w:rsid w:val="00C2361F"/>
    <w:rsid w:val="00C2491E"/>
    <w:rsid w:val="00C252A5"/>
    <w:rsid w:val="00C25FF9"/>
    <w:rsid w:val="00C26BC5"/>
    <w:rsid w:val="00C26CFA"/>
    <w:rsid w:val="00C3027F"/>
    <w:rsid w:val="00C308EC"/>
    <w:rsid w:val="00C32453"/>
    <w:rsid w:val="00C324E0"/>
    <w:rsid w:val="00C32513"/>
    <w:rsid w:val="00C325FB"/>
    <w:rsid w:val="00C334E1"/>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822"/>
    <w:rsid w:val="00C51986"/>
    <w:rsid w:val="00C51BDF"/>
    <w:rsid w:val="00C51DCC"/>
    <w:rsid w:val="00C524C2"/>
    <w:rsid w:val="00C52ED5"/>
    <w:rsid w:val="00C53B80"/>
    <w:rsid w:val="00C541A4"/>
    <w:rsid w:val="00C54201"/>
    <w:rsid w:val="00C54368"/>
    <w:rsid w:val="00C543C6"/>
    <w:rsid w:val="00C54450"/>
    <w:rsid w:val="00C54B29"/>
    <w:rsid w:val="00C54B32"/>
    <w:rsid w:val="00C54C56"/>
    <w:rsid w:val="00C55ECC"/>
    <w:rsid w:val="00C56753"/>
    <w:rsid w:val="00C56EA0"/>
    <w:rsid w:val="00C57174"/>
    <w:rsid w:val="00C57291"/>
    <w:rsid w:val="00C5769F"/>
    <w:rsid w:val="00C57DF3"/>
    <w:rsid w:val="00C60347"/>
    <w:rsid w:val="00C604F7"/>
    <w:rsid w:val="00C60AC0"/>
    <w:rsid w:val="00C60BE7"/>
    <w:rsid w:val="00C61B07"/>
    <w:rsid w:val="00C61BC7"/>
    <w:rsid w:val="00C623C4"/>
    <w:rsid w:val="00C62D24"/>
    <w:rsid w:val="00C62EAA"/>
    <w:rsid w:val="00C645C1"/>
    <w:rsid w:val="00C648DE"/>
    <w:rsid w:val="00C6498E"/>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19D"/>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251"/>
    <w:rsid w:val="00CB003B"/>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E01"/>
    <w:rsid w:val="00CB7A12"/>
    <w:rsid w:val="00CB7BDC"/>
    <w:rsid w:val="00CC00D8"/>
    <w:rsid w:val="00CC0719"/>
    <w:rsid w:val="00CC0D71"/>
    <w:rsid w:val="00CC1A4A"/>
    <w:rsid w:val="00CC1D5C"/>
    <w:rsid w:val="00CC1F6C"/>
    <w:rsid w:val="00CC2EF2"/>
    <w:rsid w:val="00CC34DB"/>
    <w:rsid w:val="00CC3915"/>
    <w:rsid w:val="00CC3BF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2F80"/>
    <w:rsid w:val="00CD3E51"/>
    <w:rsid w:val="00CD4B83"/>
    <w:rsid w:val="00CD6177"/>
    <w:rsid w:val="00CD6540"/>
    <w:rsid w:val="00CD72B6"/>
    <w:rsid w:val="00CD77B8"/>
    <w:rsid w:val="00CD7D77"/>
    <w:rsid w:val="00CE0BD4"/>
    <w:rsid w:val="00CE0CCB"/>
    <w:rsid w:val="00CE0F37"/>
    <w:rsid w:val="00CE139F"/>
    <w:rsid w:val="00CE19FD"/>
    <w:rsid w:val="00CE1C38"/>
    <w:rsid w:val="00CE2AC7"/>
    <w:rsid w:val="00CE2ED3"/>
    <w:rsid w:val="00CE36EB"/>
    <w:rsid w:val="00CE37F7"/>
    <w:rsid w:val="00CE38B6"/>
    <w:rsid w:val="00CE394A"/>
    <w:rsid w:val="00CE40E3"/>
    <w:rsid w:val="00CE4672"/>
    <w:rsid w:val="00CE5C18"/>
    <w:rsid w:val="00CE6764"/>
    <w:rsid w:val="00CE6E16"/>
    <w:rsid w:val="00CE6E37"/>
    <w:rsid w:val="00CE752A"/>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5F1"/>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6B0E"/>
    <w:rsid w:val="00D173D2"/>
    <w:rsid w:val="00D17767"/>
    <w:rsid w:val="00D17ABD"/>
    <w:rsid w:val="00D17B78"/>
    <w:rsid w:val="00D2030E"/>
    <w:rsid w:val="00D2059D"/>
    <w:rsid w:val="00D20ADA"/>
    <w:rsid w:val="00D20E94"/>
    <w:rsid w:val="00D20F3F"/>
    <w:rsid w:val="00D20F55"/>
    <w:rsid w:val="00D219C7"/>
    <w:rsid w:val="00D21C0C"/>
    <w:rsid w:val="00D220D8"/>
    <w:rsid w:val="00D2223E"/>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D7C"/>
    <w:rsid w:val="00D43DEC"/>
    <w:rsid w:val="00D43E85"/>
    <w:rsid w:val="00D4401A"/>
    <w:rsid w:val="00D44828"/>
    <w:rsid w:val="00D45602"/>
    <w:rsid w:val="00D459AF"/>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6082"/>
    <w:rsid w:val="00D57997"/>
    <w:rsid w:val="00D57C41"/>
    <w:rsid w:val="00D57F7C"/>
    <w:rsid w:val="00D57F92"/>
    <w:rsid w:val="00D6122C"/>
    <w:rsid w:val="00D61295"/>
    <w:rsid w:val="00D613AA"/>
    <w:rsid w:val="00D615A7"/>
    <w:rsid w:val="00D61892"/>
    <w:rsid w:val="00D61E0B"/>
    <w:rsid w:val="00D62094"/>
    <w:rsid w:val="00D6332A"/>
    <w:rsid w:val="00D63E4E"/>
    <w:rsid w:val="00D63F85"/>
    <w:rsid w:val="00D6490A"/>
    <w:rsid w:val="00D64BE2"/>
    <w:rsid w:val="00D656C6"/>
    <w:rsid w:val="00D66190"/>
    <w:rsid w:val="00D661A2"/>
    <w:rsid w:val="00D665EE"/>
    <w:rsid w:val="00D6670A"/>
    <w:rsid w:val="00D67E42"/>
    <w:rsid w:val="00D702CE"/>
    <w:rsid w:val="00D7031D"/>
    <w:rsid w:val="00D70411"/>
    <w:rsid w:val="00D704C2"/>
    <w:rsid w:val="00D7062D"/>
    <w:rsid w:val="00D71378"/>
    <w:rsid w:val="00D7196C"/>
    <w:rsid w:val="00D71995"/>
    <w:rsid w:val="00D71C17"/>
    <w:rsid w:val="00D7262A"/>
    <w:rsid w:val="00D73A9D"/>
    <w:rsid w:val="00D73D8E"/>
    <w:rsid w:val="00D74B4A"/>
    <w:rsid w:val="00D74FF8"/>
    <w:rsid w:val="00D7500A"/>
    <w:rsid w:val="00D756B1"/>
    <w:rsid w:val="00D757E8"/>
    <w:rsid w:val="00D758CE"/>
    <w:rsid w:val="00D75B38"/>
    <w:rsid w:val="00D764A5"/>
    <w:rsid w:val="00D76BA1"/>
    <w:rsid w:val="00D77FFB"/>
    <w:rsid w:val="00D803F1"/>
    <w:rsid w:val="00D80DBD"/>
    <w:rsid w:val="00D8113C"/>
    <w:rsid w:val="00D81212"/>
    <w:rsid w:val="00D815B5"/>
    <w:rsid w:val="00D816BF"/>
    <w:rsid w:val="00D81973"/>
    <w:rsid w:val="00D81DAB"/>
    <w:rsid w:val="00D821B4"/>
    <w:rsid w:val="00D82422"/>
    <w:rsid w:val="00D82BF1"/>
    <w:rsid w:val="00D82C97"/>
    <w:rsid w:val="00D83013"/>
    <w:rsid w:val="00D834BC"/>
    <w:rsid w:val="00D83A1C"/>
    <w:rsid w:val="00D83A4E"/>
    <w:rsid w:val="00D8464D"/>
    <w:rsid w:val="00D85BE1"/>
    <w:rsid w:val="00D85E77"/>
    <w:rsid w:val="00D86C09"/>
    <w:rsid w:val="00D876B0"/>
    <w:rsid w:val="00D87711"/>
    <w:rsid w:val="00D8793A"/>
    <w:rsid w:val="00D8799B"/>
    <w:rsid w:val="00D87D56"/>
    <w:rsid w:val="00D909F1"/>
    <w:rsid w:val="00D90AD5"/>
    <w:rsid w:val="00D911E6"/>
    <w:rsid w:val="00D91989"/>
    <w:rsid w:val="00D92660"/>
    <w:rsid w:val="00D92B72"/>
    <w:rsid w:val="00D93187"/>
    <w:rsid w:val="00D93617"/>
    <w:rsid w:val="00D937FE"/>
    <w:rsid w:val="00D944C1"/>
    <w:rsid w:val="00D94B05"/>
    <w:rsid w:val="00D95AD4"/>
    <w:rsid w:val="00D95CC8"/>
    <w:rsid w:val="00D97D83"/>
    <w:rsid w:val="00DA00AB"/>
    <w:rsid w:val="00DA0A83"/>
    <w:rsid w:val="00DA0C4F"/>
    <w:rsid w:val="00DA1022"/>
    <w:rsid w:val="00DA12B5"/>
    <w:rsid w:val="00DA1A1C"/>
    <w:rsid w:val="00DA2A94"/>
    <w:rsid w:val="00DA3D26"/>
    <w:rsid w:val="00DA4556"/>
    <w:rsid w:val="00DA4678"/>
    <w:rsid w:val="00DA4CA7"/>
    <w:rsid w:val="00DA5593"/>
    <w:rsid w:val="00DA56CD"/>
    <w:rsid w:val="00DA5DB8"/>
    <w:rsid w:val="00DA70CD"/>
    <w:rsid w:val="00DA7202"/>
    <w:rsid w:val="00DA72B2"/>
    <w:rsid w:val="00DA72BA"/>
    <w:rsid w:val="00DA7CEE"/>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947"/>
    <w:rsid w:val="00DC531C"/>
    <w:rsid w:val="00DC5577"/>
    <w:rsid w:val="00DC5912"/>
    <w:rsid w:val="00DC5B57"/>
    <w:rsid w:val="00DC603C"/>
    <w:rsid w:val="00DC632F"/>
    <w:rsid w:val="00DC6401"/>
    <w:rsid w:val="00DC70E0"/>
    <w:rsid w:val="00DC72D5"/>
    <w:rsid w:val="00DC7B98"/>
    <w:rsid w:val="00DC7D73"/>
    <w:rsid w:val="00DD10F0"/>
    <w:rsid w:val="00DD163D"/>
    <w:rsid w:val="00DD1817"/>
    <w:rsid w:val="00DD1DC5"/>
    <w:rsid w:val="00DD22C6"/>
    <w:rsid w:val="00DD23F5"/>
    <w:rsid w:val="00DD2E24"/>
    <w:rsid w:val="00DD3848"/>
    <w:rsid w:val="00DD3B29"/>
    <w:rsid w:val="00DD4574"/>
    <w:rsid w:val="00DD48BC"/>
    <w:rsid w:val="00DD50ED"/>
    <w:rsid w:val="00DD63CC"/>
    <w:rsid w:val="00DD6723"/>
    <w:rsid w:val="00DD7966"/>
    <w:rsid w:val="00DD79D4"/>
    <w:rsid w:val="00DD7F4E"/>
    <w:rsid w:val="00DE01E7"/>
    <w:rsid w:val="00DE093A"/>
    <w:rsid w:val="00DE0986"/>
    <w:rsid w:val="00DE0BAA"/>
    <w:rsid w:val="00DE1814"/>
    <w:rsid w:val="00DE1C1F"/>
    <w:rsid w:val="00DE2107"/>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641"/>
    <w:rsid w:val="00DF4487"/>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099"/>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A8"/>
    <w:rsid w:val="00E412DF"/>
    <w:rsid w:val="00E4425F"/>
    <w:rsid w:val="00E44839"/>
    <w:rsid w:val="00E4538B"/>
    <w:rsid w:val="00E45DEA"/>
    <w:rsid w:val="00E5002E"/>
    <w:rsid w:val="00E50A6F"/>
    <w:rsid w:val="00E516EA"/>
    <w:rsid w:val="00E51C8C"/>
    <w:rsid w:val="00E52448"/>
    <w:rsid w:val="00E536D6"/>
    <w:rsid w:val="00E54B25"/>
    <w:rsid w:val="00E54E03"/>
    <w:rsid w:val="00E54E5C"/>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267C"/>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858"/>
    <w:rsid w:val="00E73255"/>
    <w:rsid w:val="00E7535D"/>
    <w:rsid w:val="00E7571F"/>
    <w:rsid w:val="00E75856"/>
    <w:rsid w:val="00E75922"/>
    <w:rsid w:val="00E76098"/>
    <w:rsid w:val="00E76504"/>
    <w:rsid w:val="00E76559"/>
    <w:rsid w:val="00E7655E"/>
    <w:rsid w:val="00E76714"/>
    <w:rsid w:val="00E770B8"/>
    <w:rsid w:val="00E772DD"/>
    <w:rsid w:val="00E7771D"/>
    <w:rsid w:val="00E77DF4"/>
    <w:rsid w:val="00E80156"/>
    <w:rsid w:val="00E807A3"/>
    <w:rsid w:val="00E80FB6"/>
    <w:rsid w:val="00E819C1"/>
    <w:rsid w:val="00E82C1B"/>
    <w:rsid w:val="00E831E0"/>
    <w:rsid w:val="00E83387"/>
    <w:rsid w:val="00E83789"/>
    <w:rsid w:val="00E83A08"/>
    <w:rsid w:val="00E83E66"/>
    <w:rsid w:val="00E84C02"/>
    <w:rsid w:val="00E850F7"/>
    <w:rsid w:val="00E85886"/>
    <w:rsid w:val="00E85963"/>
    <w:rsid w:val="00E859D0"/>
    <w:rsid w:val="00E85E53"/>
    <w:rsid w:val="00E86073"/>
    <w:rsid w:val="00E8629D"/>
    <w:rsid w:val="00E86B25"/>
    <w:rsid w:val="00E86B44"/>
    <w:rsid w:val="00E90C19"/>
    <w:rsid w:val="00E90F60"/>
    <w:rsid w:val="00E911D4"/>
    <w:rsid w:val="00E914E4"/>
    <w:rsid w:val="00E92566"/>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13F"/>
    <w:rsid w:val="00EB6519"/>
    <w:rsid w:val="00EB671A"/>
    <w:rsid w:val="00EB6E40"/>
    <w:rsid w:val="00EB6F5F"/>
    <w:rsid w:val="00EB744D"/>
    <w:rsid w:val="00EB75B1"/>
    <w:rsid w:val="00EC0C81"/>
    <w:rsid w:val="00EC1238"/>
    <w:rsid w:val="00EC13BF"/>
    <w:rsid w:val="00EC1617"/>
    <w:rsid w:val="00EC2D09"/>
    <w:rsid w:val="00EC2DB0"/>
    <w:rsid w:val="00EC2F81"/>
    <w:rsid w:val="00EC3296"/>
    <w:rsid w:val="00EC3612"/>
    <w:rsid w:val="00EC3635"/>
    <w:rsid w:val="00EC38A3"/>
    <w:rsid w:val="00EC3BC2"/>
    <w:rsid w:val="00EC3DB5"/>
    <w:rsid w:val="00EC44A3"/>
    <w:rsid w:val="00EC45EE"/>
    <w:rsid w:val="00EC53B1"/>
    <w:rsid w:val="00EC5428"/>
    <w:rsid w:val="00EC5BD6"/>
    <w:rsid w:val="00EC6041"/>
    <w:rsid w:val="00EC65B9"/>
    <w:rsid w:val="00EC6820"/>
    <w:rsid w:val="00EC6EFE"/>
    <w:rsid w:val="00EC71B4"/>
    <w:rsid w:val="00ED09EB"/>
    <w:rsid w:val="00ED18FD"/>
    <w:rsid w:val="00ED1E85"/>
    <w:rsid w:val="00ED21F7"/>
    <w:rsid w:val="00ED2A4F"/>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8AB"/>
    <w:rsid w:val="00EE5A8D"/>
    <w:rsid w:val="00EE63C8"/>
    <w:rsid w:val="00EE6459"/>
    <w:rsid w:val="00EE6FE4"/>
    <w:rsid w:val="00EE77D6"/>
    <w:rsid w:val="00EF132E"/>
    <w:rsid w:val="00EF136D"/>
    <w:rsid w:val="00EF1554"/>
    <w:rsid w:val="00EF1FEE"/>
    <w:rsid w:val="00EF2A05"/>
    <w:rsid w:val="00EF2D06"/>
    <w:rsid w:val="00EF33DE"/>
    <w:rsid w:val="00EF37C8"/>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A6A"/>
    <w:rsid w:val="00F03AFE"/>
    <w:rsid w:val="00F0429C"/>
    <w:rsid w:val="00F04546"/>
    <w:rsid w:val="00F0486D"/>
    <w:rsid w:val="00F05D84"/>
    <w:rsid w:val="00F06FCF"/>
    <w:rsid w:val="00F0738C"/>
    <w:rsid w:val="00F07E7E"/>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0BAC"/>
    <w:rsid w:val="00F30EB6"/>
    <w:rsid w:val="00F31064"/>
    <w:rsid w:val="00F31526"/>
    <w:rsid w:val="00F31D66"/>
    <w:rsid w:val="00F3237A"/>
    <w:rsid w:val="00F32434"/>
    <w:rsid w:val="00F3265A"/>
    <w:rsid w:val="00F32C67"/>
    <w:rsid w:val="00F33488"/>
    <w:rsid w:val="00F33F6B"/>
    <w:rsid w:val="00F34006"/>
    <w:rsid w:val="00F341C7"/>
    <w:rsid w:val="00F34918"/>
    <w:rsid w:val="00F34F2E"/>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4DD5"/>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57A1"/>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071E"/>
    <w:rsid w:val="00F71C01"/>
    <w:rsid w:val="00F7289E"/>
    <w:rsid w:val="00F72A74"/>
    <w:rsid w:val="00F72DC7"/>
    <w:rsid w:val="00F73961"/>
    <w:rsid w:val="00F74C22"/>
    <w:rsid w:val="00F756AB"/>
    <w:rsid w:val="00F75FE0"/>
    <w:rsid w:val="00F7604E"/>
    <w:rsid w:val="00F76A81"/>
    <w:rsid w:val="00F76C85"/>
    <w:rsid w:val="00F76FCC"/>
    <w:rsid w:val="00F7706D"/>
    <w:rsid w:val="00F77790"/>
    <w:rsid w:val="00F77807"/>
    <w:rsid w:val="00F77F12"/>
    <w:rsid w:val="00F808DA"/>
    <w:rsid w:val="00F80F65"/>
    <w:rsid w:val="00F811C5"/>
    <w:rsid w:val="00F8164A"/>
    <w:rsid w:val="00F81EE2"/>
    <w:rsid w:val="00F81F20"/>
    <w:rsid w:val="00F82775"/>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4CC"/>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19F4"/>
    <w:rsid w:val="00FB3244"/>
    <w:rsid w:val="00FB361C"/>
    <w:rsid w:val="00FB3CD4"/>
    <w:rsid w:val="00FB416D"/>
    <w:rsid w:val="00FB4676"/>
    <w:rsid w:val="00FB4E4B"/>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96B"/>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3E6"/>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ED4"/>
    <w:rsid w:val="00FE6FD9"/>
    <w:rsid w:val="00FE736D"/>
    <w:rsid w:val="00FE7656"/>
    <w:rsid w:val="00FE7FD8"/>
    <w:rsid w:val="00FF014A"/>
    <w:rsid w:val="00FF0BFE"/>
    <w:rsid w:val="00FF0E16"/>
    <w:rsid w:val="00FF17FD"/>
    <w:rsid w:val="00FF1F8E"/>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732A10AB-156A-4868-85E8-424E7F0B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uiPriority w:val="39"/>
    <w:locked/>
    <w:rsid w:val="00794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1">
    <w:name w:val="AC_bullet 1"/>
    <w:basedOn w:val="BodyText"/>
    <w:link w:val="ACbullet1Char"/>
    <w:qFormat/>
    <w:rsid w:val="008E685A"/>
    <w:pPr>
      <w:numPr>
        <w:numId w:val="10"/>
      </w:numPr>
      <w:spacing w:after="60" w:line="240" w:lineRule="auto"/>
      <w:ind w:left="357" w:hanging="357"/>
      <w:jc w:val="both"/>
    </w:pPr>
    <w:rPr>
      <w:szCs w:val="20"/>
    </w:rPr>
  </w:style>
  <w:style w:type="character" w:customStyle="1" w:styleId="ACbullet1Char">
    <w:name w:val="AC_bullet 1 Char"/>
    <w:basedOn w:val="DefaultParagraphFont"/>
    <w:link w:val="ACbullet1"/>
    <w:rsid w:val="008E685A"/>
    <w:rPr>
      <w:rFonts w:cs="Times New Roman"/>
      <w:sz w:val="22"/>
      <w:lang w:eastAsia="en-US"/>
    </w:rPr>
  </w:style>
  <w:style w:type="paragraph" w:styleId="BodyText">
    <w:name w:val="Body Text"/>
    <w:basedOn w:val="Normal"/>
    <w:link w:val="BodyTextChar"/>
    <w:uiPriority w:val="99"/>
    <w:rsid w:val="008E685A"/>
    <w:pPr>
      <w:spacing w:after="120"/>
    </w:pPr>
  </w:style>
  <w:style w:type="character" w:customStyle="1" w:styleId="BodyTextChar">
    <w:name w:val="Body Text Char"/>
    <w:basedOn w:val="DefaultParagraphFont"/>
    <w:link w:val="BodyText"/>
    <w:uiPriority w:val="99"/>
    <w:rsid w:val="008E685A"/>
    <w:rPr>
      <w:rFonts w:cs="Times New Roman"/>
      <w:sz w:val="22"/>
      <w:szCs w:val="22"/>
      <w:lang w:eastAsia="en-US"/>
    </w:rPr>
  </w:style>
  <w:style w:type="paragraph" w:customStyle="1" w:styleId="Billname">
    <w:name w:val="Billname"/>
    <w:basedOn w:val="Normal"/>
    <w:rsid w:val="00525E2B"/>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525E2B"/>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525E2B"/>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525E2B"/>
    <w:pPr>
      <w:tabs>
        <w:tab w:val="left" w:pos="2600"/>
      </w:tabs>
      <w:spacing w:before="200" w:after="60" w:line="240" w:lineRule="auto"/>
      <w:jc w:val="both"/>
    </w:pPr>
    <w:rPr>
      <w:rFonts w:ascii="Arial" w:hAnsi="Arial"/>
      <w:b/>
      <w:sz w:val="24"/>
      <w:szCs w:val="20"/>
    </w:rPr>
  </w:style>
  <w:style w:type="character" w:styleId="UnresolvedMention">
    <w:name w:val="Unresolved Mention"/>
    <w:basedOn w:val="DefaultParagraphFont"/>
    <w:uiPriority w:val="99"/>
    <w:semiHidden/>
    <w:unhideWhenUsed/>
    <w:rsid w:val="00AC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084">
      <w:bodyDiv w:val="1"/>
      <w:marLeft w:val="0"/>
      <w:marRight w:val="0"/>
      <w:marTop w:val="0"/>
      <w:marBottom w:val="0"/>
      <w:divBdr>
        <w:top w:val="none" w:sz="0" w:space="0" w:color="auto"/>
        <w:left w:val="none" w:sz="0" w:space="0" w:color="auto"/>
        <w:bottom w:val="none" w:sz="0" w:space="0" w:color="auto"/>
        <w:right w:val="none" w:sz="0" w:space="0" w:color="auto"/>
      </w:divBdr>
    </w:div>
    <w:div w:id="66537476">
      <w:bodyDiv w:val="1"/>
      <w:marLeft w:val="0"/>
      <w:marRight w:val="0"/>
      <w:marTop w:val="0"/>
      <w:marBottom w:val="0"/>
      <w:divBdr>
        <w:top w:val="none" w:sz="0" w:space="0" w:color="auto"/>
        <w:left w:val="none" w:sz="0" w:space="0" w:color="auto"/>
        <w:bottom w:val="none" w:sz="0" w:space="0" w:color="auto"/>
        <w:right w:val="none" w:sz="0" w:space="0" w:color="auto"/>
      </w:divBdr>
    </w:div>
    <w:div w:id="100418925">
      <w:bodyDiv w:val="1"/>
      <w:marLeft w:val="0"/>
      <w:marRight w:val="0"/>
      <w:marTop w:val="0"/>
      <w:marBottom w:val="0"/>
      <w:divBdr>
        <w:top w:val="none" w:sz="0" w:space="0" w:color="auto"/>
        <w:left w:val="none" w:sz="0" w:space="0" w:color="auto"/>
        <w:bottom w:val="none" w:sz="0" w:space="0" w:color="auto"/>
        <w:right w:val="none" w:sz="0" w:space="0" w:color="auto"/>
      </w:divBdr>
    </w:div>
    <w:div w:id="19400650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71874254">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43917260">
      <w:bodyDiv w:val="1"/>
      <w:marLeft w:val="0"/>
      <w:marRight w:val="0"/>
      <w:marTop w:val="0"/>
      <w:marBottom w:val="0"/>
      <w:divBdr>
        <w:top w:val="none" w:sz="0" w:space="0" w:color="auto"/>
        <w:left w:val="none" w:sz="0" w:space="0" w:color="auto"/>
        <w:bottom w:val="none" w:sz="0" w:space="0" w:color="auto"/>
        <w:right w:val="none" w:sz="0" w:space="0" w:color="auto"/>
      </w:divBdr>
    </w:div>
    <w:div w:id="1016731737">
      <w:bodyDiv w:val="1"/>
      <w:marLeft w:val="0"/>
      <w:marRight w:val="0"/>
      <w:marTop w:val="0"/>
      <w:marBottom w:val="0"/>
      <w:divBdr>
        <w:top w:val="none" w:sz="0" w:space="0" w:color="auto"/>
        <w:left w:val="none" w:sz="0" w:space="0" w:color="auto"/>
        <w:bottom w:val="none" w:sz="0" w:space="0" w:color="auto"/>
        <w:right w:val="none" w:sz="0" w:space="0" w:color="auto"/>
      </w:divBdr>
    </w:div>
    <w:div w:id="1022363276">
      <w:bodyDiv w:val="1"/>
      <w:marLeft w:val="0"/>
      <w:marRight w:val="0"/>
      <w:marTop w:val="0"/>
      <w:marBottom w:val="0"/>
      <w:divBdr>
        <w:top w:val="none" w:sz="0" w:space="0" w:color="auto"/>
        <w:left w:val="none" w:sz="0" w:space="0" w:color="auto"/>
        <w:bottom w:val="none" w:sz="0" w:space="0" w:color="auto"/>
        <w:right w:val="none" w:sz="0" w:space="0" w:color="auto"/>
      </w:divBdr>
    </w:div>
    <w:div w:id="125077414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89971464">
      <w:bodyDiv w:val="1"/>
      <w:marLeft w:val="0"/>
      <w:marRight w:val="0"/>
      <w:marTop w:val="0"/>
      <w:marBottom w:val="0"/>
      <w:divBdr>
        <w:top w:val="none" w:sz="0" w:space="0" w:color="auto"/>
        <w:left w:val="none" w:sz="0" w:space="0" w:color="auto"/>
        <w:bottom w:val="none" w:sz="0" w:space="0" w:color="auto"/>
        <w:right w:val="none" w:sz="0" w:space="0" w:color="auto"/>
      </w:divBdr>
    </w:div>
    <w:div w:id="1332023547">
      <w:bodyDiv w:val="1"/>
      <w:marLeft w:val="0"/>
      <w:marRight w:val="0"/>
      <w:marTop w:val="0"/>
      <w:marBottom w:val="0"/>
      <w:divBdr>
        <w:top w:val="none" w:sz="0" w:space="0" w:color="auto"/>
        <w:left w:val="none" w:sz="0" w:space="0" w:color="auto"/>
        <w:bottom w:val="none" w:sz="0" w:space="0" w:color="auto"/>
        <w:right w:val="none" w:sz="0" w:space="0" w:color="auto"/>
      </w:divBdr>
    </w:div>
    <w:div w:id="1515149099">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714887009">
      <w:bodyDiv w:val="1"/>
      <w:marLeft w:val="0"/>
      <w:marRight w:val="0"/>
      <w:marTop w:val="0"/>
      <w:marBottom w:val="0"/>
      <w:divBdr>
        <w:top w:val="none" w:sz="0" w:space="0" w:color="auto"/>
        <w:left w:val="none" w:sz="0" w:space="0" w:color="auto"/>
        <w:bottom w:val="none" w:sz="0" w:space="0" w:color="auto"/>
        <w:right w:val="none" w:sz="0" w:space="0" w:color="auto"/>
      </w:divBdr>
    </w:div>
    <w:div w:id="1756053824">
      <w:bodyDiv w:val="1"/>
      <w:marLeft w:val="0"/>
      <w:marRight w:val="0"/>
      <w:marTop w:val="0"/>
      <w:marBottom w:val="0"/>
      <w:divBdr>
        <w:top w:val="none" w:sz="0" w:space="0" w:color="auto"/>
        <w:left w:val="none" w:sz="0" w:space="0" w:color="auto"/>
        <w:bottom w:val="none" w:sz="0" w:space="0" w:color="auto"/>
        <w:right w:val="none" w:sz="0" w:space="0" w:color="auto"/>
      </w:divBdr>
    </w:div>
    <w:div w:id="1785462880">
      <w:bodyDiv w:val="1"/>
      <w:marLeft w:val="0"/>
      <w:marRight w:val="0"/>
      <w:marTop w:val="0"/>
      <w:marBottom w:val="0"/>
      <w:divBdr>
        <w:top w:val="none" w:sz="0" w:space="0" w:color="auto"/>
        <w:left w:val="none" w:sz="0" w:space="0" w:color="auto"/>
        <w:bottom w:val="none" w:sz="0" w:space="0" w:color="auto"/>
        <w:right w:val="none" w:sz="0" w:space="0" w:color="auto"/>
      </w:divBdr>
    </w:div>
    <w:div w:id="1814248284">
      <w:bodyDiv w:val="1"/>
      <w:marLeft w:val="0"/>
      <w:marRight w:val="0"/>
      <w:marTop w:val="0"/>
      <w:marBottom w:val="0"/>
      <w:divBdr>
        <w:top w:val="none" w:sz="0" w:space="0" w:color="auto"/>
        <w:left w:val="none" w:sz="0" w:space="0" w:color="auto"/>
        <w:bottom w:val="none" w:sz="0" w:space="0" w:color="auto"/>
        <w:right w:val="none" w:sz="0" w:space="0" w:color="auto"/>
      </w:divBdr>
    </w:div>
    <w:div w:id="1845781763">
      <w:bodyDiv w:val="1"/>
      <w:marLeft w:val="0"/>
      <w:marRight w:val="0"/>
      <w:marTop w:val="0"/>
      <w:marBottom w:val="0"/>
      <w:divBdr>
        <w:top w:val="none" w:sz="0" w:space="0" w:color="auto"/>
        <w:left w:val="none" w:sz="0" w:space="0" w:color="auto"/>
        <w:bottom w:val="none" w:sz="0" w:space="0" w:color="auto"/>
        <w:right w:val="none" w:sz="0" w:space="0" w:color="auto"/>
      </w:divBdr>
    </w:div>
    <w:div w:id="1982034677">
      <w:bodyDiv w:val="1"/>
      <w:marLeft w:val="0"/>
      <w:marRight w:val="0"/>
      <w:marTop w:val="0"/>
      <w:marBottom w:val="0"/>
      <w:divBdr>
        <w:top w:val="none" w:sz="0" w:space="0" w:color="auto"/>
        <w:left w:val="none" w:sz="0" w:space="0" w:color="auto"/>
        <w:bottom w:val="none" w:sz="0" w:space="0" w:color="auto"/>
        <w:right w:val="none" w:sz="0" w:space="0" w:color="auto"/>
      </w:divBdr>
    </w:div>
    <w:div w:id="199382436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islation.act.gov.au/View/sl/2022-12/current/html/2022-12.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3ADB-CB30-4772-AAF5-069D58369BCA}">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15180</Characters>
  <Application>Microsoft Office Word</Application>
  <DocSecurity>0</DocSecurity>
  <Lines>284</Lines>
  <Paragraphs>109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2019-05-13T07:51:00Z</cp:lastPrinted>
  <dcterms:created xsi:type="dcterms:W3CDTF">2023-02-06T22:42:00Z</dcterms:created>
  <dcterms:modified xsi:type="dcterms:W3CDTF">2023-02-06T22:42:00Z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10152298</vt:lpwstr>
  </property>
  <property fmtid="{D5CDD505-2E9C-101B-9397-08002B2CF9AE}" pid="4" name="JMSREQUIREDCHECKIN">
    <vt:lpwstr/>
  </property>
</Properties>
</file>