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4CA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0319FD18"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CD2600">
        <w:t>3</w:t>
      </w:r>
      <w:r w:rsidR="00E6366A">
        <w:t xml:space="preserve"> (No </w:t>
      </w:r>
      <w:r w:rsidR="00CD2600">
        <w:t>1</w:t>
      </w:r>
      <w:r w:rsidR="00E6366A">
        <w:t>)</w:t>
      </w:r>
    </w:p>
    <w:p w14:paraId="401CE1DD" w14:textId="13A553EB"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CD2600">
        <w:rPr>
          <w:rFonts w:ascii="Arial" w:hAnsi="Arial" w:cs="Arial"/>
          <w:b/>
          <w:bCs/>
        </w:rPr>
        <w:t>3</w:t>
      </w:r>
      <w:r w:rsidR="00C17FAB">
        <w:rPr>
          <w:rFonts w:ascii="Arial" w:hAnsi="Arial" w:cs="Arial"/>
          <w:b/>
          <w:bCs/>
        </w:rPr>
        <w:t>–</w:t>
      </w:r>
      <w:r w:rsidR="00ED74E4">
        <w:rPr>
          <w:rFonts w:ascii="Arial" w:hAnsi="Arial" w:cs="Arial"/>
          <w:b/>
          <w:bCs/>
        </w:rPr>
        <w:t>16</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35590ABC" w14:textId="77777777" w:rsidR="005277DE" w:rsidRDefault="00030FEB" w:rsidP="0008670C">
      <w:pPr>
        <w:numPr>
          <w:ilvl w:val="12"/>
          <w:numId w:val="0"/>
        </w:numPr>
        <w:tabs>
          <w:tab w:val="left" w:pos="15168"/>
        </w:tabs>
        <w:rPr>
          <w:lang w:eastAsia="en-AU"/>
        </w:rPr>
      </w:pPr>
      <w:r>
        <w:rPr>
          <w:lang w:eastAsia="en-AU"/>
        </w:rPr>
        <w:t>On 1 February 2023 the Chief Minister and Minister for Climate Action, and the Minister for Energy and Emissions Reduction jointly announced that vehicles coming off the 2-years free registration concession would transition to the lowest weight category from 25 May 2023 with the remainder of the light vehicle fleet transitioning from the weight-based system to an emissions-based system from 1 July 2024.</w:t>
      </w:r>
    </w:p>
    <w:p w14:paraId="6DC501A5" w14:textId="77777777" w:rsidR="005277DE" w:rsidRDefault="005277DE" w:rsidP="0008670C">
      <w:pPr>
        <w:numPr>
          <w:ilvl w:val="12"/>
          <w:numId w:val="0"/>
        </w:numPr>
        <w:tabs>
          <w:tab w:val="left" w:pos="15168"/>
        </w:tabs>
        <w:rPr>
          <w:lang w:eastAsia="en-AU"/>
        </w:rPr>
      </w:pPr>
    </w:p>
    <w:p w14:paraId="656D95E2" w14:textId="7CD40B5E" w:rsidR="006D7EFD" w:rsidRDefault="006D7EFD" w:rsidP="0008670C">
      <w:pPr>
        <w:numPr>
          <w:ilvl w:val="12"/>
          <w:numId w:val="0"/>
        </w:numPr>
        <w:tabs>
          <w:tab w:val="left" w:pos="15168"/>
        </w:tabs>
      </w:pPr>
      <w:r>
        <w:t xml:space="preserve">Items </w:t>
      </w:r>
      <w:r w:rsidR="008F4184">
        <w:t>1.1A and 2.1A have been inserted into Part 1 of Schedule 1 to give effect to the above decision.  Definitions of BEV and HFCEV have been added in clause 11 to describe these vehicles.</w:t>
      </w:r>
      <w:r w:rsidR="00030FEB">
        <w:t xml:space="preserve">  These amendments, and amendments to the Road Transport (General) Concessions Determination give effect to the government announcement.</w:t>
      </w:r>
    </w:p>
    <w:p w14:paraId="4141F0CA" w14:textId="2FE46104" w:rsidR="008F4184" w:rsidRDefault="008F4184" w:rsidP="0008670C">
      <w:pPr>
        <w:numPr>
          <w:ilvl w:val="12"/>
          <w:numId w:val="0"/>
        </w:numPr>
        <w:tabs>
          <w:tab w:val="left" w:pos="15168"/>
        </w:tabs>
      </w:pPr>
    </w:p>
    <w:p w14:paraId="676AA101" w14:textId="5DF0B773" w:rsidR="008F4184" w:rsidRDefault="008F4184" w:rsidP="0008670C">
      <w:pPr>
        <w:numPr>
          <w:ilvl w:val="12"/>
          <w:numId w:val="0"/>
        </w:numPr>
        <w:tabs>
          <w:tab w:val="left" w:pos="15168"/>
        </w:tabs>
      </w:pPr>
      <w:r>
        <w:t>No other fees or charges have been amended or altered in this inst</w:t>
      </w:r>
      <w:r w:rsidR="00D022C9">
        <w:t>r</w:t>
      </w:r>
      <w:r>
        <w:t xml:space="preserve">ument.  The dates of when fees are payable have been amended to avoid the appearance of retrospectivity.  As this instrument revokes Disallowable Instrument DI2022-45, the </w:t>
      </w:r>
      <w:r w:rsidRPr="005277DE">
        <w:rPr>
          <w:i/>
          <w:iCs/>
        </w:rPr>
        <w:t>Road Transport (General) Vehicle Registration and Related Fees Determination 2022 (No 2)</w:t>
      </w:r>
      <w:r>
        <w:t xml:space="preserve"> and commences the day after its notification the fees payable </w:t>
      </w:r>
      <w:r w:rsidR="00581C66">
        <w:t>for registration periods or other matters on or before 24 May 2023 and on or after 25 May 2023 have been aligned.</w:t>
      </w:r>
    </w:p>
    <w:p w14:paraId="142D1A35" w14:textId="77777777" w:rsidR="00201A7C" w:rsidRDefault="00201A7C" w:rsidP="00201A7C">
      <w:pPr>
        <w:rPr>
          <w:bCs/>
        </w:rPr>
      </w:pPr>
    </w:p>
    <w:p w14:paraId="5C54A0DC" w14:textId="3DA3E0D9" w:rsidR="00201A7C" w:rsidRPr="00C410DE" w:rsidRDefault="00201A7C" w:rsidP="00201A7C">
      <w:pPr>
        <w:numPr>
          <w:ilvl w:val="12"/>
          <w:numId w:val="0"/>
        </w:numPr>
        <w:tabs>
          <w:tab w:val="left" w:pos="15168"/>
        </w:tabs>
      </w:pPr>
      <w:r w:rsidRPr="008E1D95">
        <w:rPr>
          <w:szCs w:val="24"/>
        </w:rPr>
        <w:t>Column 1 of schedule 1 lists the item number</w:t>
      </w:r>
      <w:r>
        <w:rPr>
          <w:szCs w:val="24"/>
        </w:rPr>
        <w:t xml:space="preserve"> for which the fee is payable</w:t>
      </w:r>
      <w:r w:rsidRPr="008E1D95">
        <w:rPr>
          <w:szCs w:val="24"/>
        </w:rPr>
        <w:t xml:space="preserve">.  Column 2 of schedule 1 describes the service or other matter in relation to the fee payable.  </w:t>
      </w:r>
      <w:r w:rsidRPr="008E1D95">
        <w:rPr>
          <w:szCs w:val="24"/>
        </w:rPr>
        <w:lastRenderedPageBreak/>
        <w:t xml:space="preserve">Column 3 of schedule 1 lists the fee payable for a registration period commencing on or before </w:t>
      </w:r>
      <w:r w:rsidR="00581C66">
        <w:rPr>
          <w:szCs w:val="24"/>
        </w:rPr>
        <w:t>24 May 2023</w:t>
      </w:r>
      <w:r w:rsidRPr="008E1D95">
        <w:rPr>
          <w:szCs w:val="24"/>
        </w:rPr>
        <w:t xml:space="preserve">.  Column 4 of schedule 1 lists the fee payable for a registration period commencing on or after </w:t>
      </w:r>
      <w:r w:rsidR="00581C66">
        <w:rPr>
          <w:szCs w:val="24"/>
        </w:rPr>
        <w:t>25 May 2023</w:t>
      </w:r>
      <w:r>
        <w:rPr>
          <w:szCs w:val="24"/>
        </w:rPr>
        <w:t>.</w:t>
      </w:r>
    </w:p>
    <w:p w14:paraId="35AC1175" w14:textId="77777777" w:rsidR="00201A7C" w:rsidRPr="00C410DE" w:rsidRDefault="00201A7C" w:rsidP="00201A7C">
      <w:pPr>
        <w:numPr>
          <w:ilvl w:val="12"/>
          <w:numId w:val="0"/>
        </w:numPr>
        <w:tabs>
          <w:tab w:val="left" w:pos="15168"/>
        </w:tabs>
      </w:pPr>
    </w:p>
    <w:p w14:paraId="252680CF" w14:textId="77777777" w:rsidR="00201A7C" w:rsidRPr="00196D0E" w:rsidRDefault="00201A7C" w:rsidP="00201A7C">
      <w:r w:rsidRPr="00196D0E">
        <w:t>Schedule</w:t>
      </w:r>
      <w:r>
        <w:t>s</w:t>
      </w:r>
      <w:r w:rsidRPr="00196D0E">
        <w:t xml:space="preserve"> 2 </w:t>
      </w:r>
      <w:r>
        <w:t>and 3 provide</w:t>
      </w:r>
      <w:r w:rsidRPr="00196D0E">
        <w:t xml:space="preserve"> for fees applicable to external organisations requesting data sourced from the Road Transport Authority </w:t>
      </w:r>
      <w:r>
        <w:t>d</w:t>
      </w:r>
      <w:r w:rsidRPr="00196D0E">
        <w:t>atabase.</w:t>
      </w:r>
      <w:r>
        <w:t xml:space="preserve">  </w:t>
      </w:r>
    </w:p>
    <w:p w14:paraId="51284DBB" w14:textId="77777777" w:rsidR="00201A7C" w:rsidRPr="00C410DE" w:rsidRDefault="00201A7C" w:rsidP="00201A7C">
      <w:pPr>
        <w:numPr>
          <w:ilvl w:val="12"/>
          <w:numId w:val="0"/>
        </w:numPr>
        <w:tabs>
          <w:tab w:val="left" w:pos="15168"/>
        </w:tabs>
      </w:pPr>
    </w:p>
    <w:p w14:paraId="123AD22F" w14:textId="77777777" w:rsidR="00201A7C" w:rsidRDefault="00201A7C" w:rsidP="00201A7C">
      <w:pPr>
        <w:numPr>
          <w:ilvl w:val="12"/>
          <w:numId w:val="0"/>
        </w:numPr>
        <w:tabs>
          <w:tab w:val="left" w:pos="15168"/>
        </w:tabs>
      </w:pPr>
      <w:r>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759E00FB" w14:textId="77777777" w:rsidR="00201A7C" w:rsidRDefault="00201A7C" w:rsidP="00201A7C">
      <w:pPr>
        <w:numPr>
          <w:ilvl w:val="12"/>
          <w:numId w:val="0"/>
        </w:numPr>
        <w:tabs>
          <w:tab w:val="left" w:pos="15168"/>
        </w:tabs>
      </w:pPr>
    </w:p>
    <w:p w14:paraId="499887F5" w14:textId="77777777" w:rsidR="00201A7C" w:rsidRDefault="00201A7C" w:rsidP="00201A7C">
      <w:pPr>
        <w:numPr>
          <w:ilvl w:val="12"/>
          <w:numId w:val="0"/>
        </w:numPr>
        <w:tabs>
          <w:tab w:val="left" w:pos="15168"/>
        </w:tabs>
      </w:pPr>
      <w:r>
        <w:rPr>
          <w:szCs w:val="24"/>
        </w:rPr>
        <w:t>There are no human rights or climate change implications arising from this instrument.</w:t>
      </w:r>
      <w:r w:rsidRPr="0089460B">
        <w:t xml:space="preserve"> </w:t>
      </w:r>
    </w:p>
    <w:p w14:paraId="7BA495B2" w14:textId="77777777" w:rsidR="00201A7C" w:rsidRPr="00C410DE" w:rsidRDefault="00201A7C" w:rsidP="00201A7C">
      <w:pPr>
        <w:numPr>
          <w:ilvl w:val="12"/>
          <w:numId w:val="0"/>
        </w:numPr>
        <w:tabs>
          <w:tab w:val="left" w:pos="15168"/>
        </w:tabs>
      </w:pPr>
    </w:p>
    <w:p w14:paraId="740FC9BE" w14:textId="77777777" w:rsidR="00201A7C" w:rsidRPr="00C410DE" w:rsidRDefault="00201A7C" w:rsidP="00201A7C">
      <w:pPr>
        <w:numPr>
          <w:ilvl w:val="12"/>
          <w:numId w:val="0"/>
        </w:numPr>
        <w:tabs>
          <w:tab w:val="left" w:pos="15168"/>
        </w:tabs>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r w:rsidRPr="00B85D56">
        <w:t xml:space="preserve"> </w:t>
      </w:r>
    </w:p>
    <w:p w14:paraId="02C5875B" w14:textId="77777777" w:rsidR="00C17FAB" w:rsidRPr="008E1D95" w:rsidRDefault="00C17FAB" w:rsidP="00201A7C"/>
    <w:sectPr w:rsidR="00C17FAB" w:rsidRPr="008E1D95" w:rsidSect="00F83FE7">
      <w:headerReference w:type="even" r:id="rId7"/>
      <w:headerReference w:type="default" r:id="rId8"/>
      <w:footerReference w:type="even" r:id="rId9"/>
      <w:footerReference w:type="default" r:id="rId10"/>
      <w:headerReference w:type="first" r:id="rId11"/>
      <w:footerReference w:type="first" r:id="rId12"/>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113E" w14:textId="77777777" w:rsidR="00A47ACD" w:rsidRDefault="00A47ACD" w:rsidP="00C17FAB">
      <w:r>
        <w:separator/>
      </w:r>
    </w:p>
  </w:endnote>
  <w:endnote w:type="continuationSeparator" w:id="0">
    <w:p w14:paraId="0D9F3AF1" w14:textId="77777777" w:rsidR="00A47ACD" w:rsidRDefault="00A47AC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359B" w14:textId="77777777" w:rsidR="0076538B" w:rsidRDefault="0076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380" w14:textId="1E7EAA51" w:rsidR="00BB77AF" w:rsidRPr="0076538B" w:rsidRDefault="0076538B" w:rsidP="0076538B">
    <w:pPr>
      <w:pStyle w:val="Footer"/>
      <w:jc w:val="center"/>
      <w:rPr>
        <w:rFonts w:cs="Arial"/>
        <w:sz w:val="14"/>
      </w:rPr>
    </w:pPr>
    <w:r w:rsidRPr="0076538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24B2" w14:textId="77777777" w:rsidR="0076538B" w:rsidRDefault="0076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D291" w14:textId="77777777" w:rsidR="00A47ACD" w:rsidRDefault="00A47ACD" w:rsidP="00C17FAB">
      <w:r>
        <w:separator/>
      </w:r>
    </w:p>
  </w:footnote>
  <w:footnote w:type="continuationSeparator" w:id="0">
    <w:p w14:paraId="0964F63F" w14:textId="77777777" w:rsidR="00A47ACD" w:rsidRDefault="00A47AC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C236" w14:textId="77777777" w:rsidR="0076538B" w:rsidRDefault="0076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39D" w14:textId="77777777" w:rsidR="0076538B" w:rsidRDefault="0076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994C" w14:textId="77777777" w:rsidR="0076538B" w:rsidRDefault="0076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3"/>
  </w:num>
  <w:num w:numId="4" w16cid:durableId="1392731800">
    <w:abstractNumId w:val="6"/>
  </w:num>
  <w:num w:numId="5" w16cid:durableId="1740519119">
    <w:abstractNumId w:val="7"/>
  </w:num>
  <w:num w:numId="6" w16cid:durableId="1918054494">
    <w:abstractNumId w:val="1"/>
  </w:num>
  <w:num w:numId="7" w16cid:durableId="272596857">
    <w:abstractNumId w:val="4"/>
  </w:num>
  <w:num w:numId="8" w16cid:durableId="1515152600">
    <w:abstractNumId w:val="5"/>
  </w:num>
  <w:num w:numId="9" w16cid:durableId="842818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30FEB"/>
    <w:rsid w:val="00037459"/>
    <w:rsid w:val="00041E1A"/>
    <w:rsid w:val="00051D81"/>
    <w:rsid w:val="00057C9B"/>
    <w:rsid w:val="0008670C"/>
    <w:rsid w:val="00087198"/>
    <w:rsid w:val="000D2113"/>
    <w:rsid w:val="000D62E8"/>
    <w:rsid w:val="00135F35"/>
    <w:rsid w:val="00140DC0"/>
    <w:rsid w:val="00151470"/>
    <w:rsid w:val="00155E60"/>
    <w:rsid w:val="00191FEE"/>
    <w:rsid w:val="00196D0E"/>
    <w:rsid w:val="0019786C"/>
    <w:rsid w:val="001D06A4"/>
    <w:rsid w:val="001E12BF"/>
    <w:rsid w:val="00201A7C"/>
    <w:rsid w:val="00206A1F"/>
    <w:rsid w:val="002142C2"/>
    <w:rsid w:val="002244A6"/>
    <w:rsid w:val="00266617"/>
    <w:rsid w:val="00280F29"/>
    <w:rsid w:val="0029113C"/>
    <w:rsid w:val="002913DB"/>
    <w:rsid w:val="002B3A3A"/>
    <w:rsid w:val="002C3E0E"/>
    <w:rsid w:val="002D6BDF"/>
    <w:rsid w:val="002D7C60"/>
    <w:rsid w:val="002E324D"/>
    <w:rsid w:val="002E56D4"/>
    <w:rsid w:val="003109C0"/>
    <w:rsid w:val="00316456"/>
    <w:rsid w:val="0032135C"/>
    <w:rsid w:val="00327AC5"/>
    <w:rsid w:val="00330E43"/>
    <w:rsid w:val="00337D9B"/>
    <w:rsid w:val="00354C08"/>
    <w:rsid w:val="00366FDE"/>
    <w:rsid w:val="00367308"/>
    <w:rsid w:val="003679F6"/>
    <w:rsid w:val="00380601"/>
    <w:rsid w:val="00392C14"/>
    <w:rsid w:val="003B0092"/>
    <w:rsid w:val="003B15C8"/>
    <w:rsid w:val="003E07FF"/>
    <w:rsid w:val="004353CC"/>
    <w:rsid w:val="004609CD"/>
    <w:rsid w:val="00463AEF"/>
    <w:rsid w:val="00487153"/>
    <w:rsid w:val="004A0526"/>
    <w:rsid w:val="004B713D"/>
    <w:rsid w:val="004C04E4"/>
    <w:rsid w:val="004D73F9"/>
    <w:rsid w:val="004F7A8F"/>
    <w:rsid w:val="004F7F0F"/>
    <w:rsid w:val="005236DF"/>
    <w:rsid w:val="005277DE"/>
    <w:rsid w:val="0053667D"/>
    <w:rsid w:val="005458AD"/>
    <w:rsid w:val="00554BE2"/>
    <w:rsid w:val="005551BE"/>
    <w:rsid w:val="00581C66"/>
    <w:rsid w:val="0058243A"/>
    <w:rsid w:val="005C30DA"/>
    <w:rsid w:val="006913BF"/>
    <w:rsid w:val="006A7DEE"/>
    <w:rsid w:val="006C30F2"/>
    <w:rsid w:val="006D7EFD"/>
    <w:rsid w:val="006F23B6"/>
    <w:rsid w:val="00722B19"/>
    <w:rsid w:val="007346AC"/>
    <w:rsid w:val="0076538B"/>
    <w:rsid w:val="00770541"/>
    <w:rsid w:val="007738D3"/>
    <w:rsid w:val="007C1A84"/>
    <w:rsid w:val="007D6D72"/>
    <w:rsid w:val="0080171E"/>
    <w:rsid w:val="00801B9A"/>
    <w:rsid w:val="00805B0B"/>
    <w:rsid w:val="00810D76"/>
    <w:rsid w:val="00831311"/>
    <w:rsid w:val="00836D95"/>
    <w:rsid w:val="008408B4"/>
    <w:rsid w:val="00844EC5"/>
    <w:rsid w:val="00863405"/>
    <w:rsid w:val="00866103"/>
    <w:rsid w:val="00886C7C"/>
    <w:rsid w:val="0089460B"/>
    <w:rsid w:val="008C1753"/>
    <w:rsid w:val="008E1D95"/>
    <w:rsid w:val="008F1B5A"/>
    <w:rsid w:val="008F40CF"/>
    <w:rsid w:val="008F4184"/>
    <w:rsid w:val="009460BB"/>
    <w:rsid w:val="009508A5"/>
    <w:rsid w:val="00951CD3"/>
    <w:rsid w:val="00952B5D"/>
    <w:rsid w:val="009B1E07"/>
    <w:rsid w:val="00A47ACD"/>
    <w:rsid w:val="00A9152A"/>
    <w:rsid w:val="00A923DC"/>
    <w:rsid w:val="00B03893"/>
    <w:rsid w:val="00B05C03"/>
    <w:rsid w:val="00B126F0"/>
    <w:rsid w:val="00B258DF"/>
    <w:rsid w:val="00B32E65"/>
    <w:rsid w:val="00B75791"/>
    <w:rsid w:val="00B85D56"/>
    <w:rsid w:val="00BB77AF"/>
    <w:rsid w:val="00BC66E6"/>
    <w:rsid w:val="00BC7B33"/>
    <w:rsid w:val="00BD1EB5"/>
    <w:rsid w:val="00BE7D4D"/>
    <w:rsid w:val="00C11585"/>
    <w:rsid w:val="00C17FAB"/>
    <w:rsid w:val="00C22235"/>
    <w:rsid w:val="00C410DE"/>
    <w:rsid w:val="00C7302B"/>
    <w:rsid w:val="00CA53AE"/>
    <w:rsid w:val="00CB3E3A"/>
    <w:rsid w:val="00CC3444"/>
    <w:rsid w:val="00CD2600"/>
    <w:rsid w:val="00CE599C"/>
    <w:rsid w:val="00D022C9"/>
    <w:rsid w:val="00D252C6"/>
    <w:rsid w:val="00D30418"/>
    <w:rsid w:val="00D32145"/>
    <w:rsid w:val="00D62E7C"/>
    <w:rsid w:val="00D822CC"/>
    <w:rsid w:val="00D972AA"/>
    <w:rsid w:val="00DA3B00"/>
    <w:rsid w:val="00DA4C1B"/>
    <w:rsid w:val="00DE6D53"/>
    <w:rsid w:val="00E07D80"/>
    <w:rsid w:val="00E34E17"/>
    <w:rsid w:val="00E6366A"/>
    <w:rsid w:val="00E6504D"/>
    <w:rsid w:val="00EA3D10"/>
    <w:rsid w:val="00EB1E82"/>
    <w:rsid w:val="00EB6A29"/>
    <w:rsid w:val="00EC414F"/>
    <w:rsid w:val="00EC5E8A"/>
    <w:rsid w:val="00ED74E4"/>
    <w:rsid w:val="00EF5510"/>
    <w:rsid w:val="00F00BB3"/>
    <w:rsid w:val="00F03985"/>
    <w:rsid w:val="00F205D2"/>
    <w:rsid w:val="00F355C0"/>
    <w:rsid w:val="00F54156"/>
    <w:rsid w:val="00F60424"/>
    <w:rsid w:val="00F70BD9"/>
    <w:rsid w:val="00F83FE7"/>
    <w:rsid w:val="00F95EE9"/>
    <w:rsid w:val="00FA67A2"/>
    <w:rsid w:val="00FB4584"/>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2023-03-02T23:19:00Z</dcterms:created>
  <dcterms:modified xsi:type="dcterms:W3CDTF">2023-03-02T23:19:00Z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A41131420</vt:lpwstr>
  </property>
  <property fmtid="{D5CDD505-2E9C-101B-9397-08002B2CF9AE}" pid="4" name="Objective-Title">
    <vt:lpwstr>ES (DI2023-16) - Road Transport (General) Vehicle Registration and Related Fees Determination 2023 (No 1)</vt:lpwstr>
  </property>
  <property fmtid="{D5CDD505-2E9C-101B-9397-08002B2CF9AE}" pid="5" name="Objective-Comment">
    <vt:lpwstr/>
  </property>
  <property fmtid="{D5CDD505-2E9C-101B-9397-08002B2CF9AE}" pid="6" name="Objective-CreationStamp">
    <vt:filetime>2023-02-26T23:45:51Z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2023-02-26T23:45:51Z</vt:filetime>
  </property>
  <property fmtid="{D5CDD505-2E9C-101B-9397-08002B2CF9AE}" pid="10" name="Objective-ModificationStamp">
    <vt:filetime>2023-02-26T23:45:56Z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Unit:09. Instruments and subordinate law:2023:Disallowable Instruments:DI2023-16 - Road Transport (General) Vehicle Registration and Related Fees Determination 2023 (No 1):</vt:lpwstr>
  </property>
  <property fmtid="{D5CDD505-2E9C-101B-9397-08002B2CF9AE}" pid="13" name="Objective-Parent">
    <vt:lpwstr>DI2023-16 - Road Transport (General) Vehicle Registration and Related Fees Determination 2023 (No 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9362912</vt:lpwstr>
  </property>
  <property fmtid="{D5CDD505-2E9C-101B-9397-08002B2CF9AE}" pid="43" name="JMSREQUIREDCHECKIN">
    <vt:lpwstr/>
  </property>
</Properties>
</file>