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F43A" w14:textId="77777777" w:rsidR="00EE4F20" w:rsidRDefault="00EE4F20" w:rsidP="00EE4F20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Australian Capital Territory  </w:t>
      </w:r>
    </w:p>
    <w:p w14:paraId="61660B77" w14:textId="77777777" w:rsidR="00EE4F20" w:rsidRDefault="00EE4F20" w:rsidP="00EE4F20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22D2CF7D" w14:textId="7C874994" w:rsidR="00EE4F20" w:rsidRDefault="00EE4F20" w:rsidP="00EE4F20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  <w:r>
        <w:rPr>
          <w:rFonts w:cs="Arial"/>
          <w:bCs/>
          <w:szCs w:val="40"/>
        </w:rPr>
        <w:t xml:space="preserve">ACT </w:t>
      </w:r>
      <w:r w:rsidRPr="00233958">
        <w:rPr>
          <w:rFonts w:cs="Arial"/>
          <w:bCs/>
          <w:szCs w:val="40"/>
        </w:rPr>
        <w:t>Teacher Quality Institute Board Appointment 20</w:t>
      </w:r>
      <w:r w:rsidR="00411935" w:rsidRPr="00233958">
        <w:rPr>
          <w:rFonts w:cs="Arial"/>
          <w:bCs/>
          <w:szCs w:val="40"/>
        </w:rPr>
        <w:t>2</w:t>
      </w:r>
      <w:r w:rsidR="004830CB" w:rsidRPr="00233958">
        <w:rPr>
          <w:rFonts w:cs="Arial"/>
          <w:bCs/>
          <w:szCs w:val="40"/>
        </w:rPr>
        <w:t>3</w:t>
      </w:r>
      <w:r w:rsidRPr="00233958">
        <w:rPr>
          <w:rFonts w:cs="Arial"/>
          <w:bCs/>
          <w:szCs w:val="40"/>
        </w:rPr>
        <w:t xml:space="preserve"> (No </w:t>
      </w:r>
      <w:r w:rsidR="004830CB" w:rsidRPr="00233958">
        <w:rPr>
          <w:rFonts w:cs="Arial"/>
          <w:bCs/>
          <w:szCs w:val="40"/>
        </w:rPr>
        <w:t>1</w:t>
      </w:r>
      <w:r w:rsidRPr="00233958">
        <w:rPr>
          <w:rFonts w:cs="Arial"/>
          <w:bCs/>
          <w:szCs w:val="40"/>
        </w:rPr>
        <w:t>)</w:t>
      </w:r>
    </w:p>
    <w:p w14:paraId="0C6EC089" w14:textId="77777777" w:rsidR="00EE4F20" w:rsidRDefault="00EE4F20" w:rsidP="00EE4F20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0FDCFE3F" w14:textId="52F0A1F0" w:rsidR="00EE4F20" w:rsidRDefault="00EE4F20" w:rsidP="00EE4F20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233958">
        <w:rPr>
          <w:rFonts w:cs="Arial"/>
          <w:bCs/>
          <w:kern w:val="0"/>
          <w:sz w:val="24"/>
          <w:szCs w:val="24"/>
          <w:lang w:val="en-US"/>
        </w:rPr>
        <w:t>Disallowable instrument DI20</w:t>
      </w:r>
      <w:r w:rsidR="00A85837" w:rsidRPr="00233958">
        <w:rPr>
          <w:rFonts w:cs="Arial"/>
          <w:bCs/>
          <w:kern w:val="0"/>
          <w:sz w:val="24"/>
          <w:szCs w:val="24"/>
          <w:lang w:val="en-US"/>
        </w:rPr>
        <w:t>2</w:t>
      </w:r>
      <w:r w:rsidR="004830CB" w:rsidRPr="00233958">
        <w:rPr>
          <w:rFonts w:cs="Arial"/>
          <w:bCs/>
          <w:kern w:val="0"/>
          <w:sz w:val="24"/>
          <w:szCs w:val="24"/>
          <w:lang w:val="en-US"/>
        </w:rPr>
        <w:t>3</w:t>
      </w:r>
      <w:r w:rsidR="00124E76">
        <w:rPr>
          <w:rFonts w:cs="Arial"/>
          <w:bCs/>
          <w:kern w:val="0"/>
          <w:sz w:val="24"/>
          <w:szCs w:val="24"/>
          <w:lang w:val="en-US"/>
        </w:rPr>
        <w:t>-</w:t>
      </w:r>
      <w:r w:rsidR="00D37EDE">
        <w:rPr>
          <w:rFonts w:cs="Arial"/>
          <w:bCs/>
          <w:kern w:val="0"/>
          <w:sz w:val="24"/>
          <w:szCs w:val="24"/>
          <w:lang w:val="en-US"/>
        </w:rPr>
        <w:t>71</w:t>
      </w:r>
    </w:p>
    <w:p w14:paraId="2C126C63" w14:textId="77777777" w:rsidR="00EE4F20" w:rsidRDefault="00EE4F20" w:rsidP="00EE4F20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made under the  </w:t>
      </w:r>
    </w:p>
    <w:p w14:paraId="59D4DFF7" w14:textId="77777777" w:rsidR="00EE4F20" w:rsidRDefault="00EE4F20" w:rsidP="00EE4F20">
      <w:pPr>
        <w:pStyle w:val="CoverActName"/>
        <w:jc w:val="left"/>
        <w:rPr>
          <w:rFonts w:cs="Arial"/>
          <w:b w:val="0"/>
          <w:iCs/>
        </w:rPr>
      </w:pPr>
      <w:r>
        <w:rPr>
          <w:rFonts w:cs="Arial"/>
          <w:b w:val="0"/>
          <w:i/>
          <w:iCs/>
        </w:rPr>
        <w:t xml:space="preserve">ACT Teacher Quality Institute Act 2010, </w:t>
      </w:r>
      <w:r>
        <w:rPr>
          <w:rFonts w:cs="Arial"/>
          <w:b w:val="0"/>
          <w:iCs/>
        </w:rPr>
        <w:t xml:space="preserve">Division 3.2, sections 14 and 15 and </w:t>
      </w:r>
      <w:r>
        <w:rPr>
          <w:rFonts w:cs="Arial"/>
          <w:b w:val="0"/>
          <w:i/>
          <w:iCs/>
        </w:rPr>
        <w:t xml:space="preserve">Financial Management Act 1996 </w:t>
      </w:r>
      <w:r>
        <w:rPr>
          <w:rFonts w:cs="Arial"/>
          <w:b w:val="0"/>
          <w:iCs/>
        </w:rPr>
        <w:t>section 78.</w:t>
      </w:r>
    </w:p>
    <w:p w14:paraId="56A0E3F1" w14:textId="77777777" w:rsidR="00EE4F20" w:rsidRDefault="00EE4F20" w:rsidP="00EE4F20">
      <w:pPr>
        <w:spacing w:before="120"/>
        <w:ind w:right="-96"/>
        <w:rPr>
          <w:rFonts w:ascii="Arial" w:hAnsi="Arial" w:cs="Arial"/>
        </w:rPr>
      </w:pPr>
    </w:p>
    <w:p w14:paraId="693F4696" w14:textId="37B3C22C" w:rsidR="00EE4F20" w:rsidRPr="004830CB" w:rsidRDefault="00EE4F20" w:rsidP="004830CB">
      <w:pPr>
        <w:pStyle w:val="Heading6"/>
        <w:keepLines w:val="0"/>
        <w:spacing w:before="0"/>
        <w:ind w:right="-96"/>
        <w:rPr>
          <w:rFonts w:ascii="Arial" w:eastAsia="Times New Roman" w:hAnsi="Arial" w:cs="Arial"/>
          <w:b/>
          <w:bCs/>
          <w:i w:val="0"/>
          <w:iCs w:val="0"/>
          <w:color w:val="auto"/>
          <w:sz w:val="28"/>
        </w:rPr>
      </w:pPr>
      <w:r>
        <w:rPr>
          <w:rFonts w:ascii="Arial" w:eastAsia="Times New Roman" w:hAnsi="Arial" w:cs="Arial"/>
          <w:b/>
          <w:bCs/>
          <w:i w:val="0"/>
          <w:iCs w:val="0"/>
          <w:color w:val="auto"/>
          <w:sz w:val="28"/>
        </w:rPr>
        <w:t>Explanatory Statement</w:t>
      </w:r>
    </w:p>
    <w:p w14:paraId="3B83C7BA" w14:textId="77777777" w:rsidR="00EE4F20" w:rsidRDefault="00EE4F20" w:rsidP="00EE4F20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p w14:paraId="4991FF3D" w14:textId="77777777" w:rsidR="00EE4F20" w:rsidRDefault="00EE4F20" w:rsidP="00EE4F20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>ACT Teacher Quality Institute Act 2010</w:t>
      </w:r>
      <w:r>
        <w:rPr>
          <w:rFonts w:ascii="Arial" w:hAnsi="Arial" w:cs="Arial"/>
        </w:rPr>
        <w:t xml:space="preserve"> (the Act) governs the establishment, functions and membership of the ACT Teacher Quality Institute.</w:t>
      </w:r>
    </w:p>
    <w:p w14:paraId="00F9AABE" w14:textId="77777777" w:rsidR="00EE4F20" w:rsidRDefault="00EE4F20" w:rsidP="00EE4F20">
      <w:pPr>
        <w:ind w:right="-96"/>
        <w:rPr>
          <w:rFonts w:ascii="Arial" w:hAnsi="Arial" w:cs="Arial"/>
        </w:rPr>
      </w:pPr>
    </w:p>
    <w:p w14:paraId="0517FDDD" w14:textId="59187EDF" w:rsidR="00EE4F20" w:rsidRDefault="00EE4F20" w:rsidP="00EE4F20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15 of the Act deals with the appointment of members and requires such appointments to be made by the Minister.</w:t>
      </w:r>
      <w:r w:rsidR="003E56F7">
        <w:rPr>
          <w:rFonts w:ascii="Arial" w:hAnsi="Arial" w:cs="Arial"/>
        </w:rPr>
        <w:t xml:space="preserve"> Under S15 of the TQI Act 2010, the Minister is required to appoint 12 members as specified in S15(2) (a-l). S15 (1) allows the Minister to appoint up to 14 members.</w:t>
      </w:r>
    </w:p>
    <w:p w14:paraId="0472BBAA" w14:textId="77777777" w:rsidR="00EE4F20" w:rsidRDefault="00EE4F20" w:rsidP="00EE4F20">
      <w:pPr>
        <w:ind w:right="-96"/>
        <w:rPr>
          <w:rFonts w:ascii="Arial" w:hAnsi="Arial" w:cs="Arial"/>
        </w:rPr>
      </w:pPr>
    </w:p>
    <w:p w14:paraId="60F41372" w14:textId="1ACC7BAA" w:rsidR="00EE4F20" w:rsidRPr="007A1839" w:rsidRDefault="00A72445" w:rsidP="007A1839">
      <w:pPr>
        <w:rPr>
          <w:rFonts w:ascii="Arial" w:hAnsi="Arial" w:cs="Arial"/>
          <w:sz w:val="20"/>
        </w:rPr>
      </w:pPr>
      <w:bookmarkStart w:id="0" w:name="_Hlk11664252"/>
      <w:r>
        <w:rPr>
          <w:rFonts w:ascii="Arial" w:hAnsi="Arial" w:cs="Arial"/>
        </w:rPr>
        <w:t xml:space="preserve">The term of the member nominated by </w:t>
      </w:r>
      <w:r w:rsidR="007A1839" w:rsidRPr="007A1839">
        <w:rPr>
          <w:rFonts w:ascii="Arial" w:hAnsi="Arial" w:cs="Arial"/>
          <w:szCs w:val="24"/>
        </w:rPr>
        <w:t>Catholic Education, Archdiocese of Canberra and Goulburn (CE) (Section 15(2)(e)</w:t>
      </w:r>
      <w:r w:rsidR="007A183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>expire</w:t>
      </w:r>
      <w:r w:rsidR="00C5413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</w:t>
      </w:r>
      <w:r w:rsidR="007A1839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202</w:t>
      </w:r>
      <w:r w:rsidR="007A183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E4F20">
        <w:rPr>
          <w:rFonts w:ascii="Arial" w:hAnsi="Arial" w:cs="Arial"/>
        </w:rPr>
        <w:t xml:space="preserve">This instrument appoints </w:t>
      </w:r>
      <w:r w:rsidR="004830CB">
        <w:rPr>
          <w:rFonts w:ascii="Arial" w:hAnsi="Arial" w:cs="Arial"/>
        </w:rPr>
        <w:t>Ms Natalie Harper</w:t>
      </w:r>
      <w:r w:rsidR="00EE4F20">
        <w:rPr>
          <w:rFonts w:ascii="Arial" w:hAnsi="Arial" w:cs="Arial"/>
        </w:rPr>
        <w:t>, to fill the vacancy on the Board for a period of three years</w:t>
      </w:r>
      <w:r w:rsidR="004830CB">
        <w:rPr>
          <w:rFonts w:ascii="Arial" w:hAnsi="Arial" w:cs="Arial"/>
        </w:rPr>
        <w:t xml:space="preserve">. </w:t>
      </w:r>
      <w:r w:rsidR="00EE4F20">
        <w:rPr>
          <w:rFonts w:ascii="Arial" w:hAnsi="Arial" w:cs="Arial"/>
        </w:rPr>
        <w:t xml:space="preserve"> </w:t>
      </w:r>
      <w:bookmarkEnd w:id="0"/>
    </w:p>
    <w:p w14:paraId="5657B805" w14:textId="7E3B7FAA" w:rsidR="0012520A" w:rsidRDefault="0012520A" w:rsidP="00EE4F20">
      <w:pPr>
        <w:ind w:right="-96"/>
        <w:rPr>
          <w:rFonts w:ascii="Arial" w:hAnsi="Arial" w:cs="Arial"/>
        </w:rPr>
      </w:pPr>
    </w:p>
    <w:p w14:paraId="4B9D9385" w14:textId="18DE7F0B" w:rsidR="0012520A" w:rsidRDefault="00D81411" w:rsidP="00EE4F20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</w:t>
      </w:r>
      <w:r w:rsidR="0012520A">
        <w:rPr>
          <w:rFonts w:ascii="Arial" w:hAnsi="Arial" w:cs="Arial"/>
        </w:rPr>
        <w:t xml:space="preserve">determination is a disallowable instrument for the purpose of division 19.3.3 of the </w:t>
      </w:r>
      <w:r w:rsidR="0012520A">
        <w:rPr>
          <w:rFonts w:ascii="Arial" w:hAnsi="Arial" w:cs="Arial"/>
          <w:i/>
          <w:iCs/>
        </w:rPr>
        <w:t>Legislation Act 2001</w:t>
      </w:r>
      <w:r w:rsidR="0012520A" w:rsidRPr="0012520A">
        <w:rPr>
          <w:rFonts w:ascii="Arial" w:hAnsi="Arial" w:cs="Arial"/>
        </w:rPr>
        <w:t>.</w:t>
      </w:r>
    </w:p>
    <w:p w14:paraId="269E9569" w14:textId="77777777" w:rsidR="00515AF9" w:rsidRDefault="00515AF9" w:rsidP="00EE4F20">
      <w:pPr>
        <w:ind w:right="-96"/>
        <w:rPr>
          <w:rFonts w:ascii="Arial" w:hAnsi="Arial" w:cs="Arial"/>
        </w:rPr>
      </w:pPr>
    </w:p>
    <w:p w14:paraId="4645E5FA" w14:textId="4811BF78" w:rsidR="00C23B21" w:rsidRDefault="004830CB" w:rsidP="00A72445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Ms Natalie Harper</w:t>
      </w:r>
      <w:r w:rsidR="00A72445">
        <w:rPr>
          <w:rFonts w:ascii="Arial" w:hAnsi="Arial" w:cs="Arial"/>
          <w:b/>
          <w:bCs/>
        </w:rPr>
        <w:t xml:space="preserve"> </w:t>
      </w:r>
      <w:r w:rsidR="00A72445" w:rsidRPr="00A7244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Head of People and Culture and health and Safety at Catholic Education, Archdiocese of Canberra and Goulburn. </w:t>
      </w:r>
    </w:p>
    <w:p w14:paraId="6BEB471E" w14:textId="77777777" w:rsidR="00D81411" w:rsidRDefault="00D81411" w:rsidP="00A72445">
      <w:pPr>
        <w:pStyle w:val="Default"/>
        <w:rPr>
          <w:rFonts w:ascii="Arial" w:hAnsi="Arial" w:cs="Arial"/>
        </w:rPr>
      </w:pPr>
    </w:p>
    <w:p w14:paraId="4CF26BE9" w14:textId="4F8C4A68" w:rsidR="004830CB" w:rsidRDefault="004830CB" w:rsidP="004830CB">
      <w:pPr>
        <w:pBdr>
          <w:top w:val="single" w:sz="18" w:space="1" w:color="4F81BD" w:themeColor="accent1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Ms Harper is a </w:t>
      </w:r>
      <w:r w:rsidRPr="004830CB">
        <w:rPr>
          <w:rFonts w:ascii="Arial" w:hAnsi="Arial" w:cs="Arial"/>
        </w:rPr>
        <w:t xml:space="preserve">collaborative and solutions focused executive </w:t>
      </w:r>
      <w:r>
        <w:rPr>
          <w:rFonts w:ascii="Arial" w:hAnsi="Arial" w:cs="Arial"/>
        </w:rPr>
        <w:t>and p</w:t>
      </w:r>
      <w:r w:rsidRPr="004830CB">
        <w:rPr>
          <w:rFonts w:ascii="Arial" w:hAnsi="Arial" w:cs="Arial"/>
        </w:rPr>
        <w:t xml:space="preserve">eople and </w:t>
      </w:r>
      <w:r>
        <w:rPr>
          <w:rFonts w:ascii="Arial" w:hAnsi="Arial" w:cs="Arial"/>
        </w:rPr>
        <w:t>c</w:t>
      </w:r>
      <w:r w:rsidRPr="004830CB">
        <w:rPr>
          <w:rFonts w:ascii="Arial" w:hAnsi="Arial" w:cs="Arial"/>
        </w:rPr>
        <w:t xml:space="preserve">ulture </w:t>
      </w:r>
      <w:r>
        <w:rPr>
          <w:rFonts w:ascii="Arial" w:hAnsi="Arial" w:cs="Arial"/>
        </w:rPr>
        <w:t>l</w:t>
      </w:r>
      <w:r w:rsidRPr="004830CB">
        <w:rPr>
          <w:rFonts w:ascii="Arial" w:hAnsi="Arial" w:cs="Arial"/>
        </w:rPr>
        <w:t xml:space="preserve">eader with proven ability and track record to transform businesses in respect to strategic HRM leadership, people management and development, and organisational culture.  </w:t>
      </w:r>
      <w:r>
        <w:rPr>
          <w:rFonts w:ascii="Arial" w:hAnsi="Arial" w:cs="Arial"/>
        </w:rPr>
        <w:t>She has e</w:t>
      </w:r>
      <w:r w:rsidRPr="004830CB">
        <w:rPr>
          <w:rFonts w:ascii="Arial" w:hAnsi="Arial" w:cs="Arial"/>
        </w:rPr>
        <w:t xml:space="preserve">xtensive industry sector experience including resources, health services, construction, infrastructure and agriculture throughout Australia, New Zealand and Pacific Islands. </w:t>
      </w:r>
    </w:p>
    <w:p w14:paraId="540F470E" w14:textId="77777777" w:rsidR="004830CB" w:rsidRPr="004830CB" w:rsidRDefault="004830CB" w:rsidP="004830CB">
      <w:pPr>
        <w:pBdr>
          <w:top w:val="single" w:sz="18" w:space="1" w:color="4F81BD" w:themeColor="accent1"/>
        </w:pBdr>
        <w:rPr>
          <w:rFonts w:ascii="Arial" w:hAnsi="Arial" w:cs="Arial"/>
        </w:rPr>
      </w:pPr>
    </w:p>
    <w:p w14:paraId="2F5E40CB" w14:textId="3A35FE1A" w:rsidR="007A1839" w:rsidRPr="004830CB" w:rsidRDefault="004830CB" w:rsidP="004830CB">
      <w:pPr>
        <w:pBdr>
          <w:top w:val="single" w:sz="18" w:space="1" w:color="4F81BD" w:themeColor="accent1"/>
        </w:pBdr>
        <w:rPr>
          <w:rFonts w:ascii="Arial" w:hAnsi="Arial" w:cs="Arial"/>
        </w:rPr>
      </w:pPr>
      <w:r>
        <w:rPr>
          <w:rFonts w:ascii="Arial" w:hAnsi="Arial" w:cs="Arial"/>
        </w:rPr>
        <w:t>She is an a</w:t>
      </w:r>
      <w:r w:rsidRPr="004830CB">
        <w:rPr>
          <w:rFonts w:ascii="Arial" w:hAnsi="Arial" w:cs="Arial"/>
        </w:rPr>
        <w:t>ccomplished, articulate and transformational leader</w:t>
      </w:r>
      <w:r>
        <w:rPr>
          <w:rFonts w:ascii="Arial" w:hAnsi="Arial" w:cs="Arial"/>
        </w:rPr>
        <w:t>. She has c</w:t>
      </w:r>
      <w:r w:rsidRPr="004830CB">
        <w:rPr>
          <w:rFonts w:ascii="Arial" w:hAnsi="Arial" w:cs="Arial"/>
        </w:rPr>
        <w:t xml:space="preserve">omprehensive business acumen with </w:t>
      </w:r>
      <w:r>
        <w:rPr>
          <w:rFonts w:ascii="Arial" w:hAnsi="Arial" w:cs="Arial"/>
        </w:rPr>
        <w:t xml:space="preserve">the </w:t>
      </w:r>
      <w:r w:rsidRPr="004830CB">
        <w:rPr>
          <w:rFonts w:ascii="Arial" w:hAnsi="Arial" w:cs="Arial"/>
        </w:rPr>
        <w:t>ability to influence, interact and collaborate with board, corporate and operational business levels including consultative partnering with internal and external key stakeholders, regulators, non-government agencies, unions, major clients, contractors, local community representatives and a diverse range of business groups.</w:t>
      </w:r>
    </w:p>
    <w:p w14:paraId="0A82BD9C" w14:textId="77777777" w:rsidR="004830CB" w:rsidRDefault="004830CB" w:rsidP="004830CB">
      <w:pPr>
        <w:spacing w:after="120" w:line="264" w:lineRule="auto"/>
        <w:ind w:left="360" w:hanging="360"/>
        <w:rPr>
          <w:rFonts w:ascii="Arial" w:hAnsi="Arial" w:cs="Arial"/>
        </w:rPr>
      </w:pPr>
    </w:p>
    <w:p w14:paraId="04F8325A" w14:textId="040229EB" w:rsidR="004830CB" w:rsidRPr="004830CB" w:rsidRDefault="004830CB" w:rsidP="004830CB">
      <w:pPr>
        <w:ind w:left="357" w:hanging="357"/>
        <w:rPr>
          <w:rFonts w:ascii="Arial" w:hAnsi="Arial" w:cs="Arial"/>
        </w:rPr>
      </w:pPr>
      <w:r w:rsidRPr="004830CB">
        <w:rPr>
          <w:rFonts w:ascii="Arial" w:hAnsi="Arial" w:cs="Arial"/>
        </w:rPr>
        <w:t>Ms Harper</w:t>
      </w:r>
      <w:r w:rsidR="00A72445" w:rsidRPr="004830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 member of the </w:t>
      </w:r>
      <w:r w:rsidRPr="004830CB">
        <w:rPr>
          <w:rFonts w:ascii="Arial" w:hAnsi="Arial" w:cs="Arial"/>
        </w:rPr>
        <w:t>Australian Institute of Human Resources (AIHR)</w:t>
      </w:r>
      <w:r>
        <w:rPr>
          <w:rFonts w:ascii="Arial" w:hAnsi="Arial" w:cs="Arial"/>
        </w:rPr>
        <w:t xml:space="preserve"> and the </w:t>
      </w:r>
    </w:p>
    <w:p w14:paraId="1CCA0C99" w14:textId="3A64CCCE" w:rsidR="00515AF9" w:rsidRPr="00D81411" w:rsidRDefault="004830CB" w:rsidP="00D81411">
      <w:pPr>
        <w:ind w:left="357" w:hanging="357"/>
        <w:rPr>
          <w:rFonts w:ascii="Arial" w:hAnsi="Arial" w:cs="Arial"/>
        </w:rPr>
      </w:pPr>
      <w:r w:rsidRPr="004830CB">
        <w:rPr>
          <w:rFonts w:ascii="Arial" w:hAnsi="Arial" w:cs="Arial"/>
        </w:rPr>
        <w:t>Australian Institute of Training and Development (AITD)</w:t>
      </w:r>
      <w:r>
        <w:rPr>
          <w:rFonts w:ascii="Arial" w:hAnsi="Arial" w:cs="Arial"/>
        </w:rPr>
        <w:t xml:space="preserve">. </w:t>
      </w:r>
    </w:p>
    <w:p w14:paraId="53AE9000" w14:textId="77777777" w:rsidR="00515AF9" w:rsidRPr="00515AF9" w:rsidRDefault="00515AF9" w:rsidP="00515AF9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E521796" w14:textId="67CFF985" w:rsidR="00515AF9" w:rsidRDefault="00515AF9" w:rsidP="00515AF9">
      <w:pPr>
        <w:ind w:left="360" w:hanging="360"/>
        <w:rPr>
          <w:rFonts w:ascii="Arial" w:hAnsi="Arial" w:cs="Arial"/>
          <w:b/>
          <w:bCs/>
          <w:szCs w:val="24"/>
        </w:rPr>
      </w:pPr>
      <w:r w:rsidRPr="00515AF9">
        <w:rPr>
          <w:rFonts w:ascii="Arial" w:hAnsi="Arial" w:cs="Arial"/>
          <w:b/>
          <w:bCs/>
          <w:szCs w:val="24"/>
        </w:rPr>
        <w:lastRenderedPageBreak/>
        <w:t>Work History</w:t>
      </w:r>
      <w:bookmarkStart w:id="1" w:name="_Hlk36543365"/>
    </w:p>
    <w:p w14:paraId="30A45B21" w14:textId="085EFE7E" w:rsidR="004830CB" w:rsidRDefault="004830CB" w:rsidP="00515AF9">
      <w:pPr>
        <w:ind w:left="360" w:hanging="360"/>
        <w:rPr>
          <w:rFonts w:ascii="Arial" w:hAnsi="Arial" w:cs="Arial"/>
          <w:b/>
          <w:bCs/>
          <w:szCs w:val="24"/>
        </w:rPr>
      </w:pPr>
    </w:p>
    <w:tbl>
      <w:tblPr>
        <w:tblW w:w="9293" w:type="dxa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4272"/>
        <w:gridCol w:w="3057"/>
      </w:tblGrid>
      <w:tr w:rsidR="004830CB" w:rsidRPr="003662D9" w14:paraId="3503A751" w14:textId="77777777" w:rsidTr="003662D9">
        <w:trPr>
          <w:trHeight w:val="584"/>
        </w:trPr>
        <w:tc>
          <w:tcPr>
            <w:tcW w:w="1964" w:type="dxa"/>
          </w:tcPr>
          <w:p w14:paraId="29BC76F5" w14:textId="77777777" w:rsidR="004830CB" w:rsidRPr="003662D9" w:rsidRDefault="004830CB" w:rsidP="0069229C">
            <w:pPr>
              <w:pStyle w:val="TableParagraph"/>
              <w:spacing w:before="96"/>
              <w:rPr>
                <w:sz w:val="19"/>
              </w:rPr>
            </w:pPr>
            <w:r w:rsidRPr="003662D9">
              <w:rPr>
                <w:sz w:val="19"/>
              </w:rPr>
              <w:t>Nov</w:t>
            </w:r>
            <w:r w:rsidRPr="003662D9">
              <w:rPr>
                <w:spacing w:val="-4"/>
                <w:sz w:val="19"/>
              </w:rPr>
              <w:t xml:space="preserve"> </w:t>
            </w:r>
            <w:r w:rsidRPr="003662D9">
              <w:rPr>
                <w:sz w:val="19"/>
              </w:rPr>
              <w:t>2019</w:t>
            </w:r>
            <w:r w:rsidRPr="003662D9">
              <w:rPr>
                <w:spacing w:val="-4"/>
                <w:sz w:val="19"/>
              </w:rPr>
              <w:t xml:space="preserve"> </w:t>
            </w:r>
            <w:r w:rsidRPr="003662D9">
              <w:rPr>
                <w:sz w:val="19"/>
              </w:rPr>
              <w:t>–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pacing w:val="-2"/>
                <w:sz w:val="19"/>
              </w:rPr>
              <w:t>current</w:t>
            </w:r>
          </w:p>
        </w:tc>
        <w:tc>
          <w:tcPr>
            <w:tcW w:w="4272" w:type="dxa"/>
          </w:tcPr>
          <w:p w14:paraId="3E2C5598" w14:textId="77777777" w:rsidR="004830CB" w:rsidRPr="003662D9" w:rsidRDefault="004830CB" w:rsidP="0069229C">
            <w:pPr>
              <w:pStyle w:val="TableParagraph"/>
              <w:spacing w:before="96"/>
              <w:ind w:left="127" w:right="248"/>
              <w:rPr>
                <w:sz w:val="19"/>
              </w:rPr>
            </w:pPr>
            <w:r w:rsidRPr="003662D9">
              <w:rPr>
                <w:sz w:val="19"/>
              </w:rPr>
              <w:t>Head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of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z w:val="19"/>
              </w:rPr>
              <w:t>People</w:t>
            </w:r>
            <w:r w:rsidRPr="003662D9">
              <w:rPr>
                <w:spacing w:val="-5"/>
                <w:sz w:val="19"/>
              </w:rPr>
              <w:t xml:space="preserve"> </w:t>
            </w:r>
            <w:r w:rsidRPr="003662D9">
              <w:rPr>
                <w:sz w:val="19"/>
              </w:rPr>
              <w:t>&amp;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Culture</w:t>
            </w:r>
            <w:r w:rsidRPr="003662D9">
              <w:rPr>
                <w:spacing w:val="-5"/>
                <w:sz w:val="19"/>
              </w:rPr>
              <w:t xml:space="preserve"> </w:t>
            </w:r>
            <w:r w:rsidRPr="003662D9">
              <w:rPr>
                <w:sz w:val="19"/>
              </w:rPr>
              <w:t>and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Health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&amp;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Safety (Canberra and Goulburn)</w:t>
            </w:r>
          </w:p>
        </w:tc>
        <w:tc>
          <w:tcPr>
            <w:tcW w:w="3057" w:type="dxa"/>
          </w:tcPr>
          <w:p w14:paraId="45DC71B9" w14:textId="77777777" w:rsidR="004830CB" w:rsidRPr="003662D9" w:rsidRDefault="004830CB" w:rsidP="004830CB">
            <w:pPr>
              <w:pStyle w:val="TableParagraph"/>
              <w:spacing w:before="96"/>
              <w:ind w:left="-216" w:right="3"/>
              <w:jc w:val="right"/>
              <w:rPr>
                <w:sz w:val="19"/>
              </w:rPr>
            </w:pPr>
            <w:r w:rsidRPr="003662D9">
              <w:rPr>
                <w:sz w:val="19"/>
              </w:rPr>
              <w:t>Catholic</w:t>
            </w:r>
            <w:r w:rsidRPr="003662D9">
              <w:rPr>
                <w:spacing w:val="-7"/>
                <w:sz w:val="19"/>
              </w:rPr>
              <w:t xml:space="preserve"> </w:t>
            </w:r>
            <w:r w:rsidRPr="003662D9">
              <w:rPr>
                <w:sz w:val="19"/>
              </w:rPr>
              <w:t>Education</w:t>
            </w:r>
            <w:r w:rsidRPr="003662D9">
              <w:rPr>
                <w:spacing w:val="-4"/>
                <w:sz w:val="19"/>
              </w:rPr>
              <w:t xml:space="preserve"> </w:t>
            </w:r>
            <w:r w:rsidRPr="003662D9">
              <w:rPr>
                <w:spacing w:val="-2"/>
                <w:sz w:val="19"/>
              </w:rPr>
              <w:t>Office</w:t>
            </w:r>
          </w:p>
        </w:tc>
      </w:tr>
      <w:tr w:rsidR="004830CB" w:rsidRPr="003662D9" w14:paraId="0820674A" w14:textId="77777777" w:rsidTr="003662D9">
        <w:trPr>
          <w:trHeight w:val="529"/>
        </w:trPr>
        <w:tc>
          <w:tcPr>
            <w:tcW w:w="1964" w:type="dxa"/>
          </w:tcPr>
          <w:p w14:paraId="6836917C" w14:textId="77777777" w:rsidR="004830CB" w:rsidRPr="003662D9" w:rsidRDefault="004830CB" w:rsidP="0069229C">
            <w:pPr>
              <w:pStyle w:val="TableParagraph"/>
              <w:rPr>
                <w:sz w:val="19"/>
              </w:rPr>
            </w:pPr>
            <w:r w:rsidRPr="003662D9">
              <w:rPr>
                <w:sz w:val="19"/>
              </w:rPr>
              <w:t>Aug</w:t>
            </w:r>
            <w:r w:rsidRPr="003662D9">
              <w:rPr>
                <w:spacing w:val="-4"/>
                <w:sz w:val="19"/>
              </w:rPr>
              <w:t xml:space="preserve"> </w:t>
            </w:r>
            <w:r w:rsidRPr="003662D9">
              <w:rPr>
                <w:sz w:val="19"/>
              </w:rPr>
              <w:t>2017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z w:val="19"/>
              </w:rPr>
              <w:t>–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z w:val="19"/>
              </w:rPr>
              <w:t>Nov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pacing w:val="-4"/>
                <w:sz w:val="19"/>
              </w:rPr>
              <w:t>2019</w:t>
            </w:r>
          </w:p>
        </w:tc>
        <w:tc>
          <w:tcPr>
            <w:tcW w:w="4272" w:type="dxa"/>
          </w:tcPr>
          <w:p w14:paraId="107831B1" w14:textId="77777777" w:rsidR="004830CB" w:rsidRPr="003662D9" w:rsidRDefault="004830CB" w:rsidP="0069229C">
            <w:pPr>
              <w:pStyle w:val="TableParagraph"/>
              <w:ind w:left="127" w:right="248"/>
              <w:rPr>
                <w:sz w:val="19"/>
              </w:rPr>
            </w:pPr>
            <w:r w:rsidRPr="003662D9">
              <w:rPr>
                <w:sz w:val="19"/>
              </w:rPr>
              <w:t>General</w:t>
            </w:r>
            <w:r w:rsidRPr="003662D9">
              <w:rPr>
                <w:spacing w:val="-4"/>
                <w:sz w:val="19"/>
              </w:rPr>
              <w:t xml:space="preserve"> </w:t>
            </w:r>
            <w:r w:rsidRPr="003662D9">
              <w:rPr>
                <w:sz w:val="19"/>
              </w:rPr>
              <w:t>Manager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z w:val="19"/>
              </w:rPr>
              <w:t>–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People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and</w:t>
            </w:r>
            <w:r w:rsidRPr="003662D9">
              <w:rPr>
                <w:spacing w:val="-7"/>
                <w:sz w:val="19"/>
              </w:rPr>
              <w:t xml:space="preserve"> </w:t>
            </w:r>
            <w:r w:rsidRPr="003662D9">
              <w:rPr>
                <w:sz w:val="19"/>
              </w:rPr>
              <w:t>Health</w:t>
            </w:r>
            <w:r w:rsidRPr="003662D9">
              <w:rPr>
                <w:spacing w:val="-7"/>
                <w:sz w:val="19"/>
              </w:rPr>
              <w:t xml:space="preserve"> </w:t>
            </w:r>
            <w:r w:rsidRPr="003662D9">
              <w:rPr>
                <w:sz w:val="19"/>
              </w:rPr>
              <w:t>&amp;</w:t>
            </w:r>
            <w:r w:rsidRPr="003662D9">
              <w:rPr>
                <w:spacing w:val="-8"/>
                <w:sz w:val="19"/>
              </w:rPr>
              <w:t xml:space="preserve"> </w:t>
            </w:r>
            <w:r w:rsidRPr="003662D9">
              <w:rPr>
                <w:sz w:val="19"/>
              </w:rPr>
              <w:t>Safety (Australia and New Zealand)</w:t>
            </w:r>
          </w:p>
        </w:tc>
        <w:tc>
          <w:tcPr>
            <w:tcW w:w="3057" w:type="dxa"/>
          </w:tcPr>
          <w:p w14:paraId="6E171F80" w14:textId="77777777" w:rsidR="004830CB" w:rsidRPr="003662D9" w:rsidRDefault="004830CB" w:rsidP="004830CB">
            <w:pPr>
              <w:pStyle w:val="TableParagraph"/>
              <w:ind w:left="-216" w:right="10"/>
              <w:jc w:val="right"/>
              <w:rPr>
                <w:sz w:val="19"/>
              </w:rPr>
            </w:pPr>
            <w:proofErr w:type="spellStart"/>
            <w:r w:rsidRPr="003662D9">
              <w:rPr>
                <w:spacing w:val="-2"/>
                <w:sz w:val="19"/>
              </w:rPr>
              <w:t>Landpower</w:t>
            </w:r>
            <w:proofErr w:type="spellEnd"/>
          </w:p>
        </w:tc>
      </w:tr>
      <w:tr w:rsidR="004830CB" w:rsidRPr="003662D9" w14:paraId="27BB9E5D" w14:textId="77777777" w:rsidTr="003662D9">
        <w:trPr>
          <w:trHeight w:val="530"/>
        </w:trPr>
        <w:tc>
          <w:tcPr>
            <w:tcW w:w="1964" w:type="dxa"/>
          </w:tcPr>
          <w:p w14:paraId="5E274A0A" w14:textId="77777777" w:rsidR="004830CB" w:rsidRPr="003662D9" w:rsidRDefault="004830CB" w:rsidP="0069229C">
            <w:pPr>
              <w:pStyle w:val="TableParagraph"/>
              <w:rPr>
                <w:sz w:val="19"/>
              </w:rPr>
            </w:pPr>
            <w:r w:rsidRPr="003662D9">
              <w:rPr>
                <w:sz w:val="19"/>
              </w:rPr>
              <w:t>Aug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z w:val="19"/>
              </w:rPr>
              <w:t>2016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z w:val="19"/>
              </w:rPr>
              <w:t>–</w:t>
            </w:r>
            <w:r w:rsidRPr="003662D9">
              <w:rPr>
                <w:spacing w:val="-2"/>
                <w:sz w:val="19"/>
              </w:rPr>
              <w:t xml:space="preserve"> </w:t>
            </w:r>
            <w:r w:rsidRPr="003662D9">
              <w:rPr>
                <w:sz w:val="19"/>
              </w:rPr>
              <w:t>Aug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pacing w:val="-4"/>
                <w:sz w:val="19"/>
              </w:rPr>
              <w:t>2017</w:t>
            </w:r>
          </w:p>
        </w:tc>
        <w:tc>
          <w:tcPr>
            <w:tcW w:w="4272" w:type="dxa"/>
          </w:tcPr>
          <w:p w14:paraId="24503867" w14:textId="77777777" w:rsidR="004830CB" w:rsidRPr="003662D9" w:rsidRDefault="004830CB" w:rsidP="0069229C">
            <w:pPr>
              <w:pStyle w:val="TableParagraph"/>
              <w:ind w:left="127" w:right="1262"/>
              <w:rPr>
                <w:sz w:val="19"/>
              </w:rPr>
            </w:pPr>
            <w:r w:rsidRPr="003662D9">
              <w:rPr>
                <w:sz w:val="19"/>
              </w:rPr>
              <w:t>Group</w:t>
            </w:r>
            <w:r w:rsidRPr="003662D9">
              <w:rPr>
                <w:spacing w:val="-14"/>
                <w:sz w:val="19"/>
              </w:rPr>
              <w:t xml:space="preserve"> </w:t>
            </w:r>
            <w:r w:rsidRPr="003662D9">
              <w:rPr>
                <w:sz w:val="19"/>
              </w:rPr>
              <w:t>Human</w:t>
            </w:r>
            <w:r w:rsidRPr="003662D9">
              <w:rPr>
                <w:spacing w:val="-13"/>
                <w:sz w:val="19"/>
              </w:rPr>
              <w:t xml:space="preserve"> </w:t>
            </w:r>
            <w:r w:rsidRPr="003662D9">
              <w:rPr>
                <w:sz w:val="19"/>
              </w:rPr>
              <w:t>Resources</w:t>
            </w:r>
            <w:r w:rsidRPr="003662D9">
              <w:rPr>
                <w:spacing w:val="-13"/>
                <w:sz w:val="19"/>
              </w:rPr>
              <w:t xml:space="preserve"> </w:t>
            </w:r>
            <w:r w:rsidRPr="003662D9">
              <w:rPr>
                <w:sz w:val="19"/>
              </w:rPr>
              <w:t>Manager (New Zealand)</w:t>
            </w:r>
          </w:p>
        </w:tc>
        <w:tc>
          <w:tcPr>
            <w:tcW w:w="3057" w:type="dxa"/>
          </w:tcPr>
          <w:p w14:paraId="349087EF" w14:textId="77777777" w:rsidR="004830CB" w:rsidRPr="003662D9" w:rsidRDefault="004830CB" w:rsidP="004830CB">
            <w:pPr>
              <w:pStyle w:val="TableParagraph"/>
              <w:ind w:left="-216" w:right="6"/>
              <w:jc w:val="right"/>
              <w:rPr>
                <w:sz w:val="19"/>
              </w:rPr>
            </w:pPr>
            <w:r w:rsidRPr="003662D9">
              <w:rPr>
                <w:sz w:val="19"/>
              </w:rPr>
              <w:t>Southern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District</w:t>
            </w:r>
            <w:r w:rsidRPr="003662D9">
              <w:rPr>
                <w:spacing w:val="-2"/>
                <w:sz w:val="19"/>
              </w:rPr>
              <w:t xml:space="preserve"> </w:t>
            </w:r>
            <w:r w:rsidRPr="003662D9">
              <w:rPr>
                <w:sz w:val="19"/>
              </w:rPr>
              <w:t>Health</w:t>
            </w:r>
            <w:r w:rsidRPr="003662D9">
              <w:rPr>
                <w:spacing w:val="-10"/>
                <w:sz w:val="19"/>
              </w:rPr>
              <w:t xml:space="preserve"> </w:t>
            </w:r>
            <w:r w:rsidRPr="003662D9">
              <w:rPr>
                <w:spacing w:val="-4"/>
                <w:sz w:val="19"/>
              </w:rPr>
              <w:t>Board</w:t>
            </w:r>
          </w:p>
        </w:tc>
      </w:tr>
      <w:tr w:rsidR="004830CB" w:rsidRPr="003662D9" w14:paraId="038560BC" w14:textId="77777777" w:rsidTr="003662D9">
        <w:trPr>
          <w:trHeight w:val="530"/>
        </w:trPr>
        <w:tc>
          <w:tcPr>
            <w:tcW w:w="1964" w:type="dxa"/>
          </w:tcPr>
          <w:p w14:paraId="63B714A6" w14:textId="77777777" w:rsidR="004830CB" w:rsidRPr="003662D9" w:rsidRDefault="004830CB" w:rsidP="0069229C">
            <w:pPr>
              <w:pStyle w:val="TableParagraph"/>
              <w:spacing w:before="43"/>
              <w:rPr>
                <w:sz w:val="19"/>
              </w:rPr>
            </w:pPr>
            <w:r w:rsidRPr="003662D9">
              <w:rPr>
                <w:sz w:val="19"/>
              </w:rPr>
              <w:t>Oct 2011 –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Jul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pacing w:val="-4"/>
                <w:sz w:val="19"/>
              </w:rPr>
              <w:t>2016</w:t>
            </w:r>
          </w:p>
        </w:tc>
        <w:tc>
          <w:tcPr>
            <w:tcW w:w="4272" w:type="dxa"/>
          </w:tcPr>
          <w:p w14:paraId="01A00D5C" w14:textId="77777777" w:rsidR="004830CB" w:rsidRPr="003662D9" w:rsidRDefault="004830CB" w:rsidP="0069229C">
            <w:pPr>
              <w:pStyle w:val="TableParagraph"/>
              <w:spacing w:before="43"/>
              <w:ind w:left="127" w:right="248"/>
              <w:rPr>
                <w:sz w:val="19"/>
              </w:rPr>
            </w:pPr>
            <w:r w:rsidRPr="003662D9">
              <w:rPr>
                <w:sz w:val="19"/>
              </w:rPr>
              <w:t>Director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–</w:t>
            </w:r>
            <w:r w:rsidRPr="003662D9">
              <w:rPr>
                <w:spacing w:val="-7"/>
                <w:sz w:val="19"/>
              </w:rPr>
              <w:t xml:space="preserve"> </w:t>
            </w:r>
            <w:r w:rsidRPr="003662D9">
              <w:rPr>
                <w:sz w:val="19"/>
              </w:rPr>
              <w:t>People,</w:t>
            </w:r>
            <w:r w:rsidRPr="003662D9">
              <w:rPr>
                <w:spacing w:val="-6"/>
                <w:sz w:val="19"/>
              </w:rPr>
              <w:t xml:space="preserve"> </w:t>
            </w:r>
            <w:r w:rsidRPr="003662D9">
              <w:rPr>
                <w:sz w:val="19"/>
              </w:rPr>
              <w:t>Culture</w:t>
            </w:r>
            <w:r w:rsidRPr="003662D9">
              <w:rPr>
                <w:spacing w:val="-12"/>
                <w:sz w:val="19"/>
              </w:rPr>
              <w:t xml:space="preserve"> </w:t>
            </w:r>
            <w:r w:rsidRPr="003662D9">
              <w:rPr>
                <w:sz w:val="19"/>
              </w:rPr>
              <w:t>and</w:t>
            </w:r>
            <w:r w:rsidRPr="003662D9">
              <w:rPr>
                <w:spacing w:val="-8"/>
                <w:sz w:val="19"/>
              </w:rPr>
              <w:t xml:space="preserve"> </w:t>
            </w:r>
            <w:r w:rsidRPr="003662D9">
              <w:rPr>
                <w:sz w:val="19"/>
              </w:rPr>
              <w:t>Workforce (Australia East and Pacific Islands)</w:t>
            </w:r>
          </w:p>
        </w:tc>
        <w:tc>
          <w:tcPr>
            <w:tcW w:w="3057" w:type="dxa"/>
          </w:tcPr>
          <w:p w14:paraId="742D28DB" w14:textId="77777777" w:rsidR="004830CB" w:rsidRPr="003662D9" w:rsidRDefault="004830CB" w:rsidP="004830CB">
            <w:pPr>
              <w:pStyle w:val="TableParagraph"/>
              <w:spacing w:before="43"/>
              <w:ind w:left="-216" w:right="3"/>
              <w:jc w:val="right"/>
              <w:rPr>
                <w:sz w:val="19"/>
              </w:rPr>
            </w:pPr>
            <w:r w:rsidRPr="003662D9">
              <w:rPr>
                <w:sz w:val="19"/>
              </w:rPr>
              <w:t>Worley</w:t>
            </w:r>
            <w:r w:rsidRPr="003662D9">
              <w:rPr>
                <w:spacing w:val="-2"/>
                <w:sz w:val="19"/>
              </w:rPr>
              <w:t xml:space="preserve"> Parsons</w:t>
            </w:r>
          </w:p>
        </w:tc>
      </w:tr>
      <w:tr w:rsidR="004830CB" w:rsidRPr="003662D9" w14:paraId="6D868870" w14:textId="77777777" w:rsidTr="003662D9">
        <w:trPr>
          <w:trHeight w:val="476"/>
        </w:trPr>
        <w:tc>
          <w:tcPr>
            <w:tcW w:w="1964" w:type="dxa"/>
          </w:tcPr>
          <w:p w14:paraId="2EDCBF06" w14:textId="77777777" w:rsidR="004830CB" w:rsidRPr="003662D9" w:rsidRDefault="004830CB" w:rsidP="0069229C">
            <w:pPr>
              <w:pStyle w:val="TableParagraph"/>
              <w:rPr>
                <w:sz w:val="19"/>
              </w:rPr>
            </w:pPr>
            <w:r w:rsidRPr="003662D9">
              <w:rPr>
                <w:sz w:val="19"/>
              </w:rPr>
              <w:t>Nov</w:t>
            </w:r>
            <w:r w:rsidRPr="003662D9">
              <w:rPr>
                <w:spacing w:val="-3"/>
                <w:sz w:val="19"/>
              </w:rPr>
              <w:t xml:space="preserve"> </w:t>
            </w:r>
            <w:r w:rsidRPr="003662D9">
              <w:rPr>
                <w:sz w:val="19"/>
              </w:rPr>
              <w:t>2008</w:t>
            </w:r>
            <w:r w:rsidRPr="003662D9">
              <w:rPr>
                <w:spacing w:val="-2"/>
                <w:sz w:val="19"/>
              </w:rPr>
              <w:t xml:space="preserve"> </w:t>
            </w:r>
            <w:r w:rsidRPr="003662D9">
              <w:rPr>
                <w:sz w:val="19"/>
              </w:rPr>
              <w:t>–</w:t>
            </w:r>
            <w:r w:rsidRPr="003662D9">
              <w:rPr>
                <w:spacing w:val="-2"/>
                <w:sz w:val="19"/>
              </w:rPr>
              <w:t xml:space="preserve"> </w:t>
            </w:r>
            <w:r w:rsidRPr="003662D9">
              <w:rPr>
                <w:sz w:val="19"/>
              </w:rPr>
              <w:t xml:space="preserve">Oct </w:t>
            </w:r>
            <w:r w:rsidRPr="003662D9">
              <w:rPr>
                <w:spacing w:val="-4"/>
                <w:sz w:val="19"/>
              </w:rPr>
              <w:t>2011</w:t>
            </w:r>
          </w:p>
        </w:tc>
        <w:tc>
          <w:tcPr>
            <w:tcW w:w="4272" w:type="dxa"/>
          </w:tcPr>
          <w:p w14:paraId="659921E5" w14:textId="77777777" w:rsidR="004830CB" w:rsidRPr="003662D9" w:rsidRDefault="004830CB" w:rsidP="0069229C">
            <w:pPr>
              <w:pStyle w:val="TableParagraph"/>
              <w:spacing w:before="24" w:line="216" w:lineRule="exact"/>
              <w:ind w:left="127" w:right="248"/>
              <w:rPr>
                <w:sz w:val="19"/>
              </w:rPr>
            </w:pPr>
            <w:r w:rsidRPr="003662D9">
              <w:rPr>
                <w:sz w:val="19"/>
              </w:rPr>
              <w:t>Human</w:t>
            </w:r>
            <w:r w:rsidRPr="003662D9">
              <w:rPr>
                <w:spacing w:val="-9"/>
                <w:sz w:val="19"/>
              </w:rPr>
              <w:t xml:space="preserve"> </w:t>
            </w:r>
            <w:r w:rsidRPr="003662D9">
              <w:rPr>
                <w:sz w:val="19"/>
              </w:rPr>
              <w:t>Resources</w:t>
            </w:r>
            <w:r w:rsidRPr="003662D9">
              <w:rPr>
                <w:spacing w:val="-8"/>
                <w:sz w:val="19"/>
              </w:rPr>
              <w:t xml:space="preserve"> </w:t>
            </w:r>
            <w:r w:rsidRPr="003662D9">
              <w:rPr>
                <w:sz w:val="19"/>
              </w:rPr>
              <w:t>&amp;</w:t>
            </w:r>
            <w:r w:rsidRPr="003662D9">
              <w:rPr>
                <w:spacing w:val="-10"/>
                <w:sz w:val="19"/>
              </w:rPr>
              <w:t xml:space="preserve"> </w:t>
            </w:r>
            <w:r w:rsidRPr="003662D9">
              <w:rPr>
                <w:sz w:val="19"/>
              </w:rPr>
              <w:t>Industrial</w:t>
            </w:r>
            <w:r w:rsidRPr="003662D9">
              <w:rPr>
                <w:spacing w:val="-7"/>
                <w:sz w:val="19"/>
              </w:rPr>
              <w:t xml:space="preserve"> </w:t>
            </w:r>
            <w:r w:rsidRPr="003662D9">
              <w:rPr>
                <w:sz w:val="19"/>
              </w:rPr>
              <w:t>Relations</w:t>
            </w:r>
            <w:r w:rsidRPr="003662D9">
              <w:rPr>
                <w:spacing w:val="-8"/>
                <w:sz w:val="19"/>
              </w:rPr>
              <w:t xml:space="preserve"> </w:t>
            </w:r>
            <w:r w:rsidRPr="003662D9">
              <w:rPr>
                <w:sz w:val="19"/>
              </w:rPr>
              <w:t>Manager (Queensland, NSW and Northern Territory)</w:t>
            </w:r>
          </w:p>
        </w:tc>
        <w:tc>
          <w:tcPr>
            <w:tcW w:w="3057" w:type="dxa"/>
          </w:tcPr>
          <w:p w14:paraId="3EB62A6E" w14:textId="77777777" w:rsidR="004830CB" w:rsidRPr="003662D9" w:rsidRDefault="004830CB" w:rsidP="004830CB">
            <w:pPr>
              <w:pStyle w:val="TableParagraph"/>
              <w:ind w:left="-216" w:right="5"/>
              <w:jc w:val="right"/>
              <w:rPr>
                <w:sz w:val="19"/>
              </w:rPr>
            </w:pPr>
            <w:r w:rsidRPr="003662D9">
              <w:rPr>
                <w:sz w:val="19"/>
              </w:rPr>
              <w:t>John</w:t>
            </w:r>
            <w:r w:rsidRPr="003662D9">
              <w:rPr>
                <w:spacing w:val="-7"/>
                <w:sz w:val="19"/>
              </w:rPr>
              <w:t xml:space="preserve"> </w:t>
            </w:r>
            <w:r w:rsidRPr="003662D9">
              <w:rPr>
                <w:sz w:val="19"/>
              </w:rPr>
              <w:t>Holland</w:t>
            </w:r>
            <w:r w:rsidRPr="003662D9">
              <w:rPr>
                <w:spacing w:val="-7"/>
                <w:sz w:val="19"/>
              </w:rPr>
              <w:t xml:space="preserve"> </w:t>
            </w:r>
            <w:r w:rsidRPr="003662D9">
              <w:rPr>
                <w:spacing w:val="-2"/>
                <w:sz w:val="19"/>
              </w:rPr>
              <w:t>Group</w:t>
            </w:r>
          </w:p>
        </w:tc>
      </w:tr>
    </w:tbl>
    <w:p w14:paraId="7B1F9CE3" w14:textId="2EFB8293" w:rsidR="004830CB" w:rsidRDefault="004830CB" w:rsidP="003662D9">
      <w:pPr>
        <w:rPr>
          <w:rFonts w:ascii="Arial" w:hAnsi="Arial" w:cs="Arial"/>
          <w:b/>
          <w:bCs/>
          <w:szCs w:val="24"/>
        </w:rPr>
      </w:pPr>
    </w:p>
    <w:p w14:paraId="14EE97A9" w14:textId="77777777" w:rsidR="004830CB" w:rsidRPr="00515AF9" w:rsidRDefault="004830CB" w:rsidP="00515AF9">
      <w:pPr>
        <w:ind w:left="360" w:hanging="360"/>
        <w:rPr>
          <w:rFonts w:ascii="Arial" w:hAnsi="Arial" w:cs="Arial"/>
          <w:szCs w:val="24"/>
        </w:rPr>
      </w:pPr>
    </w:p>
    <w:bookmarkEnd w:id="1"/>
    <w:p w14:paraId="23D521C5" w14:textId="77777777" w:rsidR="00A82016" w:rsidRDefault="00515AF9" w:rsidP="00A82016">
      <w:pPr>
        <w:ind w:left="360" w:hanging="360"/>
        <w:rPr>
          <w:rFonts w:ascii="Arial" w:hAnsi="Arial" w:cs="Arial"/>
          <w:b/>
          <w:bCs/>
        </w:rPr>
      </w:pPr>
      <w:r w:rsidRPr="00A8255A">
        <w:rPr>
          <w:rFonts w:ascii="Arial" w:hAnsi="Arial" w:cs="Arial"/>
          <w:b/>
          <w:bCs/>
        </w:rPr>
        <w:t>Qualifications</w:t>
      </w:r>
    </w:p>
    <w:tbl>
      <w:tblPr>
        <w:tblW w:w="9211" w:type="dxa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3117"/>
      </w:tblGrid>
      <w:tr w:rsidR="003662D9" w14:paraId="7F0F16C5" w14:textId="77777777" w:rsidTr="003662D9">
        <w:trPr>
          <w:trHeight w:val="434"/>
        </w:trPr>
        <w:tc>
          <w:tcPr>
            <w:tcW w:w="6094" w:type="dxa"/>
          </w:tcPr>
          <w:p w14:paraId="53A66192" w14:textId="77777777" w:rsidR="003662D9" w:rsidRDefault="003662D9" w:rsidP="0069229C">
            <w:pPr>
              <w:pStyle w:val="TableParagraph"/>
              <w:spacing w:before="97"/>
              <w:ind w:left="-5"/>
              <w:rPr>
                <w:b/>
                <w:sz w:val="19"/>
              </w:rPr>
            </w:pPr>
            <w:r>
              <w:rPr>
                <w:b/>
                <w:sz w:val="19"/>
              </w:rPr>
              <w:t>Bachelor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General Studies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Bachelor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 xml:space="preserve"> Education</w:t>
            </w:r>
          </w:p>
        </w:tc>
        <w:tc>
          <w:tcPr>
            <w:tcW w:w="3117" w:type="dxa"/>
          </w:tcPr>
          <w:p w14:paraId="30F9ED3D" w14:textId="77777777" w:rsidR="003662D9" w:rsidRDefault="003662D9" w:rsidP="003662D9">
            <w:pPr>
              <w:pStyle w:val="TableParagraph"/>
              <w:spacing w:before="97"/>
              <w:ind w:left="-297" w:firstLine="297"/>
              <w:jc w:val="right"/>
              <w:rPr>
                <w:sz w:val="19"/>
              </w:rPr>
            </w:pPr>
            <w:r>
              <w:rPr>
                <w:sz w:val="19"/>
              </w:rPr>
              <w:t>University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England</w:t>
            </w:r>
          </w:p>
        </w:tc>
      </w:tr>
      <w:tr w:rsidR="003662D9" w14:paraId="068E9DDE" w14:textId="77777777" w:rsidTr="003662D9">
        <w:trPr>
          <w:trHeight w:val="331"/>
        </w:trPr>
        <w:tc>
          <w:tcPr>
            <w:tcW w:w="6094" w:type="dxa"/>
          </w:tcPr>
          <w:p w14:paraId="00E98D10" w14:textId="77777777" w:rsidR="003662D9" w:rsidRDefault="003662D9" w:rsidP="0069229C">
            <w:pPr>
              <w:pStyle w:val="TableParagraph"/>
              <w:spacing w:before="112" w:line="198" w:lineRule="exact"/>
              <w:ind w:left="-5"/>
              <w:rPr>
                <w:b/>
                <w:sz w:val="19"/>
              </w:rPr>
            </w:pPr>
            <w:r>
              <w:rPr>
                <w:b/>
                <w:sz w:val="19"/>
              </w:rPr>
              <w:t>Grad.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Cert.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Human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Resource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Management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Org.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Development</w:t>
            </w:r>
          </w:p>
        </w:tc>
        <w:tc>
          <w:tcPr>
            <w:tcW w:w="3117" w:type="dxa"/>
          </w:tcPr>
          <w:p w14:paraId="1AD55E48" w14:textId="77777777" w:rsidR="003662D9" w:rsidRDefault="003662D9" w:rsidP="0069229C">
            <w:pPr>
              <w:pStyle w:val="TableParagraph"/>
              <w:spacing w:before="112" w:line="198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Southern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Cross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University</w:t>
            </w:r>
          </w:p>
        </w:tc>
      </w:tr>
    </w:tbl>
    <w:p w14:paraId="4AF816A7" w14:textId="77777777" w:rsidR="00A82016" w:rsidRPr="00A82016" w:rsidRDefault="00A82016" w:rsidP="00A82016">
      <w:pPr>
        <w:ind w:left="360" w:hanging="360"/>
        <w:rPr>
          <w:rFonts w:ascii="Arial" w:hAnsi="Arial" w:cs="Arial"/>
          <w:b/>
          <w:bCs/>
        </w:rPr>
      </w:pPr>
    </w:p>
    <w:sectPr w:rsidR="00A82016" w:rsidRPr="00A82016" w:rsidSect="00483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545B" w14:textId="77777777" w:rsidR="00586969" w:rsidRDefault="00586969" w:rsidP="00586969">
      <w:r>
        <w:separator/>
      </w:r>
    </w:p>
  </w:endnote>
  <w:endnote w:type="continuationSeparator" w:id="0">
    <w:p w14:paraId="3AA3B01D" w14:textId="77777777" w:rsidR="00586969" w:rsidRDefault="00586969" w:rsidP="0058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6EB0" w14:textId="77777777" w:rsidR="00586969" w:rsidRDefault="00586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5271" w14:textId="5D42B396" w:rsidR="00586969" w:rsidRPr="00586969" w:rsidRDefault="00586969" w:rsidP="00586969">
    <w:pPr>
      <w:pStyle w:val="Footer"/>
      <w:jc w:val="center"/>
      <w:rPr>
        <w:rFonts w:ascii="Arial" w:hAnsi="Arial" w:cs="Arial"/>
        <w:sz w:val="14"/>
      </w:rPr>
    </w:pPr>
    <w:r w:rsidRPr="0058696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79F6" w14:textId="77777777" w:rsidR="00586969" w:rsidRDefault="00586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82C9" w14:textId="77777777" w:rsidR="00586969" w:rsidRDefault="00586969" w:rsidP="00586969">
      <w:r>
        <w:separator/>
      </w:r>
    </w:p>
  </w:footnote>
  <w:footnote w:type="continuationSeparator" w:id="0">
    <w:p w14:paraId="6127B140" w14:textId="77777777" w:rsidR="00586969" w:rsidRDefault="00586969" w:rsidP="0058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578B" w14:textId="77777777" w:rsidR="00586969" w:rsidRDefault="00586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9732" w14:textId="77777777" w:rsidR="00586969" w:rsidRDefault="00586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9996" w14:textId="77777777" w:rsidR="00586969" w:rsidRDefault="00586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5E3D"/>
    <w:multiLevelType w:val="hybridMultilevel"/>
    <w:tmpl w:val="4A08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22E"/>
    <w:multiLevelType w:val="hybridMultilevel"/>
    <w:tmpl w:val="888C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61726"/>
    <w:multiLevelType w:val="hybridMultilevel"/>
    <w:tmpl w:val="9CE8E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B62BC"/>
    <w:multiLevelType w:val="hybridMultilevel"/>
    <w:tmpl w:val="2C2CDC08"/>
    <w:lvl w:ilvl="0" w:tplc="D8F267AA">
      <w:start w:val="1"/>
      <w:numFmt w:val="bullet"/>
      <w:pStyle w:val="ListParagrap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pStyle w:val="ListParagraph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3247A"/>
    <w:multiLevelType w:val="hybridMultilevel"/>
    <w:tmpl w:val="10DC0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8088C"/>
    <w:multiLevelType w:val="hybridMultilevel"/>
    <w:tmpl w:val="0C6E1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E07C2"/>
    <w:multiLevelType w:val="hybridMultilevel"/>
    <w:tmpl w:val="90929828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 w16cid:durableId="1195389629">
    <w:abstractNumId w:val="3"/>
  </w:num>
  <w:num w:numId="2" w16cid:durableId="1929149633">
    <w:abstractNumId w:val="5"/>
  </w:num>
  <w:num w:numId="3" w16cid:durableId="99028721">
    <w:abstractNumId w:val="4"/>
  </w:num>
  <w:num w:numId="4" w16cid:durableId="2023510242">
    <w:abstractNumId w:val="2"/>
  </w:num>
  <w:num w:numId="5" w16cid:durableId="40178987">
    <w:abstractNumId w:val="0"/>
  </w:num>
  <w:num w:numId="6" w16cid:durableId="272515119">
    <w:abstractNumId w:val="6"/>
  </w:num>
  <w:num w:numId="7" w16cid:durableId="15827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20"/>
    <w:rsid w:val="000002B5"/>
    <w:rsid w:val="000C1876"/>
    <w:rsid w:val="000E0838"/>
    <w:rsid w:val="0010160F"/>
    <w:rsid w:val="00124E76"/>
    <w:rsid w:val="0012520A"/>
    <w:rsid w:val="001D1E74"/>
    <w:rsid w:val="00233958"/>
    <w:rsid w:val="00250DB4"/>
    <w:rsid w:val="002F4789"/>
    <w:rsid w:val="00333426"/>
    <w:rsid w:val="003662D9"/>
    <w:rsid w:val="003E56F7"/>
    <w:rsid w:val="00411935"/>
    <w:rsid w:val="004830CB"/>
    <w:rsid w:val="00515AF9"/>
    <w:rsid w:val="00531684"/>
    <w:rsid w:val="00535A84"/>
    <w:rsid w:val="00543090"/>
    <w:rsid w:val="00586969"/>
    <w:rsid w:val="006B7414"/>
    <w:rsid w:val="00786A29"/>
    <w:rsid w:val="007A1839"/>
    <w:rsid w:val="00A72445"/>
    <w:rsid w:val="00A82016"/>
    <w:rsid w:val="00A8255A"/>
    <w:rsid w:val="00A85837"/>
    <w:rsid w:val="00B304BB"/>
    <w:rsid w:val="00C23B21"/>
    <w:rsid w:val="00C54133"/>
    <w:rsid w:val="00C949C1"/>
    <w:rsid w:val="00D37EDE"/>
    <w:rsid w:val="00D81411"/>
    <w:rsid w:val="00E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1C0A4"/>
  <w15:chartTrackingRefBased/>
  <w15:docId w15:val="{7DFFF9E4-ABA0-42C7-B2B0-377A175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E4F20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EE4F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4F20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EE4F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Billname">
    <w:name w:val="Billname"/>
    <w:basedOn w:val="Normal"/>
    <w:rsid w:val="00EE4F2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EE4F20"/>
    <w:pPr>
      <w:spacing w:before="180" w:after="60"/>
      <w:jc w:val="both"/>
    </w:pPr>
  </w:style>
  <w:style w:type="paragraph" w:customStyle="1" w:styleId="CoverActName">
    <w:name w:val="CoverActName"/>
    <w:basedOn w:val="Normal"/>
    <w:rsid w:val="00EE4F2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EE4F20"/>
    <w:pPr>
      <w:pBdr>
        <w:bottom w:val="single" w:sz="12" w:space="1" w:color="auto"/>
      </w:pBdr>
      <w:jc w:val="both"/>
    </w:pPr>
  </w:style>
  <w:style w:type="paragraph" w:styleId="ListParagraph">
    <w:name w:val="List Paragraph"/>
    <w:basedOn w:val="Normal"/>
    <w:uiPriority w:val="34"/>
    <w:qFormat/>
    <w:rsid w:val="00515AF9"/>
    <w:pPr>
      <w:numPr>
        <w:numId w:val="1"/>
      </w:numPr>
      <w:tabs>
        <w:tab w:val="left" w:pos="425"/>
      </w:tabs>
      <w:spacing w:before="120" w:line="276" w:lineRule="auto"/>
    </w:pPr>
    <w:rPr>
      <w:rFonts w:asciiTheme="minorHAnsi" w:eastAsiaTheme="minorEastAsia" w:hAnsiTheme="minorHAnsi" w:cstheme="minorBidi"/>
      <w:szCs w:val="24"/>
    </w:rPr>
  </w:style>
  <w:style w:type="paragraph" w:customStyle="1" w:styleId="ListParagraph2">
    <w:name w:val="List Paragraph 2"/>
    <w:basedOn w:val="ListParagraph"/>
    <w:qFormat/>
    <w:rsid w:val="00515AF9"/>
    <w:pPr>
      <w:numPr>
        <w:ilvl w:val="1"/>
      </w:numPr>
      <w:tabs>
        <w:tab w:val="left" w:pos="851"/>
      </w:tabs>
      <w:ind w:left="850" w:hanging="425"/>
    </w:pPr>
  </w:style>
  <w:style w:type="paragraph" w:customStyle="1" w:styleId="Default">
    <w:name w:val="Default"/>
    <w:rsid w:val="006B7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C2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30CB"/>
    <w:pPr>
      <w:widowControl w:val="0"/>
      <w:autoSpaceDE w:val="0"/>
      <w:autoSpaceDN w:val="0"/>
      <w:spacing w:before="42"/>
    </w:pPr>
    <w:rPr>
      <w:rFonts w:ascii="Arial" w:eastAsia="Arial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6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96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6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96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2549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Ashley</dc:creator>
  <cp:keywords/>
  <dc:description/>
  <cp:lastModifiedBy>PCODCS</cp:lastModifiedBy>
  <cp:revision>4</cp:revision>
  <dcterms:created xsi:type="dcterms:W3CDTF">2023-05-04T00:03:00Z</dcterms:created>
  <dcterms:modified xsi:type="dcterms:W3CDTF">2023-05-04T00:03:00Z</dcterms:modified>
</cp:coreProperties>
</file>