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3E042" w14:textId="7F45976C" w:rsidR="00C17FAB" w:rsidRDefault="00C17FAB">
      <w:pPr>
        <w:spacing w:before="120"/>
        <w:rPr>
          <w:rFonts w:ascii="Arial" w:hAnsi="Arial" w:cs="Arial"/>
        </w:rPr>
      </w:pPr>
      <w:bookmarkStart w:id="0" w:name="_Toc44738651"/>
      <w:r>
        <w:rPr>
          <w:rFonts w:ascii="Arial" w:hAnsi="Arial" w:cs="Arial"/>
        </w:rPr>
        <w:t>Australian Capital Territory</w:t>
      </w:r>
    </w:p>
    <w:p w14:paraId="2BCEFD53" w14:textId="77777777" w:rsidR="001E78C1" w:rsidRDefault="001E78C1">
      <w:pPr>
        <w:spacing w:before="120"/>
        <w:rPr>
          <w:rFonts w:ascii="Arial" w:hAnsi="Arial" w:cs="Arial"/>
        </w:rPr>
      </w:pPr>
    </w:p>
    <w:p w14:paraId="69A18486" w14:textId="07974E41" w:rsidR="001E78C1" w:rsidRPr="001E78C1" w:rsidRDefault="001E78C1" w:rsidP="003B4916">
      <w:pPr>
        <w:spacing w:before="240" w:after="120"/>
        <w:rPr>
          <w:rFonts w:ascii="Arial" w:hAnsi="Arial"/>
          <w:b/>
          <w:sz w:val="40"/>
        </w:rPr>
      </w:pPr>
      <w:r w:rsidRPr="001E78C1">
        <w:rPr>
          <w:rFonts w:ascii="Arial" w:hAnsi="Arial"/>
          <w:b/>
          <w:sz w:val="40"/>
        </w:rPr>
        <w:t xml:space="preserve">Electronic Conveyancing National Law (ACT) </w:t>
      </w:r>
      <w:r w:rsidR="00DD5946">
        <w:rPr>
          <w:rFonts w:ascii="Arial" w:hAnsi="Arial"/>
          <w:b/>
          <w:sz w:val="40"/>
        </w:rPr>
        <w:t>Operating Requirements</w:t>
      </w:r>
      <w:r w:rsidRPr="001E78C1">
        <w:rPr>
          <w:rFonts w:ascii="Arial" w:hAnsi="Arial"/>
          <w:b/>
          <w:sz w:val="40"/>
        </w:rPr>
        <w:t xml:space="preserve"> 202</w:t>
      </w:r>
      <w:r w:rsidR="00631304">
        <w:rPr>
          <w:rFonts w:ascii="Arial" w:hAnsi="Arial"/>
          <w:b/>
          <w:sz w:val="40"/>
        </w:rPr>
        <w:t>3</w:t>
      </w:r>
    </w:p>
    <w:p w14:paraId="2ECDAE8E" w14:textId="03BB3C8B" w:rsidR="00C17FAB" w:rsidRDefault="002D7C60" w:rsidP="00DA3B00">
      <w:pPr>
        <w:spacing w:before="340"/>
        <w:rPr>
          <w:rFonts w:ascii="Arial" w:hAnsi="Arial" w:cs="Arial"/>
          <w:b/>
          <w:bCs/>
        </w:rPr>
      </w:pPr>
      <w:r>
        <w:rPr>
          <w:rFonts w:ascii="Arial" w:hAnsi="Arial" w:cs="Arial"/>
          <w:b/>
          <w:bCs/>
        </w:rPr>
        <w:t>Disallowable instrument DI</w:t>
      </w:r>
      <w:r w:rsidR="00E926A0">
        <w:rPr>
          <w:rFonts w:ascii="Arial" w:hAnsi="Arial" w:cs="Arial"/>
          <w:b/>
          <w:bCs/>
        </w:rPr>
        <w:t>202</w:t>
      </w:r>
      <w:r w:rsidR="00631304">
        <w:rPr>
          <w:rFonts w:ascii="Arial" w:hAnsi="Arial" w:cs="Arial"/>
          <w:b/>
          <w:bCs/>
        </w:rPr>
        <w:t>3</w:t>
      </w:r>
      <w:r w:rsidR="00C17FAB">
        <w:rPr>
          <w:rFonts w:ascii="Arial" w:hAnsi="Arial" w:cs="Arial"/>
          <w:b/>
          <w:bCs/>
        </w:rPr>
        <w:t>–</w:t>
      </w:r>
      <w:r w:rsidR="0061096D" w:rsidRPr="000F045A">
        <w:rPr>
          <w:rFonts w:ascii="Arial" w:hAnsi="Arial" w:cs="Arial"/>
          <w:b/>
          <w:bCs/>
        </w:rPr>
        <w:t>62</w:t>
      </w:r>
    </w:p>
    <w:p w14:paraId="23AE4EBC" w14:textId="77777777" w:rsidR="00C17FAB" w:rsidRDefault="00C17FAB" w:rsidP="00DA3B00">
      <w:pPr>
        <w:pStyle w:val="madeunder"/>
        <w:spacing w:before="300" w:after="0"/>
      </w:pPr>
      <w:r>
        <w:t xml:space="preserve">made under the  </w:t>
      </w:r>
    </w:p>
    <w:p w14:paraId="710F5145" w14:textId="7B92300A" w:rsidR="00C17FAB" w:rsidRDefault="001E78C1" w:rsidP="00F0170D">
      <w:pPr>
        <w:pStyle w:val="CoverActName"/>
        <w:spacing w:before="320" w:after="0" w:line="276" w:lineRule="auto"/>
        <w:rPr>
          <w:rFonts w:cs="Arial"/>
          <w:sz w:val="20"/>
        </w:rPr>
      </w:pPr>
      <w:r w:rsidRPr="001E78C1">
        <w:rPr>
          <w:rFonts w:cs="Arial"/>
          <w:sz w:val="20"/>
        </w:rPr>
        <w:t>Electronic Conveyancing National Law (ACT), s 2</w:t>
      </w:r>
      <w:r w:rsidR="00E90BBF">
        <w:rPr>
          <w:rFonts w:cs="Arial"/>
          <w:sz w:val="20"/>
        </w:rPr>
        <w:t>2</w:t>
      </w:r>
      <w:r w:rsidRPr="001E78C1">
        <w:rPr>
          <w:rFonts w:cs="Arial"/>
          <w:sz w:val="20"/>
        </w:rPr>
        <w:t xml:space="preserve"> (</w:t>
      </w:r>
      <w:r w:rsidR="00E90BBF">
        <w:rPr>
          <w:rFonts w:cs="Arial"/>
          <w:sz w:val="20"/>
        </w:rPr>
        <w:t>Operating Requirements for ELNOs</w:t>
      </w:r>
      <w:r w:rsidRPr="001E78C1">
        <w:rPr>
          <w:rFonts w:cs="Arial"/>
          <w:sz w:val="20"/>
        </w:rPr>
        <w:t>) and s25</w:t>
      </w:r>
      <w:r>
        <w:rPr>
          <w:rFonts w:cs="Arial"/>
          <w:sz w:val="20"/>
        </w:rPr>
        <w:t xml:space="preserve"> </w:t>
      </w:r>
      <w:r w:rsidRPr="001E78C1">
        <w:rPr>
          <w:rFonts w:cs="Arial"/>
          <w:sz w:val="20"/>
        </w:rPr>
        <w:t>(Publication of operating requirements and participation rules)</w:t>
      </w:r>
    </w:p>
    <w:p w14:paraId="73ADAF2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924C148" w14:textId="77777777" w:rsidR="00C17FAB" w:rsidRDefault="00C17FAB">
      <w:pPr>
        <w:pStyle w:val="N-line3"/>
        <w:pBdr>
          <w:bottom w:val="none" w:sz="0" w:space="0" w:color="auto"/>
        </w:pBdr>
      </w:pPr>
    </w:p>
    <w:p w14:paraId="4217D2D4" w14:textId="77777777" w:rsidR="00C17FAB" w:rsidRDefault="00C17FAB">
      <w:pPr>
        <w:pStyle w:val="N-line3"/>
        <w:pBdr>
          <w:top w:val="single" w:sz="12" w:space="1" w:color="auto"/>
          <w:bottom w:val="none" w:sz="0" w:space="0" w:color="auto"/>
        </w:pBdr>
      </w:pPr>
    </w:p>
    <w:bookmarkEnd w:id="0"/>
    <w:p w14:paraId="507254D8" w14:textId="77777777" w:rsidR="00E926A0" w:rsidRDefault="00E926A0" w:rsidP="00E926A0">
      <w:pPr>
        <w:rPr>
          <w:b/>
        </w:rPr>
      </w:pPr>
      <w:r>
        <w:rPr>
          <w:b/>
        </w:rPr>
        <w:t>Overview</w:t>
      </w:r>
    </w:p>
    <w:p w14:paraId="4D2DC3F3" w14:textId="77777777" w:rsidR="00E926A0" w:rsidRDefault="00E926A0" w:rsidP="00E926A0">
      <w:pPr>
        <w:rPr>
          <w:b/>
        </w:rPr>
      </w:pPr>
    </w:p>
    <w:p w14:paraId="2CE25974" w14:textId="44143B25" w:rsidR="00F0170D" w:rsidRPr="00F0170D" w:rsidRDefault="00F0170D" w:rsidP="00F0170D">
      <w:pPr>
        <w:spacing w:after="200" w:line="276" w:lineRule="auto"/>
        <w:rPr>
          <w:rFonts w:eastAsia="Calibri"/>
          <w:szCs w:val="22"/>
        </w:rPr>
      </w:pPr>
      <w:r w:rsidRPr="00F0170D">
        <w:rPr>
          <w:rFonts w:eastAsia="Calibri"/>
          <w:szCs w:val="22"/>
        </w:rPr>
        <w:t xml:space="preserve">The purpose of this </w:t>
      </w:r>
      <w:r w:rsidR="00FC5498">
        <w:rPr>
          <w:rFonts w:eastAsia="Calibri"/>
          <w:szCs w:val="22"/>
        </w:rPr>
        <w:t>E</w:t>
      </w:r>
      <w:r>
        <w:rPr>
          <w:rFonts w:eastAsia="Calibri"/>
          <w:szCs w:val="22"/>
        </w:rPr>
        <w:t xml:space="preserve">xplanatory </w:t>
      </w:r>
      <w:r w:rsidR="00FC5498">
        <w:rPr>
          <w:rFonts w:eastAsia="Calibri"/>
          <w:szCs w:val="22"/>
        </w:rPr>
        <w:t>S</w:t>
      </w:r>
      <w:r>
        <w:rPr>
          <w:rFonts w:eastAsia="Calibri"/>
          <w:szCs w:val="22"/>
        </w:rPr>
        <w:t>tatement</w:t>
      </w:r>
      <w:r w:rsidRPr="00F0170D">
        <w:rPr>
          <w:rFonts w:eastAsia="Calibri"/>
          <w:szCs w:val="22"/>
        </w:rPr>
        <w:t xml:space="preserve"> is to </w:t>
      </w:r>
      <w:r w:rsidR="00FD53C1">
        <w:rPr>
          <w:rFonts w:eastAsia="Calibri"/>
          <w:szCs w:val="22"/>
        </w:rPr>
        <w:t xml:space="preserve">describe </w:t>
      </w:r>
      <w:r>
        <w:rPr>
          <w:rFonts w:eastAsia="Calibri"/>
          <w:szCs w:val="22"/>
        </w:rPr>
        <w:t xml:space="preserve">the </w:t>
      </w:r>
      <w:r w:rsidR="00E90BBF">
        <w:rPr>
          <w:rFonts w:eastAsia="Calibri"/>
          <w:szCs w:val="22"/>
        </w:rPr>
        <w:t xml:space="preserve">changes to the </w:t>
      </w:r>
      <w:r w:rsidR="00631B54">
        <w:rPr>
          <w:rFonts w:eastAsia="Calibri"/>
          <w:szCs w:val="22"/>
        </w:rPr>
        <w:t>Electronic Conveyancing National Law (ACT) Operating Requirements (</w:t>
      </w:r>
      <w:r w:rsidR="00E90BBF">
        <w:rPr>
          <w:rFonts w:eastAsia="Calibri"/>
          <w:szCs w:val="22"/>
        </w:rPr>
        <w:t>Operating Requirements</w:t>
      </w:r>
      <w:r w:rsidR="00631B54">
        <w:rPr>
          <w:rFonts w:eastAsia="Calibri"/>
          <w:szCs w:val="22"/>
        </w:rPr>
        <w:t>)</w:t>
      </w:r>
      <w:r w:rsidR="00E90BBF">
        <w:rPr>
          <w:rFonts w:eastAsia="Calibri"/>
          <w:szCs w:val="22"/>
        </w:rPr>
        <w:t xml:space="preserve"> relating to operation of an Electronic Lodgment Network </w:t>
      </w:r>
      <w:r w:rsidR="00F70458">
        <w:rPr>
          <w:rFonts w:eastAsia="Calibri"/>
          <w:szCs w:val="22"/>
        </w:rPr>
        <w:t xml:space="preserve">(ELN) </w:t>
      </w:r>
      <w:r w:rsidR="00E90BBF">
        <w:rPr>
          <w:rFonts w:eastAsia="Calibri"/>
          <w:szCs w:val="22"/>
        </w:rPr>
        <w:t>by Electronic Lodgment Network Operators</w:t>
      </w:r>
      <w:r w:rsidR="00F70458">
        <w:rPr>
          <w:rFonts w:eastAsia="Calibri"/>
          <w:szCs w:val="22"/>
        </w:rPr>
        <w:t xml:space="preserve"> (ELNOs)</w:t>
      </w:r>
      <w:r w:rsidRPr="00F0170D">
        <w:rPr>
          <w:rFonts w:eastAsia="Calibri"/>
          <w:szCs w:val="22"/>
        </w:rPr>
        <w:t>. The rules have been determined pursuant to section 2</w:t>
      </w:r>
      <w:r w:rsidR="00E90BBF">
        <w:rPr>
          <w:rFonts w:eastAsia="Calibri"/>
          <w:szCs w:val="22"/>
        </w:rPr>
        <w:t>2</w:t>
      </w:r>
      <w:r w:rsidRPr="00F0170D">
        <w:rPr>
          <w:rFonts w:eastAsia="Calibri"/>
          <w:szCs w:val="22"/>
        </w:rPr>
        <w:t xml:space="preserve"> of the </w:t>
      </w:r>
      <w:r w:rsidRPr="00EC1A05">
        <w:rPr>
          <w:rFonts w:eastAsia="Calibri"/>
          <w:i/>
          <w:iCs/>
          <w:szCs w:val="22"/>
        </w:rPr>
        <w:t>Electronic Conveyancing National Law (ACT)</w:t>
      </w:r>
      <w:r w:rsidR="00EC1A05">
        <w:rPr>
          <w:rFonts w:eastAsia="Calibri"/>
          <w:szCs w:val="22"/>
        </w:rPr>
        <w:t xml:space="preserve"> (ECNL)</w:t>
      </w:r>
      <w:r w:rsidRPr="00F0170D">
        <w:rPr>
          <w:rFonts w:eastAsia="Calibri"/>
          <w:szCs w:val="22"/>
        </w:rPr>
        <w:t>.</w:t>
      </w:r>
      <w:r w:rsidR="00003D0D">
        <w:rPr>
          <w:rFonts w:eastAsia="Calibri"/>
          <w:szCs w:val="22"/>
        </w:rPr>
        <w:t xml:space="preserve"> Commencement complies with section 25(1)(b) of </w:t>
      </w:r>
      <w:r w:rsidR="00EC1A05" w:rsidRPr="00EC1A05">
        <w:rPr>
          <w:rFonts w:eastAsia="Calibri"/>
          <w:i/>
          <w:iCs/>
          <w:szCs w:val="22"/>
        </w:rPr>
        <w:t>ECNL</w:t>
      </w:r>
      <w:r w:rsidR="00EC1A05">
        <w:rPr>
          <w:rFonts w:eastAsia="Calibri"/>
          <w:szCs w:val="22"/>
        </w:rPr>
        <w:t>.</w:t>
      </w:r>
    </w:p>
    <w:p w14:paraId="19680176" w14:textId="20B92D8D" w:rsidR="00FD53C1" w:rsidRDefault="00FD53C1" w:rsidP="00FD53C1">
      <w:pPr>
        <w:spacing w:line="276" w:lineRule="auto"/>
        <w:rPr>
          <w:rFonts w:eastAsia="Calibri"/>
          <w:szCs w:val="22"/>
        </w:rPr>
      </w:pPr>
      <w:r w:rsidRPr="00FD53C1">
        <w:rPr>
          <w:rFonts w:eastAsia="Calibri"/>
          <w:szCs w:val="22"/>
        </w:rPr>
        <w:t xml:space="preserve">The Operating Requirements made by this instrument have adopted in full the Model Operating Requirements Version </w:t>
      </w:r>
      <w:r w:rsidR="00E42A78">
        <w:rPr>
          <w:rFonts w:eastAsia="Calibri"/>
          <w:szCs w:val="22"/>
        </w:rPr>
        <w:t>6.</w:t>
      </w:r>
      <w:r w:rsidR="00631304">
        <w:rPr>
          <w:rFonts w:eastAsia="Calibri"/>
          <w:szCs w:val="22"/>
        </w:rPr>
        <w:t>2</w:t>
      </w:r>
      <w:r w:rsidRPr="00FD53C1">
        <w:rPr>
          <w:rFonts w:eastAsia="Calibri"/>
          <w:szCs w:val="22"/>
        </w:rPr>
        <w:t xml:space="preserve"> developed and approved by the Australian Registrars' National Electronic Conveyancing Council (ARNECC). The Model Operating Requirements</w:t>
      </w:r>
      <w:r w:rsidR="000D562E">
        <w:rPr>
          <w:rFonts w:eastAsia="Calibri"/>
          <w:szCs w:val="22"/>
        </w:rPr>
        <w:t xml:space="preserve"> (MOR)</w:t>
      </w:r>
      <w:r w:rsidRPr="00FD53C1">
        <w:rPr>
          <w:rFonts w:eastAsia="Calibri"/>
          <w:szCs w:val="22"/>
        </w:rPr>
        <w:t xml:space="preserve"> have been determined by ARNECC for promulgation by each Registrar before coming into effect in that jurisdiction as Operating Requirements.</w:t>
      </w:r>
    </w:p>
    <w:p w14:paraId="74E1246F" w14:textId="77777777" w:rsidR="00FD53C1" w:rsidRDefault="00FD53C1" w:rsidP="00FD53C1">
      <w:pPr>
        <w:spacing w:line="276" w:lineRule="auto"/>
        <w:rPr>
          <w:rFonts w:eastAsia="Calibri"/>
          <w:szCs w:val="22"/>
        </w:rPr>
      </w:pPr>
    </w:p>
    <w:p w14:paraId="7972FA48" w14:textId="460CD200" w:rsidR="00FD53C1" w:rsidRPr="00FD53C1" w:rsidRDefault="00FD53C1" w:rsidP="00FD53C1">
      <w:pPr>
        <w:spacing w:line="276" w:lineRule="auto"/>
        <w:rPr>
          <w:rFonts w:eastAsia="Calibri"/>
          <w:szCs w:val="22"/>
        </w:rPr>
      </w:pPr>
      <w:r w:rsidRPr="00FD53C1">
        <w:rPr>
          <w:rFonts w:eastAsia="Calibri"/>
          <w:szCs w:val="22"/>
        </w:rPr>
        <w:t>The operating requirements cover topics such as:</w:t>
      </w:r>
    </w:p>
    <w:p w14:paraId="4AF8A6B3" w14:textId="5EEECEC3" w:rsidR="00FD53C1" w:rsidRPr="00912504" w:rsidRDefault="00FD53C1" w:rsidP="00912504">
      <w:pPr>
        <w:pStyle w:val="ListParagraph"/>
        <w:numPr>
          <w:ilvl w:val="0"/>
          <w:numId w:val="16"/>
        </w:numPr>
        <w:spacing w:line="276" w:lineRule="auto"/>
        <w:rPr>
          <w:rFonts w:eastAsia="Calibri"/>
          <w:szCs w:val="22"/>
        </w:rPr>
      </w:pPr>
      <w:r w:rsidRPr="00C6473A">
        <w:rPr>
          <w:rFonts w:eastAsia="Calibri"/>
          <w:szCs w:val="22"/>
        </w:rPr>
        <w:t xml:space="preserve">the financial standing of an </w:t>
      </w:r>
      <w:r w:rsidR="00F70458" w:rsidRPr="00912504">
        <w:rPr>
          <w:rFonts w:eastAsia="Calibri"/>
          <w:szCs w:val="22"/>
        </w:rPr>
        <w:t>ELNO</w:t>
      </w:r>
    </w:p>
    <w:p w14:paraId="401FF552" w14:textId="0A7EEF5A" w:rsidR="00FD53C1" w:rsidRPr="00912504" w:rsidRDefault="00FD53C1" w:rsidP="00912504">
      <w:pPr>
        <w:pStyle w:val="ListParagraph"/>
        <w:numPr>
          <w:ilvl w:val="0"/>
          <w:numId w:val="16"/>
        </w:numPr>
        <w:spacing w:line="276" w:lineRule="auto"/>
        <w:rPr>
          <w:rFonts w:eastAsia="Calibri"/>
          <w:szCs w:val="22"/>
        </w:rPr>
      </w:pPr>
      <w:r w:rsidRPr="00912504">
        <w:rPr>
          <w:rFonts w:eastAsia="Calibri"/>
          <w:szCs w:val="22"/>
        </w:rPr>
        <w:t>operational and technical standards</w:t>
      </w:r>
    </w:p>
    <w:p w14:paraId="251331E4" w14:textId="42B10CD6" w:rsidR="00FD53C1" w:rsidRPr="00912504" w:rsidRDefault="00FD53C1" w:rsidP="00912504">
      <w:pPr>
        <w:pStyle w:val="ListParagraph"/>
        <w:numPr>
          <w:ilvl w:val="0"/>
          <w:numId w:val="16"/>
        </w:numPr>
        <w:spacing w:line="276" w:lineRule="auto"/>
        <w:rPr>
          <w:rFonts w:eastAsia="Calibri"/>
          <w:szCs w:val="22"/>
        </w:rPr>
      </w:pPr>
      <w:r w:rsidRPr="00912504">
        <w:rPr>
          <w:rFonts w:eastAsia="Calibri"/>
          <w:szCs w:val="22"/>
        </w:rPr>
        <w:t xml:space="preserve">insurance cover to be held by an </w:t>
      </w:r>
      <w:r w:rsidR="00F70458" w:rsidRPr="00912504">
        <w:rPr>
          <w:rFonts w:eastAsia="Calibri"/>
          <w:szCs w:val="22"/>
        </w:rPr>
        <w:t>ELNO</w:t>
      </w:r>
    </w:p>
    <w:p w14:paraId="6C6DCF44" w14:textId="1D464FFA" w:rsidR="00FD53C1" w:rsidRPr="00912504" w:rsidRDefault="00FD53C1" w:rsidP="00912504">
      <w:pPr>
        <w:pStyle w:val="ListParagraph"/>
        <w:numPr>
          <w:ilvl w:val="0"/>
          <w:numId w:val="16"/>
        </w:numPr>
        <w:spacing w:line="276" w:lineRule="auto"/>
        <w:rPr>
          <w:rFonts w:eastAsia="Calibri"/>
          <w:szCs w:val="22"/>
        </w:rPr>
      </w:pPr>
      <w:r w:rsidRPr="00912504">
        <w:rPr>
          <w:rFonts w:eastAsia="Calibri"/>
          <w:szCs w:val="22"/>
        </w:rPr>
        <w:t xml:space="preserve">suspension or revocation of an </w:t>
      </w:r>
      <w:r w:rsidR="00F70458" w:rsidRPr="00912504">
        <w:rPr>
          <w:rFonts w:eastAsia="Calibri"/>
          <w:szCs w:val="22"/>
        </w:rPr>
        <w:t>ELNOs</w:t>
      </w:r>
      <w:r w:rsidRPr="00912504">
        <w:rPr>
          <w:rFonts w:eastAsia="Calibri"/>
          <w:szCs w:val="22"/>
        </w:rPr>
        <w:t xml:space="preserve"> approval, and </w:t>
      </w:r>
    </w:p>
    <w:p w14:paraId="2A8CA532" w14:textId="2D76E251" w:rsidR="00FD53C1" w:rsidRPr="00912504" w:rsidRDefault="00FD53C1" w:rsidP="00912504">
      <w:pPr>
        <w:pStyle w:val="ListParagraph"/>
        <w:numPr>
          <w:ilvl w:val="0"/>
          <w:numId w:val="16"/>
        </w:numPr>
        <w:spacing w:line="276" w:lineRule="auto"/>
        <w:rPr>
          <w:rFonts w:eastAsia="Calibri"/>
          <w:szCs w:val="22"/>
        </w:rPr>
      </w:pPr>
      <w:r w:rsidRPr="00912504">
        <w:rPr>
          <w:rFonts w:eastAsia="Calibri"/>
          <w:szCs w:val="22"/>
        </w:rPr>
        <w:t xml:space="preserve">directions to an </w:t>
      </w:r>
      <w:r w:rsidR="00F70458" w:rsidRPr="00912504">
        <w:rPr>
          <w:rFonts w:eastAsia="Calibri"/>
          <w:szCs w:val="22"/>
        </w:rPr>
        <w:t>ELNO</w:t>
      </w:r>
      <w:r w:rsidRPr="00912504">
        <w:rPr>
          <w:rFonts w:eastAsia="Calibri"/>
          <w:szCs w:val="22"/>
        </w:rPr>
        <w:t xml:space="preserve"> to restrict, suspend or terminate a subscriber’s use of an </w:t>
      </w:r>
      <w:r w:rsidR="00F70458" w:rsidRPr="00912504">
        <w:rPr>
          <w:rFonts w:eastAsia="Calibri"/>
          <w:szCs w:val="22"/>
        </w:rPr>
        <w:t>ELN</w:t>
      </w:r>
      <w:r w:rsidRPr="00912504">
        <w:rPr>
          <w:rFonts w:eastAsia="Calibri"/>
          <w:szCs w:val="22"/>
        </w:rPr>
        <w:t>.</w:t>
      </w:r>
    </w:p>
    <w:p w14:paraId="447A07CE" w14:textId="77777777" w:rsidR="00FD53C1" w:rsidRDefault="00FD53C1" w:rsidP="00FD53C1">
      <w:pPr>
        <w:spacing w:line="276" w:lineRule="auto"/>
        <w:rPr>
          <w:rFonts w:eastAsia="Calibri"/>
          <w:szCs w:val="22"/>
        </w:rPr>
      </w:pPr>
    </w:p>
    <w:p w14:paraId="7C1DA340" w14:textId="08A12ECA" w:rsidR="00E926A0" w:rsidRPr="00F0170D" w:rsidRDefault="00F0170D" w:rsidP="00FD53C1">
      <w:pPr>
        <w:spacing w:after="200" w:line="276" w:lineRule="auto"/>
        <w:rPr>
          <w:rFonts w:eastAsia="Calibri"/>
          <w:szCs w:val="22"/>
        </w:rPr>
      </w:pPr>
      <w:r w:rsidRPr="00F0170D">
        <w:rPr>
          <w:rFonts w:eastAsia="Calibri"/>
          <w:szCs w:val="22"/>
        </w:rPr>
        <w:t xml:space="preserve">Pursuant to section 36(1)(g) of the </w:t>
      </w:r>
      <w:r w:rsidRPr="00A571D7">
        <w:rPr>
          <w:rFonts w:eastAsia="Calibri"/>
          <w:i/>
          <w:iCs/>
          <w:szCs w:val="22"/>
        </w:rPr>
        <w:t>Legislation Act 2001</w:t>
      </w:r>
      <w:r w:rsidRPr="00F0170D">
        <w:rPr>
          <w:rFonts w:eastAsia="Calibri"/>
          <w:szCs w:val="22"/>
        </w:rPr>
        <w:t xml:space="preserve"> a regulatory impact statement is not required for these Participation Rules as they are part of a nationally uniform scheme of legislation.</w:t>
      </w:r>
    </w:p>
    <w:p w14:paraId="2B3A9027" w14:textId="41346432" w:rsidR="00E926A0" w:rsidRDefault="00E926A0" w:rsidP="00E926A0"/>
    <w:p w14:paraId="11F4AC9B" w14:textId="77777777" w:rsidR="000F08B8" w:rsidRDefault="000F08B8" w:rsidP="00E926A0"/>
    <w:p w14:paraId="00B8F3DA" w14:textId="77777777" w:rsidR="00E926A0" w:rsidRDefault="00E926A0" w:rsidP="00E926A0">
      <w:pPr>
        <w:rPr>
          <w:b/>
        </w:rPr>
      </w:pPr>
      <w:r>
        <w:rPr>
          <w:b/>
        </w:rPr>
        <w:t xml:space="preserve">Human Rights </w:t>
      </w:r>
    </w:p>
    <w:p w14:paraId="526F90D7" w14:textId="773ADBF8" w:rsidR="00E926A0" w:rsidRDefault="009717BC" w:rsidP="000F045A">
      <w:pPr>
        <w:spacing w:line="276" w:lineRule="auto"/>
      </w:pPr>
      <w:r w:rsidRPr="009717BC">
        <w:t>Section 12 of the Human Rights Act 2004 (HRA) provides that everyone has the right not to have his or her privacy, family, home or correspondence interfered with unlawfully or arbitrarily and not to have his or her reputation unlawfully attacked. The ELN contains personal information of individuals for the purpose of lodging land title registry instruments and other documents. However, the proposed change to the Operating Requirements is minor and it provides solely for the existing fee setting rules for ELNOs to continue for a further 12 months. As such, it does not engage or limit the right to privacy in section 12 or other rights under the HRA.</w:t>
      </w:r>
    </w:p>
    <w:p w14:paraId="643ADB31" w14:textId="77777777" w:rsidR="009717BC" w:rsidRDefault="009717BC" w:rsidP="00E926A0">
      <w:pPr>
        <w:rPr>
          <w:b/>
        </w:rPr>
      </w:pPr>
    </w:p>
    <w:p w14:paraId="42D69AE3" w14:textId="6D9E4854" w:rsidR="00F0170D" w:rsidRDefault="00F0170D" w:rsidP="00F0170D">
      <w:pPr>
        <w:rPr>
          <w:b/>
          <w:bCs/>
        </w:rPr>
      </w:pPr>
      <w:r w:rsidRPr="0049086C">
        <w:rPr>
          <w:b/>
          <w:bCs/>
        </w:rPr>
        <w:t>Detail</w:t>
      </w:r>
    </w:p>
    <w:p w14:paraId="35AB9C70" w14:textId="77777777" w:rsidR="00F0170D" w:rsidRPr="0049086C" w:rsidRDefault="00F0170D" w:rsidP="00F0170D">
      <w:pPr>
        <w:rPr>
          <w:b/>
          <w:bCs/>
        </w:rPr>
      </w:pPr>
    </w:p>
    <w:p w14:paraId="19E0B9BD" w14:textId="77777777" w:rsidR="003A0BF7" w:rsidRDefault="001B453B" w:rsidP="001B453B">
      <w:pPr>
        <w:spacing w:line="276" w:lineRule="auto"/>
      </w:pPr>
      <w:r>
        <w:t>This Explanatory Statement deals with the</w:t>
      </w:r>
      <w:r w:rsidR="003A0BF7">
        <w:t xml:space="preserve"> single</w:t>
      </w:r>
      <w:r>
        <w:t xml:space="preserve"> provision of the Operating Requirements </w:t>
      </w:r>
      <w:r w:rsidR="003A0BF7">
        <w:t>being amended.</w:t>
      </w:r>
    </w:p>
    <w:p w14:paraId="53506374" w14:textId="77777777" w:rsidR="003A0BF7" w:rsidRDefault="003A0BF7" w:rsidP="001B453B">
      <w:pPr>
        <w:spacing w:line="276" w:lineRule="auto"/>
      </w:pPr>
    </w:p>
    <w:p w14:paraId="2EEFAA8D" w14:textId="012A6175" w:rsidR="001B453B" w:rsidRDefault="001B453B" w:rsidP="001B453B">
      <w:pPr>
        <w:spacing w:line="276" w:lineRule="auto"/>
      </w:pPr>
      <w:r>
        <w:t>The Operating Requirements are largely self-explanatory and will be well understood by E</w:t>
      </w:r>
      <w:r w:rsidR="00F70458">
        <w:t xml:space="preserve">LNOs </w:t>
      </w:r>
      <w:r>
        <w:t xml:space="preserve">and subscribers, particularly those who are already involved in electronic conveyancing in other jurisdictions. </w:t>
      </w:r>
      <w:r w:rsidR="00CF49A9" w:rsidRPr="00D24F61">
        <w:rPr>
          <w:rFonts w:eastAsia="Calibri"/>
          <w:szCs w:val="22"/>
        </w:rPr>
        <w:t xml:space="preserve">ARNECC </w:t>
      </w:r>
      <w:r w:rsidR="00CF49A9">
        <w:rPr>
          <w:rFonts w:eastAsia="Calibri"/>
          <w:szCs w:val="22"/>
        </w:rPr>
        <w:t>publish</w:t>
      </w:r>
      <w:r w:rsidR="00CF49A9" w:rsidRPr="00D24F61">
        <w:rPr>
          <w:rFonts w:eastAsia="Calibri"/>
          <w:szCs w:val="22"/>
        </w:rPr>
        <w:t xml:space="preserve"> Guidance Notes on the </w:t>
      </w:r>
      <w:r w:rsidR="00CF49A9">
        <w:rPr>
          <w:rFonts w:eastAsia="Calibri"/>
          <w:szCs w:val="22"/>
        </w:rPr>
        <w:t>Operating Requirements</w:t>
      </w:r>
      <w:r w:rsidR="00CF49A9" w:rsidRPr="00D24F61">
        <w:rPr>
          <w:rFonts w:eastAsia="Calibri"/>
          <w:szCs w:val="22"/>
        </w:rPr>
        <w:t xml:space="preserve"> </w:t>
      </w:r>
      <w:r w:rsidR="00CF49A9">
        <w:rPr>
          <w:rFonts w:eastAsia="Calibri"/>
          <w:szCs w:val="22"/>
        </w:rPr>
        <w:t xml:space="preserve">on the ARNECC website </w:t>
      </w:r>
      <w:r w:rsidR="00CF49A9" w:rsidRPr="00D24F61">
        <w:rPr>
          <w:rFonts w:eastAsia="Calibri"/>
          <w:szCs w:val="22"/>
        </w:rPr>
        <w:t xml:space="preserve">to assist </w:t>
      </w:r>
      <w:r w:rsidR="00F70458">
        <w:t>ELNOs</w:t>
      </w:r>
      <w:r w:rsidR="00F70458" w:rsidRPr="00D24F61">
        <w:rPr>
          <w:rFonts w:eastAsia="Calibri"/>
          <w:szCs w:val="22"/>
        </w:rPr>
        <w:t xml:space="preserve"> </w:t>
      </w:r>
      <w:r w:rsidR="00CF49A9" w:rsidRPr="00D24F61">
        <w:rPr>
          <w:rFonts w:eastAsia="Calibri"/>
          <w:szCs w:val="22"/>
        </w:rPr>
        <w:t>understanding what is expected in complying with the r</w:t>
      </w:r>
      <w:r w:rsidR="00CF49A9">
        <w:rPr>
          <w:rFonts w:eastAsia="Calibri"/>
          <w:szCs w:val="22"/>
        </w:rPr>
        <w:t>equirements.</w:t>
      </w:r>
    </w:p>
    <w:p w14:paraId="1A141B55" w14:textId="77777777" w:rsidR="00F0170D" w:rsidRPr="00F0170D" w:rsidRDefault="00F0170D" w:rsidP="00F0170D">
      <w:pPr>
        <w:spacing w:line="276" w:lineRule="auto"/>
        <w:rPr>
          <w:rFonts w:eastAsia="Calibri"/>
          <w:szCs w:val="22"/>
        </w:rPr>
      </w:pPr>
    </w:p>
    <w:p w14:paraId="0A24BE7A" w14:textId="20279C69" w:rsidR="000B65B6" w:rsidRPr="00631B54" w:rsidRDefault="00417B0D" w:rsidP="00AE4ED5">
      <w:pPr>
        <w:spacing w:line="276" w:lineRule="auto"/>
        <w:rPr>
          <w:szCs w:val="24"/>
          <w:u w:val="single"/>
        </w:rPr>
      </w:pPr>
      <w:bookmarkStart w:id="1" w:name="_Hlk68595809"/>
      <w:r w:rsidRPr="00631B54">
        <w:rPr>
          <w:szCs w:val="24"/>
          <w:u w:val="single"/>
        </w:rPr>
        <w:t>Operation of ELN</w:t>
      </w:r>
    </w:p>
    <w:p w14:paraId="6ADCDE5F" w14:textId="2AA82357" w:rsidR="000B65B6" w:rsidRPr="00631B54" w:rsidRDefault="000B65B6" w:rsidP="00AE4ED5">
      <w:pPr>
        <w:spacing w:line="276" w:lineRule="auto"/>
        <w:rPr>
          <w:szCs w:val="24"/>
        </w:rPr>
      </w:pPr>
      <w:r w:rsidRPr="00631B54">
        <w:rPr>
          <w:i/>
          <w:iCs/>
          <w:szCs w:val="24"/>
        </w:rPr>
        <w:t xml:space="preserve">Operating Requirement </w:t>
      </w:r>
      <w:r w:rsidR="00417B0D" w:rsidRPr="00631B54">
        <w:rPr>
          <w:i/>
          <w:iCs/>
          <w:szCs w:val="24"/>
        </w:rPr>
        <w:t>5.4</w:t>
      </w:r>
    </w:p>
    <w:bookmarkEnd w:id="1"/>
    <w:p w14:paraId="56865CCD" w14:textId="676CBC95" w:rsidR="003A0BF7" w:rsidRPr="00631B54" w:rsidRDefault="00631B54" w:rsidP="003A0BF7">
      <w:pPr>
        <w:autoSpaceDE w:val="0"/>
        <w:autoSpaceDN w:val="0"/>
        <w:adjustRightInd w:val="0"/>
        <w:rPr>
          <w:szCs w:val="24"/>
          <w:lang w:eastAsia="en-AU"/>
        </w:rPr>
      </w:pPr>
      <w:r>
        <w:rPr>
          <w:szCs w:val="24"/>
          <w:lang w:eastAsia="en-AU"/>
        </w:rPr>
        <w:t>Operating Requirement</w:t>
      </w:r>
      <w:r w:rsidR="003A0BF7" w:rsidRPr="00631B54">
        <w:rPr>
          <w:szCs w:val="24"/>
          <w:lang w:eastAsia="en-AU"/>
        </w:rPr>
        <w:t xml:space="preserve"> 5.4.3 currently states – </w:t>
      </w:r>
    </w:p>
    <w:p w14:paraId="239E8507" w14:textId="77777777" w:rsidR="003A0BF7" w:rsidRPr="00631B54" w:rsidRDefault="003A0BF7" w:rsidP="003A0BF7">
      <w:pPr>
        <w:autoSpaceDE w:val="0"/>
        <w:autoSpaceDN w:val="0"/>
        <w:adjustRightInd w:val="0"/>
        <w:rPr>
          <w:szCs w:val="24"/>
          <w:lang w:eastAsia="en-AU"/>
        </w:rPr>
      </w:pPr>
    </w:p>
    <w:p w14:paraId="32BB3E2A" w14:textId="787B2732" w:rsidR="007639C9" w:rsidRPr="00631B54" w:rsidRDefault="003A0BF7" w:rsidP="00104EF5">
      <w:pPr>
        <w:autoSpaceDE w:val="0"/>
        <w:autoSpaceDN w:val="0"/>
        <w:adjustRightInd w:val="0"/>
        <w:spacing w:line="276" w:lineRule="auto"/>
        <w:rPr>
          <w:i/>
          <w:iCs/>
          <w:szCs w:val="24"/>
          <w:lang w:eastAsia="en-AU"/>
        </w:rPr>
      </w:pPr>
      <w:bookmarkStart w:id="2" w:name="_Hlk101953686"/>
      <w:r w:rsidRPr="00631B54">
        <w:rPr>
          <w:i/>
          <w:iCs/>
          <w:szCs w:val="24"/>
          <w:lang w:eastAsia="en-AU"/>
        </w:rPr>
        <w:t xml:space="preserve">“From 1 July 2019 to 30 June </w:t>
      </w:r>
      <w:r w:rsidRPr="00C6473A">
        <w:rPr>
          <w:b/>
          <w:bCs/>
          <w:i/>
          <w:iCs/>
          <w:szCs w:val="24"/>
          <w:lang w:eastAsia="en-AU"/>
        </w:rPr>
        <w:t>202</w:t>
      </w:r>
      <w:r w:rsidR="00631304">
        <w:rPr>
          <w:b/>
          <w:bCs/>
          <w:i/>
          <w:iCs/>
          <w:szCs w:val="24"/>
          <w:lang w:eastAsia="en-AU"/>
        </w:rPr>
        <w:t>3</w:t>
      </w:r>
      <w:r w:rsidRPr="00631B54">
        <w:rPr>
          <w:b/>
          <w:bCs/>
          <w:i/>
          <w:iCs/>
          <w:szCs w:val="24"/>
          <w:lang w:eastAsia="en-AU"/>
        </w:rPr>
        <w:t xml:space="preserve"> </w:t>
      </w:r>
      <w:r w:rsidRPr="00631B54">
        <w:rPr>
          <w:i/>
          <w:iCs/>
          <w:szCs w:val="24"/>
          <w:lang w:eastAsia="en-AU"/>
        </w:rPr>
        <w:t>(</w:t>
      </w:r>
      <w:r w:rsidRPr="00912504">
        <w:rPr>
          <w:i/>
          <w:iCs/>
          <w:szCs w:val="24"/>
          <w:u w:val="single"/>
          <w:lang w:eastAsia="en-AU"/>
        </w:rPr>
        <w:t>emphasis added</w:t>
      </w:r>
      <w:r w:rsidRPr="00631B54">
        <w:rPr>
          <w:i/>
          <w:iCs/>
          <w:szCs w:val="24"/>
          <w:lang w:eastAsia="en-AU"/>
        </w:rPr>
        <w:t>), the ELNO may increase the ELNO Service Fees as listed in its Pricing Table, once every Financial Year on 1</w:t>
      </w:r>
      <w:r w:rsidR="00C6473A">
        <w:rPr>
          <w:i/>
          <w:iCs/>
          <w:szCs w:val="24"/>
          <w:lang w:eastAsia="en-AU"/>
        </w:rPr>
        <w:t> </w:t>
      </w:r>
      <w:r w:rsidRPr="00631B54">
        <w:rPr>
          <w:i/>
          <w:iCs/>
          <w:szCs w:val="24"/>
          <w:lang w:eastAsia="en-AU"/>
        </w:rPr>
        <w:t>July, provided that the percentage increase in the revised ELNO Service Fees does not exceed the percentage increase in the CPI for the immediately preceding March quarter when compared with the CPI for the March quarter of the previous year.”</w:t>
      </w:r>
    </w:p>
    <w:bookmarkEnd w:id="2"/>
    <w:p w14:paraId="3672A4A0" w14:textId="672254EE" w:rsidR="003A0BF7" w:rsidRPr="00631B54" w:rsidRDefault="003A0BF7" w:rsidP="003A0BF7">
      <w:pPr>
        <w:autoSpaceDE w:val="0"/>
        <w:autoSpaceDN w:val="0"/>
        <w:adjustRightInd w:val="0"/>
        <w:rPr>
          <w:szCs w:val="24"/>
          <w:lang w:eastAsia="en-AU"/>
        </w:rPr>
      </w:pPr>
    </w:p>
    <w:p w14:paraId="605459C3" w14:textId="3206A3EA" w:rsidR="000D562E" w:rsidRDefault="003A0BF7" w:rsidP="00A221C3">
      <w:pPr>
        <w:autoSpaceDE w:val="0"/>
        <w:autoSpaceDN w:val="0"/>
        <w:adjustRightInd w:val="0"/>
        <w:spacing w:line="276" w:lineRule="auto"/>
        <w:rPr>
          <w:rFonts w:eastAsia="Calibri"/>
          <w:szCs w:val="22"/>
        </w:rPr>
      </w:pPr>
      <w:r w:rsidRPr="00631B54">
        <w:t>The current restriction to limit fee increases in line with CPI ends on 30 June 202</w:t>
      </w:r>
      <w:r w:rsidR="00631304">
        <w:t>3</w:t>
      </w:r>
      <w:r w:rsidRPr="00631B54">
        <w:t xml:space="preserve">. If the </w:t>
      </w:r>
      <w:r w:rsidR="00631B54">
        <w:t>Operating Requirements are</w:t>
      </w:r>
      <w:r w:rsidRPr="00631B54">
        <w:t xml:space="preserve"> not updated prior to that date, the current ELNOs will be able to increase their fees above CPI as of 1 July 202</w:t>
      </w:r>
      <w:r w:rsidR="00631304">
        <w:t>3</w:t>
      </w:r>
      <w:r w:rsidRPr="00631B54">
        <w:t xml:space="preserve">. </w:t>
      </w:r>
    </w:p>
    <w:p w14:paraId="555E3E84" w14:textId="77777777" w:rsidR="003A0BF7" w:rsidRPr="00A221C3" w:rsidRDefault="003A0BF7" w:rsidP="003A0BF7">
      <w:pPr>
        <w:autoSpaceDE w:val="0"/>
        <w:autoSpaceDN w:val="0"/>
        <w:adjustRightInd w:val="0"/>
        <w:rPr>
          <w:rFonts w:eastAsia="Calibri"/>
          <w:szCs w:val="22"/>
        </w:rPr>
      </w:pPr>
    </w:p>
    <w:p w14:paraId="2B212141" w14:textId="14B6FA03" w:rsidR="003A0BF7" w:rsidRPr="00A221C3" w:rsidRDefault="0074378A" w:rsidP="00104EF5">
      <w:pPr>
        <w:autoSpaceDE w:val="0"/>
        <w:autoSpaceDN w:val="0"/>
        <w:adjustRightInd w:val="0"/>
        <w:spacing w:line="276" w:lineRule="auto"/>
        <w:rPr>
          <w:rFonts w:eastAsia="Calibri"/>
          <w:szCs w:val="22"/>
        </w:rPr>
      </w:pPr>
      <w:r>
        <w:rPr>
          <w:rFonts w:eastAsia="Calibri"/>
          <w:szCs w:val="22"/>
        </w:rPr>
        <w:t>To enable the existing controls to continue, t</w:t>
      </w:r>
      <w:r w:rsidR="000D562E">
        <w:rPr>
          <w:rFonts w:eastAsia="Calibri"/>
          <w:szCs w:val="22"/>
        </w:rPr>
        <w:t xml:space="preserve">he amending of clause 5.4.3 of the Operating Requirements </w:t>
      </w:r>
      <w:r w:rsidR="003A0BF7" w:rsidRPr="00A221C3">
        <w:rPr>
          <w:rFonts w:eastAsia="Calibri"/>
          <w:szCs w:val="22"/>
        </w:rPr>
        <w:t xml:space="preserve">is </w:t>
      </w:r>
      <w:r w:rsidR="000D562E">
        <w:rPr>
          <w:rFonts w:eastAsia="Calibri"/>
          <w:szCs w:val="22"/>
        </w:rPr>
        <w:t xml:space="preserve">changing </w:t>
      </w:r>
      <w:r w:rsidR="003A0BF7" w:rsidRPr="00A221C3">
        <w:rPr>
          <w:rFonts w:eastAsia="Calibri"/>
          <w:szCs w:val="22"/>
        </w:rPr>
        <w:t>the end date</w:t>
      </w:r>
      <w:r w:rsidR="000D562E">
        <w:rPr>
          <w:rFonts w:eastAsia="Calibri"/>
          <w:szCs w:val="22"/>
        </w:rPr>
        <w:t xml:space="preserve"> from</w:t>
      </w:r>
      <w:r w:rsidR="003A0BF7" w:rsidRPr="00A221C3">
        <w:rPr>
          <w:rFonts w:eastAsia="Calibri"/>
          <w:szCs w:val="22"/>
        </w:rPr>
        <w:t xml:space="preserve"> “30 June 202</w:t>
      </w:r>
      <w:r w:rsidR="00631304">
        <w:rPr>
          <w:rFonts w:eastAsia="Calibri"/>
          <w:szCs w:val="22"/>
        </w:rPr>
        <w:t>3</w:t>
      </w:r>
      <w:r w:rsidR="003A0BF7" w:rsidRPr="00A221C3">
        <w:rPr>
          <w:rFonts w:eastAsia="Calibri"/>
          <w:szCs w:val="22"/>
        </w:rPr>
        <w:t>” to “30</w:t>
      </w:r>
      <w:r w:rsidR="00FC5498">
        <w:rPr>
          <w:rFonts w:eastAsia="Calibri"/>
          <w:szCs w:val="22"/>
        </w:rPr>
        <w:t> </w:t>
      </w:r>
      <w:r w:rsidR="003A0BF7" w:rsidRPr="00A221C3">
        <w:rPr>
          <w:rFonts w:eastAsia="Calibri"/>
          <w:szCs w:val="22"/>
        </w:rPr>
        <w:t>June</w:t>
      </w:r>
      <w:r w:rsidR="00FC5498">
        <w:rPr>
          <w:rFonts w:eastAsia="Calibri"/>
          <w:szCs w:val="22"/>
        </w:rPr>
        <w:t> </w:t>
      </w:r>
      <w:r w:rsidR="003A0BF7" w:rsidRPr="00A221C3">
        <w:rPr>
          <w:rFonts w:eastAsia="Calibri"/>
          <w:szCs w:val="22"/>
        </w:rPr>
        <w:t>202</w:t>
      </w:r>
      <w:r w:rsidR="00631304">
        <w:rPr>
          <w:rFonts w:eastAsia="Calibri"/>
          <w:szCs w:val="22"/>
        </w:rPr>
        <w:t>4”</w:t>
      </w:r>
      <w:r w:rsidR="003A0BF7" w:rsidRPr="00A221C3">
        <w:rPr>
          <w:rFonts w:eastAsia="Calibri"/>
          <w:szCs w:val="22"/>
        </w:rPr>
        <w:t xml:space="preserve">, </w:t>
      </w:r>
      <w:r w:rsidR="000D562E">
        <w:rPr>
          <w:rFonts w:eastAsia="Calibri"/>
          <w:szCs w:val="22"/>
        </w:rPr>
        <w:t xml:space="preserve">to read </w:t>
      </w:r>
      <w:r w:rsidR="003A0BF7" w:rsidRPr="00A221C3">
        <w:rPr>
          <w:rFonts w:eastAsia="Calibri"/>
          <w:szCs w:val="22"/>
        </w:rPr>
        <w:t>as per below:</w:t>
      </w:r>
    </w:p>
    <w:p w14:paraId="15360B5D" w14:textId="555EB3CB" w:rsidR="003A0BF7" w:rsidRPr="00A221C3" w:rsidRDefault="003A0BF7" w:rsidP="003A0BF7">
      <w:pPr>
        <w:autoSpaceDE w:val="0"/>
        <w:autoSpaceDN w:val="0"/>
        <w:adjustRightInd w:val="0"/>
        <w:rPr>
          <w:szCs w:val="24"/>
          <w:lang w:eastAsia="en-AU"/>
        </w:rPr>
      </w:pPr>
    </w:p>
    <w:p w14:paraId="2395C97E" w14:textId="4AA1FE7C" w:rsidR="003A0BF7" w:rsidRPr="00A221C3" w:rsidRDefault="003A0BF7" w:rsidP="00104EF5">
      <w:pPr>
        <w:autoSpaceDE w:val="0"/>
        <w:autoSpaceDN w:val="0"/>
        <w:adjustRightInd w:val="0"/>
        <w:spacing w:line="276" w:lineRule="auto"/>
        <w:rPr>
          <w:i/>
          <w:iCs/>
          <w:szCs w:val="24"/>
          <w:lang w:eastAsia="en-AU"/>
        </w:rPr>
      </w:pPr>
      <w:r w:rsidRPr="00A221C3">
        <w:rPr>
          <w:i/>
          <w:iCs/>
          <w:szCs w:val="24"/>
          <w:lang w:eastAsia="en-AU"/>
        </w:rPr>
        <w:t xml:space="preserve">“From 1 July 2019 to 30 June </w:t>
      </w:r>
      <w:r w:rsidRPr="00912504">
        <w:rPr>
          <w:b/>
          <w:bCs/>
          <w:i/>
          <w:iCs/>
          <w:szCs w:val="24"/>
          <w:lang w:eastAsia="en-AU"/>
        </w:rPr>
        <w:t>202</w:t>
      </w:r>
      <w:r w:rsidR="00631304">
        <w:rPr>
          <w:b/>
          <w:bCs/>
          <w:i/>
          <w:iCs/>
          <w:szCs w:val="24"/>
          <w:lang w:eastAsia="en-AU"/>
        </w:rPr>
        <w:t>4</w:t>
      </w:r>
      <w:r w:rsidRPr="00A221C3">
        <w:rPr>
          <w:b/>
          <w:bCs/>
          <w:i/>
          <w:iCs/>
          <w:szCs w:val="24"/>
          <w:lang w:eastAsia="en-AU"/>
        </w:rPr>
        <w:t xml:space="preserve"> </w:t>
      </w:r>
      <w:r w:rsidRPr="00A221C3">
        <w:rPr>
          <w:i/>
          <w:iCs/>
          <w:szCs w:val="24"/>
          <w:lang w:eastAsia="en-AU"/>
        </w:rPr>
        <w:t>(</w:t>
      </w:r>
      <w:r w:rsidRPr="00912504">
        <w:rPr>
          <w:i/>
          <w:iCs/>
          <w:szCs w:val="24"/>
          <w:u w:val="single"/>
          <w:lang w:eastAsia="en-AU"/>
        </w:rPr>
        <w:t>emphasis added</w:t>
      </w:r>
      <w:r w:rsidRPr="00A221C3">
        <w:rPr>
          <w:i/>
          <w:iCs/>
          <w:szCs w:val="24"/>
          <w:lang w:eastAsia="en-AU"/>
        </w:rPr>
        <w:t>), the ELNO may increase the ELNO Service Fees as listed in its Pricing Table, once every Financial Year on 1</w:t>
      </w:r>
      <w:r w:rsidR="00FC5498">
        <w:rPr>
          <w:i/>
          <w:iCs/>
          <w:szCs w:val="24"/>
          <w:lang w:eastAsia="en-AU"/>
        </w:rPr>
        <w:t> </w:t>
      </w:r>
      <w:r w:rsidRPr="00A221C3">
        <w:rPr>
          <w:i/>
          <w:iCs/>
          <w:szCs w:val="24"/>
          <w:lang w:eastAsia="en-AU"/>
        </w:rPr>
        <w:t xml:space="preserve">July, provided that the percentage increase in the revised ELNO Service Fees does </w:t>
      </w:r>
      <w:r w:rsidRPr="00A221C3">
        <w:rPr>
          <w:i/>
          <w:iCs/>
          <w:szCs w:val="24"/>
          <w:lang w:eastAsia="en-AU"/>
        </w:rPr>
        <w:lastRenderedPageBreak/>
        <w:t>not exceed the percentage increase in the CPI for the immediately preceding March quarter when compared with the CPI for the March quarter of the previous year.”</w:t>
      </w:r>
    </w:p>
    <w:p w14:paraId="2D2457C0" w14:textId="4BC142EA" w:rsidR="003A0BF7" w:rsidRDefault="003A0BF7" w:rsidP="003A0BF7">
      <w:pPr>
        <w:autoSpaceDE w:val="0"/>
        <w:autoSpaceDN w:val="0"/>
        <w:adjustRightInd w:val="0"/>
        <w:rPr>
          <w:sz w:val="22"/>
          <w:szCs w:val="22"/>
          <w:lang w:eastAsia="en-AU"/>
        </w:rPr>
      </w:pPr>
    </w:p>
    <w:p w14:paraId="45112FC4" w14:textId="44DA7255" w:rsidR="001A07C3" w:rsidRPr="001A07C3" w:rsidRDefault="001A07C3" w:rsidP="001A07C3">
      <w:pPr>
        <w:autoSpaceDE w:val="0"/>
        <w:autoSpaceDN w:val="0"/>
        <w:adjustRightInd w:val="0"/>
        <w:spacing w:line="276" w:lineRule="auto"/>
        <w:rPr>
          <w:rFonts w:eastAsia="Calibri"/>
          <w:szCs w:val="22"/>
        </w:rPr>
      </w:pPr>
      <w:r w:rsidRPr="001A07C3">
        <w:rPr>
          <w:rFonts w:eastAsia="Calibri"/>
          <w:szCs w:val="22"/>
        </w:rPr>
        <w:t xml:space="preserve">The intention of </w:t>
      </w:r>
      <w:r w:rsidR="00895C04">
        <w:rPr>
          <w:rFonts w:eastAsia="Calibri"/>
          <w:szCs w:val="22"/>
        </w:rPr>
        <w:t>clause</w:t>
      </w:r>
      <w:r w:rsidRPr="001A07C3">
        <w:rPr>
          <w:rFonts w:eastAsia="Calibri"/>
          <w:szCs w:val="22"/>
        </w:rPr>
        <w:t xml:space="preserve"> 5.4.3 is to restrict fee increases by the ELNOs until there is effective competition in the market. ARNECC have engaged the Independent Pricing and Regulatory Tribunal (IPART) to investigate and report on a pricing regulatory framework for interoperable transactions. IPART is considering the regulation of ELNO Service Fees </w:t>
      </w:r>
      <w:r w:rsidR="0074378A">
        <w:rPr>
          <w:rFonts w:eastAsia="Calibri"/>
          <w:szCs w:val="22"/>
        </w:rPr>
        <w:t>as part of their</w:t>
      </w:r>
      <w:r w:rsidRPr="001A07C3">
        <w:rPr>
          <w:rFonts w:eastAsia="Calibri"/>
          <w:szCs w:val="22"/>
        </w:rPr>
        <w:t xml:space="preserve"> review, which is not yet completed.  </w:t>
      </w:r>
    </w:p>
    <w:p w14:paraId="3F625290" w14:textId="77777777" w:rsidR="001A07C3" w:rsidRPr="001A07C3" w:rsidRDefault="001A07C3" w:rsidP="001A07C3">
      <w:pPr>
        <w:autoSpaceDE w:val="0"/>
        <w:autoSpaceDN w:val="0"/>
        <w:adjustRightInd w:val="0"/>
        <w:spacing w:line="276" w:lineRule="auto"/>
        <w:rPr>
          <w:rFonts w:eastAsia="Calibri"/>
          <w:szCs w:val="22"/>
        </w:rPr>
      </w:pPr>
      <w:r w:rsidRPr="001A07C3">
        <w:rPr>
          <w:rFonts w:eastAsia="Calibri"/>
          <w:szCs w:val="22"/>
        </w:rPr>
        <w:t> </w:t>
      </w:r>
    </w:p>
    <w:p w14:paraId="19FCEA38" w14:textId="77777777" w:rsidR="000D562E" w:rsidRPr="00D4703C" w:rsidRDefault="000D562E" w:rsidP="00A221C3">
      <w:pPr>
        <w:autoSpaceDE w:val="0"/>
        <w:autoSpaceDN w:val="0"/>
        <w:adjustRightInd w:val="0"/>
        <w:spacing w:line="276" w:lineRule="auto"/>
        <w:rPr>
          <w:rFonts w:eastAsia="Calibri"/>
          <w:szCs w:val="22"/>
        </w:rPr>
      </w:pPr>
    </w:p>
    <w:p w14:paraId="5030E06D" w14:textId="77777777" w:rsidR="00631B54" w:rsidRPr="00A221C3" w:rsidRDefault="00631B54" w:rsidP="003A0BF7">
      <w:pPr>
        <w:autoSpaceDE w:val="0"/>
        <w:autoSpaceDN w:val="0"/>
        <w:adjustRightInd w:val="0"/>
        <w:rPr>
          <w:sz w:val="22"/>
          <w:szCs w:val="22"/>
          <w:lang w:eastAsia="en-AU"/>
        </w:rPr>
      </w:pPr>
    </w:p>
    <w:sectPr w:rsidR="00631B54" w:rsidRPr="00A221C3"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CED4" w14:textId="77777777" w:rsidR="0008586D" w:rsidRDefault="0008586D" w:rsidP="00C17FAB">
      <w:r>
        <w:separator/>
      </w:r>
    </w:p>
  </w:endnote>
  <w:endnote w:type="continuationSeparator" w:id="0">
    <w:p w14:paraId="670EA1FC" w14:textId="77777777" w:rsidR="0008586D" w:rsidRDefault="0008586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E649" w14:textId="77777777" w:rsidR="009355A2" w:rsidRDefault="00935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4ABF" w14:textId="65AA553E" w:rsidR="009355A2" w:rsidRPr="005B6FFC" w:rsidRDefault="005B6FFC" w:rsidP="005B6FFC">
    <w:pPr>
      <w:pStyle w:val="Footer"/>
      <w:jc w:val="center"/>
      <w:rPr>
        <w:rFonts w:cs="Arial"/>
        <w:sz w:val="14"/>
      </w:rPr>
    </w:pPr>
    <w:r w:rsidRPr="005B6FF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8527" w14:textId="77777777" w:rsidR="009355A2" w:rsidRDefault="00935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87D3" w14:textId="77777777" w:rsidR="0008586D" w:rsidRDefault="0008586D" w:rsidP="00C17FAB">
      <w:r>
        <w:separator/>
      </w:r>
    </w:p>
  </w:footnote>
  <w:footnote w:type="continuationSeparator" w:id="0">
    <w:p w14:paraId="2EC9E7EF" w14:textId="77777777" w:rsidR="0008586D" w:rsidRDefault="0008586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3FE3" w14:textId="77777777" w:rsidR="009355A2" w:rsidRDefault="00935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27DD" w14:textId="77777777" w:rsidR="009355A2" w:rsidRDefault="00935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B0D6" w14:textId="77777777" w:rsidR="009355A2" w:rsidRDefault="00935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A5D3EC4"/>
    <w:multiLevelType w:val="hybridMultilevel"/>
    <w:tmpl w:val="6D06DA3C"/>
    <w:lvl w:ilvl="0" w:tplc="FF32BEF0">
      <w:numFmt w:val="bullet"/>
      <w:lvlText w:val="•"/>
      <w:lvlJc w:val="left"/>
      <w:pPr>
        <w:ind w:left="1080" w:hanging="72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576D09"/>
    <w:multiLevelType w:val="hybridMultilevel"/>
    <w:tmpl w:val="A066D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7360EF"/>
    <w:multiLevelType w:val="hybridMultilevel"/>
    <w:tmpl w:val="EA7AE0CA"/>
    <w:lvl w:ilvl="0" w:tplc="31060520">
      <w:start w:val="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50159C"/>
    <w:multiLevelType w:val="hybridMultilevel"/>
    <w:tmpl w:val="E8D00B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CBB204F"/>
    <w:multiLevelType w:val="multilevel"/>
    <w:tmpl w:val="5004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722A0DBB"/>
    <w:multiLevelType w:val="hybridMultilevel"/>
    <w:tmpl w:val="6A1AEE70"/>
    <w:lvl w:ilvl="0" w:tplc="986AC628">
      <w:start w:val="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386830222">
    <w:abstractNumId w:val="2"/>
  </w:num>
  <w:num w:numId="2" w16cid:durableId="11880044">
    <w:abstractNumId w:val="0"/>
  </w:num>
  <w:num w:numId="3" w16cid:durableId="112133641">
    <w:abstractNumId w:val="3"/>
  </w:num>
  <w:num w:numId="4" w16cid:durableId="1468206676">
    <w:abstractNumId w:val="7"/>
  </w:num>
  <w:num w:numId="5" w16cid:durableId="1209998741">
    <w:abstractNumId w:val="13"/>
  </w:num>
  <w:num w:numId="6" w16cid:durableId="113406401">
    <w:abstractNumId w:val="1"/>
  </w:num>
  <w:num w:numId="7" w16cid:durableId="108819688">
    <w:abstractNumId w:val="5"/>
  </w:num>
  <w:num w:numId="8" w16cid:durableId="1346249555">
    <w:abstractNumId w:val="6"/>
  </w:num>
  <w:num w:numId="9" w16cid:durableId="329722705">
    <w:abstractNumId w:val="15"/>
  </w:num>
  <w:num w:numId="10" w16cid:durableId="198472765">
    <w:abstractNumId w:val="11"/>
  </w:num>
  <w:num w:numId="11" w16cid:durableId="943728985">
    <w:abstractNumId w:val="12"/>
  </w:num>
  <w:num w:numId="12" w16cid:durableId="1548835744">
    <w:abstractNumId w:val="14"/>
  </w:num>
  <w:num w:numId="13" w16cid:durableId="1162551968">
    <w:abstractNumId w:val="10"/>
  </w:num>
  <w:num w:numId="14" w16cid:durableId="1015613475">
    <w:abstractNumId w:val="4"/>
  </w:num>
  <w:num w:numId="15" w16cid:durableId="798911411">
    <w:abstractNumId w:val="9"/>
  </w:num>
  <w:num w:numId="16" w16cid:durableId="429811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3D0D"/>
    <w:rsid w:val="00011DCE"/>
    <w:rsid w:val="000433CB"/>
    <w:rsid w:val="00082769"/>
    <w:rsid w:val="0008586D"/>
    <w:rsid w:val="000B17C5"/>
    <w:rsid w:val="000B65B6"/>
    <w:rsid w:val="000D562E"/>
    <w:rsid w:val="000F045A"/>
    <w:rsid w:val="000F08B8"/>
    <w:rsid w:val="001016F3"/>
    <w:rsid w:val="00104EF5"/>
    <w:rsid w:val="00127372"/>
    <w:rsid w:val="00130823"/>
    <w:rsid w:val="00136803"/>
    <w:rsid w:val="001541E5"/>
    <w:rsid w:val="00164951"/>
    <w:rsid w:val="00171492"/>
    <w:rsid w:val="00190E1A"/>
    <w:rsid w:val="001A07C3"/>
    <w:rsid w:val="001B453B"/>
    <w:rsid w:val="001E78C1"/>
    <w:rsid w:val="002049E1"/>
    <w:rsid w:val="002A5FF3"/>
    <w:rsid w:val="002D0D77"/>
    <w:rsid w:val="002D5BBB"/>
    <w:rsid w:val="002D7C60"/>
    <w:rsid w:val="003134EF"/>
    <w:rsid w:val="00323DE2"/>
    <w:rsid w:val="00371814"/>
    <w:rsid w:val="00390D74"/>
    <w:rsid w:val="00390DF9"/>
    <w:rsid w:val="003A0BF7"/>
    <w:rsid w:val="003A6C8F"/>
    <w:rsid w:val="003B4916"/>
    <w:rsid w:val="003F3E5A"/>
    <w:rsid w:val="00417B0D"/>
    <w:rsid w:val="00433730"/>
    <w:rsid w:val="004417BD"/>
    <w:rsid w:val="004560CB"/>
    <w:rsid w:val="0049431D"/>
    <w:rsid w:val="004A3FAA"/>
    <w:rsid w:val="004E3048"/>
    <w:rsid w:val="004E4682"/>
    <w:rsid w:val="0051153E"/>
    <w:rsid w:val="00553923"/>
    <w:rsid w:val="00557B70"/>
    <w:rsid w:val="005B5E5E"/>
    <w:rsid w:val="005B6FFC"/>
    <w:rsid w:val="005B7ED0"/>
    <w:rsid w:val="005C5FB3"/>
    <w:rsid w:val="005D011A"/>
    <w:rsid w:val="00607A1F"/>
    <w:rsid w:val="0061096D"/>
    <w:rsid w:val="00631304"/>
    <w:rsid w:val="00631B54"/>
    <w:rsid w:val="00663DC9"/>
    <w:rsid w:val="00665E60"/>
    <w:rsid w:val="006724FD"/>
    <w:rsid w:val="00676CBD"/>
    <w:rsid w:val="006853E1"/>
    <w:rsid w:val="00685DDF"/>
    <w:rsid w:val="006A10CD"/>
    <w:rsid w:val="00723D30"/>
    <w:rsid w:val="007346AC"/>
    <w:rsid w:val="0074378A"/>
    <w:rsid w:val="00755D98"/>
    <w:rsid w:val="007639C9"/>
    <w:rsid w:val="007975E8"/>
    <w:rsid w:val="007D3C82"/>
    <w:rsid w:val="007F2EE0"/>
    <w:rsid w:val="007F7704"/>
    <w:rsid w:val="00800E08"/>
    <w:rsid w:val="00885B86"/>
    <w:rsid w:val="00895C04"/>
    <w:rsid w:val="00910BFD"/>
    <w:rsid w:val="00912504"/>
    <w:rsid w:val="0091777C"/>
    <w:rsid w:val="00931AC9"/>
    <w:rsid w:val="009355A2"/>
    <w:rsid w:val="00943CE3"/>
    <w:rsid w:val="009508A5"/>
    <w:rsid w:val="00956A2F"/>
    <w:rsid w:val="00962F04"/>
    <w:rsid w:val="00964A17"/>
    <w:rsid w:val="009717BC"/>
    <w:rsid w:val="00996A24"/>
    <w:rsid w:val="009A36D5"/>
    <w:rsid w:val="00A02DFD"/>
    <w:rsid w:val="00A221C3"/>
    <w:rsid w:val="00A571D7"/>
    <w:rsid w:val="00AA0D98"/>
    <w:rsid w:val="00AC2A16"/>
    <w:rsid w:val="00AD3CDD"/>
    <w:rsid w:val="00AE4ED5"/>
    <w:rsid w:val="00B0117E"/>
    <w:rsid w:val="00B26DA3"/>
    <w:rsid w:val="00B458B1"/>
    <w:rsid w:val="00B500F1"/>
    <w:rsid w:val="00B608DF"/>
    <w:rsid w:val="00B640EB"/>
    <w:rsid w:val="00B650E6"/>
    <w:rsid w:val="00BC1695"/>
    <w:rsid w:val="00BC5CDB"/>
    <w:rsid w:val="00BE5A1D"/>
    <w:rsid w:val="00BF5DA3"/>
    <w:rsid w:val="00C13C52"/>
    <w:rsid w:val="00C17FAB"/>
    <w:rsid w:val="00C21B6B"/>
    <w:rsid w:val="00C6473A"/>
    <w:rsid w:val="00C73307"/>
    <w:rsid w:val="00CA0E05"/>
    <w:rsid w:val="00CB2116"/>
    <w:rsid w:val="00CC0B2A"/>
    <w:rsid w:val="00CE599C"/>
    <w:rsid w:val="00CF49A9"/>
    <w:rsid w:val="00D53F2F"/>
    <w:rsid w:val="00D62CB8"/>
    <w:rsid w:val="00D82F55"/>
    <w:rsid w:val="00D91630"/>
    <w:rsid w:val="00DA3B00"/>
    <w:rsid w:val="00DC468C"/>
    <w:rsid w:val="00DD5946"/>
    <w:rsid w:val="00E33952"/>
    <w:rsid w:val="00E42A78"/>
    <w:rsid w:val="00E6187C"/>
    <w:rsid w:val="00E90BBF"/>
    <w:rsid w:val="00E926A0"/>
    <w:rsid w:val="00EC04A5"/>
    <w:rsid w:val="00EC1A05"/>
    <w:rsid w:val="00EF28A3"/>
    <w:rsid w:val="00F0170D"/>
    <w:rsid w:val="00F1216B"/>
    <w:rsid w:val="00F51AF6"/>
    <w:rsid w:val="00F572C7"/>
    <w:rsid w:val="00F70458"/>
    <w:rsid w:val="00F760AF"/>
    <w:rsid w:val="00FC5498"/>
    <w:rsid w:val="00FD48AB"/>
    <w:rsid w:val="00FD53C1"/>
    <w:rsid w:val="00FD75CE"/>
    <w:rsid w:val="00FF2A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C49A1"/>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BF7"/>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E926A0"/>
    <w:pPr>
      <w:ind w:left="720"/>
      <w:contextualSpacing/>
    </w:pPr>
  </w:style>
  <w:style w:type="character" w:styleId="CommentReference">
    <w:name w:val="annotation reference"/>
    <w:basedOn w:val="DefaultParagraphFont"/>
    <w:uiPriority w:val="99"/>
    <w:semiHidden/>
    <w:unhideWhenUsed/>
    <w:rsid w:val="00AE4ED5"/>
    <w:rPr>
      <w:sz w:val="16"/>
      <w:szCs w:val="16"/>
    </w:rPr>
  </w:style>
  <w:style w:type="paragraph" w:styleId="CommentText">
    <w:name w:val="annotation text"/>
    <w:basedOn w:val="Normal"/>
    <w:link w:val="CommentTextChar"/>
    <w:uiPriority w:val="99"/>
    <w:unhideWhenUsed/>
    <w:rsid w:val="00AE4ED5"/>
    <w:rPr>
      <w:sz w:val="20"/>
    </w:rPr>
  </w:style>
  <w:style w:type="character" w:customStyle="1" w:styleId="CommentTextChar">
    <w:name w:val="Comment Text Char"/>
    <w:basedOn w:val="DefaultParagraphFont"/>
    <w:link w:val="CommentText"/>
    <w:uiPriority w:val="99"/>
    <w:rsid w:val="00AE4ED5"/>
    <w:rPr>
      <w:lang w:eastAsia="en-US"/>
    </w:rPr>
  </w:style>
  <w:style w:type="paragraph" w:styleId="CommentSubject">
    <w:name w:val="annotation subject"/>
    <w:basedOn w:val="CommentText"/>
    <w:next w:val="CommentText"/>
    <w:link w:val="CommentSubjectChar"/>
    <w:uiPriority w:val="99"/>
    <w:semiHidden/>
    <w:unhideWhenUsed/>
    <w:rsid w:val="00AE4ED5"/>
    <w:rPr>
      <w:b/>
      <w:bCs/>
    </w:rPr>
  </w:style>
  <w:style w:type="character" w:customStyle="1" w:styleId="CommentSubjectChar">
    <w:name w:val="Comment Subject Char"/>
    <w:basedOn w:val="CommentTextChar"/>
    <w:link w:val="CommentSubject"/>
    <w:uiPriority w:val="99"/>
    <w:semiHidden/>
    <w:rsid w:val="00AE4ED5"/>
    <w:rPr>
      <w:b/>
      <w:bCs/>
      <w:lang w:eastAsia="en-US"/>
    </w:rPr>
  </w:style>
  <w:style w:type="paragraph" w:styleId="BalloonText">
    <w:name w:val="Balloon Text"/>
    <w:basedOn w:val="Normal"/>
    <w:link w:val="BalloonTextChar"/>
    <w:uiPriority w:val="99"/>
    <w:semiHidden/>
    <w:unhideWhenUsed/>
    <w:rsid w:val="00AE4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ED5"/>
    <w:rPr>
      <w:rFonts w:ascii="Segoe UI" w:hAnsi="Segoe UI" w:cs="Segoe UI"/>
      <w:sz w:val="18"/>
      <w:szCs w:val="18"/>
      <w:lang w:eastAsia="en-US"/>
    </w:rPr>
  </w:style>
  <w:style w:type="paragraph" w:styleId="Revision">
    <w:name w:val="Revision"/>
    <w:hidden/>
    <w:uiPriority w:val="99"/>
    <w:semiHidden/>
    <w:rsid w:val="00956A2F"/>
    <w:rPr>
      <w:sz w:val="24"/>
      <w:lang w:eastAsia="en-US"/>
    </w:rPr>
  </w:style>
  <w:style w:type="paragraph" w:customStyle="1" w:styleId="CS-Paragraphnumbering">
    <w:name w:val="CS - Paragraph numbering"/>
    <w:basedOn w:val="Normal"/>
    <w:rsid w:val="003A0BF7"/>
    <w:pPr>
      <w:numPr>
        <w:numId w:val="14"/>
      </w:numPr>
      <w:spacing w:after="120" w:line="276" w:lineRule="auto"/>
      <w:ind w:left="567" w:right="-45" w:hanging="567"/>
    </w:pPr>
    <w:rPr>
      <w:rFonts w:asciiTheme="minorHAnsi" w:eastAsiaTheme="minorHAnsi" w:hAnsiTheme="minorHAnsi" w:cstheme="minorBidi"/>
      <w:szCs w:val="24"/>
    </w:rPr>
  </w:style>
  <w:style w:type="character" w:customStyle="1" w:styleId="normaltextrun">
    <w:name w:val="normaltextrun"/>
    <w:basedOn w:val="DefaultParagraphFont"/>
    <w:rsid w:val="0074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4189">
      <w:bodyDiv w:val="1"/>
      <w:marLeft w:val="0"/>
      <w:marRight w:val="0"/>
      <w:marTop w:val="0"/>
      <w:marBottom w:val="0"/>
      <w:divBdr>
        <w:top w:val="none" w:sz="0" w:space="0" w:color="auto"/>
        <w:left w:val="none" w:sz="0" w:space="0" w:color="auto"/>
        <w:bottom w:val="none" w:sz="0" w:space="0" w:color="auto"/>
        <w:right w:val="none" w:sz="0" w:space="0" w:color="auto"/>
      </w:divBdr>
    </w:div>
    <w:div w:id="181477834">
      <w:bodyDiv w:val="1"/>
      <w:marLeft w:val="0"/>
      <w:marRight w:val="0"/>
      <w:marTop w:val="0"/>
      <w:marBottom w:val="0"/>
      <w:divBdr>
        <w:top w:val="none" w:sz="0" w:space="0" w:color="auto"/>
        <w:left w:val="none" w:sz="0" w:space="0" w:color="auto"/>
        <w:bottom w:val="none" w:sz="0" w:space="0" w:color="auto"/>
        <w:right w:val="none" w:sz="0" w:space="0" w:color="auto"/>
      </w:divBdr>
      <w:divsChild>
        <w:div w:id="1140460349">
          <w:marLeft w:val="0"/>
          <w:marRight w:val="0"/>
          <w:marTop w:val="0"/>
          <w:marBottom w:val="0"/>
          <w:divBdr>
            <w:top w:val="none" w:sz="0" w:space="0" w:color="auto"/>
            <w:left w:val="none" w:sz="0" w:space="0" w:color="auto"/>
            <w:bottom w:val="none" w:sz="0" w:space="0" w:color="auto"/>
            <w:right w:val="none" w:sz="0" w:space="0" w:color="auto"/>
          </w:divBdr>
        </w:div>
        <w:div w:id="881602125">
          <w:marLeft w:val="0"/>
          <w:marRight w:val="0"/>
          <w:marTop w:val="0"/>
          <w:marBottom w:val="0"/>
          <w:divBdr>
            <w:top w:val="none" w:sz="0" w:space="0" w:color="auto"/>
            <w:left w:val="none" w:sz="0" w:space="0" w:color="auto"/>
            <w:bottom w:val="none" w:sz="0" w:space="0" w:color="auto"/>
            <w:right w:val="none" w:sz="0" w:space="0" w:color="auto"/>
          </w:divBdr>
        </w:div>
        <w:div w:id="1603076563">
          <w:marLeft w:val="0"/>
          <w:marRight w:val="0"/>
          <w:marTop w:val="0"/>
          <w:marBottom w:val="0"/>
          <w:divBdr>
            <w:top w:val="none" w:sz="0" w:space="0" w:color="auto"/>
            <w:left w:val="none" w:sz="0" w:space="0" w:color="auto"/>
            <w:bottom w:val="none" w:sz="0" w:space="0" w:color="auto"/>
            <w:right w:val="none" w:sz="0" w:space="0" w:color="auto"/>
          </w:divBdr>
        </w:div>
      </w:divsChild>
    </w:div>
    <w:div w:id="992491118">
      <w:bodyDiv w:val="1"/>
      <w:marLeft w:val="0"/>
      <w:marRight w:val="0"/>
      <w:marTop w:val="0"/>
      <w:marBottom w:val="0"/>
      <w:divBdr>
        <w:top w:val="none" w:sz="0" w:space="0" w:color="auto"/>
        <w:left w:val="none" w:sz="0" w:space="0" w:color="auto"/>
        <w:bottom w:val="none" w:sz="0" w:space="0" w:color="auto"/>
        <w:right w:val="none" w:sz="0" w:space="0" w:color="auto"/>
      </w:divBdr>
      <w:divsChild>
        <w:div w:id="15232519">
          <w:marLeft w:val="0"/>
          <w:marRight w:val="0"/>
          <w:marTop w:val="0"/>
          <w:marBottom w:val="0"/>
          <w:divBdr>
            <w:top w:val="none" w:sz="0" w:space="0" w:color="auto"/>
            <w:left w:val="none" w:sz="0" w:space="0" w:color="auto"/>
            <w:bottom w:val="none" w:sz="0" w:space="0" w:color="auto"/>
            <w:right w:val="none" w:sz="0" w:space="0" w:color="auto"/>
          </w:divBdr>
        </w:div>
        <w:div w:id="607658395">
          <w:marLeft w:val="0"/>
          <w:marRight w:val="0"/>
          <w:marTop w:val="0"/>
          <w:marBottom w:val="0"/>
          <w:divBdr>
            <w:top w:val="none" w:sz="0" w:space="0" w:color="auto"/>
            <w:left w:val="none" w:sz="0" w:space="0" w:color="auto"/>
            <w:bottom w:val="none" w:sz="0" w:space="0" w:color="auto"/>
            <w:right w:val="none" w:sz="0" w:space="0" w:color="auto"/>
          </w:divBdr>
        </w:div>
        <w:div w:id="1127892121">
          <w:marLeft w:val="0"/>
          <w:marRight w:val="0"/>
          <w:marTop w:val="0"/>
          <w:marBottom w:val="0"/>
          <w:divBdr>
            <w:top w:val="none" w:sz="0" w:space="0" w:color="auto"/>
            <w:left w:val="none" w:sz="0" w:space="0" w:color="auto"/>
            <w:bottom w:val="none" w:sz="0" w:space="0" w:color="auto"/>
            <w:right w:val="none" w:sz="0" w:space="0" w:color="auto"/>
          </w:divBdr>
        </w:div>
        <w:div w:id="1009218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F9ABD-0A08-4442-8A1E-5B441D6C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3845</Characters>
  <Application>Microsoft Office Word</Application>
  <DocSecurity>0</DocSecurity>
  <Lines>91</Lines>
  <Paragraphs>29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2023-05-14T23:01:00Z</dcterms:created>
  <dcterms:modified xsi:type="dcterms:W3CDTF">2023-05-14T23:01:00Z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A33793190</vt:lpwstr>
  </property>
  <property fmtid="{D5CDD505-2E9C-101B-9397-08002B2CF9AE}" pid="4" name="Objective-Title">
    <vt:lpwstr>Attachment C - Electronic Conveyancing National Law (ACT) Operating Requirements proposed Explanatory Statement</vt:lpwstr>
  </property>
  <property fmtid="{D5CDD505-2E9C-101B-9397-08002B2CF9AE}" pid="5" name="Objective-Comment">
    <vt:lpwstr/>
  </property>
  <property fmtid="{D5CDD505-2E9C-101B-9397-08002B2CF9AE}" pid="6" name="Objective-CreationStamp">
    <vt:filetime>2022-04-27T02:39:33Z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2023-05-11T23:11:52Z</vt:filetime>
  </property>
  <property fmtid="{D5CDD505-2E9C-101B-9397-08002B2CF9AE}" pid="11" name="Objective-Owner">
    <vt:lpwstr>Jarrah Robbins</vt:lpwstr>
  </property>
  <property fmtid="{D5CDD505-2E9C-101B-9397-08002B2CF9AE}" pid="12" name="Objective-Path">
    <vt:lpwstr>Whole of ACT Government:AC - Access Canberra:07. Executive:06. Executive Correspondence:00. Deputy Director-General - David Pryce:2023:23/38456 - Minute - RG - Electronic Conveyancing Operating Requirements V6.2:</vt:lpwstr>
  </property>
  <property fmtid="{D5CDD505-2E9C-101B-9397-08002B2CF9AE}" pid="13" name="Objective-Parent">
    <vt:lpwstr>23/38456 - Minute - RG - Electronic Conveyancing Operating Requirements V6.2</vt:lpwstr>
  </property>
  <property fmtid="{D5CDD505-2E9C-101B-9397-08002B2CF9AE}" pid="14" name="Objective-State">
    <vt:lpwstr>Being Edited</vt:lpwstr>
  </property>
  <property fmtid="{D5CDD505-2E9C-101B-9397-08002B2CF9AE}" pid="15" name="Objective-Version">
    <vt:lpwstr>18.1</vt:lpwstr>
  </property>
  <property fmtid="{D5CDD505-2E9C-101B-9397-08002B2CF9AE}" pid="16" name="Objective-VersionNumber">
    <vt:r8>19</vt:r8>
  </property>
  <property fmtid="{D5CDD505-2E9C-101B-9397-08002B2CF9AE}" pid="17" name="Objective-VersionComment">
    <vt:lpwstr/>
  </property>
  <property fmtid="{D5CDD505-2E9C-101B-9397-08002B2CF9AE}" pid="18" name="Objective-FileNumber">
    <vt:lpwstr>1-2023/38456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ACCESS CANBERRA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