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D0F517"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6295FFA0" w14:textId="29BE130B" w:rsidR="002F09F7" w:rsidRDefault="002F09F7" w:rsidP="002F09F7">
      <w:pPr>
        <w:pStyle w:val="Billname"/>
        <w:spacing w:before="700"/>
      </w:pPr>
      <w:r>
        <w:t xml:space="preserve">Housing Assistance (Review of </w:t>
      </w:r>
      <w:r w:rsidR="009E6024">
        <w:t>E</w:t>
      </w:r>
      <w:r>
        <w:t xml:space="preserve">ntitlement to </w:t>
      </w:r>
      <w:r w:rsidR="009E6024">
        <w:t>H</w:t>
      </w:r>
      <w:r>
        <w:t xml:space="preserve">ousing </w:t>
      </w:r>
      <w:r w:rsidR="009E6024">
        <w:t>A</w:t>
      </w:r>
      <w:r>
        <w:t>ssistance) Operation</w:t>
      </w:r>
      <w:r w:rsidR="00560E68">
        <w:t>al</w:t>
      </w:r>
      <w:r>
        <w:t xml:space="preserve"> Guideline 2023 (No 1)</w:t>
      </w:r>
    </w:p>
    <w:p w14:paraId="0800FBFF" w14:textId="7A7319C8" w:rsidR="00C17FAB" w:rsidRDefault="002D7C60" w:rsidP="00DA3B00">
      <w:pPr>
        <w:spacing w:before="340"/>
        <w:rPr>
          <w:rFonts w:ascii="Arial" w:hAnsi="Arial" w:cs="Arial"/>
          <w:b/>
          <w:bCs/>
        </w:rPr>
      </w:pPr>
      <w:r>
        <w:rPr>
          <w:rFonts w:ascii="Arial" w:hAnsi="Arial" w:cs="Arial"/>
          <w:b/>
          <w:bCs/>
        </w:rPr>
        <w:t>Disallowable instrument DI</w:t>
      </w:r>
      <w:r w:rsidR="002F09F7">
        <w:rPr>
          <w:rFonts w:ascii="Arial" w:hAnsi="Arial" w:cs="Arial"/>
          <w:b/>
          <w:bCs/>
        </w:rPr>
        <w:t>2023</w:t>
      </w:r>
      <w:r w:rsidR="00C17FAB">
        <w:rPr>
          <w:rFonts w:ascii="Arial" w:hAnsi="Arial" w:cs="Arial"/>
          <w:b/>
          <w:bCs/>
        </w:rPr>
        <w:t>–</w:t>
      </w:r>
      <w:r w:rsidR="00BE16A5">
        <w:rPr>
          <w:rFonts w:ascii="Arial" w:hAnsi="Arial" w:cs="Arial"/>
          <w:b/>
          <w:bCs/>
        </w:rPr>
        <w:t>93</w:t>
      </w:r>
    </w:p>
    <w:p w14:paraId="28D0270D" w14:textId="77777777" w:rsidR="00C17FAB" w:rsidRDefault="00C17FAB" w:rsidP="00DA3B00">
      <w:pPr>
        <w:pStyle w:val="madeunder"/>
        <w:spacing w:before="300" w:after="0"/>
      </w:pPr>
      <w:r>
        <w:t xml:space="preserve">made under the  </w:t>
      </w:r>
    </w:p>
    <w:p w14:paraId="07AC370C" w14:textId="77777777" w:rsidR="002F09F7" w:rsidRDefault="002F09F7" w:rsidP="002F09F7">
      <w:pPr>
        <w:pStyle w:val="CoverActName"/>
        <w:spacing w:before="320" w:after="0"/>
        <w:rPr>
          <w:rFonts w:cs="Arial"/>
          <w:sz w:val="20"/>
        </w:rPr>
      </w:pPr>
      <w:r>
        <w:rPr>
          <w:rFonts w:cs="Arial"/>
          <w:sz w:val="20"/>
        </w:rPr>
        <w:t xml:space="preserve">Housing Assistance Act 2007 s.21(1) Approved housing assistance programs – operational guidelines </w:t>
      </w:r>
    </w:p>
    <w:p w14:paraId="708E9D4E"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A35A6E2" w14:textId="77777777" w:rsidR="00C17FAB" w:rsidRDefault="00C17FAB">
      <w:pPr>
        <w:pStyle w:val="N-line3"/>
        <w:pBdr>
          <w:bottom w:val="none" w:sz="0" w:space="0" w:color="auto"/>
        </w:pBdr>
      </w:pPr>
    </w:p>
    <w:p w14:paraId="674FF528" w14:textId="77777777" w:rsidR="00C17FAB" w:rsidRDefault="00C17FAB">
      <w:pPr>
        <w:pStyle w:val="N-line3"/>
        <w:pBdr>
          <w:top w:val="single" w:sz="12" w:space="1" w:color="auto"/>
          <w:bottom w:val="none" w:sz="0" w:space="0" w:color="auto"/>
        </w:pBdr>
      </w:pPr>
    </w:p>
    <w:bookmarkEnd w:id="0"/>
    <w:p w14:paraId="5C6BEFE5" w14:textId="2F492AA3" w:rsidR="00F158D6" w:rsidRDefault="00851F24" w:rsidP="00851F24">
      <w:pPr>
        <w:ind w:right="-45"/>
        <w:rPr>
          <w:iCs/>
        </w:rPr>
      </w:pPr>
      <w:r w:rsidRPr="00350FEA">
        <w:t>The statutory office of the Commissioner for Social Housing (the “</w:t>
      </w:r>
      <w:r>
        <w:t>h</w:t>
      </w:r>
      <w:r w:rsidRPr="00350FEA">
        <w:t xml:space="preserve">ousing </w:t>
      </w:r>
      <w:r>
        <w:t>c</w:t>
      </w:r>
      <w:r w:rsidRPr="00350FEA">
        <w:t xml:space="preserve">ommissioner”) is established through </w:t>
      </w:r>
      <w:r>
        <w:t xml:space="preserve">section </w:t>
      </w:r>
      <w:r w:rsidRPr="00350FEA">
        <w:t xml:space="preserve">9 of the </w:t>
      </w:r>
      <w:r w:rsidRPr="00350FEA">
        <w:rPr>
          <w:i/>
        </w:rPr>
        <w:t>Housing Assistance Act 2007</w:t>
      </w:r>
      <w:r>
        <w:rPr>
          <w:i/>
        </w:rPr>
        <w:t xml:space="preserve"> </w:t>
      </w:r>
      <w:r w:rsidRPr="00F11975">
        <w:rPr>
          <w:iCs/>
        </w:rPr>
        <w:t>(</w:t>
      </w:r>
      <w:r w:rsidRPr="00E43908">
        <w:rPr>
          <w:b/>
          <w:bCs/>
          <w:iCs/>
        </w:rPr>
        <w:t>HAA</w:t>
      </w:r>
      <w:r w:rsidRPr="00F11975">
        <w:rPr>
          <w:iCs/>
        </w:rPr>
        <w:t>).</w:t>
      </w:r>
      <w:r w:rsidRPr="008932EC">
        <w:rPr>
          <w:iCs/>
        </w:rPr>
        <w:t xml:space="preserve"> </w:t>
      </w:r>
    </w:p>
    <w:p w14:paraId="102E2344" w14:textId="77777777" w:rsidR="00F158D6" w:rsidRDefault="00F158D6" w:rsidP="00851F24">
      <w:pPr>
        <w:ind w:right="-45"/>
        <w:rPr>
          <w:iCs/>
        </w:rPr>
      </w:pPr>
    </w:p>
    <w:p w14:paraId="71397D49" w14:textId="33DF14CF" w:rsidR="00851F24" w:rsidRDefault="00851F24" w:rsidP="00851F24">
      <w:pPr>
        <w:ind w:right="-45"/>
      </w:pPr>
      <w:r w:rsidRPr="00350FEA">
        <w:t xml:space="preserve">Section 11 of the </w:t>
      </w:r>
      <w:r>
        <w:t xml:space="preserve">HAA </w:t>
      </w:r>
      <w:r w:rsidRPr="00350FEA">
        <w:t xml:space="preserve">establishes the </w:t>
      </w:r>
      <w:r>
        <w:t>housing c</w:t>
      </w:r>
      <w:r w:rsidRPr="00350FEA">
        <w:t xml:space="preserve">ommissioner’s functions including the administration of approved programs for the delivery of housing assistance.  </w:t>
      </w:r>
    </w:p>
    <w:p w14:paraId="30A2D105" w14:textId="77777777" w:rsidR="00851F24" w:rsidRDefault="00851F24"/>
    <w:p w14:paraId="6D700F7F" w14:textId="77777777" w:rsidR="009B50D9" w:rsidRDefault="002F09F7" w:rsidP="00851F24">
      <w:pPr>
        <w:ind w:right="-45"/>
      </w:pPr>
      <w:r>
        <w:t xml:space="preserve">Section 21 (1) of the </w:t>
      </w:r>
      <w:r w:rsidR="00851F24">
        <w:t>HAA</w:t>
      </w:r>
      <w:r>
        <w:t xml:space="preserve"> allows the commissioner to issue operational guidelines for the </w:t>
      </w:r>
      <w:r w:rsidRPr="00381C33">
        <w:rPr>
          <w:i/>
          <w:iCs/>
        </w:rPr>
        <w:t xml:space="preserve">Housing Assistance </w:t>
      </w:r>
      <w:r w:rsidR="00203346">
        <w:rPr>
          <w:i/>
          <w:iCs/>
        </w:rPr>
        <w:t>(</w:t>
      </w:r>
      <w:r w:rsidRPr="00381C33">
        <w:rPr>
          <w:i/>
          <w:iCs/>
        </w:rPr>
        <w:t>Public Rental Housing Assistance</w:t>
      </w:r>
      <w:r w:rsidR="00203346">
        <w:rPr>
          <w:i/>
          <w:iCs/>
        </w:rPr>
        <w:t>)</w:t>
      </w:r>
      <w:r w:rsidRPr="00381C33">
        <w:rPr>
          <w:i/>
          <w:iCs/>
        </w:rPr>
        <w:t xml:space="preserve"> Program 2023</w:t>
      </w:r>
      <w:r>
        <w:rPr>
          <w:i/>
          <w:iCs/>
        </w:rPr>
        <w:t xml:space="preserve"> (No 1)</w:t>
      </w:r>
      <w:r>
        <w:t xml:space="preserve"> (the</w:t>
      </w:r>
      <w:r w:rsidRPr="00203346">
        <w:rPr>
          <w:b/>
          <w:bCs/>
        </w:rPr>
        <w:t xml:space="preserve"> Program</w:t>
      </w:r>
      <w:r>
        <w:t>)</w:t>
      </w:r>
      <w:r w:rsidR="00851F24">
        <w:t xml:space="preserve">. </w:t>
      </w:r>
    </w:p>
    <w:p w14:paraId="749F5024" w14:textId="77777777" w:rsidR="009B50D9" w:rsidRDefault="009B50D9" w:rsidP="00851F24">
      <w:pPr>
        <w:ind w:right="-45"/>
      </w:pPr>
    </w:p>
    <w:p w14:paraId="017CDD32" w14:textId="24F57BB8" w:rsidR="00C17FAB" w:rsidRDefault="00851F24" w:rsidP="00851F24">
      <w:pPr>
        <w:ind w:right="-45"/>
      </w:pPr>
      <w:r>
        <w:t xml:space="preserve">As this </w:t>
      </w:r>
      <w:r w:rsidR="009B50D9">
        <w:t xml:space="preserve">operational guideline </w:t>
      </w:r>
      <w:r>
        <w:t xml:space="preserve">deals with a relevant matter, the review of a person’s entitlement for housing assistance, it is deemed a disallowable instrument under section 20 (3) of the HAA. </w:t>
      </w:r>
    </w:p>
    <w:p w14:paraId="34339D36" w14:textId="3B22EC5F" w:rsidR="002F09F7" w:rsidRDefault="002F09F7"/>
    <w:p w14:paraId="45D2C47D" w14:textId="789806C6" w:rsidR="002F09F7" w:rsidRDefault="002F09F7">
      <w:r>
        <w:t>This operational guideline is made to provide additional guidance on procedures to be follow</w:t>
      </w:r>
      <w:r w:rsidR="00FE2E4F">
        <w:t>ed</w:t>
      </w:r>
      <w:r>
        <w:t xml:space="preserve"> when the </w:t>
      </w:r>
      <w:r w:rsidR="009B50D9">
        <w:t xml:space="preserve">housing </w:t>
      </w:r>
      <w:r>
        <w:t>commissioner review</w:t>
      </w:r>
      <w:r w:rsidR="00FE2E4F">
        <w:t>s</w:t>
      </w:r>
      <w:r>
        <w:t xml:space="preserve"> a tenant</w:t>
      </w:r>
      <w:r w:rsidR="009B50D9">
        <w:t>’</w:t>
      </w:r>
      <w:r>
        <w:t xml:space="preserve">s ongoing eligibility for housing assistance under section </w:t>
      </w:r>
      <w:r w:rsidRPr="002F09F7">
        <w:t xml:space="preserve">25 of the </w:t>
      </w:r>
      <w:r w:rsidR="00851F24" w:rsidRPr="00851F24">
        <w:t xml:space="preserve">HAA </w:t>
      </w:r>
      <w:r w:rsidRPr="002F09F7">
        <w:t xml:space="preserve">and clause </w:t>
      </w:r>
      <w:r w:rsidR="00851F24">
        <w:t>31</w:t>
      </w:r>
      <w:r w:rsidRPr="002F09F7">
        <w:t xml:space="preserve"> of the </w:t>
      </w:r>
      <w:r w:rsidR="00851F24">
        <w:t>P</w:t>
      </w:r>
      <w:r>
        <w:t xml:space="preserve">rogram. </w:t>
      </w:r>
    </w:p>
    <w:p w14:paraId="04546D52" w14:textId="640CCD8A" w:rsidR="002F09F7" w:rsidRDefault="002F09F7"/>
    <w:p w14:paraId="07CF6EA7" w14:textId="2519E9FA" w:rsidR="00851F24" w:rsidRDefault="00851F24" w:rsidP="00851F24">
      <w:r>
        <w:t>Clause 31 of the</w:t>
      </w:r>
      <w:r w:rsidRPr="00CB4BA8">
        <w:t xml:space="preserve"> P</w:t>
      </w:r>
      <w:r>
        <w:t>rogram</w:t>
      </w:r>
      <w:r w:rsidRPr="00CB4BA8">
        <w:t xml:space="preserve"> </w:t>
      </w:r>
      <w:r>
        <w:t>enables</w:t>
      </w:r>
      <w:r w:rsidRPr="00CB4BA8">
        <w:t xml:space="preserve"> the </w:t>
      </w:r>
      <w:r>
        <w:t>housing c</w:t>
      </w:r>
      <w:r w:rsidRPr="00CB4BA8">
        <w:t>ommissioner to periodically review housing assistance provided to tenants</w:t>
      </w:r>
      <w:r>
        <w:t>.  It specifically enables the housing commissioner to withdraw housing assistance provided under the Program where:</w:t>
      </w:r>
    </w:p>
    <w:p w14:paraId="6E31D73C" w14:textId="77777777" w:rsidR="009B50D9" w:rsidRDefault="009B50D9" w:rsidP="00851F24"/>
    <w:p w14:paraId="3BD4B77D" w14:textId="77777777" w:rsidR="00851F24" w:rsidRDefault="00851F24" w:rsidP="00851F24">
      <w:pPr>
        <w:pStyle w:val="ListParagraph"/>
        <w:widowControl w:val="0"/>
        <w:numPr>
          <w:ilvl w:val="0"/>
          <w:numId w:val="14"/>
        </w:numPr>
      </w:pPr>
      <w:r>
        <w:t xml:space="preserve">a tenant’s household income </w:t>
      </w:r>
      <w:r w:rsidRPr="00CB4BA8">
        <w:t>is sufficient for them to access and sustain an alternative tenure</w:t>
      </w:r>
      <w:r>
        <w:t>; or</w:t>
      </w:r>
    </w:p>
    <w:p w14:paraId="6A900070" w14:textId="77777777" w:rsidR="00851F24" w:rsidRDefault="00851F24" w:rsidP="00851F24">
      <w:pPr>
        <w:pStyle w:val="ListParagraph"/>
        <w:widowControl w:val="0"/>
        <w:numPr>
          <w:ilvl w:val="0"/>
          <w:numId w:val="14"/>
        </w:numPr>
      </w:pPr>
      <w:r>
        <w:t xml:space="preserve">a tenant has been absent from the dwelling for a period of 6 months or more. </w:t>
      </w:r>
    </w:p>
    <w:p w14:paraId="6A1512EE" w14:textId="77777777" w:rsidR="00851F24" w:rsidRDefault="00851F24" w:rsidP="00851F24"/>
    <w:p w14:paraId="24564EBD" w14:textId="4D86BFAE" w:rsidR="001F7021" w:rsidRPr="007B5537" w:rsidRDefault="001F7021" w:rsidP="00851F24">
      <w:pPr>
        <w:rPr>
          <w:b/>
          <w:bCs/>
          <w:szCs w:val="28"/>
        </w:rPr>
      </w:pPr>
      <w:r w:rsidRPr="001F7021">
        <w:t xml:space="preserve">A regulatory impact statement (RIS) is ordinarily required for disallowable instruments under section 34 of the Legislation Act 2001. A regulatory impact </w:t>
      </w:r>
      <w:r w:rsidRPr="001F7021">
        <w:lastRenderedPageBreak/>
        <w:t>statement is not required. This instrument does not impose appreciable costs on the community or a part of the community (see section 34 (1) of the</w:t>
      </w:r>
      <w:r w:rsidRPr="001F7021">
        <w:rPr>
          <w:i/>
          <w:iCs/>
        </w:rPr>
        <w:t xml:space="preserve"> Legislation Act </w:t>
      </w:r>
      <w:r w:rsidRPr="001F7021">
        <w:t>2001).</w:t>
      </w:r>
    </w:p>
    <w:p w14:paraId="1DBDD5A5" w14:textId="16B9CD12" w:rsidR="009C49BD" w:rsidRDefault="009C49BD"/>
    <w:p w14:paraId="10E10686" w14:textId="77777777" w:rsidR="009C49BD" w:rsidRDefault="009C49BD" w:rsidP="009C49BD">
      <w:pPr>
        <w:pStyle w:val="NormalWeb"/>
        <w:shd w:val="clear" w:color="auto" w:fill="FFFFFF"/>
        <w:spacing w:before="0" w:beforeAutospacing="0" w:after="0" w:afterAutospacing="0"/>
        <w:rPr>
          <w:color w:val="000000"/>
        </w:rPr>
      </w:pPr>
      <w:bookmarkStart w:id="1" w:name="_Hlk132818196"/>
      <w:r>
        <w:rPr>
          <w:b/>
          <w:bCs/>
          <w:color w:val="000000"/>
        </w:rPr>
        <w:t>Human Rights</w:t>
      </w:r>
    </w:p>
    <w:p w14:paraId="353881E8" w14:textId="158DB320" w:rsidR="006A4262" w:rsidRPr="00293F38" w:rsidRDefault="009C49BD" w:rsidP="00293F38">
      <w:pPr>
        <w:pStyle w:val="NormalWeb"/>
        <w:shd w:val="clear" w:color="auto" w:fill="FFFFFF"/>
        <w:spacing w:before="0" w:beforeAutospacing="0" w:after="0" w:afterAutospacing="0" w:line="276" w:lineRule="atLeast"/>
        <w:rPr>
          <w:color w:val="000000"/>
        </w:rPr>
      </w:pPr>
      <w:r>
        <w:rPr>
          <w:color w:val="000000"/>
        </w:rPr>
        <w:t xml:space="preserve"> </w:t>
      </w:r>
    </w:p>
    <w:p w14:paraId="5882E983" w14:textId="725A9993" w:rsidR="006A4262" w:rsidRDefault="006A4262" w:rsidP="006A4262">
      <w:pPr>
        <w:rPr>
          <w:szCs w:val="24"/>
        </w:rPr>
      </w:pPr>
      <w:r>
        <w:rPr>
          <w:szCs w:val="24"/>
        </w:rPr>
        <w:t>Clause 31 of the Program enables the housing commissioner</w:t>
      </w:r>
      <w:r w:rsidR="00FE2E4F">
        <w:rPr>
          <w:szCs w:val="24"/>
        </w:rPr>
        <w:t xml:space="preserve"> to</w:t>
      </w:r>
      <w:r>
        <w:rPr>
          <w:szCs w:val="24"/>
        </w:rPr>
        <w:t xml:space="preserve"> review a tenant</w:t>
      </w:r>
      <w:r w:rsidR="009B50D9">
        <w:rPr>
          <w:szCs w:val="24"/>
        </w:rPr>
        <w:t>’</w:t>
      </w:r>
      <w:r>
        <w:rPr>
          <w:szCs w:val="24"/>
        </w:rPr>
        <w:t xml:space="preserve">s ongoing eligibility for housing assistance. The clause has been amended to include the ability for the </w:t>
      </w:r>
      <w:r w:rsidR="00587A42">
        <w:rPr>
          <w:szCs w:val="24"/>
        </w:rPr>
        <w:t xml:space="preserve">housing </w:t>
      </w:r>
      <w:r>
        <w:rPr>
          <w:szCs w:val="24"/>
        </w:rPr>
        <w:t xml:space="preserve">commissioner to find, upon review, that the tenant is no longer eligible for housing assistance where </w:t>
      </w:r>
      <w:r w:rsidRPr="00C51D9E">
        <w:rPr>
          <w:szCs w:val="24"/>
        </w:rPr>
        <w:t>the</w:t>
      </w:r>
      <w:r>
        <w:rPr>
          <w:szCs w:val="24"/>
        </w:rPr>
        <w:t>y</w:t>
      </w:r>
      <w:r w:rsidRPr="00C51D9E">
        <w:rPr>
          <w:szCs w:val="24"/>
        </w:rPr>
        <w:t xml:space="preserve"> </w:t>
      </w:r>
      <w:r>
        <w:rPr>
          <w:szCs w:val="24"/>
        </w:rPr>
        <w:t xml:space="preserve">have been </w:t>
      </w:r>
      <w:r w:rsidRPr="00C51D9E">
        <w:rPr>
          <w:szCs w:val="24"/>
        </w:rPr>
        <w:t>absent from the dwelling for a period of 6 months or more.</w:t>
      </w:r>
      <w:r>
        <w:rPr>
          <w:szCs w:val="24"/>
        </w:rPr>
        <w:t xml:space="preserve"> </w:t>
      </w:r>
    </w:p>
    <w:bookmarkEnd w:id="1"/>
    <w:p w14:paraId="6B428FE0" w14:textId="73966C26" w:rsidR="00851F24" w:rsidRDefault="00851F24" w:rsidP="009C49BD">
      <w:pPr>
        <w:pStyle w:val="NormalWeb"/>
        <w:shd w:val="clear" w:color="auto" w:fill="FFFFFF"/>
        <w:spacing w:before="0" w:beforeAutospacing="0" w:after="0" w:afterAutospacing="0" w:line="276" w:lineRule="atLeast"/>
        <w:rPr>
          <w:color w:val="000000"/>
        </w:rPr>
      </w:pPr>
    </w:p>
    <w:p w14:paraId="6CBFDDAC" w14:textId="50BA858E" w:rsidR="00851F24" w:rsidRDefault="00851F24" w:rsidP="009C49BD">
      <w:pPr>
        <w:pStyle w:val="NormalWeb"/>
        <w:shd w:val="clear" w:color="auto" w:fill="FFFFFF"/>
        <w:spacing w:before="0" w:beforeAutospacing="0" w:after="0" w:afterAutospacing="0" w:line="276" w:lineRule="atLeast"/>
        <w:rPr>
          <w:color w:val="000000"/>
        </w:rPr>
      </w:pPr>
      <w:r>
        <w:rPr>
          <w:color w:val="000000"/>
        </w:rPr>
        <w:t>Decisions made by the housing commissioner under the Program,</w:t>
      </w:r>
      <w:r w:rsidR="00FE2E4F">
        <w:rPr>
          <w:color w:val="000000"/>
        </w:rPr>
        <w:t xml:space="preserve"> or</w:t>
      </w:r>
      <w:r>
        <w:rPr>
          <w:color w:val="000000"/>
        </w:rPr>
        <w:t xml:space="preserve"> the </w:t>
      </w:r>
      <w:r w:rsidR="00FE2E4F" w:rsidRPr="00FE2E4F">
        <w:rPr>
          <w:rFonts w:eastAsia="Calibri"/>
          <w:i/>
          <w:iCs/>
          <w:lang w:eastAsia="en-US"/>
        </w:rPr>
        <w:t xml:space="preserve">Housing Assistance (Review of </w:t>
      </w:r>
      <w:r w:rsidR="009E6024">
        <w:rPr>
          <w:rFonts w:eastAsia="Calibri"/>
          <w:i/>
          <w:iCs/>
          <w:lang w:eastAsia="en-US"/>
        </w:rPr>
        <w:t>E</w:t>
      </w:r>
      <w:r w:rsidR="00FE2E4F" w:rsidRPr="00FE2E4F">
        <w:rPr>
          <w:rFonts w:eastAsia="Calibri"/>
          <w:i/>
          <w:iCs/>
          <w:lang w:eastAsia="en-US"/>
        </w:rPr>
        <w:t xml:space="preserve">ntitlement to </w:t>
      </w:r>
      <w:r w:rsidR="009E6024">
        <w:rPr>
          <w:rFonts w:eastAsia="Calibri"/>
          <w:i/>
          <w:iCs/>
          <w:lang w:eastAsia="en-US"/>
        </w:rPr>
        <w:t>H</w:t>
      </w:r>
      <w:r w:rsidR="00FE2E4F" w:rsidRPr="00FE2E4F">
        <w:rPr>
          <w:rFonts w:eastAsia="Calibri"/>
          <w:i/>
          <w:iCs/>
          <w:lang w:eastAsia="en-US"/>
        </w:rPr>
        <w:t xml:space="preserve">ousing </w:t>
      </w:r>
      <w:r w:rsidR="009E6024">
        <w:rPr>
          <w:rFonts w:eastAsia="Calibri"/>
          <w:i/>
          <w:iCs/>
          <w:lang w:eastAsia="en-US"/>
        </w:rPr>
        <w:t>A</w:t>
      </w:r>
      <w:r w:rsidR="00FE2E4F" w:rsidRPr="00FE2E4F">
        <w:rPr>
          <w:rFonts w:eastAsia="Calibri"/>
          <w:i/>
          <w:iCs/>
          <w:lang w:eastAsia="en-US"/>
        </w:rPr>
        <w:t>ssistance) Determination 2023 (No 1)</w:t>
      </w:r>
      <w:r w:rsidR="00FE2E4F">
        <w:rPr>
          <w:rFonts w:eastAsia="Calibri"/>
          <w:i/>
          <w:iCs/>
          <w:lang w:eastAsia="en-US"/>
        </w:rPr>
        <w:t xml:space="preserve"> </w:t>
      </w:r>
      <w:r w:rsidR="00FE2E4F" w:rsidRPr="00493885">
        <w:rPr>
          <w:rFonts w:eastAsia="Calibri"/>
          <w:lang w:eastAsia="en-US"/>
        </w:rPr>
        <w:t>(</w:t>
      </w:r>
      <w:r w:rsidRPr="001F7021">
        <w:rPr>
          <w:b/>
          <w:bCs/>
          <w:color w:val="000000"/>
        </w:rPr>
        <w:t>Determination</w:t>
      </w:r>
      <w:r w:rsidR="00FE2E4F" w:rsidRPr="001F7021">
        <w:rPr>
          <w:b/>
          <w:bCs/>
          <w:color w:val="000000"/>
        </w:rPr>
        <w:t>)</w:t>
      </w:r>
      <w:r w:rsidR="00FE2E4F">
        <w:rPr>
          <w:color w:val="000000"/>
        </w:rPr>
        <w:t>,</w:t>
      </w:r>
      <w:r>
        <w:rPr>
          <w:color w:val="000000"/>
        </w:rPr>
        <w:t xml:space="preserve"> utilising the procedural process from this operational guideline may limit several human rights under the </w:t>
      </w:r>
      <w:r w:rsidRPr="00851F24">
        <w:rPr>
          <w:i/>
          <w:iCs/>
          <w:color w:val="000000"/>
        </w:rPr>
        <w:t>Human Right</w:t>
      </w:r>
      <w:r>
        <w:rPr>
          <w:i/>
          <w:iCs/>
          <w:color w:val="000000"/>
        </w:rPr>
        <w:t>s</w:t>
      </w:r>
      <w:r w:rsidRPr="00851F24">
        <w:rPr>
          <w:i/>
          <w:iCs/>
          <w:color w:val="000000"/>
        </w:rPr>
        <w:t xml:space="preserve"> Act 200</w:t>
      </w:r>
      <w:r>
        <w:rPr>
          <w:i/>
          <w:iCs/>
          <w:color w:val="000000"/>
        </w:rPr>
        <w:t>4</w:t>
      </w:r>
      <w:r w:rsidRPr="00851F24">
        <w:rPr>
          <w:color w:val="000000"/>
        </w:rPr>
        <w:t xml:space="preserve"> (</w:t>
      </w:r>
      <w:r w:rsidRPr="00851F24">
        <w:rPr>
          <w:b/>
          <w:bCs/>
          <w:color w:val="000000"/>
        </w:rPr>
        <w:t>HRA</w:t>
      </w:r>
      <w:r w:rsidRPr="00851F24">
        <w:rPr>
          <w:color w:val="000000"/>
        </w:rPr>
        <w:t>)</w:t>
      </w:r>
      <w:r>
        <w:rPr>
          <w:color w:val="000000"/>
        </w:rPr>
        <w:t xml:space="preserve">. </w:t>
      </w:r>
    </w:p>
    <w:p w14:paraId="17899C33" w14:textId="3FE2D91F" w:rsidR="00851F24" w:rsidRDefault="00851F24" w:rsidP="009C49BD">
      <w:pPr>
        <w:pStyle w:val="NormalWeb"/>
        <w:shd w:val="clear" w:color="auto" w:fill="FFFFFF"/>
        <w:spacing w:before="0" w:beforeAutospacing="0" w:after="0" w:afterAutospacing="0" w:line="276" w:lineRule="atLeast"/>
        <w:rPr>
          <w:color w:val="000000"/>
        </w:rPr>
      </w:pPr>
    </w:p>
    <w:p w14:paraId="3F477557" w14:textId="51149828" w:rsidR="00851F24" w:rsidRDefault="00851F24" w:rsidP="00851F24">
      <w:pPr>
        <w:rPr>
          <w:color w:val="000000"/>
          <w:szCs w:val="24"/>
          <w:lang w:eastAsia="en-AU"/>
        </w:rPr>
      </w:pPr>
      <w:r>
        <w:rPr>
          <w:color w:val="000000"/>
        </w:rPr>
        <w:t xml:space="preserve">Rights </w:t>
      </w:r>
      <w:r w:rsidRPr="00C14FEC">
        <w:rPr>
          <w:color w:val="000000"/>
          <w:szCs w:val="24"/>
          <w:lang w:eastAsia="en-AU"/>
        </w:rPr>
        <w:t>engage</w:t>
      </w:r>
      <w:r>
        <w:rPr>
          <w:color w:val="000000"/>
          <w:szCs w:val="24"/>
          <w:lang w:eastAsia="en-AU"/>
        </w:rPr>
        <w:t>d</w:t>
      </w:r>
      <w:r w:rsidRPr="00C14FEC">
        <w:rPr>
          <w:color w:val="000000"/>
          <w:szCs w:val="24"/>
          <w:lang w:eastAsia="en-AU"/>
        </w:rPr>
        <w:t xml:space="preserve"> </w:t>
      </w:r>
      <w:r>
        <w:rPr>
          <w:color w:val="000000"/>
          <w:szCs w:val="24"/>
          <w:lang w:eastAsia="en-AU"/>
        </w:rPr>
        <w:t xml:space="preserve">and </w:t>
      </w:r>
      <w:r w:rsidR="004D5375">
        <w:rPr>
          <w:color w:val="000000"/>
          <w:szCs w:val="24"/>
          <w:lang w:eastAsia="en-AU"/>
        </w:rPr>
        <w:t xml:space="preserve">which </w:t>
      </w:r>
      <w:r>
        <w:rPr>
          <w:color w:val="000000"/>
          <w:szCs w:val="24"/>
          <w:lang w:eastAsia="en-AU"/>
        </w:rPr>
        <w:t xml:space="preserve">may </w:t>
      </w:r>
      <w:r w:rsidR="004D5375">
        <w:rPr>
          <w:color w:val="000000"/>
          <w:szCs w:val="24"/>
          <w:lang w:eastAsia="en-AU"/>
        </w:rPr>
        <w:t xml:space="preserve">be </w:t>
      </w:r>
      <w:r>
        <w:rPr>
          <w:color w:val="000000"/>
          <w:szCs w:val="24"/>
          <w:lang w:eastAsia="en-AU"/>
        </w:rPr>
        <w:t>limited by both the Program and the Determination include:</w:t>
      </w:r>
    </w:p>
    <w:p w14:paraId="4097745C" w14:textId="6E90ACF0" w:rsidR="00851F24" w:rsidRPr="009B50D9" w:rsidRDefault="00851F24" w:rsidP="001F7021">
      <w:pPr>
        <w:pStyle w:val="ListParagraph"/>
        <w:widowControl w:val="0"/>
        <w:numPr>
          <w:ilvl w:val="0"/>
          <w:numId w:val="16"/>
        </w:numPr>
      </w:pPr>
      <w:r w:rsidRPr="00851F24">
        <w:rPr>
          <w:color w:val="000000"/>
          <w:szCs w:val="24"/>
          <w:lang w:eastAsia="en-AU"/>
        </w:rPr>
        <w:t xml:space="preserve">Right </w:t>
      </w:r>
      <w:r w:rsidRPr="009B50D9">
        <w:t>to recognition and equality before the law (section 8)</w:t>
      </w:r>
    </w:p>
    <w:p w14:paraId="0D57D5A7" w14:textId="77777777" w:rsidR="00851F24" w:rsidRPr="009B50D9" w:rsidRDefault="00851F24" w:rsidP="001F7021">
      <w:pPr>
        <w:pStyle w:val="ListParagraph"/>
        <w:widowControl w:val="0"/>
        <w:numPr>
          <w:ilvl w:val="0"/>
          <w:numId w:val="16"/>
        </w:numPr>
      </w:pPr>
      <w:r w:rsidRPr="009B50D9">
        <w:t>Right to the protection of family and children (section 11)</w:t>
      </w:r>
    </w:p>
    <w:p w14:paraId="7DAC0E2D" w14:textId="77777777" w:rsidR="00851F24" w:rsidRDefault="00851F24" w:rsidP="001F7021">
      <w:pPr>
        <w:pStyle w:val="ListParagraph"/>
        <w:widowControl w:val="0"/>
        <w:numPr>
          <w:ilvl w:val="0"/>
          <w:numId w:val="16"/>
        </w:numPr>
        <w:rPr>
          <w:color w:val="000000"/>
          <w:szCs w:val="24"/>
          <w:lang w:eastAsia="en-AU"/>
        </w:rPr>
      </w:pPr>
      <w:r w:rsidRPr="009B50D9">
        <w:t>Right</w:t>
      </w:r>
      <w:r w:rsidRPr="00C14FEC">
        <w:rPr>
          <w:color w:val="000000"/>
          <w:szCs w:val="24"/>
          <w:lang w:eastAsia="en-AU"/>
        </w:rPr>
        <w:t xml:space="preserve"> to privacy and reputation (</w:t>
      </w:r>
      <w:r>
        <w:rPr>
          <w:color w:val="000000"/>
          <w:szCs w:val="24"/>
          <w:lang w:eastAsia="en-AU"/>
        </w:rPr>
        <w:t>s</w:t>
      </w:r>
      <w:r w:rsidRPr="00C14FEC">
        <w:rPr>
          <w:color w:val="000000"/>
          <w:szCs w:val="24"/>
          <w:lang w:eastAsia="en-AU"/>
        </w:rPr>
        <w:t>ection 12)</w:t>
      </w:r>
    </w:p>
    <w:p w14:paraId="7CB04197" w14:textId="546E53C9" w:rsidR="00851F24" w:rsidRDefault="00851F24" w:rsidP="009C49BD">
      <w:pPr>
        <w:pStyle w:val="NormalWeb"/>
        <w:shd w:val="clear" w:color="auto" w:fill="FFFFFF"/>
        <w:spacing w:before="0" w:beforeAutospacing="0" w:after="0" w:afterAutospacing="0" w:line="276" w:lineRule="atLeast"/>
        <w:rPr>
          <w:color w:val="000000"/>
        </w:rPr>
      </w:pPr>
    </w:p>
    <w:p w14:paraId="05DC0876" w14:textId="77777777" w:rsidR="00851F24" w:rsidRDefault="00851F24" w:rsidP="00851F24">
      <w:pPr>
        <w:shd w:val="clear" w:color="auto" w:fill="FFFFFF"/>
        <w:spacing w:line="276" w:lineRule="atLeast"/>
        <w:rPr>
          <w:color w:val="000000"/>
          <w:szCs w:val="24"/>
          <w:lang w:eastAsia="en-AU"/>
        </w:rPr>
      </w:pPr>
      <w:r>
        <w:rPr>
          <w:color w:val="000000"/>
          <w:szCs w:val="24"/>
          <w:lang w:eastAsia="en-AU"/>
        </w:rPr>
        <w:t>Sections 8 and 11 provide for t</w:t>
      </w:r>
      <w:r w:rsidRPr="00C51D9E">
        <w:rPr>
          <w:color w:val="000000"/>
          <w:szCs w:val="24"/>
          <w:lang w:eastAsia="en-AU"/>
        </w:rPr>
        <w:t xml:space="preserve">he right </w:t>
      </w:r>
      <w:r>
        <w:rPr>
          <w:color w:val="000000"/>
          <w:szCs w:val="24"/>
          <w:lang w:eastAsia="en-AU"/>
        </w:rPr>
        <w:t xml:space="preserve">for equality and non-discrimination, and protection of the family unit. </w:t>
      </w:r>
      <w:r w:rsidRPr="00D3187A">
        <w:rPr>
          <w:szCs w:val="24"/>
        </w:rPr>
        <w:t>Section 12</w:t>
      </w:r>
      <w:r w:rsidRPr="00EE4627">
        <w:rPr>
          <w:szCs w:val="24"/>
        </w:rPr>
        <w:t xml:space="preserve"> p</w:t>
      </w:r>
      <w:r w:rsidRPr="00D3187A">
        <w:rPr>
          <w:szCs w:val="24"/>
        </w:rPr>
        <w:t>rovides for the right of privacy and the right to not have one’s home interfered with unlawfully or arbitrarily.</w:t>
      </w:r>
      <w:r>
        <w:rPr>
          <w:color w:val="000000"/>
          <w:szCs w:val="24"/>
          <w:lang w:eastAsia="en-AU"/>
        </w:rPr>
        <w:t xml:space="preserve"> </w:t>
      </w:r>
    </w:p>
    <w:p w14:paraId="27912242" w14:textId="5E185936" w:rsidR="00851F24" w:rsidRDefault="00851F24" w:rsidP="009C49BD">
      <w:pPr>
        <w:pStyle w:val="NormalWeb"/>
        <w:shd w:val="clear" w:color="auto" w:fill="FFFFFF"/>
        <w:spacing w:before="0" w:beforeAutospacing="0" w:after="0" w:afterAutospacing="0" w:line="276" w:lineRule="atLeast"/>
        <w:rPr>
          <w:color w:val="000000"/>
        </w:rPr>
      </w:pPr>
    </w:p>
    <w:p w14:paraId="67236134" w14:textId="57D5057B" w:rsidR="00851F24" w:rsidRDefault="00851F24" w:rsidP="00851F24">
      <w:pPr>
        <w:pStyle w:val="NormalWeb"/>
        <w:shd w:val="clear" w:color="auto" w:fill="FFFFFF"/>
        <w:spacing w:before="0" w:beforeAutospacing="0" w:after="0" w:afterAutospacing="0" w:line="276" w:lineRule="atLeast"/>
      </w:pPr>
      <w:r>
        <w:t xml:space="preserve">Amendments to the Program and the Determination may </w:t>
      </w:r>
      <w:r w:rsidRPr="00547B2A">
        <w:t>limit the right to privacy and home by withdrawing a person’s entitlement to housing assistance.  It may limit protection of the family unit if the ability of the family to remain living together in their family home is impacted by the withdrawal of housing assistance. Finally, it may limit and the right to equality before the law as this provision may have a disproportionate impact on certain vulnerable cohorts such as incarcerated people.</w:t>
      </w:r>
    </w:p>
    <w:p w14:paraId="167D12A9" w14:textId="77777777" w:rsidR="00851F24" w:rsidRDefault="00851F24" w:rsidP="00851F24">
      <w:pPr>
        <w:pStyle w:val="NormalWeb"/>
        <w:shd w:val="clear" w:color="auto" w:fill="FFFFFF"/>
        <w:spacing w:before="0" w:beforeAutospacing="0" w:after="0" w:afterAutospacing="0" w:line="276" w:lineRule="atLeast"/>
        <w:rPr>
          <w:color w:val="000000"/>
        </w:rPr>
      </w:pPr>
    </w:p>
    <w:p w14:paraId="26E4263C" w14:textId="1CFE7C9E" w:rsidR="00851F24" w:rsidRDefault="00851F24" w:rsidP="009C49BD">
      <w:pPr>
        <w:pStyle w:val="NormalWeb"/>
        <w:shd w:val="clear" w:color="auto" w:fill="FFFFFF"/>
        <w:spacing w:before="0" w:beforeAutospacing="0" w:after="0" w:afterAutospacing="0" w:line="276" w:lineRule="atLeast"/>
        <w:rPr>
          <w:color w:val="000000"/>
        </w:rPr>
      </w:pPr>
      <w:r w:rsidRPr="00851F24">
        <w:rPr>
          <w:color w:val="000000"/>
        </w:rPr>
        <w:t xml:space="preserve">This </w:t>
      </w:r>
      <w:r>
        <w:rPr>
          <w:color w:val="000000"/>
        </w:rPr>
        <w:t xml:space="preserve">instrument </w:t>
      </w:r>
      <w:r w:rsidRPr="00851F24">
        <w:rPr>
          <w:color w:val="000000"/>
        </w:rPr>
        <w:t xml:space="preserve">supports the operation of the Program to address inequity of access to housing for disadvantaged groups by allowing the housing commissioner to recover possession of a dwelling if the tenant is found to not be eligible for ongoing housing assistance. The effectiveness of the housing assistance program is reliant on the ability of the housing commissioner to manage a limited housing portfolio and ensure that properties allocated under the Program are used for their intended purpose </w:t>
      </w:r>
      <w:r w:rsidR="001F7021">
        <w:rPr>
          <w:color w:val="000000"/>
        </w:rPr>
        <w:t>and provided</w:t>
      </w:r>
      <w:r w:rsidR="009B50D9">
        <w:rPr>
          <w:color w:val="000000"/>
        </w:rPr>
        <w:t xml:space="preserve"> to </w:t>
      </w:r>
      <w:r w:rsidRPr="00851F24">
        <w:rPr>
          <w:color w:val="000000"/>
        </w:rPr>
        <w:t>eligible people in need.</w:t>
      </w:r>
    </w:p>
    <w:p w14:paraId="364CC868" w14:textId="3AB10929" w:rsidR="00851F24" w:rsidRDefault="00851F24" w:rsidP="009C49BD">
      <w:pPr>
        <w:pStyle w:val="NormalWeb"/>
        <w:shd w:val="clear" w:color="auto" w:fill="FFFFFF"/>
        <w:spacing w:before="0" w:beforeAutospacing="0" w:after="0" w:afterAutospacing="0" w:line="276" w:lineRule="atLeast"/>
        <w:rPr>
          <w:color w:val="000000"/>
        </w:rPr>
      </w:pPr>
    </w:p>
    <w:p w14:paraId="34B93965" w14:textId="6F08C6FA" w:rsidR="00851F24" w:rsidRDefault="00851F24" w:rsidP="009C49BD">
      <w:pPr>
        <w:pStyle w:val="NormalWeb"/>
        <w:shd w:val="clear" w:color="auto" w:fill="FFFFFF"/>
        <w:spacing w:before="0" w:beforeAutospacing="0" w:after="0" w:afterAutospacing="0" w:line="276" w:lineRule="atLeast"/>
        <w:rPr>
          <w:color w:val="000000"/>
        </w:rPr>
      </w:pPr>
      <w:r>
        <w:rPr>
          <w:color w:val="000000"/>
        </w:rPr>
        <w:t xml:space="preserve">The </w:t>
      </w:r>
      <w:r w:rsidR="00560E68" w:rsidRPr="00560E68">
        <w:rPr>
          <w:i/>
          <w:iCs/>
          <w:color w:val="000000"/>
        </w:rPr>
        <w:t xml:space="preserve">Housing Assistance (Review of </w:t>
      </w:r>
      <w:r w:rsidR="009E6024">
        <w:rPr>
          <w:i/>
          <w:iCs/>
          <w:color w:val="000000"/>
        </w:rPr>
        <w:t>E</w:t>
      </w:r>
      <w:r w:rsidR="00560E68" w:rsidRPr="00560E68">
        <w:rPr>
          <w:i/>
          <w:iCs/>
          <w:color w:val="000000"/>
        </w:rPr>
        <w:t xml:space="preserve">ntitlement to </w:t>
      </w:r>
      <w:r w:rsidR="009E6024">
        <w:rPr>
          <w:i/>
          <w:iCs/>
          <w:color w:val="000000"/>
        </w:rPr>
        <w:t>H</w:t>
      </w:r>
      <w:r w:rsidR="00560E68" w:rsidRPr="00560E68">
        <w:rPr>
          <w:i/>
          <w:iCs/>
          <w:color w:val="000000"/>
        </w:rPr>
        <w:t xml:space="preserve">ousing </w:t>
      </w:r>
      <w:r w:rsidR="009E6024">
        <w:rPr>
          <w:i/>
          <w:iCs/>
          <w:color w:val="000000"/>
        </w:rPr>
        <w:t>A</w:t>
      </w:r>
      <w:r w:rsidR="00560E68" w:rsidRPr="00560E68">
        <w:rPr>
          <w:i/>
          <w:iCs/>
          <w:color w:val="000000"/>
        </w:rPr>
        <w:t>ssistance) Operation</w:t>
      </w:r>
      <w:r w:rsidR="00560E68">
        <w:rPr>
          <w:i/>
          <w:iCs/>
          <w:color w:val="000000"/>
        </w:rPr>
        <w:t>al</w:t>
      </w:r>
      <w:r w:rsidR="00560E68" w:rsidRPr="00560E68">
        <w:rPr>
          <w:i/>
          <w:iCs/>
          <w:color w:val="000000"/>
        </w:rPr>
        <w:t xml:space="preserve"> Guideline 2023 (No 1) </w:t>
      </w:r>
      <w:r w:rsidR="00560E68">
        <w:rPr>
          <w:color w:val="000000"/>
        </w:rPr>
        <w:t xml:space="preserve">(the </w:t>
      </w:r>
      <w:r w:rsidRPr="001F7021">
        <w:rPr>
          <w:b/>
          <w:bCs/>
          <w:color w:val="000000"/>
        </w:rPr>
        <w:t>Operational Guideline</w:t>
      </w:r>
      <w:r w:rsidR="00560E68">
        <w:rPr>
          <w:color w:val="000000"/>
        </w:rPr>
        <w:t>)</w:t>
      </w:r>
      <w:r>
        <w:rPr>
          <w:color w:val="000000"/>
        </w:rPr>
        <w:t xml:space="preserve"> is intended to ensure decisions made to withdraw or cancel housing assistance under clause 31 of the Program are clearly articulated and all review processes are completed. This instrument makes clear the procedural processes the </w:t>
      </w:r>
      <w:r w:rsidR="00587A42">
        <w:rPr>
          <w:color w:val="000000"/>
        </w:rPr>
        <w:t xml:space="preserve">housing </w:t>
      </w:r>
      <w:r>
        <w:rPr>
          <w:color w:val="000000"/>
        </w:rPr>
        <w:t xml:space="preserve">commissioner must adhere to before withdrawing or cancelling housing assistance, as well as the specific considerations of the </w:t>
      </w:r>
      <w:r w:rsidR="00587A42">
        <w:rPr>
          <w:color w:val="000000"/>
        </w:rPr>
        <w:t xml:space="preserve">housing </w:t>
      </w:r>
      <w:r>
        <w:rPr>
          <w:color w:val="000000"/>
        </w:rPr>
        <w:t xml:space="preserve">commissioner in coming to their decision. </w:t>
      </w:r>
    </w:p>
    <w:p w14:paraId="1D9DDEA3" w14:textId="4C72C365" w:rsidR="00EF2333" w:rsidRDefault="00EF2333" w:rsidP="009C49BD">
      <w:pPr>
        <w:pStyle w:val="NormalWeb"/>
        <w:shd w:val="clear" w:color="auto" w:fill="FFFFFF"/>
        <w:spacing w:before="0" w:beforeAutospacing="0" w:after="0" w:afterAutospacing="0" w:line="276" w:lineRule="atLeast"/>
        <w:rPr>
          <w:color w:val="000000"/>
        </w:rPr>
      </w:pPr>
    </w:p>
    <w:p w14:paraId="69BECBA9" w14:textId="61BE81E4" w:rsidR="00EF2333" w:rsidRDefault="009B50D9" w:rsidP="009C49BD">
      <w:pPr>
        <w:pStyle w:val="NormalWeb"/>
        <w:shd w:val="clear" w:color="auto" w:fill="FFFFFF"/>
        <w:spacing w:before="0" w:beforeAutospacing="0" w:after="0" w:afterAutospacing="0" w:line="276" w:lineRule="atLeast"/>
        <w:rPr>
          <w:color w:val="000000"/>
        </w:rPr>
      </w:pPr>
      <w:r>
        <w:rPr>
          <w:color w:val="000000"/>
        </w:rPr>
        <w:lastRenderedPageBreak/>
        <w:t>A</w:t>
      </w:r>
      <w:r w:rsidR="00EF2333" w:rsidRPr="00EF2333">
        <w:rPr>
          <w:color w:val="000000"/>
        </w:rPr>
        <w:t xml:space="preserve">t all times, housing commissioner will take the interests of children into consideration when seeking to withdraw or cancel housing assistance, primarily where the absent tenant is </w:t>
      </w:r>
      <w:r w:rsidR="00FE2E4F">
        <w:rPr>
          <w:color w:val="000000"/>
        </w:rPr>
        <w:t xml:space="preserve">a </w:t>
      </w:r>
      <w:r w:rsidR="00EF2333" w:rsidRPr="00EF2333">
        <w:rPr>
          <w:color w:val="000000"/>
        </w:rPr>
        <w:t>caregiver or kin</w:t>
      </w:r>
      <w:r w:rsidR="00FE2E4F">
        <w:rPr>
          <w:color w:val="000000"/>
        </w:rPr>
        <w:t>ship carer</w:t>
      </w:r>
      <w:r w:rsidR="00EF2333" w:rsidRPr="00EF2333">
        <w:rPr>
          <w:color w:val="000000"/>
        </w:rPr>
        <w:t xml:space="preserve">. </w:t>
      </w:r>
      <w:r>
        <w:rPr>
          <w:color w:val="000000"/>
        </w:rPr>
        <w:t xml:space="preserve"> </w:t>
      </w:r>
      <w:r w:rsidR="00EF2333" w:rsidRPr="00EF2333">
        <w:rPr>
          <w:color w:val="000000"/>
        </w:rPr>
        <w:t xml:space="preserve">Where the withdrawal or cancellation of a tenant’s entitlement to housing assistance may affect the family unit or rights of children, the </w:t>
      </w:r>
      <w:r w:rsidR="00F158D6">
        <w:rPr>
          <w:color w:val="000000"/>
        </w:rPr>
        <w:t>O</w:t>
      </w:r>
      <w:r w:rsidR="00EF2333">
        <w:rPr>
          <w:color w:val="000000"/>
        </w:rPr>
        <w:t xml:space="preserve">perational </w:t>
      </w:r>
      <w:r w:rsidR="00F158D6">
        <w:rPr>
          <w:color w:val="000000"/>
        </w:rPr>
        <w:t>G</w:t>
      </w:r>
      <w:r w:rsidR="00EF2333">
        <w:rPr>
          <w:color w:val="000000"/>
        </w:rPr>
        <w:t xml:space="preserve">uideline </w:t>
      </w:r>
      <w:r>
        <w:rPr>
          <w:color w:val="000000"/>
        </w:rPr>
        <w:t xml:space="preserve">provides </w:t>
      </w:r>
      <w:r w:rsidR="00EF2333">
        <w:rPr>
          <w:color w:val="000000"/>
        </w:rPr>
        <w:t xml:space="preserve">the </w:t>
      </w:r>
      <w:r w:rsidR="00587A42">
        <w:rPr>
          <w:color w:val="000000"/>
        </w:rPr>
        <w:t xml:space="preserve">housing </w:t>
      </w:r>
      <w:r w:rsidR="00EF2333" w:rsidRPr="00EF2333">
        <w:rPr>
          <w:color w:val="000000"/>
        </w:rPr>
        <w:t xml:space="preserve">commissioner </w:t>
      </w:r>
      <w:r w:rsidR="00EF2333">
        <w:rPr>
          <w:color w:val="000000"/>
        </w:rPr>
        <w:t>may</w:t>
      </w:r>
      <w:r w:rsidR="00EF2333" w:rsidRPr="00EF2333">
        <w:rPr>
          <w:color w:val="000000"/>
        </w:rPr>
        <w:t xml:space="preserve"> </w:t>
      </w:r>
      <w:r>
        <w:rPr>
          <w:color w:val="000000"/>
        </w:rPr>
        <w:t>offer</w:t>
      </w:r>
      <w:r w:rsidRPr="00EF2333">
        <w:rPr>
          <w:color w:val="000000"/>
        </w:rPr>
        <w:t xml:space="preserve"> </w:t>
      </w:r>
      <w:r w:rsidR="00EF2333" w:rsidRPr="00EF2333">
        <w:rPr>
          <w:color w:val="000000"/>
        </w:rPr>
        <w:t>immediate temporary housing assistance due to a tenancy breakdown for any remaining residents at the dwelling.</w:t>
      </w:r>
    </w:p>
    <w:p w14:paraId="62AE2FF1" w14:textId="77777777" w:rsidR="00C96C16" w:rsidRPr="00547B2A" w:rsidRDefault="00C96C16" w:rsidP="00C96C16">
      <w:pPr>
        <w:rPr>
          <w:szCs w:val="24"/>
        </w:rPr>
      </w:pPr>
    </w:p>
    <w:p w14:paraId="345C32F5" w14:textId="1A89E775" w:rsidR="00F158D6" w:rsidRDefault="00C96C16" w:rsidP="00C96C16">
      <w:pPr>
        <w:rPr>
          <w:szCs w:val="24"/>
        </w:rPr>
      </w:pPr>
      <w:r w:rsidRPr="00547B2A">
        <w:rPr>
          <w:szCs w:val="24"/>
        </w:rPr>
        <w:t xml:space="preserve">The effectiveness of the housing assistance program is reliant on the ability for the </w:t>
      </w:r>
      <w:r w:rsidR="00587A42">
        <w:rPr>
          <w:szCs w:val="24"/>
        </w:rPr>
        <w:t xml:space="preserve">housing </w:t>
      </w:r>
      <w:r w:rsidRPr="00547B2A">
        <w:rPr>
          <w:szCs w:val="24"/>
        </w:rPr>
        <w:t xml:space="preserve">commissioner to manage a limited housing portfolio and ensure that properties allocated under the program and achieving their intended purpose. </w:t>
      </w:r>
    </w:p>
    <w:p w14:paraId="52184AEF" w14:textId="77777777" w:rsidR="00F158D6" w:rsidRDefault="00F158D6" w:rsidP="00C96C16">
      <w:pPr>
        <w:rPr>
          <w:szCs w:val="24"/>
        </w:rPr>
      </w:pPr>
    </w:p>
    <w:p w14:paraId="4F720EBC" w14:textId="1802CE76" w:rsidR="00C96C16" w:rsidRPr="00547B2A" w:rsidRDefault="00C96C16" w:rsidP="00C96C16">
      <w:pPr>
        <w:rPr>
          <w:szCs w:val="24"/>
        </w:rPr>
      </w:pPr>
      <w:r w:rsidRPr="00547B2A">
        <w:rPr>
          <w:szCs w:val="24"/>
        </w:rPr>
        <w:t xml:space="preserve">To enable the effective utilisation of stock and to continue allocating dwellings to people in need on the public housing waitlist, the housing commissioner must have the authority to withdraw or cancel assistance where a tenant is absent. However, safeguards </w:t>
      </w:r>
      <w:r>
        <w:rPr>
          <w:szCs w:val="24"/>
        </w:rPr>
        <w:t>as outlined in th</w:t>
      </w:r>
      <w:r w:rsidR="00560E68">
        <w:rPr>
          <w:szCs w:val="24"/>
        </w:rPr>
        <w:t xml:space="preserve">is </w:t>
      </w:r>
      <w:r w:rsidR="00F158D6">
        <w:rPr>
          <w:szCs w:val="24"/>
        </w:rPr>
        <w:t>O</w:t>
      </w:r>
      <w:r>
        <w:rPr>
          <w:szCs w:val="24"/>
        </w:rPr>
        <w:t xml:space="preserve">perational </w:t>
      </w:r>
      <w:r w:rsidR="00F158D6">
        <w:rPr>
          <w:szCs w:val="24"/>
        </w:rPr>
        <w:t>G</w:t>
      </w:r>
      <w:r>
        <w:rPr>
          <w:szCs w:val="24"/>
        </w:rPr>
        <w:t xml:space="preserve">uideline, ensure that </w:t>
      </w:r>
      <w:r w:rsidRPr="00C96C16">
        <w:rPr>
          <w:szCs w:val="24"/>
        </w:rPr>
        <w:t>tenant’s individual circumstances can be considered</w:t>
      </w:r>
      <w:r>
        <w:rPr>
          <w:szCs w:val="24"/>
        </w:rPr>
        <w:t xml:space="preserve"> and </w:t>
      </w:r>
      <w:r w:rsidR="003656C8">
        <w:rPr>
          <w:szCs w:val="24"/>
        </w:rPr>
        <w:t xml:space="preserve">make clear the rights of the tenant to seek an internal and external review of the </w:t>
      </w:r>
      <w:r w:rsidR="006448A9">
        <w:rPr>
          <w:szCs w:val="24"/>
        </w:rPr>
        <w:t>housing commissioner’s decision</w:t>
      </w:r>
      <w:r w:rsidR="003656C8">
        <w:rPr>
          <w:szCs w:val="24"/>
        </w:rPr>
        <w:t xml:space="preserve">. </w:t>
      </w:r>
    </w:p>
    <w:p w14:paraId="5FF204C7" w14:textId="77777777" w:rsidR="00C96C16" w:rsidRDefault="00C96C16" w:rsidP="009C49BD">
      <w:pPr>
        <w:pStyle w:val="NormalWeb"/>
        <w:shd w:val="clear" w:color="auto" w:fill="FFFFFF"/>
        <w:spacing w:before="0" w:beforeAutospacing="0" w:after="0" w:afterAutospacing="0" w:line="276" w:lineRule="atLeast"/>
        <w:rPr>
          <w:color w:val="000000"/>
        </w:rPr>
      </w:pPr>
    </w:p>
    <w:p w14:paraId="47102A22" w14:textId="77777777" w:rsidR="006A4262" w:rsidRDefault="006A4262" w:rsidP="009C49BD">
      <w:pPr>
        <w:pStyle w:val="NormalWeb"/>
        <w:shd w:val="clear" w:color="auto" w:fill="FFFFFF"/>
        <w:spacing w:before="0" w:beforeAutospacing="0" w:after="0" w:afterAutospacing="0" w:line="276" w:lineRule="atLeast"/>
        <w:rPr>
          <w:color w:val="000000"/>
        </w:rPr>
      </w:pPr>
    </w:p>
    <w:p w14:paraId="760E1FC1" w14:textId="0E110AED" w:rsidR="00737FA1" w:rsidRDefault="00FA5C0F" w:rsidP="009C49BD">
      <w:pPr>
        <w:pStyle w:val="NormalWeb"/>
        <w:shd w:val="clear" w:color="auto" w:fill="FFFFFF"/>
        <w:spacing w:before="0" w:beforeAutospacing="0" w:after="0" w:afterAutospacing="0" w:line="276" w:lineRule="atLeast"/>
        <w:rPr>
          <w:b/>
          <w:bCs/>
          <w:iCs/>
          <w:color w:val="000000"/>
        </w:rPr>
      </w:pPr>
      <w:r w:rsidRPr="00FA5C0F">
        <w:rPr>
          <w:b/>
          <w:bCs/>
          <w:iCs/>
          <w:color w:val="000000"/>
        </w:rPr>
        <w:t xml:space="preserve">Housing Assistance (Review of </w:t>
      </w:r>
      <w:r w:rsidR="009E6024">
        <w:rPr>
          <w:b/>
          <w:bCs/>
          <w:iCs/>
          <w:color w:val="000000"/>
        </w:rPr>
        <w:t>E</w:t>
      </w:r>
      <w:r w:rsidRPr="00FA5C0F">
        <w:rPr>
          <w:b/>
          <w:bCs/>
          <w:iCs/>
          <w:color w:val="000000"/>
        </w:rPr>
        <w:t xml:space="preserve">ntitlement to </w:t>
      </w:r>
      <w:r w:rsidR="009E6024">
        <w:rPr>
          <w:b/>
          <w:bCs/>
          <w:iCs/>
          <w:color w:val="000000"/>
        </w:rPr>
        <w:t>H</w:t>
      </w:r>
      <w:r w:rsidRPr="00FA5C0F">
        <w:rPr>
          <w:b/>
          <w:bCs/>
          <w:iCs/>
          <w:color w:val="000000"/>
        </w:rPr>
        <w:t xml:space="preserve">ousing </w:t>
      </w:r>
      <w:r w:rsidR="009E6024">
        <w:rPr>
          <w:b/>
          <w:bCs/>
          <w:iCs/>
          <w:color w:val="000000"/>
        </w:rPr>
        <w:t>A</w:t>
      </w:r>
      <w:r w:rsidRPr="00FA5C0F">
        <w:rPr>
          <w:b/>
          <w:bCs/>
          <w:iCs/>
          <w:color w:val="000000"/>
        </w:rPr>
        <w:t>ssistance) Operation</w:t>
      </w:r>
      <w:r w:rsidR="00560E68">
        <w:rPr>
          <w:b/>
          <w:bCs/>
          <w:iCs/>
          <w:color w:val="000000"/>
        </w:rPr>
        <w:t>al</w:t>
      </w:r>
      <w:r w:rsidRPr="00FA5C0F">
        <w:rPr>
          <w:b/>
          <w:bCs/>
          <w:iCs/>
          <w:color w:val="000000"/>
        </w:rPr>
        <w:t xml:space="preserve"> Guideline 2023 (No 1)</w:t>
      </w:r>
    </w:p>
    <w:p w14:paraId="1D739E6A" w14:textId="7790FE27" w:rsidR="00FA5C0F" w:rsidRDefault="00FA5C0F" w:rsidP="009C49BD">
      <w:pPr>
        <w:pStyle w:val="NormalWeb"/>
        <w:shd w:val="clear" w:color="auto" w:fill="FFFFFF"/>
        <w:spacing w:before="0" w:beforeAutospacing="0" w:after="0" w:afterAutospacing="0" w:line="276" w:lineRule="atLeast"/>
        <w:rPr>
          <w:b/>
          <w:bCs/>
          <w:iCs/>
          <w:color w:val="000000"/>
        </w:rPr>
      </w:pPr>
    </w:p>
    <w:p w14:paraId="2BB170A4" w14:textId="77777777" w:rsidR="00FA5C0F" w:rsidRPr="00F11975" w:rsidRDefault="00FA5C0F" w:rsidP="00FA5C0F">
      <w:pPr>
        <w:autoSpaceDE w:val="0"/>
        <w:autoSpaceDN w:val="0"/>
        <w:adjustRightInd w:val="0"/>
        <w:rPr>
          <w:b/>
          <w:bCs/>
          <w:lang w:eastAsia="en-AU"/>
        </w:rPr>
      </w:pPr>
      <w:r w:rsidRPr="00F11975">
        <w:rPr>
          <w:b/>
          <w:bCs/>
          <w:lang w:eastAsia="en-AU"/>
        </w:rPr>
        <w:t xml:space="preserve">Clauses </w:t>
      </w:r>
    </w:p>
    <w:p w14:paraId="513AFD46" w14:textId="77777777" w:rsidR="00FA5C0F" w:rsidRDefault="00FA5C0F" w:rsidP="00FA5C0F">
      <w:pPr>
        <w:autoSpaceDE w:val="0"/>
        <w:autoSpaceDN w:val="0"/>
        <w:adjustRightInd w:val="0"/>
        <w:rPr>
          <w:lang w:eastAsia="en-AU"/>
        </w:rPr>
      </w:pPr>
      <w:r>
        <w:rPr>
          <w:lang w:eastAsia="en-AU"/>
        </w:rPr>
        <w:t xml:space="preserve"> </w:t>
      </w:r>
    </w:p>
    <w:p w14:paraId="5F133B06" w14:textId="0FEE1DDE" w:rsidR="00FA5C0F" w:rsidRPr="00254AA2" w:rsidRDefault="00FA5C0F" w:rsidP="00FA5C0F">
      <w:pPr>
        <w:autoSpaceDE w:val="0"/>
        <w:autoSpaceDN w:val="0"/>
        <w:adjustRightInd w:val="0"/>
        <w:rPr>
          <w:b/>
          <w:lang w:eastAsia="en-AU"/>
        </w:rPr>
      </w:pPr>
      <w:r w:rsidRPr="00F11975">
        <w:rPr>
          <w:b/>
          <w:bCs/>
          <w:lang w:eastAsia="en-AU"/>
        </w:rPr>
        <w:t>Clause 1</w:t>
      </w:r>
      <w:r>
        <w:rPr>
          <w:b/>
          <w:lang w:eastAsia="en-AU"/>
        </w:rPr>
        <w:t xml:space="preserve"> </w:t>
      </w:r>
      <w:r>
        <w:rPr>
          <w:lang w:eastAsia="en-AU"/>
        </w:rPr>
        <w:t xml:space="preserve">names the instrument as the </w:t>
      </w:r>
      <w:r w:rsidRPr="00B64574">
        <w:rPr>
          <w:i/>
        </w:rPr>
        <w:t>Housing Assistance (</w:t>
      </w:r>
      <w:r>
        <w:rPr>
          <w:i/>
        </w:rPr>
        <w:t xml:space="preserve">Review of </w:t>
      </w:r>
      <w:r w:rsidR="009E6024">
        <w:rPr>
          <w:i/>
        </w:rPr>
        <w:t>E</w:t>
      </w:r>
      <w:r>
        <w:rPr>
          <w:i/>
        </w:rPr>
        <w:t xml:space="preserve">ntitlement to </w:t>
      </w:r>
      <w:r w:rsidR="009E6024">
        <w:rPr>
          <w:i/>
        </w:rPr>
        <w:t>H</w:t>
      </w:r>
      <w:r>
        <w:rPr>
          <w:i/>
        </w:rPr>
        <w:t xml:space="preserve">ousing </w:t>
      </w:r>
      <w:r w:rsidR="009E6024">
        <w:rPr>
          <w:i/>
        </w:rPr>
        <w:t>A</w:t>
      </w:r>
      <w:r>
        <w:rPr>
          <w:i/>
        </w:rPr>
        <w:t>ssistance</w:t>
      </w:r>
      <w:r w:rsidRPr="00B64574">
        <w:rPr>
          <w:i/>
        </w:rPr>
        <w:t>) O</w:t>
      </w:r>
      <w:r>
        <w:rPr>
          <w:i/>
        </w:rPr>
        <w:t>perational Guideline 2023 (No 1).</w:t>
      </w:r>
    </w:p>
    <w:p w14:paraId="7FCC31CA" w14:textId="77777777" w:rsidR="00FA5C0F" w:rsidRDefault="00FA5C0F" w:rsidP="00FA5C0F">
      <w:pPr>
        <w:autoSpaceDE w:val="0"/>
        <w:autoSpaceDN w:val="0"/>
        <w:adjustRightInd w:val="0"/>
        <w:rPr>
          <w:lang w:eastAsia="en-AU"/>
        </w:rPr>
      </w:pPr>
    </w:p>
    <w:p w14:paraId="579EFFB4" w14:textId="77777777" w:rsidR="00FA5C0F" w:rsidRDefault="00FA5C0F" w:rsidP="00FA5C0F">
      <w:pPr>
        <w:autoSpaceDE w:val="0"/>
        <w:autoSpaceDN w:val="0"/>
        <w:adjustRightInd w:val="0"/>
        <w:rPr>
          <w:lang w:eastAsia="en-AU"/>
        </w:rPr>
      </w:pPr>
      <w:r w:rsidRPr="00F11975">
        <w:rPr>
          <w:b/>
          <w:bCs/>
          <w:lang w:eastAsia="en-AU"/>
        </w:rPr>
        <w:t>Clause 2</w:t>
      </w:r>
      <w:r>
        <w:rPr>
          <w:lang w:eastAsia="en-AU"/>
        </w:rPr>
        <w:t xml:space="preserve"> states that the instrument commences on the day after the instrument is notified. </w:t>
      </w:r>
    </w:p>
    <w:p w14:paraId="09C476D5" w14:textId="77777777" w:rsidR="00FA5C0F" w:rsidRDefault="00FA5C0F" w:rsidP="00FA5C0F">
      <w:pPr>
        <w:rPr>
          <w:szCs w:val="28"/>
        </w:rPr>
      </w:pPr>
    </w:p>
    <w:p w14:paraId="5B973F52" w14:textId="6A09CED7" w:rsidR="00FA5C0F" w:rsidRDefault="00FA5C0F" w:rsidP="00FA5C0F">
      <w:pPr>
        <w:rPr>
          <w:lang w:eastAsia="en-AU"/>
        </w:rPr>
      </w:pPr>
      <w:r w:rsidRPr="004217C5">
        <w:rPr>
          <w:b/>
          <w:bCs/>
          <w:lang w:eastAsia="en-AU"/>
        </w:rPr>
        <w:t>Clause 3</w:t>
      </w:r>
      <w:r>
        <w:rPr>
          <w:b/>
          <w:lang w:eastAsia="en-AU"/>
        </w:rPr>
        <w:t xml:space="preserve"> </w:t>
      </w:r>
      <w:r w:rsidR="00300A5D">
        <w:rPr>
          <w:lang w:eastAsia="en-AU"/>
        </w:rPr>
        <w:t xml:space="preserve">outlines </w:t>
      </w:r>
      <w:r>
        <w:rPr>
          <w:lang w:eastAsia="en-AU"/>
        </w:rPr>
        <w:t xml:space="preserve">that the instrument is an operational guideline under the </w:t>
      </w:r>
      <w:r w:rsidRPr="00FA5C0F">
        <w:rPr>
          <w:i/>
          <w:iCs/>
          <w:lang w:eastAsia="en-AU"/>
        </w:rPr>
        <w:t>Housing Assistance Act 2007</w:t>
      </w:r>
      <w:r w:rsidR="00560E68">
        <w:rPr>
          <w:i/>
          <w:iCs/>
          <w:lang w:eastAsia="en-AU"/>
        </w:rPr>
        <w:t xml:space="preserve"> </w:t>
      </w:r>
      <w:r w:rsidR="00560E68" w:rsidRPr="00560E68">
        <w:rPr>
          <w:lang w:eastAsia="en-AU"/>
        </w:rPr>
        <w:t>(</w:t>
      </w:r>
      <w:r w:rsidR="00560E68" w:rsidRPr="001F7021">
        <w:rPr>
          <w:b/>
          <w:bCs/>
          <w:lang w:eastAsia="en-AU"/>
        </w:rPr>
        <w:t>HAA</w:t>
      </w:r>
      <w:r w:rsidR="00560E68" w:rsidRPr="00560E68">
        <w:rPr>
          <w:lang w:eastAsia="en-AU"/>
        </w:rPr>
        <w:t>)</w:t>
      </w:r>
      <w:r>
        <w:rPr>
          <w:lang w:eastAsia="en-AU"/>
        </w:rPr>
        <w:t xml:space="preserve">. </w:t>
      </w:r>
      <w:r w:rsidR="0018196E">
        <w:rPr>
          <w:lang w:eastAsia="en-AU"/>
        </w:rPr>
        <w:t>Th</w:t>
      </w:r>
      <w:r>
        <w:rPr>
          <w:lang w:eastAsia="en-AU"/>
        </w:rPr>
        <w:t xml:space="preserve">is instrument </w:t>
      </w:r>
      <w:r w:rsidR="0018196E">
        <w:rPr>
          <w:lang w:eastAsia="en-AU"/>
        </w:rPr>
        <w:t xml:space="preserve">therefore </w:t>
      </w:r>
      <w:r>
        <w:rPr>
          <w:lang w:eastAsia="en-AU"/>
        </w:rPr>
        <w:t>becomes a disallowable instrument according to section 21 (</w:t>
      </w:r>
      <w:r w:rsidR="00682135">
        <w:rPr>
          <w:lang w:eastAsia="en-AU"/>
        </w:rPr>
        <w:t>3</w:t>
      </w:r>
      <w:r>
        <w:rPr>
          <w:lang w:eastAsia="en-AU"/>
        </w:rPr>
        <w:t xml:space="preserve">) of the HAA. </w:t>
      </w:r>
    </w:p>
    <w:p w14:paraId="3CB9FF14" w14:textId="77777777" w:rsidR="00FA5C0F" w:rsidRDefault="00FA5C0F" w:rsidP="00FA5C0F">
      <w:pPr>
        <w:rPr>
          <w:lang w:eastAsia="en-AU"/>
        </w:rPr>
      </w:pPr>
    </w:p>
    <w:p w14:paraId="0FA76370" w14:textId="2B0C4482" w:rsidR="00FA5C0F" w:rsidRDefault="00FA5C0F" w:rsidP="00FA5C0F">
      <w:pPr>
        <w:rPr>
          <w:lang w:eastAsia="en-AU"/>
        </w:rPr>
      </w:pPr>
      <w:r w:rsidRPr="00F11975">
        <w:rPr>
          <w:b/>
          <w:bCs/>
          <w:lang w:eastAsia="en-AU"/>
        </w:rPr>
        <w:t>Clause 4</w:t>
      </w:r>
      <w:r>
        <w:rPr>
          <w:lang w:eastAsia="en-AU"/>
        </w:rPr>
        <w:t xml:space="preserve"> provides guidance on the processes </w:t>
      </w:r>
      <w:r w:rsidRPr="00FA5C0F">
        <w:rPr>
          <w:lang w:eastAsia="en-AU"/>
        </w:rPr>
        <w:t>follow</w:t>
      </w:r>
      <w:r>
        <w:rPr>
          <w:lang w:eastAsia="en-AU"/>
        </w:rPr>
        <w:t xml:space="preserve">ed </w:t>
      </w:r>
      <w:r w:rsidRPr="00FA5C0F">
        <w:rPr>
          <w:lang w:eastAsia="en-AU"/>
        </w:rPr>
        <w:t xml:space="preserve">when reviewing a tenant’s ongoing entitlement to housing assistance under section 25 of the HAA and clause </w:t>
      </w:r>
      <w:r w:rsidR="00851F24">
        <w:rPr>
          <w:lang w:eastAsia="en-AU"/>
        </w:rPr>
        <w:t>31</w:t>
      </w:r>
      <w:r w:rsidRPr="00FA5C0F">
        <w:rPr>
          <w:lang w:eastAsia="en-AU"/>
        </w:rPr>
        <w:t xml:space="preserve"> of the Program.</w:t>
      </w:r>
    </w:p>
    <w:p w14:paraId="10CA72F7" w14:textId="77777777" w:rsidR="00FA5C0F" w:rsidRDefault="00FA5C0F" w:rsidP="00FA5C0F">
      <w:pPr>
        <w:pStyle w:val="NormalWeb"/>
        <w:shd w:val="clear" w:color="auto" w:fill="FFFFFF"/>
        <w:spacing w:before="0" w:beforeAutospacing="0" w:after="0" w:afterAutospacing="0" w:line="276" w:lineRule="atLeast"/>
      </w:pPr>
    </w:p>
    <w:p w14:paraId="10732079" w14:textId="4ED3678C" w:rsidR="00FA5C0F" w:rsidRPr="00FA5C0F" w:rsidRDefault="00FA5C0F" w:rsidP="00FA5C0F">
      <w:pPr>
        <w:pStyle w:val="NormalWeb"/>
        <w:shd w:val="clear" w:color="auto" w:fill="FFFFFF"/>
        <w:spacing w:before="0" w:beforeAutospacing="0" w:after="0" w:afterAutospacing="0" w:line="276" w:lineRule="atLeast"/>
        <w:rPr>
          <w:b/>
          <w:bCs/>
          <w:iCs/>
          <w:color w:val="000000"/>
        </w:rPr>
      </w:pPr>
      <w:r w:rsidRPr="00DB13D8">
        <w:rPr>
          <w:b/>
          <w:bCs/>
        </w:rPr>
        <w:t>Clause 5</w:t>
      </w:r>
      <w:r>
        <w:t xml:space="preserve"> revokes the current </w:t>
      </w:r>
      <w:r w:rsidRPr="0058010D">
        <w:rPr>
          <w:i/>
        </w:rPr>
        <w:t>Housing Assistance Public Rental Housing Assistance Program (</w:t>
      </w:r>
      <w:r>
        <w:rPr>
          <w:i/>
        </w:rPr>
        <w:t>Review of entitlement to housing assistance</w:t>
      </w:r>
      <w:r w:rsidRPr="0058010D">
        <w:rPr>
          <w:i/>
        </w:rPr>
        <w:t xml:space="preserve">) </w:t>
      </w:r>
      <w:r>
        <w:rPr>
          <w:i/>
        </w:rPr>
        <w:t>Operational Guideline</w:t>
      </w:r>
      <w:r w:rsidR="001F7021">
        <w:rPr>
          <w:i/>
        </w:rPr>
        <w:t xml:space="preserve"> </w:t>
      </w:r>
      <w:r>
        <w:t xml:space="preserve"> [NI2013–534].                             </w:t>
      </w:r>
    </w:p>
    <w:sectPr w:rsidR="00FA5C0F" w:rsidRPr="00FA5C0F"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BCC866" w14:textId="77777777" w:rsidR="00C17FAB" w:rsidRDefault="00C17FAB" w:rsidP="00C17FAB">
      <w:r>
        <w:separator/>
      </w:r>
    </w:p>
  </w:endnote>
  <w:endnote w:type="continuationSeparator" w:id="0">
    <w:p w14:paraId="5452E961"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E64CF"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E1BAA" w14:textId="0180A9F4" w:rsidR="00DA3B00" w:rsidRPr="0077475A" w:rsidRDefault="0077475A" w:rsidP="0077475A">
    <w:pPr>
      <w:pStyle w:val="Footer"/>
      <w:jc w:val="center"/>
      <w:rPr>
        <w:rFonts w:cs="Arial"/>
        <w:sz w:val="14"/>
      </w:rPr>
    </w:pPr>
    <w:r w:rsidRPr="0077475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5C1B2"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3E7C97" w14:textId="77777777" w:rsidR="00C17FAB" w:rsidRDefault="00C17FAB" w:rsidP="00C17FAB">
      <w:r>
        <w:separator/>
      </w:r>
    </w:p>
  </w:footnote>
  <w:footnote w:type="continuationSeparator" w:id="0">
    <w:p w14:paraId="2CF0B84D"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19F12"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7AC8B"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1E586"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4E87412"/>
    <w:multiLevelType w:val="hybridMultilevel"/>
    <w:tmpl w:val="E4F2DD0C"/>
    <w:lvl w:ilvl="0" w:tplc="0C090001">
      <w:start w:val="1"/>
      <w:numFmt w:val="bullet"/>
      <w:lvlText w:val=""/>
      <w:lvlJc w:val="left"/>
      <w:pPr>
        <w:ind w:left="720" w:hanging="360"/>
      </w:pPr>
      <w:rPr>
        <w:rFonts w:ascii="Symbol" w:hAnsi="Symbol" w:hint="default"/>
      </w:rPr>
    </w:lvl>
    <w:lvl w:ilvl="1" w:tplc="B228540E">
      <w:numFmt w:val="bullet"/>
      <w:lvlText w:val="•"/>
      <w:lvlJc w:val="left"/>
      <w:pPr>
        <w:ind w:left="1440" w:hanging="360"/>
      </w:pPr>
      <w:rPr>
        <w:rFonts w:ascii="Times New Roman" w:eastAsia="Times New Roman" w:hAnsi="Times New Roman"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EA56A55"/>
    <w:multiLevelType w:val="hybridMultilevel"/>
    <w:tmpl w:val="1212BB02"/>
    <w:lvl w:ilvl="0" w:tplc="CE52BB68">
      <w:start w:val="1"/>
      <w:numFmt w:val="lowerRoman"/>
      <w:lvlText w:val="(%1)"/>
      <w:lvlJc w:val="left"/>
      <w:pPr>
        <w:ind w:left="780" w:hanging="720"/>
      </w:pPr>
      <w:rPr>
        <w:rFonts w:hint="default"/>
      </w:rPr>
    </w:lvl>
    <w:lvl w:ilvl="1" w:tplc="0C090019" w:tentative="1">
      <w:start w:val="1"/>
      <w:numFmt w:val="lowerLetter"/>
      <w:lvlText w:val="%2."/>
      <w:lvlJc w:val="left"/>
      <w:pPr>
        <w:ind w:left="1140" w:hanging="360"/>
      </w:pPr>
    </w:lvl>
    <w:lvl w:ilvl="2" w:tplc="0C09001B" w:tentative="1">
      <w:start w:val="1"/>
      <w:numFmt w:val="lowerRoman"/>
      <w:lvlText w:val="%3."/>
      <w:lvlJc w:val="right"/>
      <w:pPr>
        <w:ind w:left="1860" w:hanging="180"/>
      </w:pPr>
    </w:lvl>
    <w:lvl w:ilvl="3" w:tplc="0C09000F" w:tentative="1">
      <w:start w:val="1"/>
      <w:numFmt w:val="decimal"/>
      <w:lvlText w:val="%4."/>
      <w:lvlJc w:val="left"/>
      <w:pPr>
        <w:ind w:left="2580" w:hanging="360"/>
      </w:pPr>
    </w:lvl>
    <w:lvl w:ilvl="4" w:tplc="0C090019" w:tentative="1">
      <w:start w:val="1"/>
      <w:numFmt w:val="lowerLetter"/>
      <w:lvlText w:val="%5."/>
      <w:lvlJc w:val="left"/>
      <w:pPr>
        <w:ind w:left="3300" w:hanging="360"/>
      </w:pPr>
    </w:lvl>
    <w:lvl w:ilvl="5" w:tplc="0C09001B" w:tentative="1">
      <w:start w:val="1"/>
      <w:numFmt w:val="lowerRoman"/>
      <w:lvlText w:val="%6."/>
      <w:lvlJc w:val="right"/>
      <w:pPr>
        <w:ind w:left="4020" w:hanging="180"/>
      </w:pPr>
    </w:lvl>
    <w:lvl w:ilvl="6" w:tplc="0C09000F" w:tentative="1">
      <w:start w:val="1"/>
      <w:numFmt w:val="decimal"/>
      <w:lvlText w:val="%7."/>
      <w:lvlJc w:val="left"/>
      <w:pPr>
        <w:ind w:left="4740" w:hanging="360"/>
      </w:pPr>
    </w:lvl>
    <w:lvl w:ilvl="7" w:tplc="0C090019" w:tentative="1">
      <w:start w:val="1"/>
      <w:numFmt w:val="lowerLetter"/>
      <w:lvlText w:val="%8."/>
      <w:lvlJc w:val="left"/>
      <w:pPr>
        <w:ind w:left="5460" w:hanging="360"/>
      </w:pPr>
    </w:lvl>
    <w:lvl w:ilvl="8" w:tplc="0C09001B" w:tentative="1">
      <w:start w:val="1"/>
      <w:numFmt w:val="lowerRoman"/>
      <w:lvlText w:val="%9."/>
      <w:lvlJc w:val="right"/>
      <w:pPr>
        <w:ind w:left="6180" w:hanging="180"/>
      </w:pPr>
    </w:lvl>
  </w:abstractNum>
  <w:abstractNum w:abstractNumId="6" w15:restartNumberingAfterBreak="0">
    <w:nsid w:val="20064476"/>
    <w:multiLevelType w:val="hybridMultilevel"/>
    <w:tmpl w:val="5F745FC8"/>
    <w:lvl w:ilvl="0" w:tplc="FFFFFFFF">
      <w:start w:val="1"/>
      <w:numFmt w:val="lowerLetter"/>
      <w:lvlText w:val="(%1)"/>
      <w:lvlJc w:val="left"/>
      <w:pPr>
        <w:ind w:left="785" w:hanging="360"/>
      </w:pPr>
      <w:rPr>
        <w:rFonts w:hint="default"/>
      </w:rPr>
    </w:lvl>
    <w:lvl w:ilvl="1" w:tplc="0C090003" w:tentative="1">
      <w:start w:val="1"/>
      <w:numFmt w:val="bullet"/>
      <w:lvlText w:val="o"/>
      <w:lvlJc w:val="left"/>
      <w:pPr>
        <w:ind w:left="1505" w:hanging="360"/>
      </w:pPr>
      <w:rPr>
        <w:rFonts w:ascii="Courier New" w:hAnsi="Courier New" w:cs="Courier New" w:hint="default"/>
      </w:rPr>
    </w:lvl>
    <w:lvl w:ilvl="2" w:tplc="0C090005" w:tentative="1">
      <w:start w:val="1"/>
      <w:numFmt w:val="bullet"/>
      <w:lvlText w:val=""/>
      <w:lvlJc w:val="left"/>
      <w:pPr>
        <w:ind w:left="2225" w:hanging="360"/>
      </w:pPr>
      <w:rPr>
        <w:rFonts w:ascii="Wingdings" w:hAnsi="Wingdings" w:hint="default"/>
      </w:rPr>
    </w:lvl>
    <w:lvl w:ilvl="3" w:tplc="0C090001" w:tentative="1">
      <w:start w:val="1"/>
      <w:numFmt w:val="bullet"/>
      <w:lvlText w:val=""/>
      <w:lvlJc w:val="left"/>
      <w:pPr>
        <w:ind w:left="2945" w:hanging="360"/>
      </w:pPr>
      <w:rPr>
        <w:rFonts w:ascii="Symbol" w:hAnsi="Symbol" w:hint="default"/>
      </w:rPr>
    </w:lvl>
    <w:lvl w:ilvl="4" w:tplc="0C090003" w:tentative="1">
      <w:start w:val="1"/>
      <w:numFmt w:val="bullet"/>
      <w:lvlText w:val="o"/>
      <w:lvlJc w:val="left"/>
      <w:pPr>
        <w:ind w:left="3665" w:hanging="360"/>
      </w:pPr>
      <w:rPr>
        <w:rFonts w:ascii="Courier New" w:hAnsi="Courier New" w:cs="Courier New" w:hint="default"/>
      </w:rPr>
    </w:lvl>
    <w:lvl w:ilvl="5" w:tplc="0C090005" w:tentative="1">
      <w:start w:val="1"/>
      <w:numFmt w:val="bullet"/>
      <w:lvlText w:val=""/>
      <w:lvlJc w:val="left"/>
      <w:pPr>
        <w:ind w:left="4385" w:hanging="360"/>
      </w:pPr>
      <w:rPr>
        <w:rFonts w:ascii="Wingdings" w:hAnsi="Wingdings" w:hint="default"/>
      </w:rPr>
    </w:lvl>
    <w:lvl w:ilvl="6" w:tplc="0C090001" w:tentative="1">
      <w:start w:val="1"/>
      <w:numFmt w:val="bullet"/>
      <w:lvlText w:val=""/>
      <w:lvlJc w:val="left"/>
      <w:pPr>
        <w:ind w:left="5105" w:hanging="360"/>
      </w:pPr>
      <w:rPr>
        <w:rFonts w:ascii="Symbol" w:hAnsi="Symbol" w:hint="default"/>
      </w:rPr>
    </w:lvl>
    <w:lvl w:ilvl="7" w:tplc="0C090003" w:tentative="1">
      <w:start w:val="1"/>
      <w:numFmt w:val="bullet"/>
      <w:lvlText w:val="o"/>
      <w:lvlJc w:val="left"/>
      <w:pPr>
        <w:ind w:left="5825" w:hanging="360"/>
      </w:pPr>
      <w:rPr>
        <w:rFonts w:ascii="Courier New" w:hAnsi="Courier New" w:cs="Courier New" w:hint="default"/>
      </w:rPr>
    </w:lvl>
    <w:lvl w:ilvl="8" w:tplc="0C090005" w:tentative="1">
      <w:start w:val="1"/>
      <w:numFmt w:val="bullet"/>
      <w:lvlText w:val=""/>
      <w:lvlJc w:val="left"/>
      <w:pPr>
        <w:ind w:left="6545" w:hanging="360"/>
      </w:pPr>
      <w:rPr>
        <w:rFonts w:ascii="Wingdings" w:hAnsi="Wingdings" w:hint="default"/>
      </w:rPr>
    </w:lvl>
  </w:abstractNum>
  <w:abstractNum w:abstractNumId="7" w15:restartNumberingAfterBreak="0">
    <w:nsid w:val="341D0C91"/>
    <w:multiLevelType w:val="hybridMultilevel"/>
    <w:tmpl w:val="5F745FC8"/>
    <w:lvl w:ilvl="0" w:tplc="FFFFFFFF">
      <w:start w:val="1"/>
      <w:numFmt w:val="lowerLetter"/>
      <w:lvlText w:val="(%1)"/>
      <w:lvlJc w:val="left"/>
      <w:pPr>
        <w:ind w:left="785" w:hanging="360"/>
      </w:pPr>
      <w:rPr>
        <w:rFonts w:hint="default"/>
      </w:rPr>
    </w:lvl>
    <w:lvl w:ilvl="1" w:tplc="FFFFFFFF" w:tentative="1">
      <w:start w:val="1"/>
      <w:numFmt w:val="bullet"/>
      <w:lvlText w:val="o"/>
      <w:lvlJc w:val="left"/>
      <w:pPr>
        <w:ind w:left="1505" w:hanging="360"/>
      </w:pPr>
      <w:rPr>
        <w:rFonts w:ascii="Courier New" w:hAnsi="Courier New" w:cs="Courier New" w:hint="default"/>
      </w:rPr>
    </w:lvl>
    <w:lvl w:ilvl="2" w:tplc="FFFFFFFF" w:tentative="1">
      <w:start w:val="1"/>
      <w:numFmt w:val="bullet"/>
      <w:lvlText w:val=""/>
      <w:lvlJc w:val="left"/>
      <w:pPr>
        <w:ind w:left="2225" w:hanging="360"/>
      </w:pPr>
      <w:rPr>
        <w:rFonts w:ascii="Wingdings" w:hAnsi="Wingdings" w:hint="default"/>
      </w:rPr>
    </w:lvl>
    <w:lvl w:ilvl="3" w:tplc="FFFFFFFF" w:tentative="1">
      <w:start w:val="1"/>
      <w:numFmt w:val="bullet"/>
      <w:lvlText w:val=""/>
      <w:lvlJc w:val="left"/>
      <w:pPr>
        <w:ind w:left="2945" w:hanging="360"/>
      </w:pPr>
      <w:rPr>
        <w:rFonts w:ascii="Symbol" w:hAnsi="Symbol" w:hint="default"/>
      </w:rPr>
    </w:lvl>
    <w:lvl w:ilvl="4" w:tplc="FFFFFFFF" w:tentative="1">
      <w:start w:val="1"/>
      <w:numFmt w:val="bullet"/>
      <w:lvlText w:val="o"/>
      <w:lvlJc w:val="left"/>
      <w:pPr>
        <w:ind w:left="3665" w:hanging="360"/>
      </w:pPr>
      <w:rPr>
        <w:rFonts w:ascii="Courier New" w:hAnsi="Courier New" w:cs="Courier New" w:hint="default"/>
      </w:rPr>
    </w:lvl>
    <w:lvl w:ilvl="5" w:tplc="FFFFFFFF" w:tentative="1">
      <w:start w:val="1"/>
      <w:numFmt w:val="bullet"/>
      <w:lvlText w:val=""/>
      <w:lvlJc w:val="left"/>
      <w:pPr>
        <w:ind w:left="4385" w:hanging="360"/>
      </w:pPr>
      <w:rPr>
        <w:rFonts w:ascii="Wingdings" w:hAnsi="Wingdings" w:hint="default"/>
      </w:rPr>
    </w:lvl>
    <w:lvl w:ilvl="6" w:tplc="FFFFFFFF" w:tentative="1">
      <w:start w:val="1"/>
      <w:numFmt w:val="bullet"/>
      <w:lvlText w:val=""/>
      <w:lvlJc w:val="left"/>
      <w:pPr>
        <w:ind w:left="5105" w:hanging="360"/>
      </w:pPr>
      <w:rPr>
        <w:rFonts w:ascii="Symbol" w:hAnsi="Symbol" w:hint="default"/>
      </w:rPr>
    </w:lvl>
    <w:lvl w:ilvl="7" w:tplc="FFFFFFFF" w:tentative="1">
      <w:start w:val="1"/>
      <w:numFmt w:val="bullet"/>
      <w:lvlText w:val="o"/>
      <w:lvlJc w:val="left"/>
      <w:pPr>
        <w:ind w:left="5825" w:hanging="360"/>
      </w:pPr>
      <w:rPr>
        <w:rFonts w:ascii="Courier New" w:hAnsi="Courier New" w:cs="Courier New" w:hint="default"/>
      </w:rPr>
    </w:lvl>
    <w:lvl w:ilvl="8" w:tplc="FFFFFFFF" w:tentative="1">
      <w:start w:val="1"/>
      <w:numFmt w:val="bullet"/>
      <w:lvlText w:val=""/>
      <w:lvlJc w:val="left"/>
      <w:pPr>
        <w:ind w:left="6545" w:hanging="360"/>
      </w:pPr>
      <w:rPr>
        <w:rFonts w:ascii="Wingdings" w:hAnsi="Wingdings" w:hint="default"/>
      </w:r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4C714C12"/>
    <w:multiLevelType w:val="hybridMultilevel"/>
    <w:tmpl w:val="453EAE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37D2116"/>
    <w:multiLevelType w:val="hybridMultilevel"/>
    <w:tmpl w:val="D7241B36"/>
    <w:lvl w:ilvl="0" w:tplc="5AC22E68">
      <w:start w:val="1"/>
      <w:numFmt w:val="lowerLetter"/>
      <w:lvlText w:val="(%1)"/>
      <w:lvlJc w:val="left"/>
      <w:pPr>
        <w:ind w:left="420" w:hanging="360"/>
      </w:pPr>
      <w:rPr>
        <w:rFonts w:hint="default"/>
      </w:rPr>
    </w:lvl>
    <w:lvl w:ilvl="1" w:tplc="0C090019" w:tentative="1">
      <w:start w:val="1"/>
      <w:numFmt w:val="lowerLetter"/>
      <w:lvlText w:val="%2."/>
      <w:lvlJc w:val="left"/>
      <w:pPr>
        <w:ind w:left="1140" w:hanging="360"/>
      </w:pPr>
    </w:lvl>
    <w:lvl w:ilvl="2" w:tplc="0C09001B" w:tentative="1">
      <w:start w:val="1"/>
      <w:numFmt w:val="lowerRoman"/>
      <w:lvlText w:val="%3."/>
      <w:lvlJc w:val="right"/>
      <w:pPr>
        <w:ind w:left="1860" w:hanging="180"/>
      </w:pPr>
    </w:lvl>
    <w:lvl w:ilvl="3" w:tplc="0C09000F" w:tentative="1">
      <w:start w:val="1"/>
      <w:numFmt w:val="decimal"/>
      <w:lvlText w:val="%4."/>
      <w:lvlJc w:val="left"/>
      <w:pPr>
        <w:ind w:left="2580" w:hanging="360"/>
      </w:pPr>
    </w:lvl>
    <w:lvl w:ilvl="4" w:tplc="0C090019" w:tentative="1">
      <w:start w:val="1"/>
      <w:numFmt w:val="lowerLetter"/>
      <w:lvlText w:val="%5."/>
      <w:lvlJc w:val="left"/>
      <w:pPr>
        <w:ind w:left="3300" w:hanging="360"/>
      </w:pPr>
    </w:lvl>
    <w:lvl w:ilvl="5" w:tplc="0C09001B" w:tentative="1">
      <w:start w:val="1"/>
      <w:numFmt w:val="lowerRoman"/>
      <w:lvlText w:val="%6."/>
      <w:lvlJc w:val="right"/>
      <w:pPr>
        <w:ind w:left="4020" w:hanging="180"/>
      </w:pPr>
    </w:lvl>
    <w:lvl w:ilvl="6" w:tplc="0C09000F" w:tentative="1">
      <w:start w:val="1"/>
      <w:numFmt w:val="decimal"/>
      <w:lvlText w:val="%7."/>
      <w:lvlJc w:val="left"/>
      <w:pPr>
        <w:ind w:left="4740" w:hanging="360"/>
      </w:pPr>
    </w:lvl>
    <w:lvl w:ilvl="7" w:tplc="0C090019" w:tentative="1">
      <w:start w:val="1"/>
      <w:numFmt w:val="lowerLetter"/>
      <w:lvlText w:val="%8."/>
      <w:lvlJc w:val="left"/>
      <w:pPr>
        <w:ind w:left="5460" w:hanging="360"/>
      </w:pPr>
    </w:lvl>
    <w:lvl w:ilvl="8" w:tplc="0C09001B" w:tentative="1">
      <w:start w:val="1"/>
      <w:numFmt w:val="lowerRoman"/>
      <w:lvlText w:val="%9."/>
      <w:lvlJc w:val="right"/>
      <w:pPr>
        <w:ind w:left="6180" w:hanging="180"/>
      </w:pPr>
    </w:lvl>
  </w:abstractNum>
  <w:abstractNum w:abstractNumId="1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4" w15:restartNumberingAfterBreak="0">
    <w:nsid w:val="7A666A89"/>
    <w:multiLevelType w:val="hybridMultilevel"/>
    <w:tmpl w:val="B2A87B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887838890">
    <w:abstractNumId w:val="3"/>
  </w:num>
  <w:num w:numId="2" w16cid:durableId="1481073262">
    <w:abstractNumId w:val="0"/>
  </w:num>
  <w:num w:numId="3" w16cid:durableId="2034725585">
    <w:abstractNumId w:val="4"/>
  </w:num>
  <w:num w:numId="4" w16cid:durableId="428502525">
    <w:abstractNumId w:val="10"/>
  </w:num>
  <w:num w:numId="5" w16cid:durableId="1374502111">
    <w:abstractNumId w:val="13"/>
  </w:num>
  <w:num w:numId="6" w16cid:durableId="210581362">
    <w:abstractNumId w:val="2"/>
  </w:num>
  <w:num w:numId="7" w16cid:durableId="1282297993">
    <w:abstractNumId w:val="8"/>
  </w:num>
  <w:num w:numId="8" w16cid:durableId="1692564228">
    <w:abstractNumId w:val="9"/>
  </w:num>
  <w:num w:numId="9" w16cid:durableId="578708585">
    <w:abstractNumId w:val="15"/>
  </w:num>
  <w:num w:numId="10" w16cid:durableId="1773430685">
    <w:abstractNumId w:val="1"/>
  </w:num>
  <w:num w:numId="11" w16cid:durableId="673217562">
    <w:abstractNumId w:val="11"/>
  </w:num>
  <w:num w:numId="12" w16cid:durableId="313146085">
    <w:abstractNumId w:val="12"/>
  </w:num>
  <w:num w:numId="13" w16cid:durableId="1782844091">
    <w:abstractNumId w:val="5"/>
  </w:num>
  <w:num w:numId="14" w16cid:durableId="590704139">
    <w:abstractNumId w:val="6"/>
  </w:num>
  <w:num w:numId="15" w16cid:durableId="1276249454">
    <w:abstractNumId w:val="14"/>
  </w:num>
  <w:num w:numId="16" w16cid:durableId="112777445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1543C5"/>
    <w:rsid w:val="0018196E"/>
    <w:rsid w:val="001F7021"/>
    <w:rsid w:val="00203346"/>
    <w:rsid w:val="00226F70"/>
    <w:rsid w:val="00293F38"/>
    <w:rsid w:val="002D7C60"/>
    <w:rsid w:val="002F09F7"/>
    <w:rsid w:val="002F697E"/>
    <w:rsid w:val="00300A5D"/>
    <w:rsid w:val="003123DD"/>
    <w:rsid w:val="003143FE"/>
    <w:rsid w:val="00362E06"/>
    <w:rsid w:val="003656C8"/>
    <w:rsid w:val="00377863"/>
    <w:rsid w:val="00390224"/>
    <w:rsid w:val="004217C5"/>
    <w:rsid w:val="0045657A"/>
    <w:rsid w:val="004677AC"/>
    <w:rsid w:val="00493885"/>
    <w:rsid w:val="004A22B1"/>
    <w:rsid w:val="004B27EB"/>
    <w:rsid w:val="004D5375"/>
    <w:rsid w:val="00560E68"/>
    <w:rsid w:val="00587A42"/>
    <w:rsid w:val="0061084B"/>
    <w:rsid w:val="0062450A"/>
    <w:rsid w:val="006448A9"/>
    <w:rsid w:val="00682135"/>
    <w:rsid w:val="006A4262"/>
    <w:rsid w:val="007346AC"/>
    <w:rsid w:val="00737FA1"/>
    <w:rsid w:val="00745CA9"/>
    <w:rsid w:val="0077475A"/>
    <w:rsid w:val="007F617E"/>
    <w:rsid w:val="008054AA"/>
    <w:rsid w:val="008163C5"/>
    <w:rsid w:val="00851F24"/>
    <w:rsid w:val="008741B9"/>
    <w:rsid w:val="008F6F0D"/>
    <w:rsid w:val="0092132C"/>
    <w:rsid w:val="009508A5"/>
    <w:rsid w:val="00955408"/>
    <w:rsid w:val="009749F3"/>
    <w:rsid w:val="009A4456"/>
    <w:rsid w:val="009B50D9"/>
    <w:rsid w:val="009C49BD"/>
    <w:rsid w:val="009C5949"/>
    <w:rsid w:val="009E6024"/>
    <w:rsid w:val="00B3711C"/>
    <w:rsid w:val="00BE16A5"/>
    <w:rsid w:val="00C17FAB"/>
    <w:rsid w:val="00C37B1E"/>
    <w:rsid w:val="00C96C16"/>
    <w:rsid w:val="00CE599C"/>
    <w:rsid w:val="00D209BB"/>
    <w:rsid w:val="00D57B6A"/>
    <w:rsid w:val="00D840F5"/>
    <w:rsid w:val="00DA2BC9"/>
    <w:rsid w:val="00DA3B00"/>
    <w:rsid w:val="00DB13D8"/>
    <w:rsid w:val="00DC3201"/>
    <w:rsid w:val="00E7263F"/>
    <w:rsid w:val="00EB262C"/>
    <w:rsid w:val="00EF2333"/>
    <w:rsid w:val="00F158D6"/>
    <w:rsid w:val="00FA5C0F"/>
    <w:rsid w:val="00FD75CE"/>
    <w:rsid w:val="00FE2E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366C45"/>
  <w15:docId w15:val="{A7CCA41D-2730-40B4-B459-7E7ABDFEB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NormalWeb">
    <w:name w:val="Normal (Web)"/>
    <w:basedOn w:val="Normal"/>
    <w:uiPriority w:val="99"/>
    <w:unhideWhenUsed/>
    <w:rsid w:val="009C49BD"/>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61084B"/>
    <w:rPr>
      <w:sz w:val="16"/>
      <w:szCs w:val="16"/>
    </w:rPr>
  </w:style>
  <w:style w:type="paragraph" w:styleId="CommentText">
    <w:name w:val="annotation text"/>
    <w:basedOn w:val="Normal"/>
    <w:link w:val="CommentTextChar"/>
    <w:uiPriority w:val="99"/>
    <w:unhideWhenUsed/>
    <w:rsid w:val="0061084B"/>
    <w:rPr>
      <w:sz w:val="20"/>
    </w:rPr>
  </w:style>
  <w:style w:type="character" w:customStyle="1" w:styleId="CommentTextChar">
    <w:name w:val="Comment Text Char"/>
    <w:basedOn w:val="DefaultParagraphFont"/>
    <w:link w:val="CommentText"/>
    <w:uiPriority w:val="99"/>
    <w:rsid w:val="0061084B"/>
    <w:rPr>
      <w:lang w:eastAsia="en-US"/>
    </w:rPr>
  </w:style>
  <w:style w:type="paragraph" w:styleId="CommentSubject">
    <w:name w:val="annotation subject"/>
    <w:basedOn w:val="CommentText"/>
    <w:next w:val="CommentText"/>
    <w:link w:val="CommentSubjectChar"/>
    <w:uiPriority w:val="99"/>
    <w:semiHidden/>
    <w:unhideWhenUsed/>
    <w:rsid w:val="0061084B"/>
    <w:rPr>
      <w:b/>
      <w:bCs/>
    </w:rPr>
  </w:style>
  <w:style w:type="character" w:customStyle="1" w:styleId="CommentSubjectChar">
    <w:name w:val="Comment Subject Char"/>
    <w:basedOn w:val="CommentTextChar"/>
    <w:link w:val="CommentSubject"/>
    <w:uiPriority w:val="99"/>
    <w:semiHidden/>
    <w:rsid w:val="0061084B"/>
    <w:rPr>
      <w:b/>
      <w:bCs/>
      <w:lang w:eastAsia="en-US"/>
    </w:rPr>
  </w:style>
  <w:style w:type="paragraph" w:styleId="Revision">
    <w:name w:val="Revision"/>
    <w:hidden/>
    <w:uiPriority w:val="99"/>
    <w:semiHidden/>
    <w:rsid w:val="00300A5D"/>
    <w:rPr>
      <w:sz w:val="24"/>
      <w:lang w:eastAsia="en-US"/>
    </w:rPr>
  </w:style>
  <w:style w:type="paragraph" w:styleId="ListParagraph">
    <w:name w:val="List Paragraph"/>
    <w:aliases w:val="List Paragraph1,Recommendation,List Paragraph11,List Paragraph111,L,F5 List Paragraph,Dot pt,CV text,Table text,Medium Grid 1 - Accent 21,Numbered Paragraph,List Paragraph2,NFP GP Bulleted List,FooterText,numbered,Paragraphe de liste1,列出段"/>
    <w:basedOn w:val="Normal"/>
    <w:link w:val="ListParagraphChar"/>
    <w:uiPriority w:val="34"/>
    <w:qFormat/>
    <w:rsid w:val="006A4262"/>
    <w:pPr>
      <w:ind w:left="720"/>
      <w:contextualSpacing/>
    </w:pPr>
  </w:style>
  <w:style w:type="character" w:customStyle="1" w:styleId="ListParagraphChar">
    <w:name w:val="List Paragraph Char"/>
    <w:aliases w:val="List Paragraph1 Char,Recommendation Char,List Paragraph11 Char,List Paragraph111 Char,L Char,F5 List Paragraph Char,Dot pt Char,CV text Char,Table text Char,Medium Grid 1 - Accent 21 Char,Numbered Paragraph Char,List Paragraph2 Char"/>
    <w:basedOn w:val="DefaultParagraphFont"/>
    <w:link w:val="ListParagraph"/>
    <w:uiPriority w:val="34"/>
    <w:locked/>
    <w:rsid w:val="00851F24"/>
    <w:rPr>
      <w:sz w:val="24"/>
      <w:lang w:eastAsia="en-US"/>
    </w:rPr>
  </w:style>
  <w:style w:type="character" w:customStyle="1" w:styleId="Calibri12">
    <w:name w:val="Calibri 12"/>
    <w:basedOn w:val="DefaultParagraphFont"/>
    <w:uiPriority w:val="1"/>
    <w:qFormat/>
    <w:rsid w:val="00851F24"/>
    <w:rPr>
      <w:rFonts w:ascii="Calibri" w:hAnsi="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2213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1049</Words>
  <Characters>5866</Characters>
  <Application>Microsoft Office Word</Application>
  <DocSecurity>0</DocSecurity>
  <Lines>132</Lines>
  <Paragraphs>36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2023-05-26T05:53:00Z</dcterms:created>
  <dcterms:modified xsi:type="dcterms:W3CDTF">2023-05-26T05:53:00Z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10542711</vt:lpwstr>
  </property>
  <property fmtid="{D5CDD505-2E9C-101B-9397-08002B2CF9AE}" pid="3" name="CHECKEDOUTFROMJMS">
    <vt:lpwstr/>
  </property>
  <property fmtid="{D5CDD505-2E9C-101B-9397-08002B2CF9AE}" pid="4" name="JMSREQUIREDCHECKIN">
    <vt:lpwstr/>
  </property>
</Properties>
</file>