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2BD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F0B0038" w14:textId="78076ADF" w:rsidR="00C17FAB" w:rsidRDefault="00E27DB9">
      <w:pPr>
        <w:pStyle w:val="Billname"/>
        <w:spacing w:before="700"/>
      </w:pPr>
      <w:r>
        <w:t>Plastic Reduction</w:t>
      </w:r>
      <w:r w:rsidR="00FD75CE">
        <w:t xml:space="preserve"> (</w:t>
      </w:r>
      <w:r>
        <w:t>Single-use Plastic Products</w:t>
      </w:r>
      <w:r w:rsidR="00FD75CE">
        <w:t xml:space="preserve">) </w:t>
      </w:r>
      <w:r>
        <w:t>Exemption</w:t>
      </w:r>
      <w:r w:rsidR="00FD75CE">
        <w:t xml:space="preserve"> </w:t>
      </w:r>
      <w:r>
        <w:t>2023</w:t>
      </w:r>
    </w:p>
    <w:p w14:paraId="44143CC2" w14:textId="0DBE3755" w:rsidR="00C17FAB" w:rsidRDefault="002D7C60" w:rsidP="00DA3B00">
      <w:pPr>
        <w:spacing w:before="340"/>
        <w:rPr>
          <w:rFonts w:ascii="Arial" w:hAnsi="Arial" w:cs="Arial"/>
          <w:b/>
          <w:bCs/>
        </w:rPr>
      </w:pPr>
      <w:r>
        <w:rPr>
          <w:rFonts w:ascii="Arial" w:hAnsi="Arial" w:cs="Arial"/>
          <w:b/>
          <w:bCs/>
        </w:rPr>
        <w:t>Disallowable instrument DI</w:t>
      </w:r>
      <w:r w:rsidR="00E27DB9">
        <w:rPr>
          <w:rFonts w:ascii="Arial" w:hAnsi="Arial" w:cs="Arial"/>
          <w:b/>
          <w:bCs/>
        </w:rPr>
        <w:t>2023</w:t>
      </w:r>
      <w:r w:rsidR="00C17FAB">
        <w:rPr>
          <w:rFonts w:ascii="Arial" w:hAnsi="Arial" w:cs="Arial"/>
          <w:b/>
          <w:bCs/>
        </w:rPr>
        <w:t>–</w:t>
      </w:r>
      <w:r w:rsidR="008C4BB8">
        <w:rPr>
          <w:rFonts w:ascii="Arial" w:hAnsi="Arial" w:cs="Arial"/>
          <w:b/>
          <w:bCs/>
        </w:rPr>
        <w:t>99</w:t>
      </w:r>
    </w:p>
    <w:p w14:paraId="576BC534" w14:textId="77777777" w:rsidR="00C17FAB" w:rsidRDefault="00C17FAB" w:rsidP="00DA3B00">
      <w:pPr>
        <w:pStyle w:val="madeunder"/>
        <w:spacing w:before="300" w:after="0"/>
      </w:pPr>
      <w:r>
        <w:t xml:space="preserve">made under the  </w:t>
      </w:r>
    </w:p>
    <w:p w14:paraId="5C7936DA" w14:textId="57C67DEF" w:rsidR="00C17FAB" w:rsidRDefault="00E27DB9" w:rsidP="00DA3B00">
      <w:pPr>
        <w:pStyle w:val="CoverActName"/>
        <w:spacing w:before="320" w:after="0"/>
        <w:rPr>
          <w:rFonts w:cs="Arial"/>
          <w:sz w:val="20"/>
        </w:rPr>
      </w:pPr>
      <w:r>
        <w:rPr>
          <w:rFonts w:cs="Arial"/>
          <w:sz w:val="20"/>
        </w:rPr>
        <w:t>Plastic Reduction Act 2021</w:t>
      </w:r>
      <w:r w:rsidR="00C17FAB">
        <w:rPr>
          <w:rFonts w:cs="Arial"/>
          <w:sz w:val="20"/>
        </w:rPr>
        <w:t xml:space="preserve">, </w:t>
      </w:r>
      <w:r>
        <w:rPr>
          <w:rFonts w:cs="Arial"/>
          <w:sz w:val="20"/>
        </w:rPr>
        <w:t>section 17</w:t>
      </w:r>
      <w:r w:rsidR="00C17FAB">
        <w:rPr>
          <w:rFonts w:cs="Arial"/>
          <w:sz w:val="20"/>
        </w:rPr>
        <w:t xml:space="preserve"> (</w:t>
      </w:r>
      <w:r>
        <w:rPr>
          <w:rFonts w:cs="Arial"/>
          <w:sz w:val="20"/>
        </w:rPr>
        <w:t>Minister may exempt person or product</w:t>
      </w:r>
      <w:r w:rsidR="00C17FAB">
        <w:rPr>
          <w:rFonts w:cs="Arial"/>
          <w:sz w:val="20"/>
        </w:rPr>
        <w:t>)</w:t>
      </w:r>
    </w:p>
    <w:p w14:paraId="313A36A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150000F" w14:textId="77777777" w:rsidR="00C17FAB" w:rsidRDefault="00C17FAB">
      <w:pPr>
        <w:pStyle w:val="N-line3"/>
        <w:pBdr>
          <w:bottom w:val="none" w:sz="0" w:space="0" w:color="auto"/>
        </w:pBdr>
      </w:pPr>
    </w:p>
    <w:p w14:paraId="151F134C" w14:textId="77777777" w:rsidR="00C17FAB" w:rsidRDefault="00C17FAB">
      <w:pPr>
        <w:pStyle w:val="N-line3"/>
        <w:pBdr>
          <w:top w:val="single" w:sz="12" w:space="1" w:color="auto"/>
          <w:bottom w:val="none" w:sz="0" w:space="0" w:color="auto"/>
        </w:pBdr>
      </w:pPr>
    </w:p>
    <w:bookmarkEnd w:id="0"/>
    <w:p w14:paraId="3B11F88E" w14:textId="5E18F539" w:rsidR="00123C9C" w:rsidRPr="00CC28DE" w:rsidRDefault="00123C9C" w:rsidP="00123C9C">
      <w:pPr>
        <w:pStyle w:val="Heading2"/>
        <w:jc w:val="left"/>
        <w:rPr>
          <w:b/>
          <w:bCs/>
          <w:i w:val="0"/>
          <w:iCs w:val="0"/>
          <w:sz w:val="24"/>
          <w:szCs w:val="24"/>
        </w:rPr>
      </w:pPr>
      <w:r w:rsidRPr="00CC28DE">
        <w:rPr>
          <w:b/>
          <w:bCs/>
          <w:i w:val="0"/>
          <w:iCs w:val="0"/>
          <w:sz w:val="24"/>
          <w:szCs w:val="24"/>
        </w:rPr>
        <w:t>Overview</w:t>
      </w:r>
    </w:p>
    <w:p w14:paraId="7E8467A4" w14:textId="77777777" w:rsidR="00123C9C" w:rsidRPr="00123C9C" w:rsidRDefault="00123C9C" w:rsidP="00123C9C"/>
    <w:p w14:paraId="72BEBEF6" w14:textId="6CFB0B92" w:rsidR="007D7F65" w:rsidRPr="007D7F65" w:rsidRDefault="007D7F65" w:rsidP="00123C9C">
      <w:r w:rsidRPr="007D7F65">
        <w:t xml:space="preserve">Section 4 of the </w:t>
      </w:r>
      <w:r w:rsidRPr="007D7F65">
        <w:rPr>
          <w:i/>
          <w:iCs/>
        </w:rPr>
        <w:t xml:space="preserve">Plastic Reduction </w:t>
      </w:r>
      <w:r w:rsidR="00155473">
        <w:rPr>
          <w:i/>
          <w:iCs/>
        </w:rPr>
        <w:t xml:space="preserve">Amendment </w:t>
      </w:r>
      <w:r w:rsidRPr="007D7F65">
        <w:rPr>
          <w:i/>
          <w:iCs/>
        </w:rPr>
        <w:t>Regulation 202</w:t>
      </w:r>
      <w:r w:rsidR="00155473">
        <w:rPr>
          <w:i/>
          <w:iCs/>
        </w:rPr>
        <w:t>3</w:t>
      </w:r>
      <w:r w:rsidRPr="007D7F65">
        <w:t xml:space="preserve"> prescribes a single-use plastic plate, and a single-use plastic bowl as prohibited plastic products under section 7 of the </w:t>
      </w:r>
      <w:r w:rsidRPr="007D7F65">
        <w:rPr>
          <w:i/>
          <w:iCs/>
        </w:rPr>
        <w:t>Plastic Reduction Act 2021</w:t>
      </w:r>
      <w:r w:rsidRPr="007D7F65">
        <w:t xml:space="preserve"> (the Act), and under section 10 of the Act it is an offence to supply these products. </w:t>
      </w:r>
    </w:p>
    <w:p w14:paraId="79E838E2" w14:textId="77777777" w:rsidR="00123C9C" w:rsidRDefault="00123C9C" w:rsidP="00123C9C"/>
    <w:p w14:paraId="345D9F1E" w14:textId="5998CCFA" w:rsidR="00123C9C" w:rsidRDefault="00123C9C" w:rsidP="00123C9C">
      <w:r w:rsidRPr="001A75F2">
        <w:t>Section 17 of the</w:t>
      </w:r>
      <w:r w:rsidR="003E716C">
        <w:t xml:space="preserve"> Act</w:t>
      </w:r>
      <w:r w:rsidRPr="001A75F2">
        <w:t xml:space="preserve"> provides that the Minister may exempt a person or a plastic product from provisions of the Act. The Minister may make an exemption on application or on the Minister’s own initiative.</w:t>
      </w:r>
    </w:p>
    <w:p w14:paraId="5CEAEC42" w14:textId="77777777" w:rsidR="00123C9C" w:rsidRDefault="00123C9C" w:rsidP="00123C9C"/>
    <w:p w14:paraId="06AE02DD" w14:textId="3B767924" w:rsidR="00123C9C" w:rsidRDefault="00123C9C" w:rsidP="00123C9C">
      <w:r w:rsidRPr="001A75F2">
        <w:t xml:space="preserve">This instrument provides an exemption to allow </w:t>
      </w:r>
      <w:r>
        <w:t xml:space="preserve">single-use paper or cardboard plates lined with plastic, and single-use paper or carboard bowls lined with plastic, </w:t>
      </w:r>
      <w:r w:rsidRPr="001A75F2">
        <w:t xml:space="preserve">to be supplied and has been made on the Minister’s own initiative. </w:t>
      </w:r>
    </w:p>
    <w:p w14:paraId="4B1239C3" w14:textId="77777777" w:rsidR="00123C9C" w:rsidRDefault="00123C9C" w:rsidP="00123C9C"/>
    <w:p w14:paraId="5CB09E44" w14:textId="153EC5F5" w:rsidR="00123C9C" w:rsidRDefault="00123C9C" w:rsidP="00123C9C">
      <w:r w:rsidRPr="001A75F2">
        <w:t>There is currently no practicable alternative to th</w:t>
      </w:r>
      <w:r>
        <w:t>ese</w:t>
      </w:r>
      <w:r w:rsidRPr="001A75F2">
        <w:t xml:space="preserve"> product</w:t>
      </w:r>
      <w:r>
        <w:t>s,</w:t>
      </w:r>
      <w:r w:rsidRPr="001A75F2">
        <w:t xml:space="preserve"> as</w:t>
      </w:r>
      <w:r>
        <w:t xml:space="preserve"> paper and cardboard plates and bowls have a</w:t>
      </w:r>
      <w:r w:rsidRPr="00225394">
        <w:t xml:space="preserve"> thin lining</w:t>
      </w:r>
      <w:r>
        <w:t xml:space="preserve">, </w:t>
      </w:r>
      <w:r w:rsidRPr="00225394">
        <w:t>usually made from polyethylene (PE).</w:t>
      </w:r>
      <w:r>
        <w:t xml:space="preserve"> This applies to all printed items, coloured items, and white or natural-coloured items. This lining is re</w:t>
      </w:r>
      <w:r w:rsidRPr="00BE6002">
        <w:t>quire</w:t>
      </w:r>
      <w:r>
        <w:t>d as</w:t>
      </w:r>
      <w:r w:rsidRPr="00BE6002">
        <w:t xml:space="preserve"> a barrier to prevent inks transferring or contaminating the foodstuff</w:t>
      </w:r>
      <w:r>
        <w:t>, to</w:t>
      </w:r>
      <w:r w:rsidRPr="00BE6002">
        <w:t xml:space="preserve"> be deemed food safe.</w:t>
      </w:r>
      <w:r>
        <w:t xml:space="preserve"> Additionally, the plastic helps to </w:t>
      </w:r>
      <w:r w:rsidRPr="00225394">
        <w:t xml:space="preserve">maintain </w:t>
      </w:r>
      <w:r>
        <w:t>the s</w:t>
      </w:r>
      <w:r w:rsidRPr="00225394">
        <w:t xml:space="preserve">tructural integrity </w:t>
      </w:r>
      <w:r>
        <w:t xml:space="preserve">of the item </w:t>
      </w:r>
      <w:r w:rsidRPr="00225394">
        <w:t xml:space="preserve">when exposed to hot, wet foods. </w:t>
      </w:r>
    </w:p>
    <w:p w14:paraId="243D12DC" w14:textId="77777777" w:rsidR="00123C9C" w:rsidRDefault="00123C9C" w:rsidP="00123C9C"/>
    <w:p w14:paraId="7EB48991" w14:textId="56094701" w:rsidR="00123C9C" w:rsidRDefault="00123C9C" w:rsidP="00123C9C">
      <w:r w:rsidRPr="001A75F2">
        <w:t>The Minister may make an exemption only if satisfied that noncompliance with the provision will not have any significant adverse effect on public health, property, or the environment.</w:t>
      </w:r>
    </w:p>
    <w:p w14:paraId="3CF5DD56" w14:textId="77777777" w:rsidR="00123C9C" w:rsidRDefault="00123C9C" w:rsidP="00123C9C"/>
    <w:p w14:paraId="6F0E6AF8" w14:textId="3F38FC44" w:rsidR="00123C9C" w:rsidRDefault="00123C9C" w:rsidP="00123C9C">
      <w:r w:rsidRPr="001A75F2">
        <w:t xml:space="preserve">Noncompliance with the provision will not have an effect on public health or property because neither the availability of this product nor the ban on it relates to health or property. Allowing </w:t>
      </w:r>
      <w:r>
        <w:t xml:space="preserve">single-use paper or cardboard plates or bowls with any plastic lining </w:t>
      </w:r>
      <w:r w:rsidRPr="001A75F2">
        <w:t xml:space="preserve">to be supplied will not have a significant effect on the environment because the number of </w:t>
      </w:r>
      <w:r>
        <w:t xml:space="preserve">these items </w:t>
      </w:r>
      <w:r w:rsidRPr="001A75F2">
        <w:t xml:space="preserve">supplied is small compared to the overall quantity of plastic in </w:t>
      </w:r>
      <w:r w:rsidRPr="001A75F2">
        <w:lastRenderedPageBreak/>
        <w:t>the ACT.</w:t>
      </w:r>
      <w:r>
        <w:t xml:space="preserve"> This risk to the environment via littering is low, as these products are largely bought to be used either at home, or in venues. </w:t>
      </w:r>
    </w:p>
    <w:p w14:paraId="0832963F" w14:textId="55FC73C7" w:rsidR="00123C9C" w:rsidRDefault="00123C9C" w:rsidP="00123C9C"/>
    <w:p w14:paraId="50F274C8" w14:textId="04845877" w:rsidR="003E716C" w:rsidRPr="003E716C" w:rsidRDefault="003E716C" w:rsidP="00123C9C">
      <w:pPr>
        <w:rPr>
          <w:u w:val="single"/>
        </w:rPr>
      </w:pPr>
      <w:r w:rsidRPr="003E716C">
        <w:rPr>
          <w:u w:val="single"/>
        </w:rPr>
        <w:t>Human Rights</w:t>
      </w:r>
    </w:p>
    <w:p w14:paraId="172AB07F" w14:textId="77777777" w:rsidR="00123C9C" w:rsidRPr="00BE6002" w:rsidRDefault="00123C9C" w:rsidP="00123C9C">
      <w:r w:rsidRPr="00BE6002">
        <w:t xml:space="preserve">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However, this is justified and proportionate because the approach of making exemptions enables single-use </w:t>
      </w:r>
      <w:r>
        <w:t>paper or cardboard plates or bowls lined with any plastic,</w:t>
      </w:r>
      <w:r w:rsidRPr="00BE6002">
        <w:t xml:space="preserve"> to continue to be supplied where needed, while otherwise prohibiting them. The exemptions are broadly worded and would therefore not be difficult to establish. The exemptions enable the purpose of the regulation to be achieved while also allowing access to prohibited plastic products where required.  </w:t>
      </w:r>
    </w:p>
    <w:p w14:paraId="643407E6" w14:textId="79C528D5" w:rsidR="00C17FAB" w:rsidRDefault="00C17FAB"/>
    <w:p w14:paraId="1BBC59CF" w14:textId="23CE195E" w:rsidR="00CC28DE" w:rsidRDefault="00CC28DE"/>
    <w:p w14:paraId="34AFE358" w14:textId="77777777" w:rsidR="00CC28DE" w:rsidRDefault="00CC28DE"/>
    <w:p w14:paraId="166CEF6D" w14:textId="6C29F8C5" w:rsidR="00491A08" w:rsidRDefault="00491A08"/>
    <w:p w14:paraId="2139850B" w14:textId="23283052" w:rsidR="00491A08" w:rsidRPr="00CC28DE" w:rsidRDefault="00491A08">
      <w:pPr>
        <w:rPr>
          <w:rFonts w:ascii="Arial" w:hAnsi="Arial" w:cs="Arial"/>
          <w:b/>
          <w:bCs/>
        </w:rPr>
      </w:pPr>
      <w:r w:rsidRPr="00CC28DE">
        <w:rPr>
          <w:rFonts w:ascii="Arial" w:hAnsi="Arial" w:cs="Arial"/>
          <w:b/>
          <w:bCs/>
        </w:rPr>
        <w:t>Section Notes</w:t>
      </w:r>
    </w:p>
    <w:p w14:paraId="57D2908E" w14:textId="44007E76" w:rsidR="00491A08" w:rsidRDefault="00491A08"/>
    <w:p w14:paraId="62005DC4" w14:textId="56F4BAC0" w:rsidR="00491A08" w:rsidRPr="00491A08" w:rsidRDefault="00491A08">
      <w:pPr>
        <w:rPr>
          <w:b/>
          <w:bCs/>
        </w:rPr>
      </w:pPr>
      <w:r w:rsidRPr="00491A08">
        <w:rPr>
          <w:b/>
          <w:bCs/>
        </w:rPr>
        <w:t>Section 1</w:t>
      </w:r>
      <w:r w:rsidRPr="00491A08">
        <w:rPr>
          <w:b/>
          <w:bCs/>
        </w:rPr>
        <w:tab/>
        <w:t>Name of instrument</w:t>
      </w:r>
    </w:p>
    <w:p w14:paraId="7EB05B29" w14:textId="4006A58F" w:rsidR="00491A08" w:rsidRDefault="00491A08">
      <w:r>
        <w:t xml:space="preserve">This section names the instrument. </w:t>
      </w:r>
    </w:p>
    <w:p w14:paraId="38D5CCD5" w14:textId="7D1FDC6B" w:rsidR="00491A08" w:rsidRDefault="00491A08"/>
    <w:p w14:paraId="4A57FB4B" w14:textId="05AD3650" w:rsidR="00491A08" w:rsidRPr="00491A08" w:rsidRDefault="00491A08">
      <w:pPr>
        <w:rPr>
          <w:b/>
          <w:bCs/>
        </w:rPr>
      </w:pPr>
      <w:r w:rsidRPr="00491A08">
        <w:rPr>
          <w:b/>
          <w:bCs/>
        </w:rPr>
        <w:t xml:space="preserve">Section 2 </w:t>
      </w:r>
      <w:r w:rsidRPr="00491A08">
        <w:rPr>
          <w:b/>
          <w:bCs/>
        </w:rPr>
        <w:tab/>
        <w:t>Commencement</w:t>
      </w:r>
    </w:p>
    <w:p w14:paraId="3E8FE164" w14:textId="4592C4DA" w:rsidR="00491A08" w:rsidRDefault="00491A08">
      <w:r>
        <w:t>This section provides that the instrument commences on 1 July 2023. This is to align with the commencement of</w:t>
      </w:r>
      <w:r w:rsidR="00C5394E">
        <w:t xml:space="preserve"> the regulation that bans these products. </w:t>
      </w:r>
      <w:r>
        <w:t xml:space="preserve"> </w:t>
      </w:r>
    </w:p>
    <w:p w14:paraId="684510D9" w14:textId="3CA434BE" w:rsidR="00491A08" w:rsidRDefault="00491A08"/>
    <w:p w14:paraId="028823AF" w14:textId="61095761" w:rsidR="00491A08" w:rsidRPr="00491A08" w:rsidRDefault="00491A08">
      <w:pPr>
        <w:rPr>
          <w:b/>
          <w:bCs/>
        </w:rPr>
      </w:pPr>
      <w:r w:rsidRPr="00491A08">
        <w:rPr>
          <w:b/>
          <w:bCs/>
        </w:rPr>
        <w:t xml:space="preserve">Section 3 </w:t>
      </w:r>
      <w:r w:rsidRPr="00491A08">
        <w:rPr>
          <w:b/>
          <w:bCs/>
        </w:rPr>
        <w:tab/>
        <w:t xml:space="preserve">Exemption </w:t>
      </w:r>
    </w:p>
    <w:p w14:paraId="22AAFD08" w14:textId="08AAEC5C" w:rsidR="00491A08" w:rsidRDefault="00491A08" w:rsidP="00491A08">
      <w:pPr>
        <w:pStyle w:val="NormalWeb"/>
        <w:shd w:val="clear" w:color="auto" w:fill="FFFFFF"/>
        <w:spacing w:before="0" w:beforeAutospacing="0" w:after="0" w:afterAutospacing="0"/>
        <w:rPr>
          <w:color w:val="000000"/>
        </w:rPr>
      </w:pPr>
      <w:r>
        <w:rPr>
          <w:color w:val="000000"/>
        </w:rPr>
        <w:t>This section provides that part 3 of the Act does not apply to a single-use plastic products in the schedule. Part 3 of the Act contains the offence of supply of prohibited plastic products. The products listed in</w:t>
      </w:r>
      <w:r w:rsidR="00E22EA6">
        <w:rPr>
          <w:color w:val="000000"/>
        </w:rPr>
        <w:t xml:space="preserve"> the</w:t>
      </w:r>
      <w:r>
        <w:rPr>
          <w:color w:val="000000"/>
        </w:rPr>
        <w:t xml:space="preserve"> </w:t>
      </w:r>
      <w:r w:rsidRPr="00884295">
        <w:rPr>
          <w:color w:val="000000"/>
        </w:rPr>
        <w:t>schedule are</w:t>
      </w:r>
      <w:r w:rsidR="00CC28DE" w:rsidRPr="00884295">
        <w:rPr>
          <w:color w:val="000000"/>
        </w:rPr>
        <w:t xml:space="preserve"> plastic lined paper plates and plastic lined paper bowls</w:t>
      </w:r>
      <w:r w:rsidRPr="00884295">
        <w:rPr>
          <w:color w:val="000000"/>
        </w:rPr>
        <w:t>. This</w:t>
      </w:r>
      <w:r>
        <w:rPr>
          <w:color w:val="000000"/>
        </w:rPr>
        <w:t xml:space="preserve"> has the effect that </w:t>
      </w:r>
      <w:r w:rsidR="00E22EA6">
        <w:rPr>
          <w:color w:val="000000"/>
        </w:rPr>
        <w:t>these products</w:t>
      </w:r>
      <w:r>
        <w:rPr>
          <w:color w:val="000000"/>
        </w:rPr>
        <w:t xml:space="preserve"> can still be supplied.</w:t>
      </w:r>
    </w:p>
    <w:p w14:paraId="14B9D8D3" w14:textId="77777777" w:rsidR="00491A08" w:rsidRDefault="00491A08" w:rsidP="00491A08">
      <w:pPr>
        <w:pStyle w:val="NormalWeb"/>
        <w:shd w:val="clear" w:color="auto" w:fill="FFFFFF"/>
        <w:spacing w:before="0" w:beforeAutospacing="0" w:after="0" w:afterAutospacing="0"/>
        <w:rPr>
          <w:color w:val="000000"/>
        </w:rPr>
      </w:pPr>
      <w:r>
        <w:rPr>
          <w:color w:val="000000"/>
        </w:rPr>
        <w:t> </w:t>
      </w:r>
    </w:p>
    <w:p w14:paraId="38BFE3FB" w14:textId="77777777" w:rsidR="00491A08" w:rsidRDefault="00491A08" w:rsidP="00491A08">
      <w:pPr>
        <w:pStyle w:val="NormalWeb"/>
        <w:shd w:val="clear" w:color="auto" w:fill="FFFFFF"/>
        <w:spacing w:before="0" w:beforeAutospacing="0" w:after="0" w:afterAutospacing="0"/>
        <w:rPr>
          <w:color w:val="000000"/>
        </w:rPr>
      </w:pPr>
      <w:bookmarkStart w:id="1" w:name="_Hlk98943643"/>
      <w:r>
        <w:rPr>
          <w:color w:val="000000"/>
        </w:rPr>
        <w:t>This section also states that the Minister is satisfied of relevant criteria. This is to remove doubt that these requirements have been met.</w:t>
      </w:r>
      <w:bookmarkEnd w:id="1"/>
    </w:p>
    <w:p w14:paraId="3499D90B" w14:textId="3C7C6109" w:rsidR="00491A08" w:rsidRDefault="00491A08" w:rsidP="00491A08">
      <w:pPr>
        <w:pStyle w:val="NormalWeb"/>
        <w:shd w:val="clear" w:color="auto" w:fill="FFFFFF"/>
        <w:spacing w:before="0" w:beforeAutospacing="0" w:after="0" w:afterAutospacing="0"/>
        <w:rPr>
          <w:color w:val="000000"/>
        </w:rPr>
      </w:pPr>
    </w:p>
    <w:p w14:paraId="63EC6384" w14:textId="08DAC126" w:rsidR="00491A08" w:rsidRPr="00491A08" w:rsidRDefault="00491A08">
      <w:pPr>
        <w:rPr>
          <w:b/>
          <w:bCs/>
        </w:rPr>
      </w:pPr>
      <w:r w:rsidRPr="00491A08">
        <w:rPr>
          <w:b/>
          <w:bCs/>
        </w:rPr>
        <w:t xml:space="preserve">Section 4 </w:t>
      </w:r>
      <w:r w:rsidRPr="00491A08">
        <w:rPr>
          <w:b/>
          <w:bCs/>
        </w:rPr>
        <w:tab/>
        <w:t>Expiry</w:t>
      </w:r>
    </w:p>
    <w:p w14:paraId="4B308281" w14:textId="4AC543D7" w:rsidR="00491A08" w:rsidRDefault="00491A08">
      <w:r>
        <w:t xml:space="preserve">This section provides that the instrument expires on </w:t>
      </w:r>
      <w:r w:rsidR="00E22EA6">
        <w:t>31 October 2024</w:t>
      </w:r>
      <w:r>
        <w:t xml:space="preserve">. </w:t>
      </w:r>
      <w:r w:rsidRPr="0001691B">
        <w:t>This</w:t>
      </w:r>
      <w:r w:rsidR="0001691B" w:rsidRPr="0001691B">
        <w:t xml:space="preserve"> is to provide time for a transition away from the exempted products and</w:t>
      </w:r>
      <w:r w:rsidR="00E22EA6" w:rsidRPr="0001691B">
        <w:t xml:space="preserve"> aligns with exemptions for these products in New South Wales and Victoria</w:t>
      </w:r>
      <w:r w:rsidR="0001691B" w:rsidRPr="0001691B">
        <w:t>.</w:t>
      </w:r>
      <w:r w:rsidR="0001691B">
        <w:t xml:space="preserve"> </w:t>
      </w:r>
      <w:r w:rsidR="00E22EA6">
        <w:t xml:space="preserve"> </w:t>
      </w:r>
      <w:r>
        <w:t xml:space="preserve"> </w:t>
      </w:r>
    </w:p>
    <w:p w14:paraId="4046C57A" w14:textId="7612A9A4" w:rsidR="00491A08" w:rsidRDefault="00491A08"/>
    <w:p w14:paraId="4502EDFE" w14:textId="541E9DEB" w:rsidR="00491A08" w:rsidRPr="00491A08" w:rsidRDefault="00491A08">
      <w:pPr>
        <w:rPr>
          <w:b/>
          <w:bCs/>
        </w:rPr>
      </w:pPr>
      <w:r w:rsidRPr="00491A08">
        <w:rPr>
          <w:b/>
          <w:bCs/>
        </w:rPr>
        <w:t>Schedule</w:t>
      </w:r>
    </w:p>
    <w:p w14:paraId="359D2EBE" w14:textId="730AA0BB" w:rsidR="00491A08" w:rsidRDefault="00491A08">
      <w:pPr>
        <w:rPr>
          <w:color w:val="000000"/>
          <w:shd w:val="clear" w:color="auto" w:fill="FFFFFF"/>
        </w:rPr>
      </w:pPr>
      <w:r>
        <w:rPr>
          <w:color w:val="000000"/>
          <w:shd w:val="clear" w:color="auto" w:fill="FFFFFF"/>
        </w:rPr>
        <w:t>The schedule lists </w:t>
      </w:r>
      <w:r w:rsidR="00CC28DE">
        <w:rPr>
          <w:color w:val="000000"/>
          <w:shd w:val="clear" w:color="auto" w:fill="FFFFFF"/>
        </w:rPr>
        <w:t>plastic lined paper plates and plastic lined paper bowls</w:t>
      </w:r>
      <w:r>
        <w:rPr>
          <w:color w:val="000000"/>
          <w:shd w:val="clear" w:color="auto" w:fill="FFFFFF"/>
        </w:rPr>
        <w:t xml:space="preserve"> as product</w:t>
      </w:r>
      <w:r w:rsidR="00CC28DE">
        <w:rPr>
          <w:color w:val="000000"/>
          <w:shd w:val="clear" w:color="auto" w:fill="FFFFFF"/>
        </w:rPr>
        <w:t>s</w:t>
      </w:r>
      <w:r>
        <w:rPr>
          <w:color w:val="000000"/>
          <w:shd w:val="clear" w:color="auto" w:fill="FFFFFF"/>
        </w:rPr>
        <w:t> and provides a description of th</w:t>
      </w:r>
      <w:r w:rsidR="00CC28DE">
        <w:rPr>
          <w:color w:val="000000"/>
          <w:shd w:val="clear" w:color="auto" w:fill="FFFFFF"/>
        </w:rPr>
        <w:t>e</w:t>
      </w:r>
      <w:r>
        <w:rPr>
          <w:color w:val="000000"/>
          <w:shd w:val="clear" w:color="auto" w:fill="FFFFFF"/>
        </w:rPr>
        <w:t>s</w:t>
      </w:r>
      <w:r w:rsidR="00CC28DE">
        <w:rPr>
          <w:color w:val="000000"/>
          <w:shd w:val="clear" w:color="auto" w:fill="FFFFFF"/>
        </w:rPr>
        <w:t>e</w:t>
      </w:r>
      <w:r>
        <w:rPr>
          <w:color w:val="000000"/>
          <w:shd w:val="clear" w:color="auto" w:fill="FFFFFF"/>
        </w:rPr>
        <w:t xml:space="preserve"> product</w:t>
      </w:r>
      <w:r w:rsidR="00CC28DE">
        <w:rPr>
          <w:color w:val="000000"/>
          <w:shd w:val="clear" w:color="auto" w:fill="FFFFFF"/>
        </w:rPr>
        <w:t>s,</w:t>
      </w:r>
      <w:r>
        <w:rPr>
          <w:color w:val="000000"/>
          <w:shd w:val="clear" w:color="auto" w:fill="FFFFFF"/>
        </w:rPr>
        <w:t xml:space="preserve"> to which the exemption in section 3 applies. </w:t>
      </w:r>
    </w:p>
    <w:p w14:paraId="5A765A4E" w14:textId="77777777" w:rsidR="00491A08" w:rsidRDefault="00491A08"/>
    <w:sectPr w:rsidR="00491A08"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46E" w14:textId="77777777" w:rsidR="002E3560" w:rsidRDefault="002E3560" w:rsidP="00C17FAB">
      <w:r>
        <w:separator/>
      </w:r>
    </w:p>
  </w:endnote>
  <w:endnote w:type="continuationSeparator" w:id="0">
    <w:p w14:paraId="7A77E981" w14:textId="77777777" w:rsidR="002E3560" w:rsidRDefault="002E356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98EC" w14:textId="77777777" w:rsidR="006054F6" w:rsidRDefault="00605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5EC5" w14:textId="1795CFCB" w:rsidR="006054F6" w:rsidRPr="006054F6" w:rsidRDefault="006054F6" w:rsidP="006054F6">
    <w:pPr>
      <w:pStyle w:val="Footer"/>
      <w:jc w:val="center"/>
      <w:rPr>
        <w:rFonts w:cs="Arial"/>
        <w:sz w:val="14"/>
      </w:rPr>
    </w:pPr>
    <w:r w:rsidRPr="006054F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612D" w14:textId="77777777" w:rsidR="006054F6" w:rsidRDefault="0060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C10" w14:textId="77777777" w:rsidR="002E3560" w:rsidRDefault="002E3560" w:rsidP="00C17FAB">
      <w:r>
        <w:separator/>
      </w:r>
    </w:p>
  </w:footnote>
  <w:footnote w:type="continuationSeparator" w:id="0">
    <w:p w14:paraId="6F2D9333" w14:textId="77777777" w:rsidR="002E3560" w:rsidRDefault="002E356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CB36" w14:textId="77777777" w:rsidR="006054F6" w:rsidRDefault="00605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2B19" w14:textId="2C309192" w:rsidR="00DA3B00" w:rsidRPr="000314C4" w:rsidRDefault="00DA3B00" w:rsidP="000314C4">
    <w:pPr>
      <w:pStyle w:val="Header"/>
      <w:jc w:val="center"/>
      <w:rPr>
        <w:rFonts w:asciiTheme="minorHAnsi" w:hAnsiTheme="minorHAnsi"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31BA" w14:textId="77777777" w:rsidR="006054F6" w:rsidRDefault="00605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04693104">
    <w:abstractNumId w:val="2"/>
  </w:num>
  <w:num w:numId="2" w16cid:durableId="1864786273">
    <w:abstractNumId w:val="0"/>
  </w:num>
  <w:num w:numId="3" w16cid:durableId="246578396">
    <w:abstractNumId w:val="3"/>
  </w:num>
  <w:num w:numId="4" w16cid:durableId="1970235230">
    <w:abstractNumId w:val="6"/>
  </w:num>
  <w:num w:numId="5" w16cid:durableId="974026859">
    <w:abstractNumId w:val="7"/>
  </w:num>
  <w:num w:numId="6" w16cid:durableId="530192173">
    <w:abstractNumId w:val="1"/>
  </w:num>
  <w:num w:numId="7" w16cid:durableId="664868899">
    <w:abstractNumId w:val="4"/>
  </w:num>
  <w:num w:numId="8" w16cid:durableId="60101205">
    <w:abstractNumId w:val="5"/>
  </w:num>
  <w:num w:numId="9" w16cid:durableId="19893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691B"/>
    <w:rsid w:val="0001777B"/>
    <w:rsid w:val="000314C4"/>
    <w:rsid w:val="00123C9C"/>
    <w:rsid w:val="00155473"/>
    <w:rsid w:val="00260C3D"/>
    <w:rsid w:val="002D7C60"/>
    <w:rsid w:val="002E3560"/>
    <w:rsid w:val="003E716C"/>
    <w:rsid w:val="00491A08"/>
    <w:rsid w:val="004A2348"/>
    <w:rsid w:val="004B1643"/>
    <w:rsid w:val="004D1470"/>
    <w:rsid w:val="006054F6"/>
    <w:rsid w:val="007346AC"/>
    <w:rsid w:val="007D7F65"/>
    <w:rsid w:val="00884295"/>
    <w:rsid w:val="008C176A"/>
    <w:rsid w:val="008C4BB8"/>
    <w:rsid w:val="0094075E"/>
    <w:rsid w:val="009508A5"/>
    <w:rsid w:val="009A2195"/>
    <w:rsid w:val="00A2788B"/>
    <w:rsid w:val="00B450C3"/>
    <w:rsid w:val="00B55BC6"/>
    <w:rsid w:val="00BC421B"/>
    <w:rsid w:val="00C17FAB"/>
    <w:rsid w:val="00C5394E"/>
    <w:rsid w:val="00C57123"/>
    <w:rsid w:val="00CC28DE"/>
    <w:rsid w:val="00CE599C"/>
    <w:rsid w:val="00D96507"/>
    <w:rsid w:val="00DA3B00"/>
    <w:rsid w:val="00DD2CB7"/>
    <w:rsid w:val="00E22EA6"/>
    <w:rsid w:val="00E27DB9"/>
    <w:rsid w:val="00EE4447"/>
    <w:rsid w:val="00F108F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6DE8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123C9C"/>
    <w:rPr>
      <w:sz w:val="16"/>
      <w:szCs w:val="16"/>
    </w:rPr>
  </w:style>
  <w:style w:type="paragraph" w:styleId="CommentText">
    <w:name w:val="annotation text"/>
    <w:basedOn w:val="Normal"/>
    <w:link w:val="CommentTextChar"/>
    <w:uiPriority w:val="99"/>
    <w:unhideWhenUsed/>
    <w:rsid w:val="00123C9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23C9C"/>
    <w:rPr>
      <w:rFonts w:asciiTheme="minorHAnsi" w:eastAsiaTheme="minorHAnsi" w:hAnsiTheme="minorHAnsi" w:cstheme="minorBidi"/>
      <w:lang w:eastAsia="en-US"/>
    </w:rPr>
  </w:style>
  <w:style w:type="paragraph" w:styleId="NormalWeb">
    <w:name w:val="Normal (Web)"/>
    <w:basedOn w:val="Normal"/>
    <w:uiPriority w:val="99"/>
    <w:semiHidden/>
    <w:unhideWhenUsed/>
    <w:rsid w:val="00491A08"/>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unhideWhenUsed/>
    <w:rsid w:val="00260C3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60C3D"/>
    <w:rPr>
      <w:rFonts w:asciiTheme="minorHAnsi" w:eastAsiaTheme="minorHAnsi" w:hAnsiTheme="minorHAnsi" w:cstheme="minorBidi"/>
      <w:b/>
      <w:bCs/>
      <w:lang w:eastAsia="en-US"/>
    </w:rPr>
  </w:style>
  <w:style w:type="paragraph" w:styleId="Revision">
    <w:name w:val="Revision"/>
    <w:hidden/>
    <w:uiPriority w:val="99"/>
    <w:semiHidden/>
    <w:rsid w:val="0015547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4FB0-BC6A-490C-A8A9-3C1D921C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3576</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2023-06-02T00:16:00Z</dcterms:created>
  <dcterms:modified xsi:type="dcterms:W3CDTF">2023-06-02T00:16:00Z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A41918800</vt:lpwstr>
  </property>
  <property fmtid="{D5CDD505-2E9C-101B-9397-08002B2CF9AE}" pid="4" name="Objective-Title">
    <vt:lpwstr>Attachment N - Draft Explanatory Statement - Plastic Reduction (Single-use Plastic Products) Exemption 2023</vt:lpwstr>
  </property>
  <property fmtid="{D5CDD505-2E9C-101B-9397-08002B2CF9AE}" pid="5" name="Objective-Comment">
    <vt:lpwstr/>
  </property>
  <property fmtid="{D5CDD505-2E9C-101B-9397-08002B2CF9AE}" pid="6" name="Objective-CreationStamp">
    <vt:filetime>2023-05-09T05:50:06Z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2023-05-09T05:50:07Z</vt:filetime>
  </property>
  <property fmtid="{D5CDD505-2E9C-101B-9397-08002B2CF9AE}" pid="10" name="Objective-ModificationStamp">
    <vt:filetime>2023-05-09T05:50:07Z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Submissons:2023:23/294 - Regulatory ban of a third tranche of single-use plastic items under the Plastic Reduction Act 2021:03. Final (post ERC):</vt:lpwstr>
  </property>
  <property fmtid="{D5CDD505-2E9C-101B-9397-08002B2CF9AE}" pid="13" name="Objective-Parent">
    <vt:lpwstr>03. Final (post ERC)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1-2022/166081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