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6B273" w14:textId="531AAF92" w:rsidR="00375E22" w:rsidRPr="00CB4B24" w:rsidRDefault="003525BB" w:rsidP="0011747D">
      <w:pPr>
        <w:jc w:val="center"/>
        <w:rPr>
          <w:sz w:val="40"/>
          <w:szCs w:val="40"/>
          <w:u w:val="single"/>
        </w:rPr>
      </w:pPr>
      <w:r w:rsidRPr="00CB4B24">
        <w:rPr>
          <w:sz w:val="40"/>
          <w:szCs w:val="40"/>
          <w:u w:val="single"/>
        </w:rPr>
        <w:t>Electoral and Road Safety Amendment Bill 2023</w:t>
      </w:r>
    </w:p>
    <w:p w14:paraId="2CD3D04F" w14:textId="1E5107AB" w:rsidR="003525BB" w:rsidRPr="00CB4B24" w:rsidRDefault="003525BB" w:rsidP="0011747D">
      <w:pPr>
        <w:jc w:val="center"/>
        <w:rPr>
          <w:sz w:val="32"/>
          <w:szCs w:val="32"/>
        </w:rPr>
      </w:pPr>
      <w:r w:rsidRPr="00CB4B24">
        <w:rPr>
          <w:sz w:val="32"/>
          <w:szCs w:val="32"/>
        </w:rPr>
        <w:t>Greens Amendments</w:t>
      </w:r>
      <w:r w:rsidR="00572328" w:rsidRPr="00CB4B24">
        <w:rPr>
          <w:sz w:val="32"/>
          <w:szCs w:val="32"/>
        </w:rPr>
        <w:t xml:space="preserve"> (Braddock)</w:t>
      </w:r>
      <w:r w:rsidR="0011747D" w:rsidRPr="00CB4B24">
        <w:rPr>
          <w:sz w:val="32"/>
          <w:szCs w:val="32"/>
        </w:rPr>
        <w:br/>
      </w:r>
      <w:r w:rsidRPr="00CB4B24">
        <w:rPr>
          <w:sz w:val="32"/>
          <w:szCs w:val="32"/>
        </w:rPr>
        <w:t xml:space="preserve">Explanatory Statement </w:t>
      </w:r>
      <w:r w:rsidR="00572328" w:rsidRPr="00CB4B24">
        <w:rPr>
          <w:sz w:val="32"/>
          <w:szCs w:val="32"/>
        </w:rPr>
        <w:t>Including</w:t>
      </w:r>
      <w:r w:rsidRPr="00CB4B24">
        <w:rPr>
          <w:sz w:val="32"/>
          <w:szCs w:val="32"/>
        </w:rPr>
        <w:t xml:space="preserve"> Human Rights Compatibility</w:t>
      </w:r>
    </w:p>
    <w:p w14:paraId="544C2867" w14:textId="4C6EB232" w:rsidR="001C4CD4" w:rsidRPr="00CB4B24" w:rsidRDefault="001C4CD4" w:rsidP="00842871">
      <w:pPr>
        <w:spacing w:after="0"/>
      </w:pPr>
      <w:r w:rsidRPr="00CB4B24">
        <w:t xml:space="preserve">The Greens are introducing amendments to the </w:t>
      </w:r>
      <w:r w:rsidRPr="00CB4B24">
        <w:rPr>
          <w:i/>
          <w:iCs/>
        </w:rPr>
        <w:t>Electoral and Road Safety Legislation Amendment Bill</w:t>
      </w:r>
      <w:r w:rsidR="0049173B" w:rsidRPr="00CB4B24">
        <w:rPr>
          <w:i/>
          <w:iCs/>
        </w:rPr>
        <w:t xml:space="preserve"> 2023</w:t>
      </w:r>
      <w:r w:rsidRPr="00CB4B24">
        <w:t xml:space="preserve">, which respond to matters </w:t>
      </w:r>
      <w:r w:rsidR="00896ED4" w:rsidRPr="00CB4B24">
        <w:t>identified during the JACS committee inquiry</w:t>
      </w:r>
      <w:r w:rsidR="0056398C" w:rsidRPr="00CB4B24">
        <w:t xml:space="preserve">.  This document outlines those </w:t>
      </w:r>
      <w:r w:rsidR="00DF37FE" w:rsidRPr="00CB4B24">
        <w:t>amendments</w:t>
      </w:r>
      <w:r w:rsidR="0056398C" w:rsidRPr="00CB4B24">
        <w:t xml:space="preserve"> and, </w:t>
      </w:r>
      <w:r w:rsidR="00DF37FE" w:rsidRPr="00CB4B24">
        <w:t xml:space="preserve">as is </w:t>
      </w:r>
      <w:r w:rsidR="0056398C" w:rsidRPr="00CB4B24">
        <w:t>necessary, makes commentary on their compatibility with Human Rights and the Australian Constitution’s implied freedom of political communication.</w:t>
      </w:r>
      <w:r w:rsidR="00E12FA9" w:rsidRPr="00CB4B24">
        <w:t xml:space="preserve">  The themes of the amendments are as follows:</w:t>
      </w:r>
    </w:p>
    <w:p w14:paraId="45BC5207" w14:textId="3194E1B4" w:rsidR="006C19B8" w:rsidRPr="00CB4B24" w:rsidRDefault="006C19B8" w:rsidP="00842871">
      <w:pPr>
        <w:numPr>
          <w:ilvl w:val="0"/>
          <w:numId w:val="1"/>
        </w:numPr>
        <w:spacing w:after="0"/>
        <w:ind w:left="714" w:hanging="357"/>
      </w:pPr>
      <w:r w:rsidRPr="00CB4B24">
        <w:t>Re-</w:t>
      </w:r>
      <w:r w:rsidR="00016DFF" w:rsidRPr="00CB4B24">
        <w:t>framing</w:t>
      </w:r>
      <w:r w:rsidRPr="00CB4B24">
        <w:t xml:space="preserve"> </w:t>
      </w:r>
      <w:r w:rsidR="00B60D96" w:rsidRPr="00CB4B24">
        <w:t>the ban on foreign donations</w:t>
      </w:r>
      <w:r w:rsidR="00A115CF" w:rsidRPr="00CB4B24">
        <w:t>;</w:t>
      </w:r>
    </w:p>
    <w:p w14:paraId="1385139A" w14:textId="569674A7" w:rsidR="005253BF" w:rsidRPr="00CB4B24" w:rsidRDefault="005253BF" w:rsidP="00842871">
      <w:pPr>
        <w:numPr>
          <w:ilvl w:val="0"/>
          <w:numId w:val="1"/>
        </w:numPr>
        <w:spacing w:after="0"/>
        <w:ind w:left="714" w:hanging="357"/>
      </w:pPr>
      <w:r w:rsidRPr="00CB4B24">
        <w:t>Allowing for further categories of prohibited donors;</w:t>
      </w:r>
    </w:p>
    <w:p w14:paraId="33CB9AF9" w14:textId="197DD9B4" w:rsidR="001275F8" w:rsidRPr="00CB4B24" w:rsidRDefault="001275F8" w:rsidP="00842871">
      <w:pPr>
        <w:numPr>
          <w:ilvl w:val="0"/>
          <w:numId w:val="1"/>
        </w:numPr>
        <w:spacing w:after="0"/>
        <w:ind w:left="714" w:hanging="357"/>
      </w:pPr>
      <w:r w:rsidRPr="00CB4B24">
        <w:t>Removing proposed carve-outs for federal accounts</w:t>
      </w:r>
      <w:r w:rsidR="00A115CF" w:rsidRPr="00CB4B24">
        <w:t>;</w:t>
      </w:r>
      <w:r w:rsidR="00B34583" w:rsidRPr="00CB4B24">
        <w:t xml:space="preserve"> and</w:t>
      </w:r>
    </w:p>
    <w:p w14:paraId="1E825614" w14:textId="77777777" w:rsidR="004E4060" w:rsidRPr="00CB4B24" w:rsidRDefault="004E4060" w:rsidP="00842871">
      <w:pPr>
        <w:numPr>
          <w:ilvl w:val="0"/>
          <w:numId w:val="1"/>
        </w:numPr>
        <w:spacing w:after="0"/>
        <w:ind w:left="714" w:hanging="357"/>
      </w:pPr>
      <w:r w:rsidRPr="00CB4B24">
        <w:t>Demerit points for stopping-related offence reforms;</w:t>
      </w:r>
    </w:p>
    <w:p w14:paraId="792F8EFD" w14:textId="6FC9745F" w:rsidR="00AC5CAD" w:rsidRPr="00CB4B24" w:rsidRDefault="00AC5CAD" w:rsidP="00842871">
      <w:pPr>
        <w:numPr>
          <w:ilvl w:val="0"/>
          <w:numId w:val="1"/>
        </w:numPr>
        <w:spacing w:after="0"/>
        <w:ind w:left="714" w:hanging="357"/>
      </w:pPr>
      <w:r w:rsidRPr="00CB4B24">
        <w:t>Removing proposed facilitation of online voting systems.</w:t>
      </w:r>
    </w:p>
    <w:p w14:paraId="395394D2" w14:textId="77777777" w:rsidR="00F000EA" w:rsidRPr="00CB4B24" w:rsidRDefault="00F000EA" w:rsidP="00F000EA">
      <w:pPr>
        <w:spacing w:after="0"/>
      </w:pPr>
    </w:p>
    <w:p w14:paraId="69C9446D" w14:textId="2D135764" w:rsidR="00D613A9" w:rsidRPr="00CB4B24" w:rsidRDefault="00F71ED1">
      <w:r w:rsidRPr="00CB4B24">
        <w:t xml:space="preserve">Discussion of these themes first requires a </w:t>
      </w:r>
      <w:r w:rsidR="00ED744F" w:rsidRPr="00CB4B24">
        <w:t>synopsis on</w:t>
      </w:r>
      <w:r w:rsidRPr="00CB4B24">
        <w:t xml:space="preserve"> compatibility with the Australian </w:t>
      </w:r>
      <w:r w:rsidR="00B72A89" w:rsidRPr="00CB4B24">
        <w:t>Constitution’s implied freedom of political communication.</w:t>
      </w:r>
      <w:r w:rsidR="00D613A9" w:rsidRPr="00CB4B24">
        <w:t xml:space="preserve">  The majority judgement of </w:t>
      </w:r>
      <w:r w:rsidR="00D613A9" w:rsidRPr="00CB4B24">
        <w:rPr>
          <w:i/>
          <w:iCs/>
        </w:rPr>
        <w:t xml:space="preserve">McCloy v New South Wales </w:t>
      </w:r>
      <w:r w:rsidR="00D613A9" w:rsidRPr="00CB4B24">
        <w:t>[2015]</w:t>
      </w:r>
      <w:r w:rsidR="00D613A9" w:rsidRPr="00CB4B24">
        <w:rPr>
          <w:rStyle w:val="FootnoteReference"/>
        </w:rPr>
        <w:footnoteReference w:id="2"/>
      </w:r>
      <w:r w:rsidR="00D613A9" w:rsidRPr="00CB4B24">
        <w:t xml:space="preserve"> confirmed that the purpose of the implied freedom exists to ensure that the people of the Commonwealth may exercise a free and informed choice as electors in accordance with the judgement of </w:t>
      </w:r>
      <w:r w:rsidR="00D613A9" w:rsidRPr="00CB4B24">
        <w:rPr>
          <w:i/>
          <w:iCs/>
        </w:rPr>
        <w:t>Lange vs Australian Broadcasting Corporation</w:t>
      </w:r>
      <w:r w:rsidR="00D613A9" w:rsidRPr="00CB4B24">
        <w:t xml:space="preserve"> [1997], with relevant tests established in that case and modified in </w:t>
      </w:r>
      <w:r w:rsidR="00D613A9" w:rsidRPr="00CB4B24">
        <w:rPr>
          <w:i/>
          <w:iCs/>
        </w:rPr>
        <w:t>Coleman v Power</w:t>
      </w:r>
      <w:r w:rsidR="00D613A9" w:rsidRPr="00CB4B24">
        <w:t xml:space="preserve"> [2004].  Restrictions upon the implied freedom need to essentially be compatible with maintaining the constitutionally prescribed system of representative government, and be assessed as suitable, necessary and adequate in </w:t>
      </w:r>
      <w:r w:rsidR="00131AE9" w:rsidRPr="00CB4B24">
        <w:t>their</w:t>
      </w:r>
      <w:r w:rsidR="00D613A9" w:rsidRPr="00CB4B24">
        <w:t xml:space="preserve"> balance. </w:t>
      </w:r>
    </w:p>
    <w:p w14:paraId="4D8A8938" w14:textId="469560A8" w:rsidR="002B2378" w:rsidRPr="00CB4B24" w:rsidRDefault="00D613A9" w:rsidP="00A57FAC">
      <w:r w:rsidRPr="00CB4B24">
        <w:t xml:space="preserve">The tests are sufficiently similar to those described in section 28 of the </w:t>
      </w:r>
      <w:r w:rsidRPr="00CB4B24">
        <w:rPr>
          <w:i/>
          <w:iCs/>
        </w:rPr>
        <w:t>Human Rights Act</w:t>
      </w:r>
      <w:r w:rsidRPr="00CB4B24">
        <w:t xml:space="preserve"> that </w:t>
      </w:r>
      <w:r w:rsidR="00F000EA" w:rsidRPr="00CB4B24">
        <w:t xml:space="preserve">they </w:t>
      </w:r>
      <w:r w:rsidR="004E4060" w:rsidRPr="00CB4B24">
        <w:t>can</w:t>
      </w:r>
      <w:r w:rsidR="00F000EA" w:rsidRPr="00CB4B24">
        <w:t xml:space="preserve"> be</w:t>
      </w:r>
      <w:r w:rsidRPr="00CB4B24">
        <w:t xml:space="preserve"> handle</w:t>
      </w:r>
      <w:r w:rsidR="00F000EA" w:rsidRPr="00CB4B24">
        <w:t>d</w:t>
      </w:r>
      <w:r w:rsidRPr="00CB4B24">
        <w:t xml:space="preserve"> together</w:t>
      </w:r>
      <w:r w:rsidR="00F000EA" w:rsidRPr="00CB4B24">
        <w:t xml:space="preserve"> in the explanations that follow</w:t>
      </w:r>
      <w:r w:rsidRPr="00CB4B24">
        <w:t>.</w:t>
      </w:r>
    </w:p>
    <w:p w14:paraId="0C3BDE3F" w14:textId="5FE76553" w:rsidR="00016DFF" w:rsidRPr="00CB4B24" w:rsidRDefault="00016DFF" w:rsidP="000830DF">
      <w:pPr>
        <w:rPr>
          <w:color w:val="385623" w:themeColor="accent6" w:themeShade="80"/>
        </w:rPr>
      </w:pPr>
      <w:r w:rsidRPr="00CB4B24">
        <w:rPr>
          <w:color w:val="385623" w:themeColor="accent6" w:themeShade="80"/>
          <w:u w:val="single"/>
        </w:rPr>
        <w:t>Re-</w:t>
      </w:r>
      <w:r w:rsidR="00DC44E8" w:rsidRPr="00CB4B24">
        <w:rPr>
          <w:color w:val="385623" w:themeColor="accent6" w:themeShade="80"/>
          <w:u w:val="single"/>
        </w:rPr>
        <w:t>framing</w:t>
      </w:r>
      <w:r w:rsidRPr="00CB4B24">
        <w:rPr>
          <w:color w:val="385623" w:themeColor="accent6" w:themeShade="80"/>
          <w:u w:val="single"/>
        </w:rPr>
        <w:t xml:space="preserve"> the ban on foreign donations</w:t>
      </w:r>
      <w:r w:rsidR="00565B00" w:rsidRPr="00CB4B24">
        <w:rPr>
          <w:color w:val="385623" w:themeColor="accent6" w:themeShade="80"/>
          <w:u w:val="single"/>
        </w:rPr>
        <w:t>.</w:t>
      </w:r>
    </w:p>
    <w:p w14:paraId="5AFEEFF0" w14:textId="5E1D6332" w:rsidR="00904B41" w:rsidRPr="00CB4B24" w:rsidRDefault="00565B00" w:rsidP="000830DF">
      <w:r w:rsidRPr="00CB4B24">
        <w:t xml:space="preserve">The bill </w:t>
      </w:r>
      <w:r w:rsidR="00A82305" w:rsidRPr="00CB4B24">
        <w:t xml:space="preserve">includes a definition of </w:t>
      </w:r>
      <w:r w:rsidR="00A82305" w:rsidRPr="00CB4B24">
        <w:rPr>
          <w:i/>
          <w:iCs/>
        </w:rPr>
        <w:t>foreign entity</w:t>
      </w:r>
      <w:r w:rsidR="00A82305" w:rsidRPr="00CB4B24">
        <w:t xml:space="preserve"> for the purpose of banning donations from those foreign entities, for the legitimate purpose of limiting foreign interference in Australian democracy</w:t>
      </w:r>
      <w:r w:rsidR="002A4F14" w:rsidRPr="00CB4B24">
        <w:t xml:space="preserve">.  In doing so, the bill </w:t>
      </w:r>
      <w:r w:rsidR="00D6677C" w:rsidRPr="00CB4B24">
        <w:t xml:space="preserve">takes a similar approach to that which was contained in the Commonwealth’s </w:t>
      </w:r>
      <w:r w:rsidR="00D6677C" w:rsidRPr="00CB4B24">
        <w:rPr>
          <w:i/>
          <w:iCs/>
        </w:rPr>
        <w:t>Electoral Legislation Amendment (Electoral Funding and Disclosure Reform) Act 2018</w:t>
      </w:r>
      <w:r w:rsidR="00D6677C" w:rsidRPr="00CB4B24">
        <w:t xml:space="preserve">.  </w:t>
      </w:r>
      <w:r w:rsidR="002E3A65" w:rsidRPr="00CB4B24">
        <w:t>It defines a foreign entity based on what it is not, rather than what it is.</w:t>
      </w:r>
      <w:r w:rsidR="00244AAF" w:rsidRPr="00CB4B24">
        <w:t xml:space="preserve">  </w:t>
      </w:r>
      <w:r w:rsidR="00602E66" w:rsidRPr="00CB4B24">
        <w:t xml:space="preserve">The definition of </w:t>
      </w:r>
      <w:r w:rsidR="00DE742B" w:rsidRPr="00CB4B24">
        <w:t xml:space="preserve">what is not </w:t>
      </w:r>
      <w:r w:rsidR="00602E66" w:rsidRPr="00CB4B24">
        <w:t xml:space="preserve">a foreign entity is so broad-ranging as to have little to no practical effect in </w:t>
      </w:r>
      <w:r w:rsidR="00813145" w:rsidRPr="00CB4B24">
        <w:t>preventing foreign-controlled entities from interfering in political parties</w:t>
      </w:r>
      <w:r w:rsidR="003112A1" w:rsidRPr="00CB4B24">
        <w:t xml:space="preserve"> via the reciprocal influence of donations</w:t>
      </w:r>
      <w:r w:rsidR="00813145" w:rsidRPr="00CB4B24">
        <w:t>.</w:t>
      </w:r>
    </w:p>
    <w:p w14:paraId="70960BCE" w14:textId="31A88973" w:rsidR="003112A1" w:rsidRPr="00CB4B24" w:rsidRDefault="003112A1" w:rsidP="000830DF">
      <w:r w:rsidRPr="00CB4B24">
        <w:t>For example, the corporation Byte Dance</w:t>
      </w:r>
      <w:r w:rsidR="009A3A31" w:rsidRPr="00CB4B24">
        <w:t xml:space="preserve"> (TikTok)</w:t>
      </w:r>
      <w:r w:rsidR="002B52DA" w:rsidRPr="00CB4B24">
        <w:t xml:space="preserve">, which is incorporated in </w:t>
      </w:r>
      <w:r w:rsidR="003D2763" w:rsidRPr="00CB4B24">
        <w:t>Australia,</w:t>
      </w:r>
      <w:r w:rsidR="002B52DA" w:rsidRPr="00CB4B24">
        <w:t xml:space="preserve"> but which is wholly owned and controlled by people not resident in Australia</w:t>
      </w:r>
      <w:r w:rsidR="00DC6A06" w:rsidRPr="00CB4B24">
        <w:t xml:space="preserve"> is </w:t>
      </w:r>
      <w:r w:rsidR="00DC6A06" w:rsidRPr="00CB4B24">
        <w:rPr>
          <w:u w:val="single"/>
        </w:rPr>
        <w:t>not</w:t>
      </w:r>
      <w:r w:rsidR="00DC6A06" w:rsidRPr="00CB4B24">
        <w:t xml:space="preserve"> considered a foreign entity.  Neither is Huawei, Google, </w:t>
      </w:r>
      <w:r w:rsidR="009A3A31" w:rsidRPr="00CB4B24">
        <w:t>X (Twitter)</w:t>
      </w:r>
      <w:r w:rsidR="00E7789F" w:rsidRPr="00CB4B24">
        <w:t xml:space="preserve">, </w:t>
      </w:r>
      <w:r w:rsidR="00BA5AD1" w:rsidRPr="00CB4B24">
        <w:t xml:space="preserve">Philip Morris, </w:t>
      </w:r>
      <w:r w:rsidR="009A3A31" w:rsidRPr="00CB4B24">
        <w:t xml:space="preserve">or </w:t>
      </w:r>
      <w:r w:rsidR="00E7789F" w:rsidRPr="00CB4B24">
        <w:t>Boeing</w:t>
      </w:r>
      <w:r w:rsidR="009A3A31" w:rsidRPr="00CB4B24">
        <w:t>.</w:t>
      </w:r>
      <w:r w:rsidR="00485618" w:rsidRPr="00CB4B24">
        <w:t xml:space="preserve">  </w:t>
      </w:r>
      <w:r w:rsidR="006A75C8" w:rsidRPr="00CB4B24">
        <w:t xml:space="preserve">It is extremely simple for foreign entities to set up </w:t>
      </w:r>
      <w:r w:rsidR="00655579" w:rsidRPr="00CB4B24">
        <w:t>token subsidiary corporations in Australia</w:t>
      </w:r>
      <w:r w:rsidR="00875AD4" w:rsidRPr="00CB4B24">
        <w:t>, thereby sidestepping these restrictions in their entirety.  There is also an argument that foreign embassies, having a principle place of operation in Australia, would be exempt.</w:t>
      </w:r>
      <w:r w:rsidR="00D701AD" w:rsidRPr="00CB4B24">
        <w:t xml:space="preserve">  The </w:t>
      </w:r>
      <w:r w:rsidR="00FB0B99" w:rsidRPr="00CB4B24">
        <w:t xml:space="preserve">bill’s </w:t>
      </w:r>
      <w:r w:rsidR="00D701AD" w:rsidRPr="00CB4B24">
        <w:t xml:space="preserve">definition therefore makes the proposed ban </w:t>
      </w:r>
      <w:r w:rsidR="002A1D44" w:rsidRPr="00CB4B24">
        <w:t xml:space="preserve">almost entirely </w:t>
      </w:r>
      <w:r w:rsidR="00D701AD" w:rsidRPr="00CB4B24">
        <w:t>ineffectual.</w:t>
      </w:r>
    </w:p>
    <w:p w14:paraId="365FDB6E" w14:textId="719CA7FC" w:rsidR="00565B00" w:rsidRPr="00CB4B24" w:rsidRDefault="00904B41" w:rsidP="000830DF">
      <w:r w:rsidRPr="00CB4B24">
        <w:lastRenderedPageBreak/>
        <w:t>This approach to banning foreign donations has previously been questioned</w:t>
      </w:r>
      <w:r w:rsidR="008C25DD" w:rsidRPr="00CB4B24">
        <w:t xml:space="preserve"> when it was proposed at the federal level for the same reasons</w:t>
      </w:r>
      <w:r w:rsidRPr="00CB4B24">
        <w:t xml:space="preserve">, including by constitutional </w:t>
      </w:r>
      <w:r w:rsidR="00335354" w:rsidRPr="00CB4B24">
        <w:t xml:space="preserve">law expert </w:t>
      </w:r>
      <w:r w:rsidRPr="00CB4B24">
        <w:t>Anne Twomey</w:t>
      </w:r>
      <w:r w:rsidR="008C25DD" w:rsidRPr="00CB4B24">
        <w:t xml:space="preserve"> who considered that it may constitute a </w:t>
      </w:r>
      <w:r w:rsidR="008C25DD" w:rsidRPr="00CB4B24">
        <w:rPr>
          <w:u w:val="single"/>
        </w:rPr>
        <w:t>technical</w:t>
      </w:r>
      <w:r w:rsidR="00335354" w:rsidRPr="00CB4B24">
        <w:t xml:space="preserve"> violation of the implied freedom of political communication</w:t>
      </w:r>
      <w:r w:rsidR="008C25DD" w:rsidRPr="00CB4B24">
        <w:t>, precisely because the law would be ineffectual</w:t>
      </w:r>
      <w:r w:rsidR="00DB70D2" w:rsidRPr="00CB4B24">
        <w:t xml:space="preserve"> and thereby making </w:t>
      </w:r>
      <w:r w:rsidR="00F37D58" w:rsidRPr="00CB4B24">
        <w:t>any</w:t>
      </w:r>
      <w:r w:rsidR="00DB70D2" w:rsidRPr="00CB4B24">
        <w:t xml:space="preserve"> limitation </w:t>
      </w:r>
      <w:r w:rsidR="00F37D58" w:rsidRPr="00CB4B24">
        <w:t xml:space="preserve">that it imposes </w:t>
      </w:r>
      <w:r w:rsidR="00DB70D2" w:rsidRPr="00CB4B24">
        <w:t xml:space="preserve">on the implied freedom </w:t>
      </w:r>
      <w:r w:rsidR="00E2202A" w:rsidRPr="00CB4B24">
        <w:t>non-</w:t>
      </w:r>
      <w:r w:rsidR="00DB70D2" w:rsidRPr="00CB4B24">
        <w:t xml:space="preserve">proportionate to the </w:t>
      </w:r>
      <w:r w:rsidR="00E2202A" w:rsidRPr="00CB4B24">
        <w:t>legitimate objective.</w:t>
      </w:r>
      <w:r w:rsidR="00330041" w:rsidRPr="00CB4B24">
        <w:rPr>
          <w:rStyle w:val="FootnoteReference"/>
        </w:rPr>
        <w:footnoteReference w:id="3"/>
      </w:r>
    </w:p>
    <w:p w14:paraId="452E14C9" w14:textId="77777777" w:rsidR="001A2945" w:rsidRPr="00CB4B24" w:rsidRDefault="0026398B" w:rsidP="000830DF">
      <w:r w:rsidRPr="00CB4B24">
        <w:t xml:space="preserve">The need to ban foreign donations to political parties has been broadly accepted as a </w:t>
      </w:r>
      <w:r w:rsidR="002429D7" w:rsidRPr="00CB4B24">
        <w:t>legitimate objective</w:t>
      </w:r>
      <w:r w:rsidR="00DC137D" w:rsidRPr="00CB4B24">
        <w:t xml:space="preserve"> for the preservation of Australia</w:t>
      </w:r>
      <w:r w:rsidR="00B0332A" w:rsidRPr="00CB4B24">
        <w:t>’s system of representative</w:t>
      </w:r>
      <w:r w:rsidR="00DC137D" w:rsidRPr="00CB4B24">
        <w:t xml:space="preserve"> </w:t>
      </w:r>
      <w:r w:rsidR="00A12A09" w:rsidRPr="00CB4B24">
        <w:t>democracy</w:t>
      </w:r>
      <w:r w:rsidR="001724BC" w:rsidRPr="00CB4B24">
        <w:t>, including by the ACT Government in tabling this bill</w:t>
      </w:r>
      <w:r w:rsidR="00DC137D" w:rsidRPr="00CB4B24">
        <w:t>.</w:t>
      </w:r>
      <w:r w:rsidR="008127E9" w:rsidRPr="00CB4B24">
        <w:t xml:space="preserve">  The question is what constitutes a proportional response</w:t>
      </w:r>
      <w:r w:rsidR="00A27429" w:rsidRPr="00CB4B24">
        <w:t xml:space="preserve"> that meaningfully achieve</w:t>
      </w:r>
      <w:r w:rsidR="00273D84" w:rsidRPr="00CB4B24">
        <w:t>s</w:t>
      </w:r>
      <w:r w:rsidR="00A27429" w:rsidRPr="00CB4B24">
        <w:t xml:space="preserve"> that objective</w:t>
      </w:r>
      <w:r w:rsidR="008127E9" w:rsidRPr="00CB4B24">
        <w:t xml:space="preserve">.  </w:t>
      </w:r>
    </w:p>
    <w:p w14:paraId="3576E4F9" w14:textId="0FF236A2" w:rsidR="00064B01" w:rsidRPr="00CB4B24" w:rsidRDefault="008127E9" w:rsidP="000830DF">
      <w:r w:rsidRPr="00CB4B24">
        <w:t xml:space="preserve">New South Wales previously sought to ban donations from persons not on the electoral roll, </w:t>
      </w:r>
      <w:r w:rsidR="008F7C57" w:rsidRPr="00CB4B24">
        <w:t xml:space="preserve">but this </w:t>
      </w:r>
      <w:r w:rsidR="00695F7E" w:rsidRPr="00CB4B24">
        <w:t>was found by the High Court in Unions NSW vs NSW [2013]</w:t>
      </w:r>
      <w:r w:rsidR="0087745C" w:rsidRPr="00CB4B24">
        <w:rPr>
          <w:rStyle w:val="FootnoteReference"/>
        </w:rPr>
        <w:footnoteReference w:id="4"/>
      </w:r>
      <w:r w:rsidR="00695F7E" w:rsidRPr="00CB4B24">
        <w:t xml:space="preserve"> to be a </w:t>
      </w:r>
      <w:r w:rsidR="008F7C57" w:rsidRPr="00CB4B24">
        <w:t xml:space="preserve">violation of the implied freedom as it did not </w:t>
      </w:r>
      <w:r w:rsidR="00E40A2A" w:rsidRPr="00CB4B24">
        <w:t>demonstrate</w:t>
      </w:r>
      <w:r w:rsidR="008F7C57" w:rsidRPr="00CB4B24">
        <w:t xml:space="preserve"> the legitimate aim </w:t>
      </w:r>
      <w:r w:rsidR="00D4392E" w:rsidRPr="00CB4B24">
        <w:t xml:space="preserve">which related to </w:t>
      </w:r>
      <w:r w:rsidR="008F7C57" w:rsidRPr="00CB4B24">
        <w:t>the legislated response.</w:t>
      </w:r>
      <w:r w:rsidR="009D4C8C" w:rsidRPr="00CB4B24">
        <w:t xml:space="preserve">  From this, </w:t>
      </w:r>
      <w:r w:rsidR="00576F63" w:rsidRPr="00CB4B24">
        <w:t xml:space="preserve">in combination with judgements identified </w:t>
      </w:r>
      <w:r w:rsidR="00B569D7" w:rsidRPr="00CB4B24">
        <w:t xml:space="preserve">earlier, </w:t>
      </w:r>
      <w:r w:rsidR="009D4C8C" w:rsidRPr="00CB4B24">
        <w:t xml:space="preserve">the observation can be drawn that a more mature </w:t>
      </w:r>
      <w:r w:rsidR="00B569D7" w:rsidRPr="00CB4B24">
        <w:t xml:space="preserve">and legitimate </w:t>
      </w:r>
      <w:r w:rsidR="009D4C8C" w:rsidRPr="00CB4B24">
        <w:t xml:space="preserve">attempt </w:t>
      </w:r>
      <w:r w:rsidR="00342C87" w:rsidRPr="00CB4B24">
        <w:t xml:space="preserve">at banning donations from foreign entities needs to </w:t>
      </w:r>
      <w:r w:rsidR="00BE10DF" w:rsidRPr="00CB4B24">
        <w:t xml:space="preserve">focus on what it wants to achieve, while </w:t>
      </w:r>
      <w:r w:rsidR="00B00DF0" w:rsidRPr="00CB4B24">
        <w:t xml:space="preserve">also </w:t>
      </w:r>
      <w:r w:rsidR="00342C87" w:rsidRPr="00CB4B24">
        <w:t>recognis</w:t>
      </w:r>
      <w:r w:rsidR="00BE10DF" w:rsidRPr="00CB4B24">
        <w:t>ing</w:t>
      </w:r>
      <w:r w:rsidR="00342C87" w:rsidRPr="00CB4B24">
        <w:t xml:space="preserve"> </w:t>
      </w:r>
      <w:r w:rsidR="0010202E" w:rsidRPr="00CB4B24">
        <w:t>and protect</w:t>
      </w:r>
      <w:r w:rsidR="00BE10DF" w:rsidRPr="00CB4B24">
        <w:t>ing</w:t>
      </w:r>
      <w:r w:rsidR="0010202E" w:rsidRPr="00CB4B24">
        <w:t xml:space="preserve"> the </w:t>
      </w:r>
      <w:r w:rsidR="00B00DF0" w:rsidRPr="00CB4B24">
        <w:t xml:space="preserve">implied </w:t>
      </w:r>
      <w:r w:rsidR="0010202E" w:rsidRPr="00CB4B24">
        <w:t xml:space="preserve">rights of </w:t>
      </w:r>
      <w:r w:rsidR="00342C87" w:rsidRPr="00CB4B24">
        <w:t xml:space="preserve">individuals and organisations that have a legitimate purpose </w:t>
      </w:r>
      <w:r w:rsidR="00B91652" w:rsidRPr="00CB4B24">
        <w:t>for engaging in Australia’s system</w:t>
      </w:r>
      <w:r w:rsidR="00516870" w:rsidRPr="00CB4B24">
        <w:t xml:space="preserve"> of representative democracy</w:t>
      </w:r>
      <w:r w:rsidR="00B91652" w:rsidRPr="00CB4B24">
        <w:t>.</w:t>
      </w:r>
    </w:p>
    <w:p w14:paraId="2465F1AD" w14:textId="0DF55840" w:rsidR="009D1764" w:rsidRPr="00CB4B24" w:rsidRDefault="00CD4FF7" w:rsidP="000830DF">
      <w:r w:rsidRPr="00CB4B24">
        <w:t xml:space="preserve">The amendment is to substitute the definition of a foreign entity to one based on </w:t>
      </w:r>
      <w:r w:rsidR="007F2761" w:rsidRPr="00CB4B24">
        <w:t xml:space="preserve">residency and </w:t>
      </w:r>
      <w:r w:rsidR="004F7D04" w:rsidRPr="00CB4B24">
        <w:t xml:space="preserve">majority </w:t>
      </w:r>
      <w:r w:rsidR="00CB5CC4" w:rsidRPr="00CB4B24">
        <w:t>beneficial ownership</w:t>
      </w:r>
      <w:r w:rsidRPr="00CB4B24">
        <w:t xml:space="preserve">.  A foreign entity is proposed to be defined as an individual who is not a citizen or permanent resident or an organisation which </w:t>
      </w:r>
      <w:r w:rsidR="00CB6440" w:rsidRPr="00CB4B24">
        <w:t xml:space="preserve">is majority </w:t>
      </w:r>
      <w:r w:rsidR="00BA6539" w:rsidRPr="00CB4B24">
        <w:t>beneficial</w:t>
      </w:r>
      <w:r w:rsidR="00CB6440" w:rsidRPr="00CB4B24">
        <w:t>ly owned</w:t>
      </w:r>
      <w:r w:rsidR="00BA6539" w:rsidRPr="00CB4B24">
        <w:t xml:space="preserve"> </w:t>
      </w:r>
      <w:r w:rsidR="00CB6440" w:rsidRPr="00CB4B24">
        <w:t>or controlled</w:t>
      </w:r>
      <w:r w:rsidR="00BA6539" w:rsidRPr="00CB4B24">
        <w:t xml:space="preserve"> </w:t>
      </w:r>
      <w:r w:rsidR="00143622" w:rsidRPr="00CB4B24">
        <w:t xml:space="preserve">by an individual or group of individuals </w:t>
      </w:r>
      <w:r w:rsidRPr="00CB4B24">
        <w:t>who are not citizens or permanent residents.</w:t>
      </w:r>
    </w:p>
    <w:p w14:paraId="30946228" w14:textId="4D4A19ED" w:rsidR="00BE2EFC" w:rsidRPr="00CB4B24" w:rsidRDefault="00BE2EFC" w:rsidP="000830DF">
      <w:r w:rsidRPr="00CB4B24">
        <w:t>The concept of a beneficial ownership is similar to that used in financial laws, where the concept is well understood and utilised for the purpose of tracking foreign investment and money laundering.  These are the concepts through which people excluded from investing in Australia by other means, such as diplomatic sanctions, are identified despite what a web of subsidiary and shadow companies registered in tax havens might conceal.  A company which conceals their beneficial ownership and misleads a political party about their eligibility to donate to that party would expose themselves to charges of fraud.</w:t>
      </w:r>
    </w:p>
    <w:p w14:paraId="305D88BC" w14:textId="36BF3470" w:rsidR="00B91652" w:rsidRPr="00CB4B24" w:rsidRDefault="00ED6F2F" w:rsidP="000830DF">
      <w:r w:rsidRPr="00CB4B24">
        <w:t>This is proposed</w:t>
      </w:r>
      <w:r w:rsidR="00B91652" w:rsidRPr="00CB4B24">
        <w:t xml:space="preserve"> </w:t>
      </w:r>
      <w:r w:rsidR="00B11743" w:rsidRPr="00CB4B24">
        <w:t>utilising</w:t>
      </w:r>
      <w:r w:rsidR="00A119F1" w:rsidRPr="00CB4B24">
        <w:t xml:space="preserve"> the following logic:</w:t>
      </w:r>
    </w:p>
    <w:p w14:paraId="17572623" w14:textId="301448E7" w:rsidR="00A119F1" w:rsidRPr="00CB4B24" w:rsidRDefault="00A119F1" w:rsidP="00642A1F">
      <w:pPr>
        <w:numPr>
          <w:ilvl w:val="0"/>
          <w:numId w:val="2"/>
        </w:numPr>
        <w:spacing w:after="0"/>
        <w:ind w:left="714" w:hanging="357"/>
      </w:pPr>
      <w:r w:rsidRPr="00CB4B24">
        <w:t xml:space="preserve">A person who is </w:t>
      </w:r>
      <w:r w:rsidR="0036656F" w:rsidRPr="00CB4B24">
        <w:t xml:space="preserve">an Australian Citizen or a Permanent Resident in Australia has a legitimate </w:t>
      </w:r>
      <w:r w:rsidR="00941BDB" w:rsidRPr="00CB4B24">
        <w:t xml:space="preserve">stake in Australia’s system of </w:t>
      </w:r>
      <w:r w:rsidR="00B03A7E" w:rsidRPr="00CB4B24">
        <w:t>representative democracy</w:t>
      </w:r>
      <w:r w:rsidR="00941BDB" w:rsidRPr="00CB4B24">
        <w:t xml:space="preserve">.  This is </w:t>
      </w:r>
      <w:r w:rsidR="00B11743" w:rsidRPr="00CB4B24">
        <w:t xml:space="preserve">definitively </w:t>
      </w:r>
      <w:r w:rsidR="00941BDB" w:rsidRPr="00CB4B24">
        <w:t xml:space="preserve">their </w:t>
      </w:r>
      <w:r w:rsidR="00BD45FE" w:rsidRPr="00CB4B24">
        <w:rPr>
          <w:u w:val="single"/>
        </w:rPr>
        <w:t>home</w:t>
      </w:r>
      <w:r w:rsidR="00E43DE2" w:rsidRPr="00CB4B24">
        <w:t>.</w:t>
      </w:r>
    </w:p>
    <w:p w14:paraId="4F8E2A59" w14:textId="45218438" w:rsidR="00AC0214" w:rsidRPr="00CB4B24" w:rsidRDefault="00AC0214" w:rsidP="00642A1F">
      <w:pPr>
        <w:numPr>
          <w:ilvl w:val="0"/>
          <w:numId w:val="2"/>
        </w:numPr>
        <w:spacing w:after="0"/>
        <w:ind w:left="714" w:hanging="357"/>
      </w:pPr>
      <w:r w:rsidRPr="00CB4B24">
        <w:t>An organisation which is majority controlled by Australian Citizens and Permanent Residents likewise</w:t>
      </w:r>
      <w:r w:rsidR="00E023B5" w:rsidRPr="00CB4B24">
        <w:t xml:space="preserve"> has a legitimate stake in Australia’s </w:t>
      </w:r>
      <w:r w:rsidR="00642A1F" w:rsidRPr="00CB4B24">
        <w:t xml:space="preserve">system of </w:t>
      </w:r>
      <w:r w:rsidR="007D3B6D" w:rsidRPr="00CB4B24">
        <w:t xml:space="preserve">representative democracy </w:t>
      </w:r>
      <w:r w:rsidR="00642A1F" w:rsidRPr="00CB4B24">
        <w:t>and should not be constrained in political communication.</w:t>
      </w:r>
    </w:p>
    <w:p w14:paraId="2CEFD661" w14:textId="2988C783" w:rsidR="00642A1F" w:rsidRPr="00CB4B24" w:rsidRDefault="00DF3793" w:rsidP="00642A1F">
      <w:pPr>
        <w:numPr>
          <w:ilvl w:val="0"/>
          <w:numId w:val="2"/>
        </w:numPr>
        <w:spacing w:after="0"/>
        <w:ind w:left="714" w:hanging="357"/>
      </w:pPr>
      <w:r w:rsidRPr="00CB4B24">
        <w:t xml:space="preserve">A person or organisation which </w:t>
      </w:r>
      <w:r w:rsidR="00414F6A" w:rsidRPr="00CB4B24">
        <w:t xml:space="preserve">does not meet these criteria </w:t>
      </w:r>
      <w:r w:rsidR="005D4711" w:rsidRPr="00CB4B24">
        <w:t xml:space="preserve">either </w:t>
      </w:r>
      <w:r w:rsidR="00414F6A" w:rsidRPr="00CB4B24">
        <w:t xml:space="preserve">does not </w:t>
      </w:r>
      <w:r w:rsidR="00525F1C" w:rsidRPr="00CB4B24">
        <w:t xml:space="preserve">have </w:t>
      </w:r>
      <w:r w:rsidR="005D4711" w:rsidRPr="00CB4B24">
        <w:t xml:space="preserve">or is yet to obtain </w:t>
      </w:r>
      <w:r w:rsidR="00525F1C" w:rsidRPr="00CB4B24">
        <w:t>such a stake</w:t>
      </w:r>
      <w:r w:rsidR="00E135E3" w:rsidRPr="00CB4B24">
        <w:t xml:space="preserve"> in Australia’s system of </w:t>
      </w:r>
      <w:r w:rsidR="00943811" w:rsidRPr="00CB4B24">
        <w:t>representative democracy</w:t>
      </w:r>
      <w:r w:rsidR="00414F6A" w:rsidRPr="00CB4B24">
        <w:t>.</w:t>
      </w:r>
      <w:r w:rsidR="00E135E3" w:rsidRPr="00CB4B24">
        <w:t xml:space="preserve">  Until such time as they secure </w:t>
      </w:r>
      <w:r w:rsidR="00640FA7" w:rsidRPr="00CB4B24">
        <w:t>that status</w:t>
      </w:r>
      <w:r w:rsidR="00D770B7" w:rsidRPr="00CB4B24">
        <w:t>, the balance of probabilities indicates that the</w:t>
      </w:r>
      <w:r w:rsidR="00225D03" w:rsidRPr="00CB4B24">
        <w:t xml:space="preserve"> </w:t>
      </w:r>
      <w:r w:rsidR="000614D4" w:rsidRPr="00CB4B24">
        <w:t>‘</w:t>
      </w:r>
      <w:r w:rsidR="00225D03" w:rsidRPr="00CB4B24">
        <w:t>legitimate presence</w:t>
      </w:r>
      <w:r w:rsidR="000614D4" w:rsidRPr="00CB4B24">
        <w:t>’</w:t>
      </w:r>
      <w:r w:rsidR="00225D03" w:rsidRPr="00CB4B24">
        <w:t xml:space="preserve"> in Australia </w:t>
      </w:r>
      <w:r w:rsidR="00C45268" w:rsidRPr="00CB4B24">
        <w:t xml:space="preserve">of such persons and organisations who are making donations of political influence </w:t>
      </w:r>
      <w:r w:rsidR="00225D03" w:rsidRPr="00CB4B24">
        <w:t xml:space="preserve">is to </w:t>
      </w:r>
      <w:r w:rsidR="00225D03" w:rsidRPr="00CB4B24">
        <w:rPr>
          <w:u w:val="single"/>
        </w:rPr>
        <w:t>extract value from Australia rather than to contribute to Australia</w:t>
      </w:r>
      <w:r w:rsidR="00225D03" w:rsidRPr="00CB4B24">
        <w:t>.</w:t>
      </w:r>
      <w:r w:rsidR="00D87117" w:rsidRPr="00CB4B24">
        <w:rPr>
          <w:rStyle w:val="FootnoteReference"/>
        </w:rPr>
        <w:footnoteReference w:id="5"/>
      </w:r>
      <w:r w:rsidR="00723B5A" w:rsidRPr="00CB4B24">
        <w:t xml:space="preserve">  </w:t>
      </w:r>
      <w:r w:rsidR="003D2647" w:rsidRPr="00CB4B24">
        <w:t>It is reasonable to constrain the political communication of such entities</w:t>
      </w:r>
      <w:r w:rsidR="009D2E1B" w:rsidRPr="00CB4B24">
        <w:t>.</w:t>
      </w:r>
    </w:p>
    <w:p w14:paraId="36BC8A00" w14:textId="28FDD7D8" w:rsidR="009645A3" w:rsidRPr="00CB4B24" w:rsidRDefault="004673B8" w:rsidP="009645A3">
      <w:pPr>
        <w:numPr>
          <w:ilvl w:val="0"/>
          <w:numId w:val="2"/>
        </w:numPr>
        <w:spacing w:after="0"/>
      </w:pPr>
      <w:r w:rsidRPr="00CB4B24">
        <w:t>For the avoidance of doubt</w:t>
      </w:r>
      <w:r w:rsidR="009645A3" w:rsidRPr="00CB4B24">
        <w:t>:</w:t>
      </w:r>
    </w:p>
    <w:p w14:paraId="34664B1F" w14:textId="3A56DCA2" w:rsidR="004673B8" w:rsidRPr="00CB4B24" w:rsidRDefault="009645A3" w:rsidP="004673B8">
      <w:pPr>
        <w:numPr>
          <w:ilvl w:val="1"/>
          <w:numId w:val="2"/>
        </w:numPr>
        <w:spacing w:after="0"/>
      </w:pPr>
      <w:r w:rsidRPr="00CB4B24">
        <w:lastRenderedPageBreak/>
        <w:t>I</w:t>
      </w:r>
      <w:r w:rsidR="004673B8" w:rsidRPr="00CB4B24">
        <w:t xml:space="preserve">t can be recognised that this interpretation would constrain </w:t>
      </w:r>
      <w:r w:rsidR="007F53A6" w:rsidRPr="00CB4B24">
        <w:t>refugees, asylum seekers and other stateless persons from making donations to political parties.</w:t>
      </w:r>
      <w:r w:rsidR="00474E8A" w:rsidRPr="00CB4B24">
        <w:t xml:space="preserve">  However, people in these circumstances generally </w:t>
      </w:r>
      <w:r w:rsidR="00DC103F" w:rsidRPr="00CB4B24">
        <w:t xml:space="preserve">face significant social upheaval and </w:t>
      </w:r>
      <w:r w:rsidR="00474E8A" w:rsidRPr="00CB4B24">
        <w:t xml:space="preserve">lack the financial resources to </w:t>
      </w:r>
      <w:r w:rsidR="00E21FF1" w:rsidRPr="00CB4B24">
        <w:t xml:space="preserve">be able to </w:t>
      </w:r>
      <w:r w:rsidR="00D979D2" w:rsidRPr="00CB4B24">
        <w:t xml:space="preserve">afford making </w:t>
      </w:r>
      <w:r w:rsidR="00C72FD7" w:rsidRPr="00CB4B24">
        <w:t xml:space="preserve">legitimate </w:t>
      </w:r>
      <w:r w:rsidR="00D979D2" w:rsidRPr="00CB4B24">
        <w:t>political donations.</w:t>
      </w:r>
      <w:r w:rsidR="001A79CD" w:rsidRPr="00CB4B24">
        <w:t xml:space="preserve">  Those who do have the financial resources to make political donations</w:t>
      </w:r>
      <w:r w:rsidR="00F14558" w:rsidRPr="00CB4B24">
        <w:t xml:space="preserve"> typically come to Australia with other intentions.</w:t>
      </w:r>
    </w:p>
    <w:p w14:paraId="7C0CBDAD" w14:textId="506705A8" w:rsidR="00C20F6D" w:rsidRPr="00CB4B24" w:rsidRDefault="00DF6AAD" w:rsidP="00C20F6D">
      <w:pPr>
        <w:numPr>
          <w:ilvl w:val="1"/>
          <w:numId w:val="2"/>
        </w:numPr>
        <w:spacing w:after="0"/>
      </w:pPr>
      <w:r w:rsidRPr="00CB4B24">
        <w:t xml:space="preserve">The Greens believe that there should be straightforward and expedited pathways </w:t>
      </w:r>
      <w:r w:rsidR="00775132" w:rsidRPr="00CB4B24">
        <w:t>to permanent residency for those seeking asylum</w:t>
      </w:r>
      <w:r w:rsidR="00826B13" w:rsidRPr="00CB4B24">
        <w:t xml:space="preserve">, so that they remain in limbo </w:t>
      </w:r>
      <w:r w:rsidR="00DC7393" w:rsidRPr="00CB4B24">
        <w:t xml:space="preserve">and outside our system of representative democracy </w:t>
      </w:r>
      <w:r w:rsidR="00826B13" w:rsidRPr="00CB4B24">
        <w:t>for as little time as possible</w:t>
      </w:r>
      <w:r w:rsidR="00775132" w:rsidRPr="00CB4B24">
        <w:t>.</w:t>
      </w:r>
      <w:r w:rsidR="00826B13" w:rsidRPr="00CB4B24">
        <w:t xml:space="preserve">  The Greens oppose the “temporary protection” system.</w:t>
      </w:r>
    </w:p>
    <w:p w14:paraId="5BDEF00F" w14:textId="77777777" w:rsidR="00C20F6D" w:rsidRPr="00CB4B24" w:rsidRDefault="00C20F6D" w:rsidP="00C20F6D">
      <w:pPr>
        <w:spacing w:after="0"/>
      </w:pPr>
    </w:p>
    <w:p w14:paraId="527C3623" w14:textId="2A40F4F8" w:rsidR="00826B13" w:rsidRPr="00CB4B24" w:rsidRDefault="00826B13" w:rsidP="00516870">
      <w:r w:rsidRPr="00CB4B24">
        <w:t xml:space="preserve">Nothing in the </w:t>
      </w:r>
      <w:r w:rsidR="00BA5D62" w:rsidRPr="00CB4B24">
        <w:t xml:space="preserve">bill or these </w:t>
      </w:r>
      <w:r w:rsidRPr="00CB4B24">
        <w:t xml:space="preserve">amendments prevents </w:t>
      </w:r>
      <w:r w:rsidR="00807BFA" w:rsidRPr="00CB4B24">
        <w:t xml:space="preserve">people </w:t>
      </w:r>
      <w:r w:rsidR="00547221" w:rsidRPr="00CB4B24">
        <w:t xml:space="preserve">or organisations </w:t>
      </w:r>
      <w:r w:rsidR="00807BFA" w:rsidRPr="00CB4B24">
        <w:t>from otherwise engaging in political debate in Australia</w:t>
      </w:r>
      <w:r w:rsidR="001318E4" w:rsidRPr="00CB4B24">
        <w:t xml:space="preserve"> on their merits</w:t>
      </w:r>
      <w:r w:rsidR="00807BFA" w:rsidRPr="00CB4B24">
        <w:t>.  Only the ability to make donations is constrained</w:t>
      </w:r>
      <w:r w:rsidR="00963834" w:rsidRPr="00CB4B24">
        <w:t xml:space="preserve"> in the p</w:t>
      </w:r>
      <w:r w:rsidR="00531294" w:rsidRPr="00CB4B24">
        <w:t>r</w:t>
      </w:r>
      <w:r w:rsidR="00963834" w:rsidRPr="00CB4B24">
        <w:t>ovisions being proposed</w:t>
      </w:r>
      <w:r w:rsidR="00A31CBF" w:rsidRPr="00CB4B24">
        <w:t xml:space="preserve">, and only on those whose stake in Australia’s system of representative democracy is </w:t>
      </w:r>
      <w:r w:rsidR="002B04A2" w:rsidRPr="00CB4B24">
        <w:t>greatly limited by their absence of citizenship or permanent residency</w:t>
      </w:r>
      <w:r w:rsidR="00807BFA" w:rsidRPr="00CB4B24">
        <w:t>.</w:t>
      </w:r>
    </w:p>
    <w:p w14:paraId="188D85EF" w14:textId="75E23D68" w:rsidR="00FC5BB8" w:rsidRPr="00CB4B24" w:rsidRDefault="0087470A" w:rsidP="00516870">
      <w:r w:rsidRPr="00CB4B24">
        <w:t xml:space="preserve">Including a definition of foreign entity, amended as such, will ensure that the legitimate objective of </w:t>
      </w:r>
      <w:r w:rsidR="00081EDF" w:rsidRPr="00CB4B24">
        <w:t xml:space="preserve">limiting inappropriate foreign influence in our democratic systems via financial inducements </w:t>
      </w:r>
      <w:r w:rsidR="00483DB5" w:rsidRPr="00CB4B24">
        <w:t>is met, while also ensuring that the legislated response is appropriately proportionate to that objective.</w:t>
      </w:r>
    </w:p>
    <w:p w14:paraId="3554A4F7" w14:textId="18C14BF8" w:rsidR="005253BF" w:rsidRPr="00CB4B24" w:rsidRDefault="005253BF" w:rsidP="00516870">
      <w:pPr>
        <w:rPr>
          <w:u w:val="single"/>
        </w:rPr>
      </w:pPr>
      <w:r w:rsidRPr="00CB4B24">
        <w:rPr>
          <w:color w:val="385623" w:themeColor="accent6" w:themeShade="80"/>
          <w:u w:val="single"/>
        </w:rPr>
        <w:t xml:space="preserve">Allowing for </w:t>
      </w:r>
      <w:r w:rsidR="00CE1249" w:rsidRPr="00CB4B24">
        <w:rPr>
          <w:color w:val="385623" w:themeColor="accent6" w:themeShade="80"/>
          <w:u w:val="single"/>
        </w:rPr>
        <w:t>additional</w:t>
      </w:r>
      <w:r w:rsidRPr="00CB4B24">
        <w:rPr>
          <w:color w:val="385623" w:themeColor="accent6" w:themeShade="80"/>
          <w:u w:val="single"/>
        </w:rPr>
        <w:t xml:space="preserve"> categories of prohibited donors</w:t>
      </w:r>
    </w:p>
    <w:p w14:paraId="46EE368D" w14:textId="6C35C764" w:rsidR="00F160F4" w:rsidRPr="00CB4B24" w:rsidRDefault="00D657FE" w:rsidP="00516870">
      <w:r w:rsidRPr="00CB4B24">
        <w:t>In addition</w:t>
      </w:r>
      <w:r w:rsidR="00705399" w:rsidRPr="00CB4B24">
        <w:t xml:space="preserve"> to adjusting the definition of a foreign entity, the amendments reorganise the proposed new section </w:t>
      </w:r>
      <w:r w:rsidR="003065C7" w:rsidRPr="00CB4B24">
        <w:t xml:space="preserve">on donations from foreign entities to instead become a section on donations from </w:t>
      </w:r>
      <w:r w:rsidR="003065C7" w:rsidRPr="00CB4B24">
        <w:rPr>
          <w:i/>
          <w:iCs/>
        </w:rPr>
        <w:t xml:space="preserve">prohibited </w:t>
      </w:r>
      <w:r w:rsidR="00174C84" w:rsidRPr="00CB4B24">
        <w:rPr>
          <w:i/>
          <w:iCs/>
        </w:rPr>
        <w:t>entities</w:t>
      </w:r>
      <w:r w:rsidR="003065C7" w:rsidRPr="00CB4B24">
        <w:t>.</w:t>
      </w:r>
      <w:r w:rsidR="008638FC" w:rsidRPr="00CB4B24">
        <w:t xml:space="preserve">  What is a prohibited entity is then defined as including </w:t>
      </w:r>
      <w:r w:rsidR="00174C84" w:rsidRPr="00CB4B24">
        <w:t>foreign entities, but also defence entities</w:t>
      </w:r>
      <w:r w:rsidR="000F6B38" w:rsidRPr="00CB4B24">
        <w:t xml:space="preserve">, fossil fuel entities, </w:t>
      </w:r>
      <w:r w:rsidR="00E37BFE" w:rsidRPr="00CB4B24">
        <w:t xml:space="preserve">and </w:t>
      </w:r>
      <w:r w:rsidR="00174C84" w:rsidRPr="00CB4B24">
        <w:t>nicotine entities</w:t>
      </w:r>
      <w:r w:rsidR="00FF3432" w:rsidRPr="00CB4B24">
        <w:t xml:space="preserve">, and </w:t>
      </w:r>
      <w:r w:rsidR="00E37BFE" w:rsidRPr="00CB4B24">
        <w:t xml:space="preserve">includes </w:t>
      </w:r>
      <w:r w:rsidR="00FF3432" w:rsidRPr="00CB4B24">
        <w:t xml:space="preserve">the close associates of </w:t>
      </w:r>
      <w:r w:rsidR="00607F42" w:rsidRPr="00CB4B24">
        <w:t>these</w:t>
      </w:r>
      <w:r w:rsidR="001E44F5" w:rsidRPr="00CB4B24">
        <w:t xml:space="preserve"> </w:t>
      </w:r>
      <w:r w:rsidR="00FF3432" w:rsidRPr="00CB4B24">
        <w:t>prohibited entities</w:t>
      </w:r>
      <w:r w:rsidR="00233737" w:rsidRPr="00CB4B24">
        <w:t xml:space="preserve"> which are incorporated</w:t>
      </w:r>
      <w:r w:rsidR="00174C84" w:rsidRPr="00CB4B24">
        <w:t>.</w:t>
      </w:r>
    </w:p>
    <w:p w14:paraId="52D07A8C" w14:textId="50F27050" w:rsidR="00AA455C" w:rsidRPr="00CB4B24" w:rsidRDefault="00BC4A48" w:rsidP="00516870">
      <w:r w:rsidRPr="00CB4B24">
        <w:t xml:space="preserve">A defence entity is defined as </w:t>
      </w:r>
      <w:r w:rsidR="00DF7BEA" w:rsidRPr="00CB4B24">
        <w:t xml:space="preserve">an entity </w:t>
      </w:r>
      <w:r w:rsidRPr="00CB4B24">
        <w:t>that holds, or has held, a contract with the Commonwealth for the provision of equipment</w:t>
      </w:r>
      <w:r w:rsidR="00B10245" w:rsidRPr="00CB4B24">
        <w:t xml:space="preserve"> </w:t>
      </w:r>
      <w:r w:rsidR="00E37BFE" w:rsidRPr="00CB4B24">
        <w:t xml:space="preserve">intended for military end-use </w:t>
      </w:r>
      <w:r w:rsidR="00494DB5" w:rsidRPr="00CB4B24">
        <w:t xml:space="preserve">or for </w:t>
      </w:r>
      <w:r w:rsidR="00B10245" w:rsidRPr="00CB4B24">
        <w:t xml:space="preserve">advice </w:t>
      </w:r>
      <w:r w:rsidR="00762567" w:rsidRPr="00CB4B24">
        <w:t>in relation to the</w:t>
      </w:r>
      <w:r w:rsidR="00B10245" w:rsidRPr="00CB4B24">
        <w:t xml:space="preserve"> operations</w:t>
      </w:r>
      <w:r w:rsidR="00762567" w:rsidRPr="00CB4B24">
        <w:t>, exercises or other activities of the defence force, including advice on</w:t>
      </w:r>
      <w:r w:rsidR="00B10245" w:rsidRPr="00CB4B24">
        <w:t xml:space="preserve"> procurement</w:t>
      </w:r>
      <w:r w:rsidR="0024158D" w:rsidRPr="00CB4B24">
        <w:t xml:space="preserve"> of the afore-mentioned equipment</w:t>
      </w:r>
      <w:r w:rsidRPr="00CB4B24">
        <w:t>.</w:t>
      </w:r>
      <w:r w:rsidR="002A574E" w:rsidRPr="00CB4B24">
        <w:t xml:space="preserve">  This definition is intended to capture the concept described in vernacular as the “military-industrial complex”</w:t>
      </w:r>
      <w:r w:rsidR="0026503A" w:rsidRPr="00CB4B24">
        <w:t xml:space="preserve"> – a section of private sector manufacturers and advice organisations who are entrenched with </w:t>
      </w:r>
      <w:r w:rsidR="00CD470D" w:rsidRPr="00CB4B24">
        <w:t xml:space="preserve">military </w:t>
      </w:r>
      <w:r w:rsidR="00CE5601" w:rsidRPr="00CB4B24">
        <w:t>functions</w:t>
      </w:r>
      <w:r w:rsidR="00CD470D" w:rsidRPr="00CB4B24">
        <w:t>.</w:t>
      </w:r>
      <w:r w:rsidR="00CE5601" w:rsidRPr="00CB4B24">
        <w:t xml:space="preserve">  There are </w:t>
      </w:r>
      <w:r w:rsidR="00C05839" w:rsidRPr="00CB4B24">
        <w:t xml:space="preserve">very </w:t>
      </w:r>
      <w:r w:rsidR="00CE5601" w:rsidRPr="00CB4B24">
        <w:t>significant commercial benefits that can be derived from securing defence contracts</w:t>
      </w:r>
      <w:r w:rsidR="00090302" w:rsidRPr="00CB4B24">
        <w:t xml:space="preserve"> and the perpetuation of military activities</w:t>
      </w:r>
      <w:r w:rsidR="00A34033" w:rsidRPr="00CB4B24">
        <w:t>.  Seeking f</w:t>
      </w:r>
      <w:r w:rsidR="000B700D" w:rsidRPr="00CB4B24">
        <w:t xml:space="preserve">avourable </w:t>
      </w:r>
      <w:r w:rsidR="00A34033" w:rsidRPr="00CB4B24">
        <w:t xml:space="preserve">contractor </w:t>
      </w:r>
      <w:r w:rsidR="000B700D" w:rsidRPr="00CB4B24">
        <w:t xml:space="preserve">selection via the principle </w:t>
      </w:r>
      <w:r w:rsidR="00A34033" w:rsidRPr="00CB4B24">
        <w:t xml:space="preserve">of </w:t>
      </w:r>
      <w:r w:rsidR="000B700D" w:rsidRPr="00CB4B24">
        <w:t xml:space="preserve">reciprocal </w:t>
      </w:r>
      <w:r w:rsidR="00A34033" w:rsidRPr="00CB4B24">
        <w:t xml:space="preserve">favours </w:t>
      </w:r>
      <w:r w:rsidR="003F1650" w:rsidRPr="00CB4B24">
        <w:t xml:space="preserve">is a source of corruption </w:t>
      </w:r>
      <w:r w:rsidR="0032609B" w:rsidRPr="00CB4B24">
        <w:t>around</w:t>
      </w:r>
      <w:r w:rsidR="00640ADC" w:rsidRPr="00CB4B24">
        <w:t xml:space="preserve"> which defence entities pose a distinct vulnerability.</w:t>
      </w:r>
      <w:r w:rsidR="00E5257C" w:rsidRPr="00CB4B24">
        <w:t xml:space="preserve">  As Canberra </w:t>
      </w:r>
      <w:r w:rsidR="005C113A" w:rsidRPr="00CB4B24">
        <w:t xml:space="preserve">has a major </w:t>
      </w:r>
      <w:r w:rsidR="00143FA1" w:rsidRPr="00CB4B24">
        <w:t>d</w:t>
      </w:r>
      <w:r w:rsidR="005C113A" w:rsidRPr="00CB4B24">
        <w:t>efence industry presence, that risk is more elevated here than in other parts of Australia.</w:t>
      </w:r>
    </w:p>
    <w:p w14:paraId="15D61092" w14:textId="67A75A54" w:rsidR="00EC6896" w:rsidRPr="00CB4B24" w:rsidRDefault="00EC6896" w:rsidP="00516870">
      <w:r w:rsidRPr="00CB4B24">
        <w:t>A fossil fuel entity is defined as</w:t>
      </w:r>
      <w:r w:rsidR="00BA6338" w:rsidRPr="00CB4B24">
        <w:t xml:space="preserve"> a </w:t>
      </w:r>
      <w:r w:rsidR="00511ADC" w:rsidRPr="00CB4B24">
        <w:t>company</w:t>
      </w:r>
      <w:r w:rsidR="00BA6338" w:rsidRPr="00CB4B24">
        <w:t xml:space="preserve"> that </w:t>
      </w:r>
      <w:r w:rsidR="000C0B93" w:rsidRPr="00CB4B24">
        <w:t>extracts</w:t>
      </w:r>
      <w:r w:rsidR="00D85E7C" w:rsidRPr="00CB4B24">
        <w:t>, mines,</w:t>
      </w:r>
      <w:r w:rsidR="00B23DFD" w:rsidRPr="00CB4B24">
        <w:t xml:space="preserve"> processes </w:t>
      </w:r>
      <w:r w:rsidR="00D85E7C" w:rsidRPr="00CB4B24">
        <w:t xml:space="preserve">or refines </w:t>
      </w:r>
      <w:r w:rsidR="00B23DFD" w:rsidRPr="00CB4B24">
        <w:t>fossil fuels</w:t>
      </w:r>
      <w:r w:rsidR="009A1708" w:rsidRPr="00CB4B24">
        <w:t xml:space="preserve"> for energy purposes</w:t>
      </w:r>
      <w:r w:rsidR="00040C55" w:rsidRPr="00CB4B24">
        <w:t>.</w:t>
      </w:r>
      <w:r w:rsidR="008E712C" w:rsidRPr="00CB4B24">
        <w:t xml:space="preserve">  The fossil fuel industry </w:t>
      </w:r>
      <w:r w:rsidR="0055771C" w:rsidRPr="00CB4B24">
        <w:t xml:space="preserve">is the main source of global heating, and the </w:t>
      </w:r>
      <w:r w:rsidR="0084094D" w:rsidRPr="00CB4B24">
        <w:t xml:space="preserve">UN Environment Programme </w:t>
      </w:r>
      <w:r w:rsidR="00C6650F" w:rsidRPr="00CB4B24">
        <w:t xml:space="preserve">has made it clear that </w:t>
      </w:r>
      <w:r w:rsidR="00BB370C" w:rsidRPr="00CB4B24">
        <w:t>global fossil fuel production must start declining immediately and steeply to be consistent with limiting long-term warming to 1.5°C</w:t>
      </w:r>
      <w:r w:rsidR="00131EA4" w:rsidRPr="00CB4B24">
        <w:t>.</w:t>
      </w:r>
      <w:r w:rsidR="00301E30" w:rsidRPr="00CB4B24">
        <w:rPr>
          <w:rStyle w:val="FootnoteReference"/>
        </w:rPr>
        <w:footnoteReference w:id="6"/>
      </w:r>
      <w:r w:rsidR="00131EA4" w:rsidRPr="00CB4B24">
        <w:t xml:space="preserve">  Despite this, governments </w:t>
      </w:r>
      <w:r w:rsidR="00FD100B" w:rsidRPr="00CB4B24">
        <w:t xml:space="preserve">around the world, including in Australia, </w:t>
      </w:r>
      <w:r w:rsidR="00131EA4" w:rsidRPr="00CB4B24">
        <w:t>continue</w:t>
      </w:r>
      <w:r w:rsidR="00FD100B" w:rsidRPr="00CB4B24">
        <w:t xml:space="preserve"> to facilitate the opening of new</w:t>
      </w:r>
      <w:r w:rsidR="00E732AC" w:rsidRPr="00CB4B24">
        <w:t xml:space="preserve"> fossil fuel energy</w:t>
      </w:r>
      <w:r w:rsidR="00FD100B" w:rsidRPr="00CB4B24">
        <w:t xml:space="preserve"> projects</w:t>
      </w:r>
      <w:r w:rsidR="006201C3" w:rsidRPr="00CB4B24">
        <w:t xml:space="preserve">, seemingly in reciprocation for the </w:t>
      </w:r>
      <w:r w:rsidR="00450C05" w:rsidRPr="00CB4B24">
        <w:t xml:space="preserve">substantial </w:t>
      </w:r>
      <w:r w:rsidR="006201C3" w:rsidRPr="00CB4B24">
        <w:t>donations that they receive</w:t>
      </w:r>
      <w:r w:rsidR="005A5CEA" w:rsidRPr="00CB4B24">
        <w:t xml:space="preserve"> from project proponents</w:t>
      </w:r>
      <w:r w:rsidR="00450C05" w:rsidRPr="00CB4B24">
        <w:t xml:space="preserve">.  The fossil fuel </w:t>
      </w:r>
      <w:r w:rsidR="007A4930" w:rsidRPr="00CB4B24">
        <w:t>industry has had a significant corrupting influence on politics, with Australia no exception, so banning</w:t>
      </w:r>
      <w:r w:rsidR="009711AF" w:rsidRPr="00CB4B24">
        <w:t xml:space="preserve"> political donations from these sources is </w:t>
      </w:r>
      <w:r w:rsidR="00301E30" w:rsidRPr="00CB4B24">
        <w:t>a justified and worthwhile exercise.</w:t>
      </w:r>
    </w:p>
    <w:p w14:paraId="0C021946" w14:textId="723FD0E3" w:rsidR="002B7738" w:rsidRPr="00CB4B24" w:rsidRDefault="00AE1B32" w:rsidP="00516870">
      <w:r w:rsidRPr="00CB4B24">
        <w:lastRenderedPageBreak/>
        <w:t>A nicotine entity</w:t>
      </w:r>
      <w:r w:rsidR="00444551" w:rsidRPr="00CB4B24">
        <w:t xml:space="preserve"> is defined as an entity that manufactures or </w:t>
      </w:r>
      <w:r w:rsidR="002D1C4B" w:rsidRPr="00CB4B24">
        <w:t>advertises</w:t>
      </w:r>
      <w:r w:rsidR="00444551" w:rsidRPr="00CB4B24">
        <w:t xml:space="preserve"> products containing nicotine</w:t>
      </w:r>
      <w:r w:rsidR="001D06C8" w:rsidRPr="00CB4B24">
        <w:t xml:space="preserve">.  This would include tobacco products, vaping products, and nicotine replacement </w:t>
      </w:r>
      <w:r w:rsidR="00BB1B87" w:rsidRPr="00CB4B24">
        <w:t xml:space="preserve">therapies.  The </w:t>
      </w:r>
      <w:r w:rsidR="00470FB2" w:rsidRPr="00CB4B24">
        <w:t>t</w:t>
      </w:r>
      <w:r w:rsidR="00BB1B87" w:rsidRPr="00CB4B24">
        <w:t xml:space="preserve">obacco industry has an extensive history of interfering in </w:t>
      </w:r>
      <w:r w:rsidR="00E026A0" w:rsidRPr="00CB4B24">
        <w:t>the ability of nations</w:t>
      </w:r>
      <w:r w:rsidR="00BB1B87" w:rsidRPr="00CB4B24">
        <w:t xml:space="preserve"> to make </w:t>
      </w:r>
      <w:r w:rsidR="00E026A0" w:rsidRPr="00CB4B24">
        <w:t xml:space="preserve">laws and regulations which benefit </w:t>
      </w:r>
      <w:r w:rsidR="00B8482A" w:rsidRPr="00CB4B24">
        <w:t xml:space="preserve">the health of </w:t>
      </w:r>
      <w:r w:rsidR="00E026A0" w:rsidRPr="00CB4B24">
        <w:t xml:space="preserve">their people, </w:t>
      </w:r>
      <w:r w:rsidR="001E0579" w:rsidRPr="00CB4B24">
        <w:t xml:space="preserve">including as represented in their determination to challenge Australia’s cigarette plain packaging </w:t>
      </w:r>
      <w:r w:rsidR="0078697C" w:rsidRPr="00CB4B24">
        <w:t xml:space="preserve">scheme.  </w:t>
      </w:r>
      <w:r w:rsidR="007D4134" w:rsidRPr="00CB4B24">
        <w:t xml:space="preserve">It is </w:t>
      </w:r>
      <w:r w:rsidR="00F568F3" w:rsidRPr="00CB4B24">
        <w:t xml:space="preserve">therefore </w:t>
      </w:r>
      <w:r w:rsidR="007D4134" w:rsidRPr="00CB4B24">
        <w:t xml:space="preserve">reasonable to limit the influence of this industry </w:t>
      </w:r>
      <w:r w:rsidR="00F568F3" w:rsidRPr="00CB4B24">
        <w:t xml:space="preserve">on political decision-making in Australia.  </w:t>
      </w:r>
      <w:r w:rsidR="0078697C" w:rsidRPr="00CB4B24">
        <w:t xml:space="preserve">They inherently benefit </w:t>
      </w:r>
      <w:r w:rsidR="007331AC" w:rsidRPr="00CB4B24">
        <w:t xml:space="preserve">from Australians being addicted to nicotine, be it from the continued sale of </w:t>
      </w:r>
      <w:r w:rsidR="00893B5D" w:rsidRPr="00CB4B24">
        <w:t>tobacco products to Australians, vaping alternatives, or their subsequent need for nicotine replacement therapies in which they have interests.</w:t>
      </w:r>
      <w:r w:rsidR="003016D1" w:rsidRPr="00CB4B24">
        <w:rPr>
          <w:rStyle w:val="FootnoteReference"/>
        </w:rPr>
        <w:footnoteReference w:id="7"/>
      </w:r>
      <w:r w:rsidR="00D4678F" w:rsidRPr="00CB4B24">
        <w:t xml:space="preserve">  The definition is intended to capture </w:t>
      </w:r>
      <w:r w:rsidR="00F56290" w:rsidRPr="00CB4B24">
        <w:t xml:space="preserve">all those organisations who </w:t>
      </w:r>
      <w:r w:rsidR="00A029FD" w:rsidRPr="00CB4B24">
        <w:t>advocate for</w:t>
      </w:r>
      <w:r w:rsidR="00F56290" w:rsidRPr="00CB4B24">
        <w:t xml:space="preserve"> the supply of nicotine</w:t>
      </w:r>
      <w:r w:rsidR="00A029FD" w:rsidRPr="00CB4B24">
        <w:t>.  This would include any retailer which displays advertisements for nicotine products, including nicotine replacement therapies</w:t>
      </w:r>
      <w:r w:rsidR="00E40BB9" w:rsidRPr="00CB4B24">
        <w:t xml:space="preserve">, but is not intended to affect those organisations who sell products behind the counter </w:t>
      </w:r>
      <w:r w:rsidR="0036557B" w:rsidRPr="00CB4B24">
        <w:t>including</w:t>
      </w:r>
      <w:r w:rsidR="00E40BB9" w:rsidRPr="00CB4B24">
        <w:t xml:space="preserve"> most pharmacies.</w:t>
      </w:r>
    </w:p>
    <w:p w14:paraId="018FEA27" w14:textId="59CF3834" w:rsidR="00CD2C89" w:rsidRPr="00CB4B24" w:rsidRDefault="00CD2C89" w:rsidP="00516870">
      <w:r w:rsidRPr="00CB4B24">
        <w:t>A close associate</w:t>
      </w:r>
      <w:r w:rsidR="00B67D5D" w:rsidRPr="00CB4B24">
        <w:t xml:space="preserve"> of a</w:t>
      </w:r>
      <w:r w:rsidR="00E7121B" w:rsidRPr="00CB4B24">
        <w:t>n incorporated</w:t>
      </w:r>
      <w:r w:rsidR="00B67D5D" w:rsidRPr="00CB4B24">
        <w:t xml:space="preserve"> prohibited entity</w:t>
      </w:r>
      <w:r w:rsidRPr="00CB4B24">
        <w:t xml:space="preserve"> is defined in a similar manner as for property developers.</w:t>
      </w:r>
      <w:r w:rsidR="00B86DD9" w:rsidRPr="00CB4B24">
        <w:t xml:space="preserve">  Covering </w:t>
      </w:r>
      <w:r w:rsidR="006440E3" w:rsidRPr="00CB4B24">
        <w:t xml:space="preserve">only </w:t>
      </w:r>
      <w:r w:rsidR="00782F84" w:rsidRPr="00CB4B24">
        <w:t xml:space="preserve">those </w:t>
      </w:r>
      <w:r w:rsidR="00B86DD9" w:rsidRPr="00CB4B24">
        <w:t xml:space="preserve">prohibited entities </w:t>
      </w:r>
      <w:r w:rsidR="00782F84" w:rsidRPr="00CB4B24">
        <w:t>which are incorporated</w:t>
      </w:r>
      <w:r w:rsidR="00C4287D" w:rsidRPr="00CB4B24">
        <w:t>, a close associate includes</w:t>
      </w:r>
      <w:r w:rsidR="00C8429C" w:rsidRPr="00CB4B24">
        <w:t xml:space="preserve"> </w:t>
      </w:r>
      <w:r w:rsidR="007A1889" w:rsidRPr="00CB4B24">
        <w:t xml:space="preserve">other </w:t>
      </w:r>
      <w:r w:rsidR="00C8429C" w:rsidRPr="00CB4B24">
        <w:t>organisation</w:t>
      </w:r>
      <w:r w:rsidR="007A1889" w:rsidRPr="00CB4B24">
        <w:t>s which act on behalf of the prohibited entity</w:t>
      </w:r>
      <w:r w:rsidR="003658A7" w:rsidRPr="00CB4B24">
        <w:t>,</w:t>
      </w:r>
      <w:r w:rsidR="007A1889" w:rsidRPr="00CB4B24">
        <w:t xml:space="preserve"> </w:t>
      </w:r>
      <w:r w:rsidR="00642312" w:rsidRPr="00CB4B24">
        <w:t xml:space="preserve">have a controlling interest in </w:t>
      </w:r>
      <w:r w:rsidR="009F3E52" w:rsidRPr="00CB4B24">
        <w:t xml:space="preserve">or by </w:t>
      </w:r>
      <w:r w:rsidR="003658A7" w:rsidRPr="00CB4B24">
        <w:t xml:space="preserve">the prohibited entity, </w:t>
      </w:r>
      <w:r w:rsidR="003C68DB" w:rsidRPr="00CB4B24">
        <w:t xml:space="preserve">and their beneficial owners and </w:t>
      </w:r>
      <w:r w:rsidR="00BE6106" w:rsidRPr="00CB4B24">
        <w:t>immediate families.</w:t>
      </w:r>
      <w:r w:rsidR="000A05DA" w:rsidRPr="00CB4B24">
        <w:t xml:space="preserve">  As a part of this definition, </w:t>
      </w:r>
      <w:r w:rsidR="00AA1FC7" w:rsidRPr="00CB4B24">
        <w:t>the concept of close associates is intended to capture</w:t>
      </w:r>
      <w:r w:rsidR="00451EC3" w:rsidRPr="00CB4B24">
        <w:t xml:space="preserve"> </w:t>
      </w:r>
      <w:r w:rsidR="00B31834" w:rsidRPr="00CB4B24">
        <w:t xml:space="preserve">the web of </w:t>
      </w:r>
      <w:r w:rsidR="00326972" w:rsidRPr="00CB4B24">
        <w:t xml:space="preserve">controlling </w:t>
      </w:r>
      <w:r w:rsidR="00007B7F" w:rsidRPr="00CB4B24">
        <w:t>owners</w:t>
      </w:r>
      <w:r w:rsidR="00880136" w:rsidRPr="00CB4B24">
        <w:t xml:space="preserve">, </w:t>
      </w:r>
      <w:r w:rsidR="00007B7F" w:rsidRPr="00CB4B24">
        <w:t xml:space="preserve">subsidiaries, and </w:t>
      </w:r>
      <w:r w:rsidR="00451EC3" w:rsidRPr="00CB4B24">
        <w:t xml:space="preserve">lobbyists </w:t>
      </w:r>
      <w:r w:rsidR="004051B6" w:rsidRPr="00CB4B24">
        <w:t xml:space="preserve">who act for </w:t>
      </w:r>
      <w:r w:rsidR="000C1516" w:rsidRPr="00CB4B24">
        <w:t xml:space="preserve">these organisations which </w:t>
      </w:r>
      <w:r w:rsidR="00007B7F" w:rsidRPr="00CB4B24">
        <w:t xml:space="preserve">have a corrupting influence on politics.  In terms of individuals, it is only intended to capture </w:t>
      </w:r>
      <w:r w:rsidR="00023393" w:rsidRPr="00CB4B24">
        <w:t xml:space="preserve">officers and </w:t>
      </w:r>
      <w:r w:rsidR="00007B7F" w:rsidRPr="00CB4B24">
        <w:t>beneficial owners</w:t>
      </w:r>
      <w:r w:rsidR="00400B58" w:rsidRPr="00CB4B24">
        <w:t xml:space="preserve"> </w:t>
      </w:r>
      <w:r w:rsidR="00326972" w:rsidRPr="00CB4B24">
        <w:t>with a</w:t>
      </w:r>
      <w:r w:rsidR="00F11B5E" w:rsidRPr="00CB4B24">
        <w:t>t least a</w:t>
      </w:r>
      <w:r w:rsidR="00326972" w:rsidRPr="00CB4B24">
        <w:t xml:space="preserve"> 20% stake </w:t>
      </w:r>
      <w:r w:rsidR="00400B58" w:rsidRPr="00CB4B24">
        <w:t>rather than minor shareholders.</w:t>
      </w:r>
    </w:p>
    <w:p w14:paraId="20D4ADBF" w14:textId="04AD644F" w:rsidR="004727AA" w:rsidRPr="00CB4B24" w:rsidRDefault="00640ADC" w:rsidP="00516870">
      <w:r w:rsidRPr="00CB4B24">
        <w:t>Consistent with the same principles applied for banning donations from property developers</w:t>
      </w:r>
      <w:r w:rsidR="00AA455C" w:rsidRPr="00CB4B24">
        <w:t xml:space="preserve"> and from foreign entities, it is a legitimate aim</w:t>
      </w:r>
      <w:r w:rsidR="00411679" w:rsidRPr="00CB4B24">
        <w:t xml:space="preserve"> in defence of Australia</w:t>
      </w:r>
      <w:r w:rsidR="000956FE" w:rsidRPr="00CB4B24">
        <w:t xml:space="preserve">’s system of representative </w:t>
      </w:r>
      <w:r w:rsidR="00411679" w:rsidRPr="00CB4B24">
        <w:t xml:space="preserve"> </w:t>
      </w:r>
      <w:r w:rsidR="000956FE" w:rsidRPr="00CB4B24">
        <w:t>d</w:t>
      </w:r>
      <w:r w:rsidR="00411679" w:rsidRPr="00CB4B24">
        <w:t xml:space="preserve">emocracy </w:t>
      </w:r>
      <w:r w:rsidR="004F3842" w:rsidRPr="00CB4B24">
        <w:t>which is sufficiently proportionate and targeted to be compatible with maintaining the implied freedom of political communication</w:t>
      </w:r>
      <w:r w:rsidR="00006255" w:rsidRPr="00CB4B24">
        <w:t xml:space="preserve">.  The same reasoning can be applied for a justified limit on </w:t>
      </w:r>
      <w:r w:rsidR="002B7738" w:rsidRPr="00CB4B24">
        <w:t xml:space="preserve">the </w:t>
      </w:r>
      <w:r w:rsidR="00006255" w:rsidRPr="00CB4B24">
        <w:t xml:space="preserve">freedom of speech </w:t>
      </w:r>
      <w:r w:rsidR="002B7738" w:rsidRPr="00CB4B24">
        <w:t>identified in the Human Rights Act.</w:t>
      </w:r>
    </w:p>
    <w:p w14:paraId="4665A368" w14:textId="2C98D448" w:rsidR="008D4305" w:rsidRPr="00CB4B24" w:rsidRDefault="008D4305" w:rsidP="00516870">
      <w:pPr>
        <w:rPr>
          <w:color w:val="385623" w:themeColor="accent6" w:themeShade="80"/>
        </w:rPr>
      </w:pPr>
      <w:r w:rsidRPr="00CB4B24">
        <w:rPr>
          <w:color w:val="385623" w:themeColor="accent6" w:themeShade="80"/>
          <w:u w:val="single"/>
        </w:rPr>
        <w:t>Removing proposed carve-outs for federal accounts</w:t>
      </w:r>
    </w:p>
    <w:p w14:paraId="74AABE57" w14:textId="45E99CB6" w:rsidR="008D4305" w:rsidRPr="00CB4B24" w:rsidRDefault="00497D66" w:rsidP="00516870">
      <w:r w:rsidRPr="00CB4B24">
        <w:t>Section</w:t>
      </w:r>
      <w:r w:rsidR="001D5028" w:rsidRPr="00CB4B24">
        <w:t>s</w:t>
      </w:r>
      <w:r w:rsidRPr="00CB4B24">
        <w:t xml:space="preserve"> 64 </w:t>
      </w:r>
      <w:r w:rsidR="001D5028" w:rsidRPr="00CB4B24">
        <w:t xml:space="preserve">and 65 </w:t>
      </w:r>
      <w:r w:rsidRPr="00CB4B24">
        <w:t xml:space="preserve">of </w:t>
      </w:r>
      <w:r w:rsidR="001D5028" w:rsidRPr="00CB4B24">
        <w:t>the bill seek to implement provisions</w:t>
      </w:r>
      <w:r w:rsidR="009074FF" w:rsidRPr="00CB4B24">
        <w:t xml:space="preserve"> which create exceptions for the ban on </w:t>
      </w:r>
      <w:r w:rsidR="00AC1DAD" w:rsidRPr="00CB4B24">
        <w:t xml:space="preserve">donations by property developers where the donation is made to a </w:t>
      </w:r>
      <w:r w:rsidR="00AC1DAD" w:rsidRPr="00CB4B24">
        <w:rPr>
          <w:i/>
          <w:iCs/>
        </w:rPr>
        <w:t>federal account</w:t>
      </w:r>
      <w:r w:rsidR="00AC1DAD" w:rsidRPr="00CB4B24">
        <w:t>.</w:t>
      </w:r>
      <w:r w:rsidR="00831AB4" w:rsidRPr="00CB4B24">
        <w:t xml:space="preserve">  The same exception is also introduced </w:t>
      </w:r>
      <w:r w:rsidR="009A05A2" w:rsidRPr="00CB4B24">
        <w:t>as a part of the ban on foreign donations</w:t>
      </w:r>
      <w:r w:rsidR="00B10382" w:rsidRPr="00CB4B24">
        <w:t xml:space="preserve"> in section </w:t>
      </w:r>
      <w:r w:rsidR="00030784" w:rsidRPr="00CB4B24">
        <w:t>69 of the bill.  The amendments are to omit the creation of these exceptions.</w:t>
      </w:r>
    </w:p>
    <w:p w14:paraId="4D146574" w14:textId="22338302" w:rsidR="00997E80" w:rsidRPr="00CB4B24" w:rsidRDefault="001E3477" w:rsidP="00516870">
      <w:r w:rsidRPr="00CB4B24">
        <w:t xml:space="preserve">Understanding the purpose of these provisions </w:t>
      </w:r>
      <w:r w:rsidR="00543ADD" w:rsidRPr="00CB4B24">
        <w:t xml:space="preserve">in the Bill </w:t>
      </w:r>
      <w:r w:rsidRPr="00CB4B24">
        <w:t>requires discussing the history of Commonwealth legislation governing</w:t>
      </w:r>
      <w:r w:rsidR="00371C8F" w:rsidRPr="00CB4B24">
        <w:t xml:space="preserve"> the same.  The provisions appear designed to create compatibility with the </w:t>
      </w:r>
      <w:r w:rsidR="00371C8F" w:rsidRPr="00CB4B24">
        <w:rPr>
          <w:i/>
          <w:iCs/>
        </w:rPr>
        <w:t>Commonwealth Electoral Act</w:t>
      </w:r>
      <w:r w:rsidR="00371C8F" w:rsidRPr="00CB4B24">
        <w:t xml:space="preserve"> as amended by the </w:t>
      </w:r>
      <w:r w:rsidR="00491A0F" w:rsidRPr="00CB4B24">
        <w:rPr>
          <w:i/>
          <w:iCs/>
        </w:rPr>
        <w:t>Electoral Legislation Amendment (Miscellaneous Measures) Act 2020</w:t>
      </w:r>
      <w:r w:rsidR="00491A0F" w:rsidRPr="00CB4B24">
        <w:t>.</w:t>
      </w:r>
      <w:r w:rsidR="00C95535" w:rsidRPr="00CB4B24">
        <w:t xml:space="preserve">  The explanatory memorandum of this </w:t>
      </w:r>
      <w:r w:rsidR="005072FF" w:rsidRPr="00CB4B24">
        <w:t xml:space="preserve">Commonwealth </w:t>
      </w:r>
      <w:r w:rsidR="0080613B" w:rsidRPr="00CB4B24">
        <w:t>Act</w:t>
      </w:r>
      <w:r w:rsidR="00C95535" w:rsidRPr="00CB4B24">
        <w:t>, available in its revised state online</w:t>
      </w:r>
      <w:r w:rsidR="00C95535" w:rsidRPr="00CB4B24">
        <w:rPr>
          <w:rStyle w:val="FootnoteReference"/>
        </w:rPr>
        <w:footnoteReference w:id="8"/>
      </w:r>
      <w:r w:rsidR="00C95535" w:rsidRPr="00CB4B24">
        <w:t xml:space="preserve">, </w:t>
      </w:r>
      <w:r w:rsidR="00136E5C" w:rsidRPr="00CB4B24">
        <w:t xml:space="preserve">describes its intent as seeking to “clarify the </w:t>
      </w:r>
      <w:r w:rsidR="005B61FD" w:rsidRPr="00CB4B24">
        <w:t xml:space="preserve">relationship between federal and state and territory electoral donation and disclosure laws following the High Court decision in </w:t>
      </w:r>
      <w:r w:rsidR="005B61FD" w:rsidRPr="00CB4B24">
        <w:rPr>
          <w:i/>
          <w:iCs/>
        </w:rPr>
        <w:t>Spence v Queensland</w:t>
      </w:r>
      <w:r w:rsidR="005B61FD" w:rsidRPr="00CB4B24">
        <w:t xml:space="preserve"> [2019] HCA 15</w:t>
      </w:r>
      <w:r w:rsidR="00100E5F" w:rsidRPr="00CB4B24">
        <w:rPr>
          <w:rStyle w:val="FootnoteReference"/>
        </w:rPr>
        <w:footnoteReference w:id="9"/>
      </w:r>
      <w:r w:rsidR="00D317FF" w:rsidRPr="00CB4B24">
        <w:t>”</w:t>
      </w:r>
      <w:r w:rsidR="005B61FD" w:rsidRPr="00CB4B24">
        <w:t>.</w:t>
      </w:r>
      <w:r w:rsidR="00A30E95" w:rsidRPr="00CB4B24">
        <w:t xml:space="preserve">  </w:t>
      </w:r>
      <w:r w:rsidR="00A07345" w:rsidRPr="00CB4B24">
        <w:t>In this case, the High Court found that laws</w:t>
      </w:r>
      <w:r w:rsidR="00D317FF" w:rsidRPr="00CB4B24">
        <w:t xml:space="preserve"> introduced</w:t>
      </w:r>
      <w:r w:rsidR="00A07345" w:rsidRPr="00CB4B24">
        <w:t xml:space="preserve"> in Queensland which restricted </w:t>
      </w:r>
      <w:r w:rsidR="005943C5" w:rsidRPr="00CB4B24">
        <w:t xml:space="preserve">the ability of donors to give funds for federal purposes and gift recipients to deploy funds for federal purposes were </w:t>
      </w:r>
      <w:r w:rsidR="005943C5" w:rsidRPr="00CB4B24">
        <w:rPr>
          <w:u w:val="single"/>
        </w:rPr>
        <w:t>valid</w:t>
      </w:r>
      <w:r w:rsidR="005943C5" w:rsidRPr="00CB4B24">
        <w:t xml:space="preserve"> </w:t>
      </w:r>
      <w:r w:rsidR="005A3DEE" w:rsidRPr="00CB4B24">
        <w:t xml:space="preserve">and that </w:t>
      </w:r>
      <w:r w:rsidR="00BA6CE3" w:rsidRPr="00CB4B24">
        <w:t xml:space="preserve">the </w:t>
      </w:r>
      <w:r w:rsidR="005A3DEE" w:rsidRPr="00CB4B24">
        <w:t xml:space="preserve">provisions </w:t>
      </w:r>
      <w:r w:rsidR="00BA6CE3" w:rsidRPr="00CB4B24">
        <w:t xml:space="preserve">of the time </w:t>
      </w:r>
      <w:r w:rsidR="005A3DEE" w:rsidRPr="00CB4B24">
        <w:t>under Section 302CA of the Commonwealth Electoral Act</w:t>
      </w:r>
      <w:r w:rsidR="000C7CE5" w:rsidRPr="00CB4B24">
        <w:t xml:space="preserve">, themselves </w:t>
      </w:r>
      <w:r w:rsidR="000C7CE5" w:rsidRPr="00CB4B24">
        <w:lastRenderedPageBreak/>
        <w:t>introduced in 2018 in an attempt to over-ride the Queensland law,</w:t>
      </w:r>
      <w:r w:rsidR="005A3DEE" w:rsidRPr="00CB4B24">
        <w:t xml:space="preserve"> were wholly invalid</w:t>
      </w:r>
      <w:r w:rsidR="00B274F1" w:rsidRPr="00CB4B24">
        <w:t xml:space="preserve"> as it went beyond the Commonwealth’s powers</w:t>
      </w:r>
      <w:r w:rsidR="005A3DEE" w:rsidRPr="00CB4B24">
        <w:t>.</w:t>
      </w:r>
      <w:r w:rsidR="002F42C0" w:rsidRPr="00CB4B24">
        <w:t xml:space="preserve">  </w:t>
      </w:r>
    </w:p>
    <w:p w14:paraId="602739C1" w14:textId="1E978FAD" w:rsidR="001E3477" w:rsidRPr="00CB4B24" w:rsidRDefault="00997E80" w:rsidP="00516870">
      <w:r w:rsidRPr="00CB4B24">
        <w:t>It is worth noting that, a</w:t>
      </w:r>
      <w:r w:rsidR="002F42C0" w:rsidRPr="00CB4B24">
        <w:t xml:space="preserve">t the time, the Attorney General of the ACT </w:t>
      </w:r>
      <w:r w:rsidRPr="00CB4B24">
        <w:t>intervened in the case to support the Queensland Government’s position that their laws were valid.</w:t>
      </w:r>
      <w:r w:rsidR="004B0625" w:rsidRPr="00CB4B24">
        <w:t xml:space="preserve">  </w:t>
      </w:r>
      <w:r w:rsidR="00C27DF5" w:rsidRPr="00CB4B24">
        <w:t>The ACT Government</w:t>
      </w:r>
      <w:r w:rsidR="004B0625" w:rsidRPr="00CB4B24">
        <w:t xml:space="preserve"> has previously argued</w:t>
      </w:r>
      <w:r w:rsidR="00284845" w:rsidRPr="00CB4B24">
        <w:t>, and had this argument validated,</w:t>
      </w:r>
      <w:r w:rsidR="004B0625" w:rsidRPr="00CB4B24">
        <w:t xml:space="preserve"> that </w:t>
      </w:r>
      <w:r w:rsidR="00284845" w:rsidRPr="00CB4B24">
        <w:t xml:space="preserve">it is entirely appropriate for States &amp; Territories to have laws prohibiting </w:t>
      </w:r>
      <w:r w:rsidR="00B15495" w:rsidRPr="00CB4B24">
        <w:t>donations from property developers</w:t>
      </w:r>
      <w:r w:rsidR="002F180D" w:rsidRPr="00CB4B24">
        <w:t xml:space="preserve">, including where this impacts </w:t>
      </w:r>
      <w:r w:rsidR="00B50883" w:rsidRPr="00CB4B24">
        <w:t xml:space="preserve">incidentally </w:t>
      </w:r>
      <w:r w:rsidR="002F180D" w:rsidRPr="00CB4B24">
        <w:t xml:space="preserve">on </w:t>
      </w:r>
      <w:r w:rsidR="00B50883" w:rsidRPr="00CB4B24">
        <w:t xml:space="preserve">matters related to </w:t>
      </w:r>
      <w:r w:rsidR="002F180D" w:rsidRPr="00CB4B24">
        <w:t xml:space="preserve">federal </w:t>
      </w:r>
      <w:r w:rsidR="00B50883" w:rsidRPr="00CB4B24">
        <w:t>elections</w:t>
      </w:r>
      <w:r w:rsidR="00B15495" w:rsidRPr="00CB4B24">
        <w:t>.</w:t>
      </w:r>
    </w:p>
    <w:p w14:paraId="1F935D45" w14:textId="4FF45362" w:rsidR="007E6314" w:rsidRPr="00CB4B24" w:rsidRDefault="00252CC5" w:rsidP="00516870">
      <w:r w:rsidRPr="00CB4B24">
        <w:t xml:space="preserve">The implication of this </w:t>
      </w:r>
      <w:r w:rsidR="00544B64" w:rsidRPr="00CB4B24">
        <w:t>H</w:t>
      </w:r>
      <w:r w:rsidR="0012290F" w:rsidRPr="00CB4B24">
        <w:t xml:space="preserve">igh </w:t>
      </w:r>
      <w:r w:rsidR="00544B64" w:rsidRPr="00CB4B24">
        <w:t>C</w:t>
      </w:r>
      <w:r w:rsidR="0012290F" w:rsidRPr="00CB4B24">
        <w:t xml:space="preserve">ourt </w:t>
      </w:r>
      <w:r w:rsidRPr="00CB4B24">
        <w:t xml:space="preserve">case </w:t>
      </w:r>
      <w:r w:rsidR="0012290F" w:rsidRPr="00CB4B24">
        <w:t>wa</w:t>
      </w:r>
      <w:r w:rsidRPr="00CB4B24">
        <w:t xml:space="preserve">s that, in the absence of </w:t>
      </w:r>
      <w:r w:rsidR="009C0E56" w:rsidRPr="00CB4B24">
        <w:t xml:space="preserve">Commonwealth legislation which is properly and legitimately constructed to provide </w:t>
      </w:r>
      <w:r w:rsidR="00015BE5" w:rsidRPr="00CB4B24">
        <w:t xml:space="preserve">for a Commonwealth defence of matters related </w:t>
      </w:r>
      <w:r w:rsidR="001B4C38" w:rsidRPr="00CB4B24">
        <w:t xml:space="preserve">only </w:t>
      </w:r>
      <w:r w:rsidR="00015BE5" w:rsidRPr="00CB4B24">
        <w:t xml:space="preserve">to </w:t>
      </w:r>
      <w:r w:rsidR="001B4C38" w:rsidRPr="00CB4B24">
        <w:t>f</w:t>
      </w:r>
      <w:r w:rsidR="00015BE5" w:rsidRPr="00CB4B24">
        <w:t>ederal elections</w:t>
      </w:r>
      <w:r w:rsidR="004965B2" w:rsidRPr="00CB4B24">
        <w:t>, there is no barrier to States and Territories legislating to constrain donations within their jurisdiction</w:t>
      </w:r>
      <w:r w:rsidR="0012290F" w:rsidRPr="00CB4B24">
        <w:t xml:space="preserve"> where this is compatible with the implied freedom of political communication</w:t>
      </w:r>
      <w:r w:rsidR="00B15495" w:rsidRPr="00CB4B24">
        <w:t xml:space="preserve">, including </w:t>
      </w:r>
      <w:r w:rsidR="00FC5916" w:rsidRPr="00CB4B24">
        <w:t xml:space="preserve">where it incidentally impacts on </w:t>
      </w:r>
      <w:r w:rsidR="00B15495" w:rsidRPr="00CB4B24">
        <w:t xml:space="preserve">federal </w:t>
      </w:r>
      <w:r w:rsidR="00FC5916" w:rsidRPr="00CB4B24">
        <w:t>elections</w:t>
      </w:r>
      <w:r w:rsidR="0012290F" w:rsidRPr="00CB4B24">
        <w:t>.</w:t>
      </w:r>
      <w:r w:rsidR="001156A1" w:rsidRPr="00CB4B24">
        <w:t xml:space="preserve"> </w:t>
      </w:r>
      <w:r w:rsidR="00134780" w:rsidRPr="00CB4B24">
        <w:t xml:space="preserve"> The purpose of the</w:t>
      </w:r>
      <w:r w:rsidR="001156A1" w:rsidRPr="00CB4B24">
        <w:t xml:space="preserve"> </w:t>
      </w:r>
      <w:r w:rsidR="00134780" w:rsidRPr="00CB4B24">
        <w:rPr>
          <w:i/>
          <w:iCs/>
        </w:rPr>
        <w:t>Electoral Legislation Amendment (Miscellaneous Measures) Act 2020</w:t>
      </w:r>
      <w:r w:rsidR="00134780" w:rsidRPr="00CB4B24">
        <w:t xml:space="preserve"> was for the Commonwealth to correct for its </w:t>
      </w:r>
      <w:r w:rsidR="00107158" w:rsidRPr="00CB4B24">
        <w:t xml:space="preserve">invalid </w:t>
      </w:r>
      <w:r w:rsidR="00134780" w:rsidRPr="00CB4B24">
        <w:t>overreach</w:t>
      </w:r>
      <w:r w:rsidR="009D3EBC" w:rsidRPr="00CB4B24">
        <w:t xml:space="preserve"> </w:t>
      </w:r>
      <w:r w:rsidR="00B40C50" w:rsidRPr="00CB4B24">
        <w:t xml:space="preserve">as identified in the High Court judgement, </w:t>
      </w:r>
      <w:r w:rsidR="008D598E" w:rsidRPr="00CB4B24">
        <w:t>to</w:t>
      </w:r>
      <w:r w:rsidR="009D3EBC" w:rsidRPr="00CB4B24">
        <w:t xml:space="preserve"> reimpose exceptions to State &amp; Territory laws for federal purposes</w:t>
      </w:r>
      <w:r w:rsidR="00A94F71" w:rsidRPr="00CB4B24">
        <w:t xml:space="preserve"> that were within its appropriate jurisdiction</w:t>
      </w:r>
      <w:r w:rsidR="00EE26F9" w:rsidRPr="00CB4B24">
        <w:t xml:space="preserve"> to issue an overriding law</w:t>
      </w:r>
      <w:r w:rsidR="009D3EBC" w:rsidRPr="00CB4B24">
        <w:t>.</w:t>
      </w:r>
    </w:p>
    <w:p w14:paraId="20F53EEE" w14:textId="07909AB4" w:rsidR="003730F1" w:rsidRPr="00CB4B24" w:rsidRDefault="003730F1" w:rsidP="003730F1">
      <w:r w:rsidRPr="00CB4B24">
        <w:t>The construction of the Commonwealth law is that it operates “despite any State or Territory electoral law”.  As such, c</w:t>
      </w:r>
      <w:r w:rsidRPr="00CB4B24">
        <w:rPr>
          <w:b/>
          <w:bCs/>
        </w:rPr>
        <w:t xml:space="preserve">ompatibility between the laws of the </w:t>
      </w:r>
      <w:r w:rsidR="00F036E2" w:rsidRPr="00CB4B24">
        <w:rPr>
          <w:b/>
          <w:bCs/>
        </w:rPr>
        <w:t>Territory and the Commonwealth</w:t>
      </w:r>
      <w:r w:rsidRPr="00CB4B24">
        <w:rPr>
          <w:b/>
          <w:bCs/>
        </w:rPr>
        <w:t xml:space="preserve"> is not required</w:t>
      </w:r>
      <w:r w:rsidRPr="00CB4B24">
        <w:t xml:space="preserve">.  For federal purposes, the federal law will take precedence, and for all other purposes the Territory law will prevail.  </w:t>
      </w:r>
    </w:p>
    <w:p w14:paraId="7B7BEF2C" w14:textId="1774B09E" w:rsidR="003730F1" w:rsidRPr="00CB4B24" w:rsidRDefault="003730F1" w:rsidP="003730F1">
      <w:r w:rsidRPr="00CB4B24">
        <w:t xml:space="preserve">The federal laws permitting donations from property developers are wrong and should be repealed.  </w:t>
      </w:r>
      <w:bookmarkStart w:id="0" w:name="_Hlk149221435"/>
      <w:r w:rsidRPr="00CB4B24">
        <w:t>Political parties do not plan for Federal and Territory elections in isolation of each other.</w:t>
      </w:r>
      <w:bookmarkEnd w:id="0"/>
      <w:r w:rsidRPr="00CB4B24">
        <w:t xml:space="preserve">  Allowing the receipt of donations from property developers into a Federal election account still allows a party to free up other funds for direction to Territory campaign or administrative purposes.  The overall resources available to the party are still increased, and the corrupting influence on Territory politics is not avoided. </w:t>
      </w:r>
    </w:p>
    <w:p w14:paraId="6D0C6A2B" w14:textId="25C637EB" w:rsidR="00860533" w:rsidRPr="00CB4B24" w:rsidRDefault="00370237" w:rsidP="003730F1">
      <w:r w:rsidRPr="00CB4B24">
        <w:t>I</w:t>
      </w:r>
      <w:r w:rsidR="003730F1" w:rsidRPr="00CB4B24">
        <w:t xml:space="preserve">n a future where these provisions may be repealed, </w:t>
      </w:r>
      <w:r w:rsidRPr="00CB4B24">
        <w:t>the ACT’s</w:t>
      </w:r>
      <w:r w:rsidR="003730F1" w:rsidRPr="00CB4B24">
        <w:t xml:space="preserve"> laws </w:t>
      </w:r>
      <w:r w:rsidRPr="00CB4B24">
        <w:t xml:space="preserve">should </w:t>
      </w:r>
      <w:r w:rsidR="003730F1" w:rsidRPr="00CB4B24">
        <w:t xml:space="preserve">be able to automatically operate as intended – to ban donations from prohibited entities.  </w:t>
      </w:r>
      <w:r w:rsidR="00DC1A6F" w:rsidRPr="00CB4B24">
        <w:t>S</w:t>
      </w:r>
      <w:r w:rsidR="003730F1" w:rsidRPr="00CB4B24">
        <w:t>upport</w:t>
      </w:r>
      <w:r w:rsidR="00B87B2E" w:rsidRPr="00CB4B24">
        <w:t>ing</w:t>
      </w:r>
      <w:r w:rsidR="003730F1" w:rsidRPr="00CB4B24">
        <w:t xml:space="preserve"> the </w:t>
      </w:r>
      <w:r w:rsidR="00DC1A6F" w:rsidRPr="00CB4B24">
        <w:t xml:space="preserve">bill’s </w:t>
      </w:r>
      <w:r w:rsidR="003730F1" w:rsidRPr="00CB4B24">
        <w:t xml:space="preserve">creation of these exceptions for federal purposes </w:t>
      </w:r>
      <w:r w:rsidR="00B87B2E" w:rsidRPr="00CB4B24">
        <w:t>effectively</w:t>
      </w:r>
      <w:r w:rsidR="003730F1" w:rsidRPr="00CB4B24">
        <w:t xml:space="preserve"> </w:t>
      </w:r>
      <w:r w:rsidR="003730F1" w:rsidRPr="00CB4B24">
        <w:rPr>
          <w:u w:val="single"/>
        </w:rPr>
        <w:t>endors</w:t>
      </w:r>
      <w:r w:rsidR="00B87B2E" w:rsidRPr="00CB4B24">
        <w:rPr>
          <w:u w:val="single"/>
        </w:rPr>
        <w:t>es</w:t>
      </w:r>
      <w:r w:rsidR="003730F1" w:rsidRPr="00CB4B24">
        <w:t xml:space="preserve"> an undermining of </w:t>
      </w:r>
      <w:r w:rsidR="00DC05F1" w:rsidRPr="00CB4B24">
        <w:t>our</w:t>
      </w:r>
      <w:r w:rsidR="003730F1" w:rsidRPr="00CB4B24">
        <w:t xml:space="preserve"> ban by the Commonwealth</w:t>
      </w:r>
      <w:r w:rsidR="00F06BB8" w:rsidRPr="00CB4B24">
        <w:t xml:space="preserve"> and this is not in the Territory’s interests</w:t>
      </w:r>
      <w:r w:rsidR="003730F1" w:rsidRPr="00CB4B24">
        <w:t>.</w:t>
      </w:r>
    </w:p>
    <w:p w14:paraId="65B5D5E2" w14:textId="77777777" w:rsidR="004E4060" w:rsidRPr="00CB4B24" w:rsidRDefault="004E4060" w:rsidP="004E4060">
      <w:pPr>
        <w:rPr>
          <w:color w:val="385623" w:themeColor="accent6" w:themeShade="80"/>
          <w:u w:val="single"/>
        </w:rPr>
      </w:pPr>
      <w:r w:rsidRPr="00CB4B24">
        <w:rPr>
          <w:color w:val="385623" w:themeColor="accent6" w:themeShade="80"/>
          <w:u w:val="single"/>
        </w:rPr>
        <w:t>Demerit points for stopping-related offence reforms.</w:t>
      </w:r>
    </w:p>
    <w:p w14:paraId="0BDB303F" w14:textId="4688253D" w:rsidR="004E4060" w:rsidRPr="00CB4B24" w:rsidRDefault="004E4060" w:rsidP="004E4060">
      <w:r w:rsidRPr="00CB4B24">
        <w:t xml:space="preserve">The amendments propose to impose one demerit point for each identified offence, rather than a </w:t>
      </w:r>
      <w:r w:rsidR="00F06BB8" w:rsidRPr="00CB4B24">
        <w:t xml:space="preserve">financial </w:t>
      </w:r>
      <w:r w:rsidRPr="00CB4B24">
        <w:t>penalty elevated by $50</w:t>
      </w:r>
      <w:r w:rsidR="00512D5F" w:rsidRPr="00CB4B24">
        <w:t xml:space="preserve"> compared to what would normally apply in the absence of advertising or electoral matter being displayed</w:t>
      </w:r>
      <w:r w:rsidRPr="00CB4B24">
        <w:t>.  This is predicated on the understanding that when it comes to commercial and political advertising, fines can sit comfortably within the cost of doing business and do not serve as a meaningful disincentive to breaking the law.</w:t>
      </w:r>
    </w:p>
    <w:p w14:paraId="72D69F00" w14:textId="08036DDD" w:rsidR="004E4060" w:rsidRPr="00CB4B24" w:rsidRDefault="004E4060" w:rsidP="004E4060">
      <w:r w:rsidRPr="00CB4B24">
        <w:t>The Scrutiny Committee in its 32</w:t>
      </w:r>
      <w:r w:rsidRPr="00CB4B24">
        <w:rPr>
          <w:vertAlign w:val="superscript"/>
        </w:rPr>
        <w:t>nd</w:t>
      </w:r>
      <w:r w:rsidRPr="00CB4B24">
        <w:t xml:space="preserve"> report identified that the </w:t>
      </w:r>
      <w:r w:rsidR="004E100C" w:rsidRPr="00CB4B24">
        <w:t>b</w:t>
      </w:r>
      <w:r w:rsidRPr="00CB4B24">
        <w:t xml:space="preserve">ill’s proposal to introduce higher penalties associated with stopping-related offences where advertising or electoral material is displayed may limit the freedom of expression protected by section 16 of the </w:t>
      </w:r>
      <w:r w:rsidRPr="00CB4B24">
        <w:rPr>
          <w:i/>
          <w:iCs/>
        </w:rPr>
        <w:t>Human Rights Act</w:t>
      </w:r>
      <w:r w:rsidRPr="00CB4B24">
        <w:t>.  Using the same arguments, it could be seen as risking a violation of the Constitution’s implied freedom of political communication. This observation may equally be made of the</w:t>
      </w:r>
      <w:r w:rsidR="004E100C" w:rsidRPr="00CB4B24">
        <w:t>se</w:t>
      </w:r>
      <w:r w:rsidRPr="00CB4B24">
        <w:t xml:space="preserve"> amendment</w:t>
      </w:r>
      <w:r w:rsidR="004E100C" w:rsidRPr="00CB4B24">
        <w:t>s</w:t>
      </w:r>
      <w:r w:rsidRPr="00CB4B24">
        <w:t xml:space="preserve"> to add demerit points to the same suite of traffic offences, but with a different assessment of proportionality.</w:t>
      </w:r>
    </w:p>
    <w:p w14:paraId="2E9EB318" w14:textId="4DBC1E29" w:rsidR="004E4060" w:rsidRPr="00CB4B24" w:rsidRDefault="004E4060" w:rsidP="004E4060">
      <w:r w:rsidRPr="00CB4B24">
        <w:lastRenderedPageBreak/>
        <w:t xml:space="preserve">The imposition of elevated penalties is reasonable, because it supports the legitimate objective of managing the safe operation of advertising activities within our transit systems.  Regulating advertising within the transit system has benefits which makes such limitations of freedom of expression reasonable, be it under the Human Rights Act or as per the Australian Constitution’s implied freedom of political communication.  Regulating advertising can reduce driver &amp; rider distraction, a problem which has previously been recognised as a contributing cause of traffic accidents. This principle is the same as that understood to be used </w:t>
      </w:r>
      <w:r w:rsidR="002251C1" w:rsidRPr="00CB4B24">
        <w:t>in the development of the bill</w:t>
      </w:r>
      <w:r w:rsidRPr="00CB4B24">
        <w:t>.</w:t>
      </w:r>
    </w:p>
    <w:p w14:paraId="19496F5F" w14:textId="1A0618E3" w:rsidR="004E4060" w:rsidRPr="00CB4B24" w:rsidRDefault="004E4060" w:rsidP="004E4060">
      <w:r w:rsidRPr="00CB4B24">
        <w:t>At a base level, the imposition of demerit points has very little if any bearing on the system of representative government.  Even w</w:t>
      </w:r>
      <w:r w:rsidR="007D66DA" w:rsidRPr="00CB4B24">
        <w:t>h</w:t>
      </w:r>
      <w:r w:rsidRPr="00CB4B24">
        <w:t xml:space="preserve">ere demerit points </w:t>
      </w:r>
      <w:r w:rsidR="007D66DA" w:rsidRPr="00CB4B24">
        <w:t xml:space="preserve">may be </w:t>
      </w:r>
      <w:r w:rsidRPr="00CB4B24">
        <w:t xml:space="preserve">accumulating, it does not impact an individual’s right to vote or be informed in elections.  Furthermore, the advertising activity itself is not prohibited, but merely regulated in a manner which allows for a level playing field.  The imposition of enhanced penalties for stopping-related violations while displaying advertising or electoral matter is </w:t>
      </w:r>
      <w:r w:rsidRPr="00CB4B24">
        <w:rPr>
          <w:i/>
          <w:iCs/>
        </w:rPr>
        <w:t>suitable</w:t>
      </w:r>
      <w:r w:rsidRPr="00CB4B24">
        <w:t xml:space="preserve"> and </w:t>
      </w:r>
      <w:r w:rsidRPr="00CB4B24">
        <w:rPr>
          <w:i/>
          <w:iCs/>
        </w:rPr>
        <w:t>necessary</w:t>
      </w:r>
      <w:r w:rsidRPr="00CB4B24">
        <w:t xml:space="preserve"> for reasons already identified by the Government – a regime of proportionate penalties is necessary to promote adherence to the traffic regulations, which are designed to ensure the proper and safe functioning of the transit system in a manner which protects and advances the rights to life, protection of children, and freedom of movement.  A large range of liberties are restricted on our roads in the interests of advancing these aims, and this already includes restrictions on roadside advertising as implemented by the moveable signs code and the ban on billboard advertising, neither of which have been challenged as a limitation on human rights or the implied freedom of political communication.</w:t>
      </w:r>
    </w:p>
    <w:p w14:paraId="31424636" w14:textId="18968853" w:rsidR="004E4060" w:rsidRPr="00CB4B24" w:rsidRDefault="004E4060" w:rsidP="004E4060">
      <w:r w:rsidRPr="00CB4B24">
        <w:t>The remaining question for both the bill and the</w:t>
      </w:r>
      <w:r w:rsidR="00831AC9" w:rsidRPr="00CB4B24">
        <w:t>se</w:t>
      </w:r>
      <w:r w:rsidRPr="00CB4B24">
        <w:t xml:space="preserve"> amendment</w:t>
      </w:r>
      <w:r w:rsidR="00831AC9" w:rsidRPr="00CB4B24">
        <w:t>s</w:t>
      </w:r>
      <w:r w:rsidRPr="00CB4B24">
        <w:t xml:space="preserve"> is regarding the severity of the penalty, and if it is proportionate, or </w:t>
      </w:r>
      <w:r w:rsidRPr="00CB4B24">
        <w:rPr>
          <w:i/>
          <w:iCs/>
        </w:rPr>
        <w:t>adequate in its balance</w:t>
      </w:r>
      <w:r w:rsidRPr="00CB4B24">
        <w:t xml:space="preserve"> to achieve the above objectives.  The amendments are based on the understanding that where the display of advertising and electoral matter is concerned, there exists a financial incentive for the deliberate violation of the traffic regulations related to stopping – so much so, that fines can be factored in as a cost of doing business, making the fines less effective at fulfilling their purpose in these circumstances.  Concerningly, where stopping-related violations are seen to be being made deliberately by advertisers</w:t>
      </w:r>
      <w:r w:rsidRPr="00CB4B24">
        <w:rPr>
          <w:rStyle w:val="FootnoteReference"/>
        </w:rPr>
        <w:footnoteReference w:id="10"/>
      </w:r>
      <w:r w:rsidRPr="00CB4B24">
        <w:t xml:space="preserve">, it also allows the perception that such violations are permissible </w:t>
      </w:r>
      <w:r w:rsidR="001726B9" w:rsidRPr="00CB4B24">
        <w:t>in the eyes of the</w:t>
      </w:r>
      <w:r w:rsidRPr="00CB4B24">
        <w:t xml:space="preserve"> </w:t>
      </w:r>
      <w:r w:rsidR="001726B9" w:rsidRPr="00CB4B24">
        <w:t>g</w:t>
      </w:r>
      <w:r w:rsidRPr="00CB4B24">
        <w:t>overnment, which can undermine broader adherence to the traffic regulations and thereby present a threat to public safety.  This is a risk present in the Canberra operating environment.</w:t>
      </w:r>
    </w:p>
    <w:p w14:paraId="568C5005" w14:textId="77777777" w:rsidR="004E4060" w:rsidRPr="00CB4B24" w:rsidRDefault="004E4060" w:rsidP="004E4060">
      <w:r w:rsidRPr="00CB4B24">
        <w:t>We are dealing with professional violations that are motivated by commercial or political gain.  A more meaningful penalty than fines is therefore required to genuinely disincentive behaviours which undermine the proper functioning of the transit system and the community’s confidence in the legislature’s ability to maintain this.  Slightly larger fines will be ineffective, as the costs can be factored in and passed on to the customers of the advertiser or established as a part of a political campaign budget.</w:t>
      </w:r>
    </w:p>
    <w:p w14:paraId="0F090235" w14:textId="77777777" w:rsidR="004E4060" w:rsidRPr="00CB4B24" w:rsidRDefault="004E4060" w:rsidP="004E4060">
      <w:r w:rsidRPr="00CB4B24">
        <w:t xml:space="preserve">The application of demerit points would create a useful mechanism for company drivers to refuse instructions to park illegally and claim compensation from their employers where they are directed to do so to their detriment.  The business model would quickly recognise that such wilful disrespect of the road rules is not acceptable and adapt accordingly.  The safe operation of advertising activities within our transit system conducted consistent with the traffic regulations is the legitimate objective </w:t>
      </w:r>
      <w:r w:rsidRPr="00CB4B24">
        <w:lastRenderedPageBreak/>
        <w:t>of these amendments, for which the imposition of demerit points becomes the proportionate response necessary to achieve that objective.</w:t>
      </w:r>
    </w:p>
    <w:p w14:paraId="6A06F440" w14:textId="3384F71E" w:rsidR="00265BFF" w:rsidRPr="00CB4B24" w:rsidRDefault="00F819B7" w:rsidP="004E4060">
      <w:pPr>
        <w:rPr>
          <w:color w:val="385623" w:themeColor="accent6" w:themeShade="80"/>
        </w:rPr>
      </w:pPr>
      <w:r w:rsidRPr="00CB4B24">
        <w:rPr>
          <w:color w:val="385623" w:themeColor="accent6" w:themeShade="80"/>
          <w:u w:val="single"/>
        </w:rPr>
        <w:t>Removing proposed facilitation of online voting systems</w:t>
      </w:r>
    </w:p>
    <w:p w14:paraId="71FAEA33" w14:textId="322289A2" w:rsidR="00F819B7" w:rsidRPr="00CB4B24" w:rsidRDefault="00B66443" w:rsidP="00516870">
      <w:r w:rsidRPr="00CB4B24">
        <w:t xml:space="preserve">The amendments are to omit the provisions which relate to </w:t>
      </w:r>
      <w:r w:rsidR="006F192E" w:rsidRPr="00CB4B24">
        <w:t xml:space="preserve">allowing online voting systems by </w:t>
      </w:r>
      <w:r w:rsidR="009E5E9C" w:rsidRPr="00CB4B24">
        <w:t>overseas electors.</w:t>
      </w:r>
    </w:p>
    <w:p w14:paraId="773F753B" w14:textId="0CE50D09" w:rsidR="00484913" w:rsidRPr="00CB4B24" w:rsidRDefault="009B038F" w:rsidP="00516870">
      <w:r w:rsidRPr="00CB4B24">
        <w:t>Evidence provided by academics and systems experts</w:t>
      </w:r>
      <w:r w:rsidR="007736E1" w:rsidRPr="00CB4B24">
        <w:t xml:space="preserve"> have identified that </w:t>
      </w:r>
      <w:r w:rsidR="007957DD" w:rsidRPr="00CB4B24">
        <w:t xml:space="preserve">there is no jurisdiction in the world that has been capable of developing an online voting system </w:t>
      </w:r>
      <w:r w:rsidR="00782315" w:rsidRPr="00CB4B24">
        <w:t xml:space="preserve">as would provide the standard of </w:t>
      </w:r>
      <w:r w:rsidR="00122F60" w:rsidRPr="00CB4B24">
        <w:t>security and auditability</w:t>
      </w:r>
      <w:r w:rsidR="00782315" w:rsidRPr="00CB4B24">
        <w:t xml:space="preserve"> required for </w:t>
      </w:r>
      <w:r w:rsidR="00122F60" w:rsidRPr="00CB4B24">
        <w:t xml:space="preserve">public confidence in </w:t>
      </w:r>
      <w:r w:rsidR="00643FAA" w:rsidRPr="00CB4B24">
        <w:t>government elections.</w:t>
      </w:r>
      <w:r w:rsidR="00951969" w:rsidRPr="00CB4B24">
        <w:rPr>
          <w:rStyle w:val="FootnoteReference"/>
        </w:rPr>
        <w:t xml:space="preserve"> </w:t>
      </w:r>
      <w:r w:rsidR="00951969" w:rsidRPr="00CB4B24">
        <w:rPr>
          <w:rStyle w:val="FootnoteReference"/>
        </w:rPr>
        <w:footnoteReference w:id="11"/>
      </w:r>
      <w:r w:rsidR="00643FAA" w:rsidRPr="00CB4B24">
        <w:t xml:space="preserve"> </w:t>
      </w:r>
      <w:r w:rsidR="003B45BF" w:rsidRPr="00CB4B24">
        <w:t>T</w:t>
      </w:r>
      <w:r w:rsidR="00B540B8" w:rsidRPr="00CB4B24">
        <w:t xml:space="preserve">his is not for want of trying. </w:t>
      </w:r>
      <w:r w:rsidR="00643FAA" w:rsidRPr="00CB4B24">
        <w:t xml:space="preserve"> </w:t>
      </w:r>
      <w:r w:rsidR="00F13E49" w:rsidRPr="00CB4B24">
        <w:t xml:space="preserve">The New South Wales Government has been struggling with such a system, and it </w:t>
      </w:r>
      <w:r w:rsidR="00CD0B19" w:rsidRPr="00CB4B24">
        <w:t>would be</w:t>
      </w:r>
      <w:r w:rsidR="00F13E49" w:rsidRPr="00CB4B24">
        <w:t xml:space="preserve"> naïve to assume that the ACT can do better.</w:t>
      </w:r>
      <w:r w:rsidR="007078B3" w:rsidRPr="00CB4B24">
        <w:t xml:space="preserve">  </w:t>
      </w:r>
      <w:r w:rsidR="00E159FE" w:rsidRPr="00CB4B24">
        <w:t xml:space="preserve">Relevant experts almost universally argue against these systems being contemplated.  </w:t>
      </w:r>
      <w:r w:rsidR="005D73EC" w:rsidRPr="00CB4B24">
        <w:t>As the evidence before the committee inquiry into this bill makes clear, the Electoral Commission has very limited expertise</w:t>
      </w:r>
      <w:r w:rsidR="00342804" w:rsidRPr="00CB4B24">
        <w:t xml:space="preserve"> in the field of online voting and cannot be relied upon to make a sound judgement on whether a proposed</w:t>
      </w:r>
      <w:r w:rsidR="00EC4AD3" w:rsidRPr="00CB4B24">
        <w:t xml:space="preserve"> online</w:t>
      </w:r>
      <w:r w:rsidR="00342804" w:rsidRPr="00CB4B24">
        <w:t xml:space="preserve"> system would </w:t>
      </w:r>
      <w:r w:rsidR="003B54B6" w:rsidRPr="00CB4B24">
        <w:t>be sufficiently secure to meet the required standards.</w:t>
      </w:r>
      <w:r w:rsidR="00EC4AD3" w:rsidRPr="00CB4B24">
        <w:t xml:space="preserve">  </w:t>
      </w:r>
    </w:p>
    <w:p w14:paraId="77512FA1" w14:textId="26857286" w:rsidR="008D0B82" w:rsidRPr="00CB4B24" w:rsidRDefault="00643FAA" w:rsidP="00516870">
      <w:r w:rsidRPr="00CB4B24">
        <w:t>Of particular note are the hazards of votes being altered between the</w:t>
      </w:r>
      <w:r w:rsidR="007B7592" w:rsidRPr="00CB4B24">
        <w:t>ir submission by the voter and their receipt by the electronic voting system.</w:t>
      </w:r>
      <w:r w:rsidR="004267D8" w:rsidRPr="00CB4B24">
        <w:t xml:space="preserve">  By their very nature, online systems are incapable of being configured to produce a voter-verifiable paper record of their vote without preserving the anonymity of that </w:t>
      </w:r>
      <w:r w:rsidR="00953355" w:rsidRPr="00CB4B24">
        <w:t xml:space="preserve">vote, and </w:t>
      </w:r>
      <w:r w:rsidR="005B3CDA" w:rsidRPr="00CB4B24">
        <w:t>online</w:t>
      </w:r>
      <w:r w:rsidR="00953355" w:rsidRPr="00CB4B24">
        <w:t xml:space="preserve"> systems are </w:t>
      </w:r>
      <w:r w:rsidR="008D0B82" w:rsidRPr="00CB4B24">
        <w:t xml:space="preserve">the </w:t>
      </w:r>
      <w:r w:rsidR="00953355" w:rsidRPr="00CB4B24">
        <w:t xml:space="preserve">most vulnerable to </w:t>
      </w:r>
      <w:r w:rsidR="005B3CDA" w:rsidRPr="00CB4B24">
        <w:t xml:space="preserve">interference via remote </w:t>
      </w:r>
      <w:r w:rsidR="00953355" w:rsidRPr="00CB4B24">
        <w:t xml:space="preserve">hacking.  </w:t>
      </w:r>
    </w:p>
    <w:p w14:paraId="2B4346B4" w14:textId="361B207F" w:rsidR="009B038F" w:rsidRPr="00CB4B24" w:rsidRDefault="00953355" w:rsidP="00516870">
      <w:r w:rsidRPr="00CB4B24">
        <w:t>There is also the risk</w:t>
      </w:r>
      <w:r w:rsidR="008D0B82" w:rsidRPr="00CB4B24">
        <w:t xml:space="preserve"> that, if an online voting system is established and subsequently withdrawn late in the campaign period</w:t>
      </w:r>
      <w:r w:rsidR="002A623A" w:rsidRPr="00CB4B24">
        <w:t xml:space="preserve">, that voters who </w:t>
      </w:r>
      <w:r w:rsidR="00A1347B" w:rsidRPr="00CB4B24">
        <w:t xml:space="preserve">were expecting to use the online system may find themselves with insufficient time </w:t>
      </w:r>
      <w:r w:rsidR="00744DCC" w:rsidRPr="00CB4B24">
        <w:t>remaining to draw on other methods of international voting, such as by postal vote</w:t>
      </w:r>
      <w:r w:rsidR="00AC78A4" w:rsidRPr="00CB4B24">
        <w:t xml:space="preserve"> or </w:t>
      </w:r>
      <w:r w:rsidR="00C60465" w:rsidRPr="00CB4B24">
        <w:t xml:space="preserve">potentially </w:t>
      </w:r>
      <w:r w:rsidR="00AC78A4" w:rsidRPr="00CB4B24">
        <w:t>lengthy</w:t>
      </w:r>
      <w:r w:rsidR="00C60465" w:rsidRPr="00CB4B24">
        <w:t xml:space="preserve"> travel to an Australian embassy</w:t>
      </w:r>
      <w:r w:rsidR="00744DCC" w:rsidRPr="00CB4B24">
        <w:t xml:space="preserve">.  This can have the effect of limiting the </w:t>
      </w:r>
      <w:r w:rsidR="00D608FA" w:rsidRPr="00CB4B24">
        <w:t xml:space="preserve">voter </w:t>
      </w:r>
      <w:r w:rsidR="00744DCC" w:rsidRPr="00CB4B24">
        <w:t>franchise rather than expanding it</w:t>
      </w:r>
      <w:r w:rsidR="00494AF6" w:rsidRPr="00CB4B24">
        <w:t>, absent alternative provisions</w:t>
      </w:r>
      <w:r w:rsidR="00D608FA" w:rsidRPr="00CB4B24">
        <w:t>.</w:t>
      </w:r>
    </w:p>
    <w:p w14:paraId="77B6A419" w14:textId="2FE3C94A" w:rsidR="00452AE4" w:rsidRPr="00CB4B24" w:rsidRDefault="0032246A" w:rsidP="00516870">
      <w:r w:rsidRPr="00CB4B24">
        <w:t>While such a system might be welcome in exceptional circumstances, such as the COVID-19 pandemic’s impact on the flow of international mail, it is hazardous to present it as a consolidated part of our electoral system for bad actors to plan around.  Asking the Electoral Commission to contemplate this for ordinary circumstances represents a waste of government resources.</w:t>
      </w:r>
    </w:p>
    <w:p w14:paraId="78D5E1AA" w14:textId="77777777" w:rsidR="00452AE4" w:rsidRPr="00CB4B24" w:rsidRDefault="00452AE4">
      <w:r w:rsidRPr="00CB4B24">
        <w:br w:type="page"/>
      </w:r>
    </w:p>
    <w:p w14:paraId="522DB5C0" w14:textId="20B7F862" w:rsidR="00B35638" w:rsidRPr="00CB4B24" w:rsidRDefault="00452AE4" w:rsidP="00516870">
      <w:pPr>
        <w:rPr>
          <w:color w:val="385623" w:themeColor="accent6" w:themeShade="80"/>
          <w:u w:val="single"/>
        </w:rPr>
      </w:pPr>
      <w:r w:rsidRPr="00CB4B24">
        <w:rPr>
          <w:color w:val="385623" w:themeColor="accent6" w:themeShade="80"/>
          <w:u w:val="single"/>
        </w:rPr>
        <w:lastRenderedPageBreak/>
        <w:t xml:space="preserve">Notes on individual </w:t>
      </w:r>
      <w:r w:rsidR="002B452D" w:rsidRPr="00CB4B24">
        <w:rPr>
          <w:color w:val="385623" w:themeColor="accent6" w:themeShade="80"/>
          <w:u w:val="single"/>
        </w:rPr>
        <w:t>amendments</w:t>
      </w:r>
    </w:p>
    <w:p w14:paraId="5F736714" w14:textId="6D059E35" w:rsidR="00452AE4" w:rsidRPr="00CB4B24" w:rsidRDefault="004B21ED" w:rsidP="004B21ED">
      <w:pPr>
        <w:numPr>
          <w:ilvl w:val="0"/>
          <w:numId w:val="3"/>
        </w:numPr>
      </w:pPr>
      <w:r w:rsidRPr="00CB4B24">
        <w:t>Clause 4</w:t>
      </w:r>
      <w:r w:rsidR="005F04BF" w:rsidRPr="00CB4B24">
        <w:t>:</w:t>
      </w:r>
      <w:r w:rsidRPr="00CB4B24">
        <w:t xml:space="preserve"> </w:t>
      </w:r>
      <w:r w:rsidR="005F04BF" w:rsidRPr="00CB4B24">
        <w:t xml:space="preserve"> </w:t>
      </w:r>
      <w:r w:rsidR="002A10C1" w:rsidRPr="00CB4B24">
        <w:t>‘</w:t>
      </w:r>
      <w:r w:rsidR="005F04BF" w:rsidRPr="00CB4B24">
        <w:t>F</w:t>
      </w:r>
      <w:r w:rsidR="00A07D0A" w:rsidRPr="00CB4B24">
        <w:t>oreign</w:t>
      </w:r>
      <w:r w:rsidR="002A10C1" w:rsidRPr="00CB4B24">
        <w:t>’</w:t>
      </w:r>
      <w:r w:rsidR="00A07D0A" w:rsidRPr="00CB4B24">
        <w:t xml:space="preserve"> entities is substituted with </w:t>
      </w:r>
      <w:r w:rsidR="002A10C1" w:rsidRPr="00CB4B24">
        <w:t>‘</w:t>
      </w:r>
      <w:r w:rsidR="00A07D0A" w:rsidRPr="00CB4B24">
        <w:t>prohibited</w:t>
      </w:r>
      <w:r w:rsidR="002A10C1" w:rsidRPr="00CB4B24">
        <w:t>’</w:t>
      </w:r>
      <w:r w:rsidR="00A07D0A" w:rsidRPr="00CB4B24">
        <w:t xml:space="preserve"> entities, thereby accommodating </w:t>
      </w:r>
      <w:r w:rsidR="00D36D9F" w:rsidRPr="00CB4B24">
        <w:t xml:space="preserve">the expansion of </w:t>
      </w:r>
      <w:r w:rsidR="00DC0DD3" w:rsidRPr="00CB4B24">
        <w:t xml:space="preserve">the ban on donations to </w:t>
      </w:r>
      <w:r w:rsidR="004364F8" w:rsidRPr="00CB4B24">
        <w:t xml:space="preserve">defence, </w:t>
      </w:r>
      <w:r w:rsidR="00DC0DD3" w:rsidRPr="00CB4B24">
        <w:t xml:space="preserve">nicotine and </w:t>
      </w:r>
      <w:r w:rsidR="007010AD" w:rsidRPr="00CB4B24">
        <w:t>fossil fuel</w:t>
      </w:r>
      <w:r w:rsidR="00DC0DD3" w:rsidRPr="00CB4B24">
        <w:t xml:space="preserve"> entities.</w:t>
      </w:r>
    </w:p>
    <w:p w14:paraId="792DDBFA" w14:textId="625CC8CF" w:rsidR="00DC0DD3" w:rsidRPr="00CB4B24" w:rsidRDefault="00AF6ADA" w:rsidP="004B21ED">
      <w:pPr>
        <w:numPr>
          <w:ilvl w:val="0"/>
          <w:numId w:val="3"/>
        </w:numPr>
      </w:pPr>
      <w:r w:rsidRPr="00CB4B24">
        <w:t>Clause 32</w:t>
      </w:r>
      <w:r w:rsidR="005F04BF" w:rsidRPr="00CB4B24">
        <w:t>:</w:t>
      </w:r>
      <w:r w:rsidRPr="00CB4B24">
        <w:t xml:space="preserve"> </w:t>
      </w:r>
      <w:r w:rsidR="005F04BF" w:rsidRPr="00CB4B24">
        <w:t xml:space="preserve"> T</w:t>
      </w:r>
      <w:r w:rsidR="00E34526" w:rsidRPr="00CB4B24">
        <w:t xml:space="preserve">he proposed new section 136H is </w:t>
      </w:r>
      <w:r w:rsidRPr="00CB4B24">
        <w:t xml:space="preserve">omitted </w:t>
      </w:r>
      <w:r w:rsidR="00E34526" w:rsidRPr="00CB4B24">
        <w:t>so as not to facilitate online voting</w:t>
      </w:r>
    </w:p>
    <w:p w14:paraId="4BAC5010" w14:textId="6166343D" w:rsidR="001F32D8" w:rsidRPr="00CB4B24" w:rsidRDefault="00C052D3" w:rsidP="004B21ED">
      <w:pPr>
        <w:numPr>
          <w:ilvl w:val="0"/>
          <w:numId w:val="3"/>
        </w:numPr>
      </w:pPr>
      <w:r w:rsidRPr="00CB4B24">
        <w:t>Clause 40</w:t>
      </w:r>
      <w:r w:rsidR="005F04BF" w:rsidRPr="00CB4B24">
        <w:t>:  R</w:t>
      </w:r>
      <w:r w:rsidRPr="00CB4B24">
        <w:t xml:space="preserve">eference to the proposed new section 136H </w:t>
      </w:r>
      <w:r w:rsidR="00D8364B" w:rsidRPr="00CB4B24">
        <w:t xml:space="preserve">on online voting </w:t>
      </w:r>
      <w:r w:rsidRPr="00CB4B24">
        <w:t xml:space="preserve">is removed, consistent with </w:t>
      </w:r>
      <w:r w:rsidR="005A40CA" w:rsidRPr="00CB4B24">
        <w:t>that section being omitted from the bill</w:t>
      </w:r>
      <w:r w:rsidR="005F04BF" w:rsidRPr="00CB4B24">
        <w:t xml:space="preserve"> at clause 32</w:t>
      </w:r>
      <w:r w:rsidR="005A40CA" w:rsidRPr="00CB4B24">
        <w:t xml:space="preserve">. The references to the new section 136I </w:t>
      </w:r>
      <w:r w:rsidR="00D8364B" w:rsidRPr="00CB4B24">
        <w:t xml:space="preserve">on telephone voting for the visually impaired </w:t>
      </w:r>
      <w:r w:rsidR="005A40CA" w:rsidRPr="00CB4B24">
        <w:t>is retained.</w:t>
      </w:r>
    </w:p>
    <w:p w14:paraId="71831319" w14:textId="208AB5E9" w:rsidR="005F04BF" w:rsidRPr="00CB4B24" w:rsidRDefault="002A10C1" w:rsidP="004B21ED">
      <w:pPr>
        <w:numPr>
          <w:ilvl w:val="0"/>
          <w:numId w:val="3"/>
        </w:numPr>
      </w:pPr>
      <w:r w:rsidRPr="00CB4B24">
        <w:t xml:space="preserve">Clause 43: </w:t>
      </w:r>
      <w:r w:rsidR="00CC4F33" w:rsidRPr="00CB4B24">
        <w:t xml:space="preserve"> </w:t>
      </w:r>
      <w:r w:rsidRPr="00CB4B24">
        <w:t xml:space="preserve">The word ‘overseas’ </w:t>
      </w:r>
      <w:r w:rsidR="0031644B" w:rsidRPr="00CB4B24">
        <w:t xml:space="preserve">is </w:t>
      </w:r>
      <w:r w:rsidR="00F27723" w:rsidRPr="00CB4B24">
        <w:t xml:space="preserve">omitted from the title of new section </w:t>
      </w:r>
      <w:r w:rsidR="001A6A4A" w:rsidRPr="00CB4B24">
        <w:t xml:space="preserve">160A, recognising that </w:t>
      </w:r>
      <w:r w:rsidR="0080257F" w:rsidRPr="00CB4B24">
        <w:t xml:space="preserve">telephone voting </w:t>
      </w:r>
      <w:r w:rsidR="00106590" w:rsidRPr="00CB4B24">
        <w:t xml:space="preserve">is also to be available domestically, and that </w:t>
      </w:r>
      <w:r w:rsidR="001A6A4A" w:rsidRPr="00CB4B24">
        <w:t xml:space="preserve">online voting </w:t>
      </w:r>
      <w:r w:rsidR="00106590" w:rsidRPr="00CB4B24">
        <w:t xml:space="preserve">for overseas voters </w:t>
      </w:r>
      <w:r w:rsidR="001A6A4A" w:rsidRPr="00CB4B24">
        <w:t xml:space="preserve">is to </w:t>
      </w:r>
      <w:r w:rsidR="00C37413" w:rsidRPr="00CB4B24">
        <w:t>not be permitted</w:t>
      </w:r>
      <w:r w:rsidR="0080257F" w:rsidRPr="00CB4B24">
        <w:t>.</w:t>
      </w:r>
    </w:p>
    <w:p w14:paraId="60403C4D" w14:textId="656A57DE" w:rsidR="00C37413" w:rsidRPr="00CB4B24" w:rsidRDefault="00086C6E" w:rsidP="004B21ED">
      <w:pPr>
        <w:numPr>
          <w:ilvl w:val="0"/>
          <w:numId w:val="3"/>
        </w:numPr>
      </w:pPr>
      <w:r w:rsidRPr="00CB4B24">
        <w:t xml:space="preserve">Clause 43: </w:t>
      </w:r>
      <w:r w:rsidR="00CC4F33" w:rsidRPr="00CB4B24">
        <w:t xml:space="preserve"> </w:t>
      </w:r>
      <w:r w:rsidRPr="00CB4B24">
        <w:t xml:space="preserve">In the proposed 160A(6), reference to the </w:t>
      </w:r>
      <w:r w:rsidR="00B62E67" w:rsidRPr="00CB4B24">
        <w:t>proposed new section 136H</w:t>
      </w:r>
      <w:r w:rsidR="00F27851" w:rsidRPr="00CB4B24">
        <w:t>(5)</w:t>
      </w:r>
      <w:r w:rsidR="00B62E67" w:rsidRPr="00CB4B24">
        <w:t xml:space="preserve"> on online voting is removed, consistent with that section being omitted from the bill at clause 32. The references to the new section 136I on telephone voting for the visually impaired is retained.</w:t>
      </w:r>
    </w:p>
    <w:p w14:paraId="5708AF20" w14:textId="5F229649" w:rsidR="00B62E67" w:rsidRPr="00CB4B24" w:rsidRDefault="00CC4F33" w:rsidP="004B21ED">
      <w:pPr>
        <w:numPr>
          <w:ilvl w:val="0"/>
          <w:numId w:val="3"/>
        </w:numPr>
      </w:pPr>
      <w:r w:rsidRPr="00CB4B24">
        <w:t>Clause 44:  Reference to the proposed new section 136H on online voting is removed, consistent with that section being omitted from the bill at clause 32. The references to the new section 136I on telephone voting for the visually impaired is retained.</w:t>
      </w:r>
    </w:p>
    <w:p w14:paraId="207E1923" w14:textId="3427EDE6" w:rsidR="00CC4F33" w:rsidRPr="00CB4B24" w:rsidRDefault="00EC64AA" w:rsidP="004B21ED">
      <w:pPr>
        <w:numPr>
          <w:ilvl w:val="0"/>
          <w:numId w:val="3"/>
        </w:numPr>
      </w:pPr>
      <w:r w:rsidRPr="00CB4B24">
        <w:t xml:space="preserve">Clause 45:  </w:t>
      </w:r>
      <w:r w:rsidR="00FB50F9" w:rsidRPr="00CB4B24">
        <w:t>the entire clause is omitted, consistent with the intent to not facilitate online voting.</w:t>
      </w:r>
    </w:p>
    <w:p w14:paraId="63C73BAE" w14:textId="5970C203" w:rsidR="00EC64AA" w:rsidRPr="00CB4B24" w:rsidRDefault="00EC64AA" w:rsidP="004B21ED">
      <w:pPr>
        <w:numPr>
          <w:ilvl w:val="0"/>
          <w:numId w:val="3"/>
        </w:numPr>
      </w:pPr>
      <w:r w:rsidRPr="00CB4B24">
        <w:t xml:space="preserve">Clause 46:  </w:t>
      </w:r>
      <w:r w:rsidR="00FB50F9" w:rsidRPr="00CB4B24">
        <w:t>the entire clause is omitted, consistent with the intent to not facilitate online voting.</w:t>
      </w:r>
    </w:p>
    <w:p w14:paraId="62F889A9" w14:textId="55CFE606" w:rsidR="00EC64AA" w:rsidRPr="00CB4B24" w:rsidRDefault="00EC64AA" w:rsidP="004B21ED">
      <w:pPr>
        <w:numPr>
          <w:ilvl w:val="0"/>
          <w:numId w:val="3"/>
        </w:numPr>
      </w:pPr>
      <w:r w:rsidRPr="00CB4B24">
        <w:t xml:space="preserve">Clause 48:  </w:t>
      </w:r>
      <w:r w:rsidR="00FB50F9" w:rsidRPr="00CB4B24">
        <w:t>the entire clause is omitted, consistent with the intent to not facilitate online voting.</w:t>
      </w:r>
    </w:p>
    <w:p w14:paraId="718D1C5D" w14:textId="5B3B74F4" w:rsidR="00FB50F9" w:rsidRPr="00CB4B24" w:rsidRDefault="00991400" w:rsidP="004B21ED">
      <w:pPr>
        <w:numPr>
          <w:ilvl w:val="0"/>
          <w:numId w:val="3"/>
        </w:numPr>
      </w:pPr>
      <w:r w:rsidRPr="00CB4B24">
        <w:t xml:space="preserve">Clause 64:  </w:t>
      </w:r>
      <w:r w:rsidR="007F2EE9" w:rsidRPr="00CB4B24">
        <w:t xml:space="preserve">Proposed new clause </w:t>
      </w:r>
      <w:r w:rsidR="00D91AE5" w:rsidRPr="00CB4B24">
        <w:t xml:space="preserve">222A(1)(c) is omitted so as to not provide exceptions for ‘federal accounts’ </w:t>
      </w:r>
      <w:r w:rsidR="00A2210F" w:rsidRPr="00CB4B24">
        <w:t>with respect to property developer donations in ACT law.</w:t>
      </w:r>
    </w:p>
    <w:p w14:paraId="7C7B4C7F" w14:textId="71164A20" w:rsidR="00991400" w:rsidRPr="00CB4B24" w:rsidRDefault="00991400" w:rsidP="004B21ED">
      <w:pPr>
        <w:numPr>
          <w:ilvl w:val="0"/>
          <w:numId w:val="3"/>
        </w:numPr>
      </w:pPr>
      <w:r w:rsidRPr="00CB4B24">
        <w:t xml:space="preserve">Clause 65:  </w:t>
      </w:r>
      <w:r w:rsidR="00CF1F65" w:rsidRPr="00CB4B24">
        <w:t>The entire clause is omitted, because a definition of ‘federal account’ is no longer required.</w:t>
      </w:r>
    </w:p>
    <w:p w14:paraId="21D4CBDC" w14:textId="68033E6E" w:rsidR="00947954" w:rsidRPr="00CB4B24" w:rsidRDefault="00947954" w:rsidP="004B21ED">
      <w:pPr>
        <w:numPr>
          <w:ilvl w:val="0"/>
          <w:numId w:val="3"/>
        </w:numPr>
      </w:pPr>
      <w:r w:rsidRPr="00CB4B24">
        <w:t xml:space="preserve">Clause 69:  </w:t>
      </w:r>
      <w:r w:rsidR="009075D8" w:rsidRPr="00CB4B24">
        <w:t xml:space="preserve">The heading for the new division 14.4B is renamed as </w:t>
      </w:r>
      <w:r w:rsidR="000323BB" w:rsidRPr="00CB4B24">
        <w:t xml:space="preserve">‘gifts from prohibited entities’, </w:t>
      </w:r>
      <w:r w:rsidR="00CE7C11" w:rsidRPr="00CB4B24">
        <w:t xml:space="preserve">thereby accommodating the expansion of the ban on donations to </w:t>
      </w:r>
      <w:r w:rsidR="004364F8" w:rsidRPr="00CB4B24">
        <w:t xml:space="preserve">defence, </w:t>
      </w:r>
      <w:r w:rsidR="00CE7C11" w:rsidRPr="00CB4B24">
        <w:t xml:space="preserve">nicotine and </w:t>
      </w:r>
      <w:r w:rsidR="007010AD" w:rsidRPr="00CB4B24">
        <w:t>fossil fuel</w:t>
      </w:r>
      <w:r w:rsidR="00CE7C11" w:rsidRPr="00CB4B24">
        <w:t xml:space="preserve"> entities.</w:t>
      </w:r>
    </w:p>
    <w:p w14:paraId="05F45485" w14:textId="634D4948" w:rsidR="000419E1" w:rsidRPr="00CB4B24" w:rsidRDefault="000419E1" w:rsidP="004B21ED">
      <w:pPr>
        <w:numPr>
          <w:ilvl w:val="0"/>
          <w:numId w:val="3"/>
        </w:numPr>
      </w:pPr>
      <w:r w:rsidRPr="00CB4B24">
        <w:t xml:space="preserve">Clause 69: </w:t>
      </w:r>
      <w:r w:rsidR="00E27D46" w:rsidRPr="00CB4B24">
        <w:t xml:space="preserve"> Paragraph 222L(1)(c) </w:t>
      </w:r>
      <w:r w:rsidR="00E266DE" w:rsidRPr="00CB4B24">
        <w:t xml:space="preserve">is </w:t>
      </w:r>
      <w:r w:rsidR="00DE0CBA" w:rsidRPr="00CB4B24">
        <w:t>removed</w:t>
      </w:r>
      <w:r w:rsidR="00E266DE" w:rsidRPr="00CB4B24">
        <w:t xml:space="preserve"> </w:t>
      </w:r>
      <w:r w:rsidR="00DE0CBA" w:rsidRPr="00CB4B24">
        <w:t xml:space="preserve">so as to not provide exceptions for ‘federal accounts’ with respect to property developer donations in ACT law.  It is replaced with an exemption for defence entities who have not </w:t>
      </w:r>
      <w:r w:rsidR="00D00838" w:rsidRPr="00CB4B24">
        <w:t>held a defence contract in the last seven years.</w:t>
      </w:r>
    </w:p>
    <w:p w14:paraId="763A8604" w14:textId="341587DE" w:rsidR="00D00838" w:rsidRPr="00CB4B24" w:rsidRDefault="00792A53" w:rsidP="004B21ED">
      <w:pPr>
        <w:numPr>
          <w:ilvl w:val="0"/>
          <w:numId w:val="3"/>
        </w:numPr>
      </w:pPr>
      <w:r w:rsidRPr="00CB4B24">
        <w:t xml:space="preserve">Clause 69: </w:t>
      </w:r>
      <w:r w:rsidR="00804278" w:rsidRPr="00CB4B24">
        <w:t xml:space="preserve"> Paragraph 222L(2) concerning the definition of a federal account</w:t>
      </w:r>
      <w:r w:rsidR="00B1454D" w:rsidRPr="00CB4B24">
        <w:t xml:space="preserve"> </w:t>
      </w:r>
      <w:r w:rsidR="00804278" w:rsidRPr="00CB4B24">
        <w:t xml:space="preserve">is removed </w:t>
      </w:r>
      <w:r w:rsidR="00B1454D" w:rsidRPr="00CB4B24">
        <w:t xml:space="preserve">as it is no longer </w:t>
      </w:r>
      <w:r w:rsidR="00832F07" w:rsidRPr="00CB4B24">
        <w:t>required and</w:t>
      </w:r>
      <w:r w:rsidR="00804278" w:rsidRPr="00CB4B24">
        <w:t xml:space="preserve"> </w:t>
      </w:r>
      <w:r w:rsidR="00B1454D" w:rsidRPr="00CB4B24">
        <w:t xml:space="preserve">is </w:t>
      </w:r>
      <w:r w:rsidR="00B849DD" w:rsidRPr="00CB4B24">
        <w:t>substituted</w:t>
      </w:r>
      <w:r w:rsidR="00B1454D" w:rsidRPr="00CB4B24">
        <w:t xml:space="preserve"> </w:t>
      </w:r>
      <w:r w:rsidR="00B849DD" w:rsidRPr="00CB4B24">
        <w:t xml:space="preserve">with a reference </w:t>
      </w:r>
      <w:r w:rsidR="0052749E" w:rsidRPr="00CB4B24">
        <w:t>to the definition of a defence entity, to support updates made in the previous point.</w:t>
      </w:r>
    </w:p>
    <w:p w14:paraId="0C5B4E3E" w14:textId="5CBCCA7F" w:rsidR="00DB4BE3" w:rsidRPr="00CB4B24" w:rsidRDefault="00DB4BE3" w:rsidP="004B21ED">
      <w:pPr>
        <w:numPr>
          <w:ilvl w:val="0"/>
          <w:numId w:val="3"/>
        </w:numPr>
      </w:pPr>
      <w:r w:rsidRPr="00CB4B24">
        <w:t xml:space="preserve">Clause 69:  </w:t>
      </w:r>
      <w:r w:rsidR="0085629C" w:rsidRPr="00CB4B24">
        <w:t xml:space="preserve">The proposed new section 222M </w:t>
      </w:r>
      <w:r w:rsidR="00436CDF" w:rsidRPr="00CB4B24">
        <w:t xml:space="preserve">on the definition of a foreign entity is </w:t>
      </w:r>
      <w:r w:rsidR="00C95029" w:rsidRPr="00CB4B24">
        <w:t>substituted with a much broader set of definitions pertaining to prohibited entities.  This includes:</w:t>
      </w:r>
    </w:p>
    <w:p w14:paraId="18A65E34" w14:textId="42C91E21" w:rsidR="00C95029" w:rsidRPr="00CB4B24" w:rsidRDefault="00304953" w:rsidP="00C95029">
      <w:pPr>
        <w:numPr>
          <w:ilvl w:val="1"/>
          <w:numId w:val="3"/>
        </w:numPr>
      </w:pPr>
      <w:r w:rsidRPr="00CB4B24">
        <w:lastRenderedPageBreak/>
        <w:t>Close associate: this</w:t>
      </w:r>
      <w:r w:rsidR="004F63FA" w:rsidRPr="00CB4B24">
        <w:t xml:space="preserve"> is </w:t>
      </w:r>
      <w:r w:rsidR="00ED0A48" w:rsidRPr="00CB4B24">
        <w:t>defined</w:t>
      </w:r>
      <w:r w:rsidR="004F63FA" w:rsidRPr="00CB4B24">
        <w:t xml:space="preserve"> any person who </w:t>
      </w:r>
      <w:r w:rsidR="006C3DB3" w:rsidRPr="00CB4B24">
        <w:t>is a</w:t>
      </w:r>
      <w:r w:rsidR="00011853" w:rsidRPr="00CB4B24">
        <w:t>n officer or</w:t>
      </w:r>
      <w:r w:rsidR="006C3DB3" w:rsidRPr="00CB4B24">
        <w:t xml:space="preserve"> </w:t>
      </w:r>
      <w:r w:rsidR="00ED0A48" w:rsidRPr="00CB4B24">
        <w:t>beneficial owner of a</w:t>
      </w:r>
      <w:r w:rsidR="00011853" w:rsidRPr="00CB4B24">
        <w:t>n</w:t>
      </w:r>
      <w:r w:rsidR="00ED0A48" w:rsidRPr="00CB4B24">
        <w:t xml:space="preserve"> </w:t>
      </w:r>
      <w:r w:rsidR="00011853" w:rsidRPr="00CB4B24">
        <w:t xml:space="preserve">incorporated </w:t>
      </w:r>
      <w:r w:rsidR="00ED0A48" w:rsidRPr="00CB4B24">
        <w:t>prohibited entity</w:t>
      </w:r>
      <w:r w:rsidR="00C70C3F" w:rsidRPr="00CB4B24">
        <w:t xml:space="preserve"> and their related body corporates</w:t>
      </w:r>
      <w:r w:rsidR="007A5268" w:rsidRPr="00CB4B24">
        <w:t xml:space="preserve"> and stapled entities</w:t>
      </w:r>
      <w:r w:rsidR="006C3DB3" w:rsidRPr="00CB4B24">
        <w:t xml:space="preserve">, </w:t>
      </w:r>
      <w:r w:rsidR="00C70C3F" w:rsidRPr="00CB4B24">
        <w:t xml:space="preserve">and </w:t>
      </w:r>
      <w:r w:rsidR="006C3DB3" w:rsidRPr="00CB4B24">
        <w:t>their domestic partners.</w:t>
      </w:r>
      <w:r w:rsidR="0086249D" w:rsidRPr="00CB4B24">
        <w:t xml:space="preserve">  </w:t>
      </w:r>
      <w:r w:rsidR="000C7EFE" w:rsidRPr="00CB4B24">
        <w:t>It also captures lobbyists for incorporated prohibited entities</w:t>
      </w:r>
      <w:r w:rsidR="007A5268" w:rsidRPr="00CB4B24">
        <w:t xml:space="preserve">, and other </w:t>
      </w:r>
      <w:r w:rsidR="00425E05" w:rsidRPr="00CB4B24">
        <w:t>persons or bodies as may be prescribed by regulation</w:t>
      </w:r>
      <w:r w:rsidR="000C7EFE" w:rsidRPr="00CB4B24">
        <w:t>.</w:t>
      </w:r>
      <w:r w:rsidR="00425E05" w:rsidRPr="00CB4B24">
        <w:t xml:space="preserve">  The definition is very similar to that used to describe the close associates of property developers.</w:t>
      </w:r>
    </w:p>
    <w:p w14:paraId="4C855AD1" w14:textId="7CE26033" w:rsidR="00304953" w:rsidRPr="00CB4B24" w:rsidRDefault="00584984" w:rsidP="00C95029">
      <w:pPr>
        <w:numPr>
          <w:ilvl w:val="1"/>
          <w:numId w:val="3"/>
        </w:numPr>
      </w:pPr>
      <w:r w:rsidRPr="00CB4B24">
        <w:t xml:space="preserve">Gift: </w:t>
      </w:r>
      <w:r w:rsidR="004C6B11" w:rsidRPr="00CB4B24">
        <w:t xml:space="preserve">this is defined </w:t>
      </w:r>
      <w:r w:rsidRPr="00CB4B24">
        <w:t>as per current legislation.</w:t>
      </w:r>
    </w:p>
    <w:p w14:paraId="603F7833" w14:textId="64998410" w:rsidR="00584984" w:rsidRPr="00CB4B24" w:rsidRDefault="00584984" w:rsidP="00C95029">
      <w:pPr>
        <w:numPr>
          <w:ilvl w:val="1"/>
          <w:numId w:val="3"/>
        </w:numPr>
      </w:pPr>
      <w:r w:rsidRPr="00CB4B24">
        <w:t xml:space="preserve">Political entity: </w:t>
      </w:r>
      <w:r w:rsidR="004C6B11" w:rsidRPr="00CB4B24">
        <w:t xml:space="preserve">this is defined </w:t>
      </w:r>
      <w:r w:rsidRPr="00CB4B24">
        <w:t>as per current legislation.</w:t>
      </w:r>
    </w:p>
    <w:p w14:paraId="28620F67" w14:textId="73A32793" w:rsidR="00E71B72" w:rsidRPr="00CB4B24" w:rsidRDefault="00584984" w:rsidP="00C95029">
      <w:pPr>
        <w:numPr>
          <w:ilvl w:val="1"/>
          <w:numId w:val="3"/>
        </w:numPr>
      </w:pPr>
      <w:r w:rsidRPr="00CB4B24">
        <w:t xml:space="preserve">Prohibited entity: </w:t>
      </w:r>
      <w:r w:rsidR="004C6B11" w:rsidRPr="00CB4B24">
        <w:t xml:space="preserve">this is defined as a list of other </w:t>
      </w:r>
      <w:r w:rsidR="00511ADC" w:rsidRPr="00CB4B24">
        <w:t>entities and</w:t>
      </w:r>
      <w:r w:rsidR="000230E5" w:rsidRPr="00CB4B24">
        <w:t xml:space="preserve"> is the principal means of determining whether an entity is </w:t>
      </w:r>
      <w:r w:rsidR="004D0791" w:rsidRPr="00CB4B24">
        <w:t>included in bans</w:t>
      </w:r>
      <w:r w:rsidR="000230E5" w:rsidRPr="00CB4B24">
        <w:t xml:space="preserve"> from making political donations</w:t>
      </w:r>
      <w:r w:rsidR="004D0791" w:rsidRPr="00CB4B24">
        <w:t xml:space="preserve">, other than with regard to property developers which are maintained in their own section of the legislation due to the complexity of </w:t>
      </w:r>
      <w:r w:rsidR="003D26AE" w:rsidRPr="00CB4B24">
        <w:t xml:space="preserve">how the ban intersects with historic involvement with development applications.  The list includes </w:t>
      </w:r>
      <w:r w:rsidR="00E71B72" w:rsidRPr="00CB4B24">
        <w:t>defence entities, foreign entities, fossil fuel entities, and nicotine entities.</w:t>
      </w:r>
    </w:p>
    <w:p w14:paraId="6A33C94C" w14:textId="4D9A0F6E" w:rsidR="00F0218D" w:rsidRPr="00CB4B24" w:rsidRDefault="00F0218D" w:rsidP="00F0218D">
      <w:pPr>
        <w:numPr>
          <w:ilvl w:val="1"/>
          <w:numId w:val="3"/>
        </w:numPr>
      </w:pPr>
      <w:r w:rsidRPr="00CB4B24">
        <w:t>Beneficia</w:t>
      </w:r>
      <w:r w:rsidR="00B70FA2" w:rsidRPr="00CB4B24">
        <w:t>lly</w:t>
      </w:r>
      <w:r w:rsidRPr="00CB4B24">
        <w:t xml:space="preserve"> owne</w:t>
      </w:r>
      <w:r w:rsidR="00B70FA2" w:rsidRPr="00CB4B24">
        <w:t>d</w:t>
      </w:r>
      <w:r w:rsidRPr="00CB4B24">
        <w:t xml:space="preserve">: this </w:t>
      </w:r>
      <w:r w:rsidR="00394A2E" w:rsidRPr="00CB4B24">
        <w:t xml:space="preserve">operates in conjunction with the proposed definition of foreign </w:t>
      </w:r>
      <w:r w:rsidR="00EF3091" w:rsidRPr="00CB4B24">
        <w:t xml:space="preserve">entities, </w:t>
      </w:r>
      <w:r w:rsidR="00BC1B10" w:rsidRPr="00CB4B24">
        <w:t xml:space="preserve">which identifies an entity as being a foreign entity where it is beneficially owned </w:t>
      </w:r>
      <w:r w:rsidR="00314731" w:rsidRPr="00CB4B24">
        <w:t xml:space="preserve">by an individual or individuals who </w:t>
      </w:r>
      <w:r w:rsidR="00436746" w:rsidRPr="00CB4B24">
        <w:t xml:space="preserve">ultimately </w:t>
      </w:r>
      <w:r w:rsidR="00314731" w:rsidRPr="00CB4B24">
        <w:t>own more than 50% of the entity or otherwise control it</w:t>
      </w:r>
      <w:r w:rsidRPr="00CB4B24">
        <w:t>.  Th</w:t>
      </w:r>
      <w:r w:rsidR="00314731" w:rsidRPr="00CB4B24">
        <w:t>e concept of beneficial ownership</w:t>
      </w:r>
      <w:r w:rsidRPr="00CB4B24">
        <w:t xml:space="preserve"> is </w:t>
      </w:r>
      <w:r w:rsidR="008977DD" w:rsidRPr="00CB4B24">
        <w:t xml:space="preserve">also </w:t>
      </w:r>
      <w:r w:rsidRPr="00CB4B24">
        <w:t>used when considering the flow of international finance, including by AUSTRAC for money laundering investigations and compliance with international sanctions.  The term is applied when defining foreign entities and close associates.</w:t>
      </w:r>
    </w:p>
    <w:p w14:paraId="2A553892" w14:textId="77777777" w:rsidR="00801317" w:rsidRPr="00CB4B24" w:rsidRDefault="00BC67AF" w:rsidP="00C95029">
      <w:pPr>
        <w:numPr>
          <w:ilvl w:val="1"/>
          <w:numId w:val="3"/>
        </w:numPr>
      </w:pPr>
      <w:r w:rsidRPr="00CB4B24">
        <w:t>Defence entity: this is defined as an entity that holds</w:t>
      </w:r>
      <w:r w:rsidR="00473A21" w:rsidRPr="00CB4B24">
        <w:t xml:space="preserve">, or has held within the last 7 years, a </w:t>
      </w:r>
      <w:r w:rsidR="00337987" w:rsidRPr="00CB4B24">
        <w:t xml:space="preserve">contract with the Commonwealth for the provision of equipment intended for military end-use or for </w:t>
      </w:r>
      <w:r w:rsidR="00801317" w:rsidRPr="00CB4B24">
        <w:t>strategic advice on military operations and procurement.</w:t>
      </w:r>
    </w:p>
    <w:p w14:paraId="06387816" w14:textId="730CDDC1" w:rsidR="00584984" w:rsidRPr="00CB4B24" w:rsidRDefault="00801317" w:rsidP="00C95029">
      <w:pPr>
        <w:numPr>
          <w:ilvl w:val="1"/>
          <w:numId w:val="3"/>
        </w:numPr>
      </w:pPr>
      <w:r w:rsidRPr="00CB4B24">
        <w:t>Foreign entity: this</w:t>
      </w:r>
      <w:r w:rsidR="004D0791" w:rsidRPr="00CB4B24">
        <w:t xml:space="preserve"> </w:t>
      </w:r>
      <w:r w:rsidRPr="00CB4B24">
        <w:t xml:space="preserve">is defined as an </w:t>
      </w:r>
      <w:r w:rsidR="00EB1D08" w:rsidRPr="00CB4B24">
        <w:t>individual who is not an Australian Citizen or permanent resident, or a</w:t>
      </w:r>
      <w:r w:rsidR="00DF370A" w:rsidRPr="00CB4B24">
        <w:t xml:space="preserve"> company</w:t>
      </w:r>
      <w:r w:rsidR="008977DD" w:rsidRPr="00CB4B24">
        <w:t xml:space="preserve"> which is</w:t>
      </w:r>
      <w:r w:rsidR="00433D61" w:rsidRPr="00CB4B24">
        <w:t xml:space="preserve"> </w:t>
      </w:r>
      <w:r w:rsidR="00A72C75" w:rsidRPr="00CB4B24">
        <w:t>beneficial</w:t>
      </w:r>
      <w:r w:rsidR="008977DD" w:rsidRPr="00CB4B24">
        <w:t>ly</w:t>
      </w:r>
      <w:r w:rsidR="00A72C75" w:rsidRPr="00CB4B24">
        <w:t xml:space="preserve"> </w:t>
      </w:r>
      <w:r w:rsidR="008977DD" w:rsidRPr="00CB4B24">
        <w:t xml:space="preserve">owned by </w:t>
      </w:r>
      <w:r w:rsidR="00F23056" w:rsidRPr="00CB4B24">
        <w:t xml:space="preserve">an individual or </w:t>
      </w:r>
      <w:r w:rsidR="00436746" w:rsidRPr="00CB4B24">
        <w:t>individuals</w:t>
      </w:r>
      <w:r w:rsidR="00A72C75" w:rsidRPr="00CB4B24">
        <w:t xml:space="preserve"> </w:t>
      </w:r>
      <w:r w:rsidR="009921F6" w:rsidRPr="00CB4B24">
        <w:t>who</w:t>
      </w:r>
      <w:r w:rsidR="006F3394" w:rsidRPr="00CB4B24">
        <w:t xml:space="preserve"> are</w:t>
      </w:r>
      <w:r w:rsidR="00A72C75" w:rsidRPr="00CB4B24">
        <w:t xml:space="preserve"> not Australian Citizen</w:t>
      </w:r>
      <w:r w:rsidR="006F3394" w:rsidRPr="00CB4B24">
        <w:t>s</w:t>
      </w:r>
      <w:r w:rsidR="00A72C75" w:rsidRPr="00CB4B24">
        <w:t xml:space="preserve"> or permanent resident</w:t>
      </w:r>
      <w:r w:rsidR="006F3394" w:rsidRPr="00CB4B24">
        <w:t>s</w:t>
      </w:r>
      <w:r w:rsidR="00F23056" w:rsidRPr="00CB4B24">
        <w:t xml:space="preserve"> (see above)</w:t>
      </w:r>
      <w:r w:rsidR="00A72C75" w:rsidRPr="00CB4B24">
        <w:t>.</w:t>
      </w:r>
    </w:p>
    <w:p w14:paraId="2E437C34" w14:textId="4AFA5627" w:rsidR="00FF14B2" w:rsidRPr="00CB4B24" w:rsidRDefault="00FF14B2" w:rsidP="00C95029">
      <w:pPr>
        <w:numPr>
          <w:ilvl w:val="1"/>
          <w:numId w:val="3"/>
        </w:numPr>
      </w:pPr>
      <w:r w:rsidRPr="00CB4B24">
        <w:t>Fossil fuel entity: this is defined</w:t>
      </w:r>
      <w:r w:rsidR="00511ADC" w:rsidRPr="00CB4B24">
        <w:t xml:space="preserve"> as a company that mines, extracts or manufactures products fossil fuels for energy purposes</w:t>
      </w:r>
      <w:r w:rsidR="00485C51" w:rsidRPr="00CB4B24">
        <w:t>.</w:t>
      </w:r>
    </w:p>
    <w:p w14:paraId="11CD3B9F" w14:textId="77777777" w:rsidR="00816081" w:rsidRPr="00CB4B24" w:rsidRDefault="00816081" w:rsidP="00C95029">
      <w:pPr>
        <w:numPr>
          <w:ilvl w:val="1"/>
          <w:numId w:val="3"/>
        </w:numPr>
      </w:pPr>
      <w:r w:rsidRPr="00CB4B24">
        <w:t>Lobbyist: this is defined as an entity that is listed on the register of lobbyists of any Australian jurisdiction.  Note that this is only relevant when considering the lobbyists of prohibited entities.</w:t>
      </w:r>
    </w:p>
    <w:p w14:paraId="63A196BE" w14:textId="7C70E34F" w:rsidR="00FF14B2" w:rsidRPr="00CB4B24" w:rsidRDefault="00FF14B2" w:rsidP="00C95029">
      <w:pPr>
        <w:numPr>
          <w:ilvl w:val="1"/>
          <w:numId w:val="3"/>
        </w:numPr>
      </w:pPr>
      <w:r w:rsidRPr="00CB4B24">
        <w:t>Nicotine entity: this is defined as an entity that manufactures or advertises products containing nicotine.</w:t>
      </w:r>
    </w:p>
    <w:p w14:paraId="058027FF" w14:textId="05D86EE9" w:rsidR="005E3E26" w:rsidRPr="00CB4B24" w:rsidRDefault="00816081" w:rsidP="00C95029">
      <w:pPr>
        <w:numPr>
          <w:ilvl w:val="1"/>
          <w:numId w:val="3"/>
        </w:numPr>
      </w:pPr>
      <w:r w:rsidRPr="00CB4B24">
        <w:t>Officer: this is defined in accordance with the Corporations Act.</w:t>
      </w:r>
    </w:p>
    <w:p w14:paraId="13BF1256" w14:textId="65642957" w:rsidR="00485C51" w:rsidRPr="00CB4B24" w:rsidRDefault="00485C51" w:rsidP="00C95029">
      <w:pPr>
        <w:numPr>
          <w:ilvl w:val="1"/>
          <w:numId w:val="3"/>
        </w:numPr>
      </w:pPr>
      <w:r w:rsidRPr="00CB4B24">
        <w:t xml:space="preserve">Permanent resident: this refers to the Commonwealth’s </w:t>
      </w:r>
      <w:r w:rsidRPr="00CB4B24">
        <w:rPr>
          <w:i/>
          <w:iCs/>
        </w:rPr>
        <w:t>Australian Citizenship Act 2007</w:t>
      </w:r>
      <w:r w:rsidRPr="00CB4B24">
        <w:t>, section 5.</w:t>
      </w:r>
    </w:p>
    <w:p w14:paraId="323FDCB6" w14:textId="432077C7" w:rsidR="009306F1" w:rsidRPr="00CB4B24" w:rsidRDefault="009306F1" w:rsidP="00C95029">
      <w:pPr>
        <w:numPr>
          <w:ilvl w:val="1"/>
          <w:numId w:val="3"/>
        </w:numPr>
      </w:pPr>
      <w:r w:rsidRPr="00CB4B24">
        <w:t>Voting power: this is defined in accordance with the Corporations Act.</w:t>
      </w:r>
    </w:p>
    <w:p w14:paraId="7A87B443" w14:textId="44C2CC9E" w:rsidR="00B575D1" w:rsidRPr="00CB4B24" w:rsidRDefault="00B575D1" w:rsidP="00B575D1">
      <w:pPr>
        <w:numPr>
          <w:ilvl w:val="0"/>
          <w:numId w:val="3"/>
        </w:numPr>
      </w:pPr>
      <w:r w:rsidRPr="00CB4B24">
        <w:t>Clause 69: the heading</w:t>
      </w:r>
      <w:r w:rsidR="002C7F27" w:rsidRPr="00CB4B24">
        <w:t xml:space="preserve"> for section 222N is substituted to refer to prohibited entities rather than just foreign entities.</w:t>
      </w:r>
    </w:p>
    <w:p w14:paraId="0F0AFA2A" w14:textId="491786E9" w:rsidR="00572A70" w:rsidRPr="00CB4B24" w:rsidRDefault="00572A70" w:rsidP="00B575D1">
      <w:pPr>
        <w:numPr>
          <w:ilvl w:val="0"/>
          <w:numId w:val="3"/>
        </w:numPr>
      </w:pPr>
      <w:r w:rsidRPr="00CB4B24">
        <w:lastRenderedPageBreak/>
        <w:t>Clause 69: the content for section 222N(1)(a) is updated to refer to prohibited entities and their close associates rather than just foreign entities</w:t>
      </w:r>
      <w:r w:rsidR="004A5504" w:rsidRPr="00CB4B24">
        <w:t>.</w:t>
      </w:r>
    </w:p>
    <w:p w14:paraId="0CD32811" w14:textId="11CE54F7" w:rsidR="004A5504" w:rsidRPr="00CB4B24" w:rsidRDefault="004A5504" w:rsidP="004A5504">
      <w:pPr>
        <w:numPr>
          <w:ilvl w:val="0"/>
          <w:numId w:val="3"/>
        </w:numPr>
      </w:pPr>
      <w:r w:rsidRPr="00CB4B24">
        <w:t>Clause 69: the heading for section 222O is substituted to refer to prohibited entities rather than just foreign entities.</w:t>
      </w:r>
    </w:p>
    <w:p w14:paraId="339E34C3" w14:textId="2692AFC4" w:rsidR="00941A78" w:rsidRPr="00CB4B24" w:rsidRDefault="00941A78" w:rsidP="00941A78">
      <w:pPr>
        <w:numPr>
          <w:ilvl w:val="0"/>
          <w:numId w:val="3"/>
        </w:numPr>
      </w:pPr>
      <w:r w:rsidRPr="00CB4B24">
        <w:t>Clause 69: the content for section 222O(1) is substituted to refer to prohibited entities rather than just foreign entities.</w:t>
      </w:r>
    </w:p>
    <w:p w14:paraId="66131E49" w14:textId="31CB475C" w:rsidR="00CD173A" w:rsidRPr="00CB4B24" w:rsidRDefault="00CD173A" w:rsidP="00CD173A">
      <w:pPr>
        <w:numPr>
          <w:ilvl w:val="0"/>
          <w:numId w:val="3"/>
        </w:numPr>
      </w:pPr>
      <w:r w:rsidRPr="00CB4B24">
        <w:t>Clause 69: the content for section 222O(1</w:t>
      </w:r>
      <w:r w:rsidR="0092446A" w:rsidRPr="00CB4B24">
        <w:t>A</w:t>
      </w:r>
      <w:r w:rsidRPr="00CB4B24">
        <w:t xml:space="preserve">) is updated to </w:t>
      </w:r>
      <w:r w:rsidR="0092446A" w:rsidRPr="00CB4B24">
        <w:t>introduce an offence for the close associate</w:t>
      </w:r>
      <w:r w:rsidR="00D40C64" w:rsidRPr="00CB4B24">
        <w:t>s</w:t>
      </w:r>
      <w:r w:rsidR="0092446A" w:rsidRPr="00CB4B24">
        <w:t xml:space="preserve"> of prohibited entities making donations</w:t>
      </w:r>
      <w:r w:rsidR="000972B0" w:rsidRPr="00CB4B24">
        <w:t>, utilising the same assessment as applies for property developers</w:t>
      </w:r>
      <w:r w:rsidRPr="00CB4B24">
        <w:t>.</w:t>
      </w:r>
    </w:p>
    <w:p w14:paraId="0511C7E4" w14:textId="15D419E3" w:rsidR="000972B0" w:rsidRPr="00CB4B24" w:rsidRDefault="000972B0" w:rsidP="000972B0">
      <w:pPr>
        <w:numPr>
          <w:ilvl w:val="0"/>
          <w:numId w:val="3"/>
        </w:numPr>
      </w:pPr>
      <w:r w:rsidRPr="00CB4B24">
        <w:t>Clause 69: the content for section 222O(2)(b) is updated to refer to prohibited entities and their close associates rather than just foreign entities.</w:t>
      </w:r>
    </w:p>
    <w:p w14:paraId="489D2043" w14:textId="0F94A213" w:rsidR="00E435D6" w:rsidRPr="00CB4B24" w:rsidRDefault="00E435D6" w:rsidP="00E435D6">
      <w:pPr>
        <w:numPr>
          <w:ilvl w:val="0"/>
          <w:numId w:val="3"/>
        </w:numPr>
      </w:pPr>
      <w:r w:rsidRPr="00CB4B24">
        <w:t>Clause 69: the content for section 222O(2)(c) is updated to refer to prohibited entities and their close associates rather than just foreign entities.</w:t>
      </w:r>
    </w:p>
    <w:p w14:paraId="3CCD43CA" w14:textId="282F7D0C" w:rsidR="00E435D6" w:rsidRPr="00CB4B24" w:rsidRDefault="00E435D6" w:rsidP="00E435D6">
      <w:pPr>
        <w:numPr>
          <w:ilvl w:val="0"/>
          <w:numId w:val="3"/>
        </w:numPr>
      </w:pPr>
      <w:r w:rsidRPr="00CB4B24">
        <w:t>Clause 69: the content for section 222O(3)(a) is updated to refer to prohibited entities and their close associates rather than just foreign entities.</w:t>
      </w:r>
    </w:p>
    <w:p w14:paraId="48708501" w14:textId="5E3613D1" w:rsidR="0026648A" w:rsidRPr="00CB4B24" w:rsidRDefault="0026648A" w:rsidP="0026648A">
      <w:pPr>
        <w:numPr>
          <w:ilvl w:val="0"/>
          <w:numId w:val="3"/>
        </w:numPr>
      </w:pPr>
      <w:r w:rsidRPr="00CB4B24">
        <w:t>Clause 69: the content for section 222O(3)(c) is updated to refer to prohibited entities and their close associates rather than just foreign entities.</w:t>
      </w:r>
    </w:p>
    <w:p w14:paraId="1BC5C759" w14:textId="1062856F" w:rsidR="0026648A" w:rsidRPr="00CB4B24" w:rsidRDefault="0026648A" w:rsidP="0026648A">
      <w:pPr>
        <w:numPr>
          <w:ilvl w:val="0"/>
          <w:numId w:val="3"/>
        </w:numPr>
      </w:pPr>
      <w:r w:rsidRPr="00CB4B24">
        <w:t>Clause 69: the heading for section 222P is substituted to refer to prohibited entities rather than just foreign entities.</w:t>
      </w:r>
    </w:p>
    <w:p w14:paraId="48109165" w14:textId="26E5AFFE" w:rsidR="004163DE" w:rsidRPr="00CB4B24" w:rsidRDefault="004163DE" w:rsidP="004163DE">
      <w:pPr>
        <w:numPr>
          <w:ilvl w:val="0"/>
          <w:numId w:val="3"/>
        </w:numPr>
      </w:pPr>
      <w:r w:rsidRPr="00CB4B24">
        <w:t>Clause 69: the content for section 222P(1) is updated to refer to prohibited entities and their close associates rather than just foreign entities.</w:t>
      </w:r>
    </w:p>
    <w:p w14:paraId="0997CFF9" w14:textId="704C5972" w:rsidR="00051E95" w:rsidRPr="00CB4B24" w:rsidRDefault="00051E95" w:rsidP="00051E95">
      <w:pPr>
        <w:numPr>
          <w:ilvl w:val="0"/>
          <w:numId w:val="3"/>
        </w:numPr>
      </w:pPr>
      <w:r w:rsidRPr="00CB4B24">
        <w:t xml:space="preserve">Clause 69: the </w:t>
      </w:r>
      <w:r w:rsidR="005E441F" w:rsidRPr="00CB4B24">
        <w:t>first example in</w:t>
      </w:r>
      <w:r w:rsidRPr="00CB4B24">
        <w:t xml:space="preserve"> section 222P(1)(c) is updated to refer to prohibited entities and their close associates rather than just foreign entities.</w:t>
      </w:r>
    </w:p>
    <w:p w14:paraId="5A13E0F5" w14:textId="4CE7449B" w:rsidR="005E441F" w:rsidRPr="00CB4B24" w:rsidRDefault="005E441F" w:rsidP="005E441F">
      <w:pPr>
        <w:numPr>
          <w:ilvl w:val="0"/>
          <w:numId w:val="3"/>
        </w:numPr>
      </w:pPr>
      <w:r w:rsidRPr="00CB4B24">
        <w:t>Clause 69: the second example in section 222P(1)(c) is updated to refer to prohibited entities and their close associates rather than just foreign entities.</w:t>
      </w:r>
    </w:p>
    <w:p w14:paraId="0DB3C9BD" w14:textId="446C3109" w:rsidR="000972B0" w:rsidRPr="00CB4B24" w:rsidRDefault="00F80112" w:rsidP="00CD173A">
      <w:pPr>
        <w:numPr>
          <w:ilvl w:val="0"/>
          <w:numId w:val="3"/>
        </w:numPr>
      </w:pPr>
      <w:r w:rsidRPr="00CB4B24">
        <w:t>Clause 69: the heading for section 222Q is substituted to refer to prohibited entities rather than just foreign entities.</w:t>
      </w:r>
    </w:p>
    <w:p w14:paraId="4E6DAB6A" w14:textId="5ADB4544" w:rsidR="004A5504" w:rsidRPr="00CB4B24" w:rsidRDefault="00F80112" w:rsidP="00B575D1">
      <w:pPr>
        <w:numPr>
          <w:ilvl w:val="0"/>
          <w:numId w:val="3"/>
        </w:numPr>
      </w:pPr>
      <w:r w:rsidRPr="00CB4B24">
        <w:t>Clause 69: the content for section 222Q(1)(a) is updated to refer to prohibited entities and their close associates rather than just foreign entities.</w:t>
      </w:r>
    </w:p>
    <w:p w14:paraId="3AA1327C" w14:textId="3B41B44A" w:rsidR="00B005E2" w:rsidRPr="00CB4B24" w:rsidRDefault="00B005E2" w:rsidP="00B005E2">
      <w:pPr>
        <w:numPr>
          <w:ilvl w:val="0"/>
          <w:numId w:val="3"/>
        </w:numPr>
      </w:pPr>
      <w:r w:rsidRPr="00CB4B24">
        <w:t xml:space="preserve">Clause 69: the </w:t>
      </w:r>
      <w:r w:rsidR="00EC5202" w:rsidRPr="00CB4B24">
        <w:t xml:space="preserve">first and second </w:t>
      </w:r>
      <w:r w:rsidRPr="00CB4B24">
        <w:t>examples in section 222Q(2) are updated to refer to prohibited entities and their close associates rather than just foreign entities.</w:t>
      </w:r>
    </w:p>
    <w:p w14:paraId="55230CCF" w14:textId="5CC094C0" w:rsidR="00EC5202" w:rsidRPr="00CB4B24" w:rsidRDefault="00EC5202" w:rsidP="00EC5202">
      <w:pPr>
        <w:numPr>
          <w:ilvl w:val="0"/>
          <w:numId w:val="3"/>
        </w:numPr>
      </w:pPr>
      <w:r w:rsidRPr="00CB4B24">
        <w:t>Clause 69: the third example in section 222Q(2) is updated to refer to prohibited entities and their close associates rather than just foreign entities.</w:t>
      </w:r>
    </w:p>
    <w:p w14:paraId="7665CE1D" w14:textId="0BC2C2A6" w:rsidR="00B005E2" w:rsidRPr="00CB4B24" w:rsidRDefault="00FF2876">
      <w:pPr>
        <w:numPr>
          <w:ilvl w:val="0"/>
          <w:numId w:val="3"/>
        </w:numPr>
      </w:pPr>
      <w:r w:rsidRPr="00CB4B24">
        <w:t xml:space="preserve">Clause 89: The schedule of fines </w:t>
      </w:r>
      <w:r w:rsidR="00CD66C2" w:rsidRPr="00CB4B24">
        <w:t xml:space="preserve">in the Road Transport (Offences) Regulation 2005 </w:t>
      </w:r>
      <w:r w:rsidR="009B7F9A" w:rsidRPr="00CB4B24">
        <w:t>is updated to include o</w:t>
      </w:r>
      <w:r w:rsidRPr="00CB4B24">
        <w:t>ne demerit point</w:t>
      </w:r>
      <w:r w:rsidR="009B7F9A" w:rsidRPr="00CB4B24">
        <w:t xml:space="preserve"> for each offence in the case where advertising or electoral matter is displayed</w:t>
      </w:r>
      <w:r w:rsidR="00B237CD" w:rsidRPr="00CB4B24">
        <w:t xml:space="preserve"> in or on the vehicle</w:t>
      </w:r>
      <w:r w:rsidR="009B7F9A" w:rsidRPr="00CB4B24">
        <w:t>.</w:t>
      </w:r>
    </w:p>
    <w:p w14:paraId="52171872" w14:textId="1F565DCC" w:rsidR="00D96C00" w:rsidRPr="00CB4B24" w:rsidRDefault="008C6E0D">
      <w:pPr>
        <w:numPr>
          <w:ilvl w:val="0"/>
          <w:numId w:val="3"/>
        </w:numPr>
      </w:pPr>
      <w:r w:rsidRPr="00CB4B24">
        <w:t xml:space="preserve">Consequential amendment 1.11: A </w:t>
      </w:r>
      <w:bookmarkStart w:id="1" w:name="_Hlk147241213"/>
      <w:r w:rsidR="00EC2EE7" w:rsidRPr="00CB4B24">
        <w:t xml:space="preserve">dictionary </w:t>
      </w:r>
      <w:bookmarkEnd w:id="1"/>
      <w:r w:rsidRPr="00CB4B24">
        <w:t xml:space="preserve">definition of </w:t>
      </w:r>
      <w:r w:rsidR="00334C02" w:rsidRPr="00CB4B24">
        <w:t>close associate is inserted with reference to that used for property developers and prohibited entities.</w:t>
      </w:r>
    </w:p>
    <w:p w14:paraId="7DC17980" w14:textId="22C3BE07" w:rsidR="00334C02" w:rsidRPr="00CB4B24" w:rsidRDefault="00334C02">
      <w:pPr>
        <w:numPr>
          <w:ilvl w:val="0"/>
          <w:numId w:val="3"/>
        </w:numPr>
      </w:pPr>
      <w:r w:rsidRPr="00CB4B24">
        <w:lastRenderedPageBreak/>
        <w:t xml:space="preserve">Consequential amendment 1.15: </w:t>
      </w:r>
      <w:r w:rsidR="007F7AC1" w:rsidRPr="00CB4B24">
        <w:t xml:space="preserve">The </w:t>
      </w:r>
      <w:r w:rsidR="00EC2EE7" w:rsidRPr="00CB4B24">
        <w:t xml:space="preserve">dictionary </w:t>
      </w:r>
      <w:r w:rsidR="007F7AC1" w:rsidRPr="00CB4B24">
        <w:t xml:space="preserve">definition of foreign entity is removed, as this is now captured as a part of the </w:t>
      </w:r>
      <w:r w:rsidR="00987967" w:rsidRPr="00CB4B24">
        <w:t>definition of prohibited entities</w:t>
      </w:r>
      <w:r w:rsidR="00F5783F" w:rsidRPr="00CB4B24">
        <w:t xml:space="preserve">, and is replaced with </w:t>
      </w:r>
      <w:r w:rsidR="00541B99" w:rsidRPr="00CB4B24">
        <w:t>just the definition of free facilities use</w:t>
      </w:r>
      <w:r w:rsidR="00987967" w:rsidRPr="00CB4B24">
        <w:t>.</w:t>
      </w:r>
    </w:p>
    <w:p w14:paraId="59D2F27D" w14:textId="77AA7234" w:rsidR="00987967" w:rsidRPr="00CB4B24" w:rsidRDefault="00987967">
      <w:pPr>
        <w:numPr>
          <w:ilvl w:val="0"/>
          <w:numId w:val="3"/>
        </w:numPr>
      </w:pPr>
      <w:r w:rsidRPr="00CB4B24">
        <w:t xml:space="preserve">Consequential amendment </w:t>
      </w:r>
      <w:r w:rsidR="00AF4146" w:rsidRPr="00CB4B24">
        <w:t>1.16</w:t>
      </w:r>
      <w:r w:rsidR="006D5603" w:rsidRPr="00CB4B24">
        <w:t xml:space="preserve">: </w:t>
      </w:r>
      <w:r w:rsidR="0020072F" w:rsidRPr="00CB4B24">
        <w:t xml:space="preserve">Within the </w:t>
      </w:r>
      <w:r w:rsidR="00EC2EE7" w:rsidRPr="00CB4B24">
        <w:t xml:space="preserve">dictionary </w:t>
      </w:r>
      <w:r w:rsidR="0020072F" w:rsidRPr="00CB4B24">
        <w:t xml:space="preserve">definition of a </w:t>
      </w:r>
      <w:r w:rsidR="00C249B7" w:rsidRPr="00CB4B24">
        <w:rPr>
          <w:i/>
          <w:iCs/>
        </w:rPr>
        <w:t>gift</w:t>
      </w:r>
      <w:r w:rsidR="0020072F" w:rsidRPr="00CB4B24">
        <w:t xml:space="preserve">, the reference to foreign entities is </w:t>
      </w:r>
      <w:r w:rsidR="00C249B7" w:rsidRPr="00CB4B24">
        <w:t>replaced with that of prohibited entities.</w:t>
      </w:r>
    </w:p>
    <w:p w14:paraId="0A43182A" w14:textId="2F6E4402" w:rsidR="00C249B7" w:rsidRPr="00CB4B24" w:rsidRDefault="00C249B7">
      <w:pPr>
        <w:numPr>
          <w:ilvl w:val="0"/>
          <w:numId w:val="3"/>
        </w:numPr>
      </w:pPr>
      <w:r w:rsidRPr="00CB4B24">
        <w:t xml:space="preserve">Consequential amendment 1.18: </w:t>
      </w:r>
      <w:r w:rsidR="0027199E" w:rsidRPr="00CB4B24">
        <w:t xml:space="preserve">Within the </w:t>
      </w:r>
      <w:r w:rsidR="00EC2EE7" w:rsidRPr="00CB4B24">
        <w:t xml:space="preserve">dictionary </w:t>
      </w:r>
      <w:r w:rsidR="0027199E" w:rsidRPr="00CB4B24">
        <w:t xml:space="preserve">definition of a </w:t>
      </w:r>
      <w:r w:rsidR="0027199E" w:rsidRPr="00CB4B24">
        <w:rPr>
          <w:i/>
          <w:iCs/>
        </w:rPr>
        <w:t>political entity</w:t>
      </w:r>
      <w:r w:rsidR="0027199E" w:rsidRPr="00CB4B24">
        <w:t>, the reference to foreign entities is replaced with that of prohibited entities.</w:t>
      </w:r>
    </w:p>
    <w:p w14:paraId="27B7C6B1" w14:textId="1E6A2625" w:rsidR="00BD78A5" w:rsidRPr="00CB4B24" w:rsidRDefault="00BD78A5">
      <w:pPr>
        <w:numPr>
          <w:ilvl w:val="0"/>
          <w:numId w:val="3"/>
        </w:numPr>
      </w:pPr>
      <w:r w:rsidRPr="00CB4B24">
        <w:t>Consequential amendment 1.19: A dictionary</w:t>
      </w:r>
      <w:r w:rsidR="00EC2EE7" w:rsidRPr="00CB4B24">
        <w:t xml:space="preserve"> definition of prohibited entity is added.</w:t>
      </w:r>
    </w:p>
    <w:sectPr w:rsidR="00BD78A5" w:rsidRPr="00CB4B2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97BC3" w14:textId="77777777" w:rsidR="003B2531" w:rsidRDefault="003B2531" w:rsidP="00564965">
      <w:pPr>
        <w:spacing w:after="0" w:line="240" w:lineRule="auto"/>
      </w:pPr>
      <w:r>
        <w:separator/>
      </w:r>
    </w:p>
  </w:endnote>
  <w:endnote w:type="continuationSeparator" w:id="0">
    <w:p w14:paraId="4F952A2D" w14:textId="77777777" w:rsidR="003B2531" w:rsidRDefault="003B2531" w:rsidP="00564965">
      <w:pPr>
        <w:spacing w:after="0" w:line="240" w:lineRule="auto"/>
      </w:pPr>
      <w:r>
        <w:continuationSeparator/>
      </w:r>
    </w:p>
  </w:endnote>
  <w:endnote w:type="continuationNotice" w:id="1">
    <w:p w14:paraId="4C18D2A7" w14:textId="77777777" w:rsidR="003B2531" w:rsidRDefault="003B25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F34A" w14:textId="77777777" w:rsidR="00817E2A" w:rsidRDefault="00817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C5BAC" w14:textId="33B751D4" w:rsidR="00817E2A" w:rsidRPr="00817E2A" w:rsidRDefault="00817E2A" w:rsidP="00817E2A">
    <w:pPr>
      <w:pStyle w:val="Footer"/>
      <w:jc w:val="center"/>
      <w:rPr>
        <w:rFonts w:ascii="Arial" w:hAnsi="Arial" w:cs="Arial"/>
        <w:sz w:val="14"/>
      </w:rPr>
    </w:pPr>
    <w:r w:rsidRPr="00817E2A">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3D15" w14:textId="77777777" w:rsidR="00817E2A" w:rsidRDefault="00817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8DA8E" w14:textId="77777777" w:rsidR="003B2531" w:rsidRDefault="003B2531" w:rsidP="00564965">
      <w:pPr>
        <w:spacing w:after="0" w:line="240" w:lineRule="auto"/>
      </w:pPr>
      <w:r>
        <w:separator/>
      </w:r>
    </w:p>
  </w:footnote>
  <w:footnote w:type="continuationSeparator" w:id="0">
    <w:p w14:paraId="45E243C1" w14:textId="77777777" w:rsidR="003B2531" w:rsidRDefault="003B2531" w:rsidP="00564965">
      <w:pPr>
        <w:spacing w:after="0" w:line="240" w:lineRule="auto"/>
      </w:pPr>
      <w:r>
        <w:continuationSeparator/>
      </w:r>
    </w:p>
  </w:footnote>
  <w:footnote w:type="continuationNotice" w:id="1">
    <w:p w14:paraId="13B0EEB4" w14:textId="77777777" w:rsidR="003B2531" w:rsidRDefault="003B2531">
      <w:pPr>
        <w:spacing w:after="0" w:line="240" w:lineRule="auto"/>
      </w:pPr>
    </w:p>
  </w:footnote>
  <w:footnote w:id="2">
    <w:p w14:paraId="36AEF256" w14:textId="77777777" w:rsidR="00D613A9" w:rsidRDefault="00D613A9" w:rsidP="00D613A9">
      <w:pPr>
        <w:pStyle w:val="FootnoteText"/>
      </w:pPr>
      <w:r>
        <w:rPr>
          <w:rStyle w:val="FootnoteReference"/>
        </w:rPr>
        <w:footnoteRef/>
      </w:r>
      <w:r>
        <w:t xml:space="preserve"> </w:t>
      </w:r>
      <w:hyperlink r:id="rId1" w:history="1">
        <w:r w:rsidRPr="00FF245F">
          <w:rPr>
            <w:rStyle w:val="Hyperlink"/>
          </w:rPr>
          <w:t>https://eresources.hcourt.gov.au/showCase/2015/HCA/34</w:t>
        </w:r>
      </w:hyperlink>
      <w:r>
        <w:t xml:space="preserve"> </w:t>
      </w:r>
    </w:p>
  </w:footnote>
  <w:footnote w:id="3">
    <w:p w14:paraId="6641A79A" w14:textId="180180D6" w:rsidR="00330041" w:rsidRDefault="00330041">
      <w:pPr>
        <w:pStyle w:val="FootnoteText"/>
      </w:pPr>
      <w:r>
        <w:rPr>
          <w:rStyle w:val="FootnoteReference"/>
        </w:rPr>
        <w:footnoteRef/>
      </w:r>
      <w:r>
        <w:t xml:space="preserve"> See reporting: </w:t>
      </w:r>
      <w:hyperlink r:id="rId2" w:history="1">
        <w:r w:rsidRPr="00596FB4">
          <w:rPr>
            <w:rStyle w:val="Hyperlink"/>
          </w:rPr>
          <w:t>https://www.sbs.com.au/news/article/donations-ban-constitutionally-invalid/y0swgsqvd</w:t>
        </w:r>
      </w:hyperlink>
    </w:p>
  </w:footnote>
  <w:footnote w:id="4">
    <w:p w14:paraId="0D605BA7" w14:textId="0D47CB13" w:rsidR="0087745C" w:rsidRDefault="0087745C">
      <w:pPr>
        <w:pStyle w:val="FootnoteText"/>
      </w:pPr>
      <w:r>
        <w:rPr>
          <w:rStyle w:val="FootnoteReference"/>
        </w:rPr>
        <w:footnoteRef/>
      </w:r>
      <w:r>
        <w:t xml:space="preserve"> </w:t>
      </w:r>
      <w:hyperlink r:id="rId3" w:history="1">
        <w:r w:rsidRPr="00664814">
          <w:rPr>
            <w:rStyle w:val="Hyperlink"/>
          </w:rPr>
          <w:t>https://eresources.hcourt.gov.au/showCase/2013/HCA/58</w:t>
        </w:r>
      </w:hyperlink>
      <w:r>
        <w:t xml:space="preserve"> </w:t>
      </w:r>
      <w:r w:rsidR="004F4620">
        <w:t>See judgement paragraph</w:t>
      </w:r>
      <w:r w:rsidR="00312700">
        <w:t>s</w:t>
      </w:r>
      <w:r w:rsidR="004F4620">
        <w:t xml:space="preserve"> </w:t>
      </w:r>
      <w:r w:rsidR="00312700">
        <w:t>44-60.</w:t>
      </w:r>
    </w:p>
  </w:footnote>
  <w:footnote w:id="5">
    <w:p w14:paraId="1565C960" w14:textId="424AA103" w:rsidR="00D87117" w:rsidRDefault="00D87117">
      <w:pPr>
        <w:pStyle w:val="FootnoteText"/>
      </w:pPr>
      <w:r>
        <w:rPr>
          <w:rStyle w:val="FootnoteReference"/>
        </w:rPr>
        <w:footnoteRef/>
      </w:r>
      <w:r>
        <w:t xml:space="preserve"> For </w:t>
      </w:r>
      <w:r w:rsidR="005E37C8">
        <w:t xml:space="preserve">a </w:t>
      </w:r>
      <w:r>
        <w:t>supporting submission</w:t>
      </w:r>
      <w:r w:rsidR="00093DDB">
        <w:t xml:space="preserve">, see for example inquiry submission </w:t>
      </w:r>
      <w:r w:rsidR="005E37C8">
        <w:t>006 by Arnold, Rooney and Mikus-Fletcher.</w:t>
      </w:r>
    </w:p>
  </w:footnote>
  <w:footnote w:id="6">
    <w:p w14:paraId="56C66AFB" w14:textId="68C62E2C" w:rsidR="00301E30" w:rsidRDefault="00301E30">
      <w:pPr>
        <w:pStyle w:val="FootnoteText"/>
      </w:pPr>
      <w:r>
        <w:rPr>
          <w:rStyle w:val="FootnoteReference"/>
        </w:rPr>
        <w:footnoteRef/>
      </w:r>
      <w:r>
        <w:t xml:space="preserve"> </w:t>
      </w:r>
      <w:r w:rsidR="00EC286E">
        <w:t xml:space="preserve">UNEP Production Gap Report: </w:t>
      </w:r>
      <w:hyperlink r:id="rId4" w:anchor="2021downloads" w:history="1">
        <w:r w:rsidR="00EC286E" w:rsidRPr="009064A7">
          <w:rPr>
            <w:rStyle w:val="Hyperlink"/>
          </w:rPr>
          <w:t>https://productiongap.org/2021report/#2021downloads</w:t>
        </w:r>
      </w:hyperlink>
      <w:r w:rsidR="00EC286E">
        <w:t xml:space="preserve"> </w:t>
      </w:r>
    </w:p>
  </w:footnote>
  <w:footnote w:id="7">
    <w:p w14:paraId="29A5E85E" w14:textId="6FFF43DA" w:rsidR="003016D1" w:rsidRDefault="003016D1">
      <w:pPr>
        <w:pStyle w:val="FootnoteText"/>
      </w:pPr>
      <w:r>
        <w:rPr>
          <w:rStyle w:val="FootnoteReference"/>
        </w:rPr>
        <w:footnoteRef/>
      </w:r>
      <w:r>
        <w:t xml:space="preserve"> See </w:t>
      </w:r>
      <w:hyperlink r:id="rId5" w:history="1">
        <w:r w:rsidRPr="00A344BB">
          <w:rPr>
            <w:rStyle w:val="Hyperlink"/>
          </w:rPr>
          <w:t>https://tobaccotactics.org/article/tobacco-company-investments-in-pharmaceutical-nrt-products/</w:t>
        </w:r>
      </w:hyperlink>
      <w:r>
        <w:t xml:space="preserve"> </w:t>
      </w:r>
    </w:p>
  </w:footnote>
  <w:footnote w:id="8">
    <w:p w14:paraId="131DFFAD" w14:textId="0168AB91" w:rsidR="00C95535" w:rsidRDefault="00C95535">
      <w:pPr>
        <w:pStyle w:val="FootnoteText"/>
      </w:pPr>
      <w:r>
        <w:rPr>
          <w:rStyle w:val="FootnoteReference"/>
        </w:rPr>
        <w:footnoteRef/>
      </w:r>
      <w:r>
        <w:t xml:space="preserve"> </w:t>
      </w:r>
      <w:hyperlink r:id="rId6" w:history="1">
        <w:r w:rsidR="008474E9" w:rsidRPr="00FF245F">
          <w:rPr>
            <w:rStyle w:val="Hyperlink"/>
          </w:rPr>
          <w:t>https://www.aph.gov.au/Parliamentary_Business/Bills_Legislation/Bills_Search_Results/Result?bId=s1260</w:t>
        </w:r>
      </w:hyperlink>
      <w:r w:rsidR="008474E9">
        <w:t xml:space="preserve"> </w:t>
      </w:r>
    </w:p>
  </w:footnote>
  <w:footnote w:id="9">
    <w:p w14:paraId="55E2CFE3" w14:textId="685E1811" w:rsidR="00100E5F" w:rsidRDefault="00100E5F">
      <w:pPr>
        <w:pStyle w:val="FootnoteText"/>
      </w:pPr>
      <w:r>
        <w:rPr>
          <w:rStyle w:val="FootnoteReference"/>
        </w:rPr>
        <w:footnoteRef/>
      </w:r>
      <w:r>
        <w:t xml:space="preserve"> The judgement is available at </w:t>
      </w:r>
      <w:hyperlink r:id="rId7" w:history="1">
        <w:r w:rsidRPr="00FF245F">
          <w:rPr>
            <w:rStyle w:val="Hyperlink"/>
          </w:rPr>
          <w:t>https://eresources.hcourt.gov.au/downloadPdf/2019/HCA/15</w:t>
        </w:r>
      </w:hyperlink>
      <w:r>
        <w:t xml:space="preserve"> </w:t>
      </w:r>
    </w:p>
  </w:footnote>
  <w:footnote w:id="10">
    <w:p w14:paraId="3126AB43" w14:textId="77777777" w:rsidR="004E4060" w:rsidRDefault="004E4060" w:rsidP="004E4060">
      <w:pPr>
        <w:pStyle w:val="FootnoteText"/>
      </w:pPr>
      <w:r>
        <w:rPr>
          <w:rStyle w:val="FootnoteReference"/>
        </w:rPr>
        <w:footnoteRef/>
      </w:r>
      <w:r>
        <w:t xml:space="preserve"> See, for example </w:t>
      </w:r>
      <w:hyperlink r:id="rId8" w:history="1">
        <w:r w:rsidRPr="00A344BB">
          <w:rPr>
            <w:rStyle w:val="Hyperlink"/>
          </w:rPr>
          <w:t>http://www.bigimpactadvertising.com.au/portfolio/mobill-billboard/</w:t>
        </w:r>
      </w:hyperlink>
      <w:r>
        <w:t xml:space="preserve"> (accessed 25/09/23) in which Big Impact Outdoor Media markets itself showing inappropriately-stopped vehicles on the dividing strip of Commonwealth Avenue, which appear to be a violation of Section 197(1) of the </w:t>
      </w:r>
      <w:r w:rsidRPr="005C69C0">
        <w:rPr>
          <w:i/>
          <w:iCs/>
        </w:rPr>
        <w:t>Road Transport (Road Rules) Regulation 2017</w:t>
      </w:r>
      <w:r>
        <w:t>.</w:t>
      </w:r>
    </w:p>
  </w:footnote>
  <w:footnote w:id="11">
    <w:p w14:paraId="430FA46E" w14:textId="77777777" w:rsidR="00951969" w:rsidRDefault="00951969" w:rsidP="00951969">
      <w:pPr>
        <w:pStyle w:val="FootnoteText"/>
      </w:pPr>
      <w:r>
        <w:rPr>
          <w:rStyle w:val="FootnoteReference"/>
        </w:rPr>
        <w:footnoteRef/>
      </w:r>
      <w:r>
        <w:t xml:space="preserve"> See inquiry submissions 007 by Conway, Teague and Wilson-Brown, and 004 by Haines.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A437C" w14:textId="77777777" w:rsidR="00817E2A" w:rsidRDefault="00817E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28342" w14:textId="77777777" w:rsidR="00817E2A" w:rsidRDefault="00817E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D295" w14:textId="77777777" w:rsidR="00817E2A" w:rsidRDefault="00817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C44DF"/>
    <w:multiLevelType w:val="hybridMultilevel"/>
    <w:tmpl w:val="CE76F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CB37091"/>
    <w:multiLevelType w:val="hybridMultilevel"/>
    <w:tmpl w:val="50D42E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955005A"/>
    <w:multiLevelType w:val="hybridMultilevel"/>
    <w:tmpl w:val="30D497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6130311">
    <w:abstractNumId w:val="0"/>
  </w:num>
  <w:num w:numId="2" w16cid:durableId="102268098">
    <w:abstractNumId w:val="2"/>
  </w:num>
  <w:num w:numId="3" w16cid:durableId="2100129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5BB"/>
    <w:rsid w:val="00006255"/>
    <w:rsid w:val="00007B7F"/>
    <w:rsid w:val="00011853"/>
    <w:rsid w:val="0001232B"/>
    <w:rsid w:val="00015BE5"/>
    <w:rsid w:val="00016DFF"/>
    <w:rsid w:val="00020D3A"/>
    <w:rsid w:val="000230E5"/>
    <w:rsid w:val="00023393"/>
    <w:rsid w:val="00030784"/>
    <w:rsid w:val="000323BB"/>
    <w:rsid w:val="00035061"/>
    <w:rsid w:val="00040C55"/>
    <w:rsid w:val="000419E1"/>
    <w:rsid w:val="00051E95"/>
    <w:rsid w:val="000523A8"/>
    <w:rsid w:val="000560C6"/>
    <w:rsid w:val="00056ABF"/>
    <w:rsid w:val="000614D4"/>
    <w:rsid w:val="00062A5D"/>
    <w:rsid w:val="00064B01"/>
    <w:rsid w:val="00073E21"/>
    <w:rsid w:val="0007553C"/>
    <w:rsid w:val="00081EDF"/>
    <w:rsid w:val="000830DF"/>
    <w:rsid w:val="00086C6E"/>
    <w:rsid w:val="00090302"/>
    <w:rsid w:val="0009217C"/>
    <w:rsid w:val="0009240F"/>
    <w:rsid w:val="00093DDB"/>
    <w:rsid w:val="000956FE"/>
    <w:rsid w:val="000972B0"/>
    <w:rsid w:val="000979CC"/>
    <w:rsid w:val="000A05DA"/>
    <w:rsid w:val="000A1DA6"/>
    <w:rsid w:val="000B2EA0"/>
    <w:rsid w:val="000B439F"/>
    <w:rsid w:val="000B700D"/>
    <w:rsid w:val="000C0B93"/>
    <w:rsid w:val="000C1516"/>
    <w:rsid w:val="000C7CE5"/>
    <w:rsid w:val="000C7EFE"/>
    <w:rsid w:val="000D61A4"/>
    <w:rsid w:val="000D6531"/>
    <w:rsid w:val="000F054C"/>
    <w:rsid w:val="000F6B38"/>
    <w:rsid w:val="00100E5F"/>
    <w:rsid w:val="0010202E"/>
    <w:rsid w:val="0010423E"/>
    <w:rsid w:val="00106590"/>
    <w:rsid w:val="00107158"/>
    <w:rsid w:val="00112C44"/>
    <w:rsid w:val="001156A1"/>
    <w:rsid w:val="0011747D"/>
    <w:rsid w:val="0012290F"/>
    <w:rsid w:val="00122F60"/>
    <w:rsid w:val="00125724"/>
    <w:rsid w:val="001275F8"/>
    <w:rsid w:val="001318E4"/>
    <w:rsid w:val="00131A59"/>
    <w:rsid w:val="00131AE9"/>
    <w:rsid w:val="00131EA4"/>
    <w:rsid w:val="00134780"/>
    <w:rsid w:val="001355B5"/>
    <w:rsid w:val="00136E5C"/>
    <w:rsid w:val="00140694"/>
    <w:rsid w:val="00143622"/>
    <w:rsid w:val="00143FA1"/>
    <w:rsid w:val="0016572A"/>
    <w:rsid w:val="001724BC"/>
    <w:rsid w:val="001726B9"/>
    <w:rsid w:val="00174C84"/>
    <w:rsid w:val="001754B8"/>
    <w:rsid w:val="0018117A"/>
    <w:rsid w:val="00191A8E"/>
    <w:rsid w:val="00196340"/>
    <w:rsid w:val="001A2945"/>
    <w:rsid w:val="001A2DB5"/>
    <w:rsid w:val="001A5937"/>
    <w:rsid w:val="001A6A4A"/>
    <w:rsid w:val="001A79CD"/>
    <w:rsid w:val="001B1DA6"/>
    <w:rsid w:val="001B4C38"/>
    <w:rsid w:val="001C3CD3"/>
    <w:rsid w:val="001C4CD4"/>
    <w:rsid w:val="001D06C8"/>
    <w:rsid w:val="001D1AFF"/>
    <w:rsid w:val="001D5028"/>
    <w:rsid w:val="001D7976"/>
    <w:rsid w:val="001E0579"/>
    <w:rsid w:val="001E3477"/>
    <w:rsid w:val="001E44F5"/>
    <w:rsid w:val="001F2F94"/>
    <w:rsid w:val="001F32D8"/>
    <w:rsid w:val="0020072F"/>
    <w:rsid w:val="0020366E"/>
    <w:rsid w:val="00214838"/>
    <w:rsid w:val="002251C1"/>
    <w:rsid w:val="00225D03"/>
    <w:rsid w:val="00233737"/>
    <w:rsid w:val="0023666F"/>
    <w:rsid w:val="002404E6"/>
    <w:rsid w:val="0024158D"/>
    <w:rsid w:val="002429D7"/>
    <w:rsid w:val="00244AAF"/>
    <w:rsid w:val="00252CC5"/>
    <w:rsid w:val="0026398B"/>
    <w:rsid w:val="00264AC4"/>
    <w:rsid w:val="0026503A"/>
    <w:rsid w:val="00265BFF"/>
    <w:rsid w:val="0026648A"/>
    <w:rsid w:val="00271252"/>
    <w:rsid w:val="0027199E"/>
    <w:rsid w:val="00273D84"/>
    <w:rsid w:val="002765A3"/>
    <w:rsid w:val="00280356"/>
    <w:rsid w:val="00284845"/>
    <w:rsid w:val="002A0C5F"/>
    <w:rsid w:val="002A10C1"/>
    <w:rsid w:val="002A1D44"/>
    <w:rsid w:val="002A4F14"/>
    <w:rsid w:val="002A574E"/>
    <w:rsid w:val="002A623A"/>
    <w:rsid w:val="002A7C66"/>
    <w:rsid w:val="002B04A2"/>
    <w:rsid w:val="002B06B5"/>
    <w:rsid w:val="002B1F43"/>
    <w:rsid w:val="002B2378"/>
    <w:rsid w:val="002B452D"/>
    <w:rsid w:val="002B52DA"/>
    <w:rsid w:val="002B7738"/>
    <w:rsid w:val="002C38FE"/>
    <w:rsid w:val="002C6143"/>
    <w:rsid w:val="002C72B0"/>
    <w:rsid w:val="002C7F27"/>
    <w:rsid w:val="002D0DB4"/>
    <w:rsid w:val="002D1C4B"/>
    <w:rsid w:val="002E3A65"/>
    <w:rsid w:val="002E4DCC"/>
    <w:rsid w:val="002F0E6A"/>
    <w:rsid w:val="002F180D"/>
    <w:rsid w:val="002F42C0"/>
    <w:rsid w:val="003016D1"/>
    <w:rsid w:val="00301E30"/>
    <w:rsid w:val="00304953"/>
    <w:rsid w:val="003065C7"/>
    <w:rsid w:val="003108F0"/>
    <w:rsid w:val="003112A1"/>
    <w:rsid w:val="00312700"/>
    <w:rsid w:val="00314731"/>
    <w:rsid w:val="00314B0C"/>
    <w:rsid w:val="003154B7"/>
    <w:rsid w:val="0031644B"/>
    <w:rsid w:val="0032246A"/>
    <w:rsid w:val="0032342F"/>
    <w:rsid w:val="00324B48"/>
    <w:rsid w:val="0032609B"/>
    <w:rsid w:val="00326972"/>
    <w:rsid w:val="003274A3"/>
    <w:rsid w:val="00327E56"/>
    <w:rsid w:val="00330041"/>
    <w:rsid w:val="00334C02"/>
    <w:rsid w:val="00335354"/>
    <w:rsid w:val="00337987"/>
    <w:rsid w:val="003407F1"/>
    <w:rsid w:val="00342804"/>
    <w:rsid w:val="00342C87"/>
    <w:rsid w:val="003525BB"/>
    <w:rsid w:val="00354317"/>
    <w:rsid w:val="00354E1C"/>
    <w:rsid w:val="00356296"/>
    <w:rsid w:val="00364EB4"/>
    <w:rsid w:val="0036557B"/>
    <w:rsid w:val="003658A7"/>
    <w:rsid w:val="003662D4"/>
    <w:rsid w:val="0036656F"/>
    <w:rsid w:val="00370237"/>
    <w:rsid w:val="00371C8F"/>
    <w:rsid w:val="003730F1"/>
    <w:rsid w:val="00375E22"/>
    <w:rsid w:val="00383B50"/>
    <w:rsid w:val="00394A2E"/>
    <w:rsid w:val="00394E77"/>
    <w:rsid w:val="003975E4"/>
    <w:rsid w:val="003A22FA"/>
    <w:rsid w:val="003A3D51"/>
    <w:rsid w:val="003B1FEF"/>
    <w:rsid w:val="003B2531"/>
    <w:rsid w:val="003B45BF"/>
    <w:rsid w:val="003B54B6"/>
    <w:rsid w:val="003B692C"/>
    <w:rsid w:val="003C68DB"/>
    <w:rsid w:val="003D2647"/>
    <w:rsid w:val="003D26AE"/>
    <w:rsid w:val="003D2763"/>
    <w:rsid w:val="003E5E10"/>
    <w:rsid w:val="003F1650"/>
    <w:rsid w:val="003F6423"/>
    <w:rsid w:val="00400A4B"/>
    <w:rsid w:val="00400B58"/>
    <w:rsid w:val="0040469E"/>
    <w:rsid w:val="004051B6"/>
    <w:rsid w:val="004069C8"/>
    <w:rsid w:val="00411679"/>
    <w:rsid w:val="00414F6A"/>
    <w:rsid w:val="004163DE"/>
    <w:rsid w:val="00425E05"/>
    <w:rsid w:val="004267D8"/>
    <w:rsid w:val="00431E67"/>
    <w:rsid w:val="00433D61"/>
    <w:rsid w:val="004364F8"/>
    <w:rsid w:val="00436746"/>
    <w:rsid w:val="00436CDF"/>
    <w:rsid w:val="00440C5D"/>
    <w:rsid w:val="00444551"/>
    <w:rsid w:val="00450C05"/>
    <w:rsid w:val="00451A1B"/>
    <w:rsid w:val="00451EC3"/>
    <w:rsid w:val="00452AE4"/>
    <w:rsid w:val="00464CD9"/>
    <w:rsid w:val="004673B8"/>
    <w:rsid w:val="00470FB2"/>
    <w:rsid w:val="004727AA"/>
    <w:rsid w:val="00473A21"/>
    <w:rsid w:val="00474E8A"/>
    <w:rsid w:val="00481D25"/>
    <w:rsid w:val="00483DB5"/>
    <w:rsid w:val="00484913"/>
    <w:rsid w:val="00485618"/>
    <w:rsid w:val="00485C51"/>
    <w:rsid w:val="0049173B"/>
    <w:rsid w:val="00491A0F"/>
    <w:rsid w:val="00493891"/>
    <w:rsid w:val="00494AF6"/>
    <w:rsid w:val="00494DB5"/>
    <w:rsid w:val="004965B2"/>
    <w:rsid w:val="00497D66"/>
    <w:rsid w:val="004A5504"/>
    <w:rsid w:val="004B0625"/>
    <w:rsid w:val="004B21ED"/>
    <w:rsid w:val="004C34D9"/>
    <w:rsid w:val="004C6B11"/>
    <w:rsid w:val="004D0791"/>
    <w:rsid w:val="004D598E"/>
    <w:rsid w:val="004E100C"/>
    <w:rsid w:val="004E4060"/>
    <w:rsid w:val="004F3842"/>
    <w:rsid w:val="004F4620"/>
    <w:rsid w:val="004F511C"/>
    <w:rsid w:val="004F63FA"/>
    <w:rsid w:val="004F7D04"/>
    <w:rsid w:val="005072FF"/>
    <w:rsid w:val="00511ADC"/>
    <w:rsid w:val="00512D5F"/>
    <w:rsid w:val="00516870"/>
    <w:rsid w:val="005253BF"/>
    <w:rsid w:val="00525F1C"/>
    <w:rsid w:val="0052749E"/>
    <w:rsid w:val="0052778F"/>
    <w:rsid w:val="00531294"/>
    <w:rsid w:val="0053137B"/>
    <w:rsid w:val="00536249"/>
    <w:rsid w:val="00541B99"/>
    <w:rsid w:val="00542FCD"/>
    <w:rsid w:val="00543ADD"/>
    <w:rsid w:val="00543D2C"/>
    <w:rsid w:val="00544B64"/>
    <w:rsid w:val="00547221"/>
    <w:rsid w:val="005509A8"/>
    <w:rsid w:val="0055771C"/>
    <w:rsid w:val="0056398C"/>
    <w:rsid w:val="00564965"/>
    <w:rsid w:val="00565B00"/>
    <w:rsid w:val="00572328"/>
    <w:rsid w:val="00572A70"/>
    <w:rsid w:val="00576F63"/>
    <w:rsid w:val="00584984"/>
    <w:rsid w:val="005943C5"/>
    <w:rsid w:val="005A3DEE"/>
    <w:rsid w:val="005A40CA"/>
    <w:rsid w:val="005A5CEA"/>
    <w:rsid w:val="005A6F13"/>
    <w:rsid w:val="005B3CDA"/>
    <w:rsid w:val="005B61FD"/>
    <w:rsid w:val="005B7328"/>
    <w:rsid w:val="005C0362"/>
    <w:rsid w:val="005C113A"/>
    <w:rsid w:val="005C43A2"/>
    <w:rsid w:val="005C69C0"/>
    <w:rsid w:val="005C7EA0"/>
    <w:rsid w:val="005D14C9"/>
    <w:rsid w:val="005D244E"/>
    <w:rsid w:val="005D4711"/>
    <w:rsid w:val="005D73EC"/>
    <w:rsid w:val="005E1C18"/>
    <w:rsid w:val="005E37C8"/>
    <w:rsid w:val="005E3E26"/>
    <w:rsid w:val="005E441F"/>
    <w:rsid w:val="005F04BF"/>
    <w:rsid w:val="00601BE0"/>
    <w:rsid w:val="00602E66"/>
    <w:rsid w:val="00607F42"/>
    <w:rsid w:val="00615A91"/>
    <w:rsid w:val="006201C3"/>
    <w:rsid w:val="00640ADC"/>
    <w:rsid w:val="00640FA7"/>
    <w:rsid w:val="00641171"/>
    <w:rsid w:val="00642312"/>
    <w:rsid w:val="00642A1F"/>
    <w:rsid w:val="00643D43"/>
    <w:rsid w:val="00643FAA"/>
    <w:rsid w:val="006440E3"/>
    <w:rsid w:val="006454A3"/>
    <w:rsid w:val="006472CA"/>
    <w:rsid w:val="00655579"/>
    <w:rsid w:val="00657BBC"/>
    <w:rsid w:val="00665214"/>
    <w:rsid w:val="00667B82"/>
    <w:rsid w:val="00667D3E"/>
    <w:rsid w:val="006712B4"/>
    <w:rsid w:val="00682F81"/>
    <w:rsid w:val="00695474"/>
    <w:rsid w:val="00695F7E"/>
    <w:rsid w:val="00696949"/>
    <w:rsid w:val="006A6546"/>
    <w:rsid w:val="006A75C8"/>
    <w:rsid w:val="006B6949"/>
    <w:rsid w:val="006B6D52"/>
    <w:rsid w:val="006C19B8"/>
    <w:rsid w:val="006C3DB3"/>
    <w:rsid w:val="006D0372"/>
    <w:rsid w:val="006D50F5"/>
    <w:rsid w:val="006D5603"/>
    <w:rsid w:val="006D64A9"/>
    <w:rsid w:val="006E20F3"/>
    <w:rsid w:val="006E43AA"/>
    <w:rsid w:val="006F192E"/>
    <w:rsid w:val="006F2569"/>
    <w:rsid w:val="006F3394"/>
    <w:rsid w:val="007010AD"/>
    <w:rsid w:val="00705399"/>
    <w:rsid w:val="007078B3"/>
    <w:rsid w:val="00723B5A"/>
    <w:rsid w:val="007331AC"/>
    <w:rsid w:val="007345D6"/>
    <w:rsid w:val="00744DCC"/>
    <w:rsid w:val="00754A5C"/>
    <w:rsid w:val="0076057B"/>
    <w:rsid w:val="00762567"/>
    <w:rsid w:val="00766D41"/>
    <w:rsid w:val="007736E1"/>
    <w:rsid w:val="00775132"/>
    <w:rsid w:val="00777CDE"/>
    <w:rsid w:val="00782315"/>
    <w:rsid w:val="00782F84"/>
    <w:rsid w:val="0078697C"/>
    <w:rsid w:val="007875F3"/>
    <w:rsid w:val="00792A53"/>
    <w:rsid w:val="007957DD"/>
    <w:rsid w:val="0079658B"/>
    <w:rsid w:val="007A1889"/>
    <w:rsid w:val="007A33CB"/>
    <w:rsid w:val="007A4930"/>
    <w:rsid w:val="007A5268"/>
    <w:rsid w:val="007B7592"/>
    <w:rsid w:val="007C78AD"/>
    <w:rsid w:val="007D3B6D"/>
    <w:rsid w:val="007D4134"/>
    <w:rsid w:val="007D5635"/>
    <w:rsid w:val="007D66DA"/>
    <w:rsid w:val="007E6314"/>
    <w:rsid w:val="007F2761"/>
    <w:rsid w:val="007F2EE9"/>
    <w:rsid w:val="007F3817"/>
    <w:rsid w:val="007F53A6"/>
    <w:rsid w:val="007F7AC1"/>
    <w:rsid w:val="00801317"/>
    <w:rsid w:val="0080257F"/>
    <w:rsid w:val="00804278"/>
    <w:rsid w:val="0080613B"/>
    <w:rsid w:val="008079EE"/>
    <w:rsid w:val="00807BFA"/>
    <w:rsid w:val="00811D2B"/>
    <w:rsid w:val="008127E9"/>
    <w:rsid w:val="00813145"/>
    <w:rsid w:val="00816081"/>
    <w:rsid w:val="00816D2B"/>
    <w:rsid w:val="00817E2A"/>
    <w:rsid w:val="00826B13"/>
    <w:rsid w:val="00831AB4"/>
    <w:rsid w:val="00831AC9"/>
    <w:rsid w:val="00832F07"/>
    <w:rsid w:val="0084094D"/>
    <w:rsid w:val="00842871"/>
    <w:rsid w:val="008474E9"/>
    <w:rsid w:val="0085629C"/>
    <w:rsid w:val="00860533"/>
    <w:rsid w:val="0086249D"/>
    <w:rsid w:val="008638FC"/>
    <w:rsid w:val="0087470A"/>
    <w:rsid w:val="00875AD4"/>
    <w:rsid w:val="0087745C"/>
    <w:rsid w:val="00880136"/>
    <w:rsid w:val="008904C5"/>
    <w:rsid w:val="00893B5D"/>
    <w:rsid w:val="00896ED4"/>
    <w:rsid w:val="008977DD"/>
    <w:rsid w:val="008A3548"/>
    <w:rsid w:val="008A3748"/>
    <w:rsid w:val="008C2050"/>
    <w:rsid w:val="008C25DD"/>
    <w:rsid w:val="008C2F18"/>
    <w:rsid w:val="008C6E0D"/>
    <w:rsid w:val="008D0B82"/>
    <w:rsid w:val="008D4305"/>
    <w:rsid w:val="008D598E"/>
    <w:rsid w:val="008D6CD3"/>
    <w:rsid w:val="008E14A4"/>
    <w:rsid w:val="008E712C"/>
    <w:rsid w:val="008F61F5"/>
    <w:rsid w:val="008F7C57"/>
    <w:rsid w:val="009018CC"/>
    <w:rsid w:val="00904B41"/>
    <w:rsid w:val="009074FF"/>
    <w:rsid w:val="009075D8"/>
    <w:rsid w:val="00912231"/>
    <w:rsid w:val="00917B7D"/>
    <w:rsid w:val="0092446A"/>
    <w:rsid w:val="009306F1"/>
    <w:rsid w:val="00931D90"/>
    <w:rsid w:val="00934486"/>
    <w:rsid w:val="00935419"/>
    <w:rsid w:val="00941A78"/>
    <w:rsid w:val="00941BDB"/>
    <w:rsid w:val="00943811"/>
    <w:rsid w:val="00947954"/>
    <w:rsid w:val="00951969"/>
    <w:rsid w:val="00953355"/>
    <w:rsid w:val="0095759B"/>
    <w:rsid w:val="00963834"/>
    <w:rsid w:val="009645A3"/>
    <w:rsid w:val="009711AF"/>
    <w:rsid w:val="009813EE"/>
    <w:rsid w:val="00987967"/>
    <w:rsid w:val="00991400"/>
    <w:rsid w:val="009921CD"/>
    <w:rsid w:val="009921F6"/>
    <w:rsid w:val="00997E80"/>
    <w:rsid w:val="009A05A2"/>
    <w:rsid w:val="009A1708"/>
    <w:rsid w:val="009A3A31"/>
    <w:rsid w:val="009A5E1D"/>
    <w:rsid w:val="009B038F"/>
    <w:rsid w:val="009B27C4"/>
    <w:rsid w:val="009B446F"/>
    <w:rsid w:val="009B5413"/>
    <w:rsid w:val="009B7F9A"/>
    <w:rsid w:val="009C0E56"/>
    <w:rsid w:val="009C1771"/>
    <w:rsid w:val="009C4B1D"/>
    <w:rsid w:val="009C62B5"/>
    <w:rsid w:val="009D1764"/>
    <w:rsid w:val="009D2E1B"/>
    <w:rsid w:val="009D3EBC"/>
    <w:rsid w:val="009D4C8C"/>
    <w:rsid w:val="009D79AC"/>
    <w:rsid w:val="009E33E8"/>
    <w:rsid w:val="009E38B9"/>
    <w:rsid w:val="009E5E9C"/>
    <w:rsid w:val="009E7AC0"/>
    <w:rsid w:val="009F13EB"/>
    <w:rsid w:val="009F3E52"/>
    <w:rsid w:val="00A029FD"/>
    <w:rsid w:val="00A07345"/>
    <w:rsid w:val="00A07D0A"/>
    <w:rsid w:val="00A115CF"/>
    <w:rsid w:val="00A119F1"/>
    <w:rsid w:val="00A12A09"/>
    <w:rsid w:val="00A1347B"/>
    <w:rsid w:val="00A1381E"/>
    <w:rsid w:val="00A2210F"/>
    <w:rsid w:val="00A23FBD"/>
    <w:rsid w:val="00A27429"/>
    <w:rsid w:val="00A30E95"/>
    <w:rsid w:val="00A31CBF"/>
    <w:rsid w:val="00A34033"/>
    <w:rsid w:val="00A4202B"/>
    <w:rsid w:val="00A47F9A"/>
    <w:rsid w:val="00A51302"/>
    <w:rsid w:val="00A5221A"/>
    <w:rsid w:val="00A52918"/>
    <w:rsid w:val="00A535D1"/>
    <w:rsid w:val="00A5702A"/>
    <w:rsid w:val="00A57FAC"/>
    <w:rsid w:val="00A66FCF"/>
    <w:rsid w:val="00A72C75"/>
    <w:rsid w:val="00A82305"/>
    <w:rsid w:val="00A90F56"/>
    <w:rsid w:val="00A93BF3"/>
    <w:rsid w:val="00A9477B"/>
    <w:rsid w:val="00A94F71"/>
    <w:rsid w:val="00A97224"/>
    <w:rsid w:val="00AA0521"/>
    <w:rsid w:val="00AA1FC7"/>
    <w:rsid w:val="00AA455C"/>
    <w:rsid w:val="00AC0214"/>
    <w:rsid w:val="00AC1DAD"/>
    <w:rsid w:val="00AC34CA"/>
    <w:rsid w:val="00AC5CAD"/>
    <w:rsid w:val="00AC78A4"/>
    <w:rsid w:val="00AE1B32"/>
    <w:rsid w:val="00AE57EB"/>
    <w:rsid w:val="00AE619A"/>
    <w:rsid w:val="00AF4146"/>
    <w:rsid w:val="00AF6ADA"/>
    <w:rsid w:val="00B005E2"/>
    <w:rsid w:val="00B00DF0"/>
    <w:rsid w:val="00B01679"/>
    <w:rsid w:val="00B0332A"/>
    <w:rsid w:val="00B03A7E"/>
    <w:rsid w:val="00B10245"/>
    <w:rsid w:val="00B10382"/>
    <w:rsid w:val="00B11743"/>
    <w:rsid w:val="00B1454D"/>
    <w:rsid w:val="00B15495"/>
    <w:rsid w:val="00B172A2"/>
    <w:rsid w:val="00B237CD"/>
    <w:rsid w:val="00B23DFD"/>
    <w:rsid w:val="00B274F1"/>
    <w:rsid w:val="00B31834"/>
    <w:rsid w:val="00B34583"/>
    <w:rsid w:val="00B35638"/>
    <w:rsid w:val="00B40C50"/>
    <w:rsid w:val="00B4509B"/>
    <w:rsid w:val="00B50883"/>
    <w:rsid w:val="00B540B8"/>
    <w:rsid w:val="00B569D7"/>
    <w:rsid w:val="00B575D1"/>
    <w:rsid w:val="00B60D96"/>
    <w:rsid w:val="00B62E67"/>
    <w:rsid w:val="00B66443"/>
    <w:rsid w:val="00B67D5D"/>
    <w:rsid w:val="00B70FA2"/>
    <w:rsid w:val="00B72A89"/>
    <w:rsid w:val="00B7448E"/>
    <w:rsid w:val="00B8482A"/>
    <w:rsid w:val="00B849DD"/>
    <w:rsid w:val="00B86DD9"/>
    <w:rsid w:val="00B87B2E"/>
    <w:rsid w:val="00B90418"/>
    <w:rsid w:val="00B91652"/>
    <w:rsid w:val="00B9681F"/>
    <w:rsid w:val="00BA3BC0"/>
    <w:rsid w:val="00BA5AD1"/>
    <w:rsid w:val="00BA5D62"/>
    <w:rsid w:val="00BA6338"/>
    <w:rsid w:val="00BA6539"/>
    <w:rsid w:val="00BA6CE3"/>
    <w:rsid w:val="00BB1B87"/>
    <w:rsid w:val="00BB370C"/>
    <w:rsid w:val="00BB38A1"/>
    <w:rsid w:val="00BB798F"/>
    <w:rsid w:val="00BC1B10"/>
    <w:rsid w:val="00BC22D8"/>
    <w:rsid w:val="00BC3AE0"/>
    <w:rsid w:val="00BC4A48"/>
    <w:rsid w:val="00BC67AF"/>
    <w:rsid w:val="00BD45FE"/>
    <w:rsid w:val="00BD78A5"/>
    <w:rsid w:val="00BE10DF"/>
    <w:rsid w:val="00BE2EFC"/>
    <w:rsid w:val="00BE32A1"/>
    <w:rsid w:val="00BE58EB"/>
    <w:rsid w:val="00BE6106"/>
    <w:rsid w:val="00C052D3"/>
    <w:rsid w:val="00C05839"/>
    <w:rsid w:val="00C11C73"/>
    <w:rsid w:val="00C13244"/>
    <w:rsid w:val="00C165AE"/>
    <w:rsid w:val="00C20F6D"/>
    <w:rsid w:val="00C249B7"/>
    <w:rsid w:val="00C262C9"/>
    <w:rsid w:val="00C27DF5"/>
    <w:rsid w:val="00C3224A"/>
    <w:rsid w:val="00C34329"/>
    <w:rsid w:val="00C36699"/>
    <w:rsid w:val="00C37413"/>
    <w:rsid w:val="00C4287D"/>
    <w:rsid w:val="00C45268"/>
    <w:rsid w:val="00C60465"/>
    <w:rsid w:val="00C6135B"/>
    <w:rsid w:val="00C647BF"/>
    <w:rsid w:val="00C6650F"/>
    <w:rsid w:val="00C70C3F"/>
    <w:rsid w:val="00C72FD7"/>
    <w:rsid w:val="00C8206D"/>
    <w:rsid w:val="00C8429C"/>
    <w:rsid w:val="00C95029"/>
    <w:rsid w:val="00C95535"/>
    <w:rsid w:val="00CA5727"/>
    <w:rsid w:val="00CB4B24"/>
    <w:rsid w:val="00CB5CC4"/>
    <w:rsid w:val="00CB6440"/>
    <w:rsid w:val="00CC4F33"/>
    <w:rsid w:val="00CD0B19"/>
    <w:rsid w:val="00CD0BFA"/>
    <w:rsid w:val="00CD173A"/>
    <w:rsid w:val="00CD2C89"/>
    <w:rsid w:val="00CD470D"/>
    <w:rsid w:val="00CD4FF7"/>
    <w:rsid w:val="00CD66C2"/>
    <w:rsid w:val="00CD6CA9"/>
    <w:rsid w:val="00CD7427"/>
    <w:rsid w:val="00CE1249"/>
    <w:rsid w:val="00CE21A5"/>
    <w:rsid w:val="00CE5601"/>
    <w:rsid w:val="00CE7C11"/>
    <w:rsid w:val="00CF1F65"/>
    <w:rsid w:val="00CF71FB"/>
    <w:rsid w:val="00D00838"/>
    <w:rsid w:val="00D01BCB"/>
    <w:rsid w:val="00D04AC3"/>
    <w:rsid w:val="00D05948"/>
    <w:rsid w:val="00D20F15"/>
    <w:rsid w:val="00D317FF"/>
    <w:rsid w:val="00D36D9F"/>
    <w:rsid w:val="00D37138"/>
    <w:rsid w:val="00D40C64"/>
    <w:rsid w:val="00D4392E"/>
    <w:rsid w:val="00D4678F"/>
    <w:rsid w:val="00D56F7D"/>
    <w:rsid w:val="00D608FA"/>
    <w:rsid w:val="00D613A9"/>
    <w:rsid w:val="00D657FE"/>
    <w:rsid w:val="00D65AB2"/>
    <w:rsid w:val="00D6677C"/>
    <w:rsid w:val="00D67D23"/>
    <w:rsid w:val="00D701AD"/>
    <w:rsid w:val="00D742F0"/>
    <w:rsid w:val="00D75FA6"/>
    <w:rsid w:val="00D770B7"/>
    <w:rsid w:val="00D8364B"/>
    <w:rsid w:val="00D85E7C"/>
    <w:rsid w:val="00D87117"/>
    <w:rsid w:val="00D91AE5"/>
    <w:rsid w:val="00D94050"/>
    <w:rsid w:val="00D94BC9"/>
    <w:rsid w:val="00D96386"/>
    <w:rsid w:val="00D969B3"/>
    <w:rsid w:val="00D96C00"/>
    <w:rsid w:val="00D979D2"/>
    <w:rsid w:val="00DB0B66"/>
    <w:rsid w:val="00DB4BE3"/>
    <w:rsid w:val="00DB70D2"/>
    <w:rsid w:val="00DC05F1"/>
    <w:rsid w:val="00DC0DD3"/>
    <w:rsid w:val="00DC103F"/>
    <w:rsid w:val="00DC137D"/>
    <w:rsid w:val="00DC1392"/>
    <w:rsid w:val="00DC1A6F"/>
    <w:rsid w:val="00DC44E8"/>
    <w:rsid w:val="00DC6A06"/>
    <w:rsid w:val="00DC7393"/>
    <w:rsid w:val="00DC7679"/>
    <w:rsid w:val="00DE0CBA"/>
    <w:rsid w:val="00DE6CF5"/>
    <w:rsid w:val="00DE742B"/>
    <w:rsid w:val="00DF370A"/>
    <w:rsid w:val="00DF3793"/>
    <w:rsid w:val="00DF37FE"/>
    <w:rsid w:val="00DF6AAD"/>
    <w:rsid w:val="00DF7BEA"/>
    <w:rsid w:val="00E00E63"/>
    <w:rsid w:val="00E01EA1"/>
    <w:rsid w:val="00E023B5"/>
    <w:rsid w:val="00E026A0"/>
    <w:rsid w:val="00E12FA9"/>
    <w:rsid w:val="00E135E3"/>
    <w:rsid w:val="00E159FE"/>
    <w:rsid w:val="00E1673C"/>
    <w:rsid w:val="00E1798E"/>
    <w:rsid w:val="00E21FF1"/>
    <w:rsid w:val="00E2202A"/>
    <w:rsid w:val="00E233F9"/>
    <w:rsid w:val="00E266DE"/>
    <w:rsid w:val="00E27D46"/>
    <w:rsid w:val="00E329A0"/>
    <w:rsid w:val="00E34526"/>
    <w:rsid w:val="00E37BFE"/>
    <w:rsid w:val="00E40A2A"/>
    <w:rsid w:val="00E40BB9"/>
    <w:rsid w:val="00E415AB"/>
    <w:rsid w:val="00E425DB"/>
    <w:rsid w:val="00E435D6"/>
    <w:rsid w:val="00E43DE2"/>
    <w:rsid w:val="00E43FDD"/>
    <w:rsid w:val="00E520AC"/>
    <w:rsid w:val="00E5257C"/>
    <w:rsid w:val="00E55170"/>
    <w:rsid w:val="00E614E1"/>
    <w:rsid w:val="00E7121B"/>
    <w:rsid w:val="00E71328"/>
    <w:rsid w:val="00E71B72"/>
    <w:rsid w:val="00E732AC"/>
    <w:rsid w:val="00E73DFE"/>
    <w:rsid w:val="00E7789F"/>
    <w:rsid w:val="00E80157"/>
    <w:rsid w:val="00E91654"/>
    <w:rsid w:val="00EA6A53"/>
    <w:rsid w:val="00EB1D08"/>
    <w:rsid w:val="00EC2456"/>
    <w:rsid w:val="00EC286E"/>
    <w:rsid w:val="00EC2EE7"/>
    <w:rsid w:val="00EC4AD3"/>
    <w:rsid w:val="00EC5202"/>
    <w:rsid w:val="00EC64AA"/>
    <w:rsid w:val="00EC6896"/>
    <w:rsid w:val="00EC74A1"/>
    <w:rsid w:val="00ED0A48"/>
    <w:rsid w:val="00ED6F2F"/>
    <w:rsid w:val="00ED6F74"/>
    <w:rsid w:val="00ED744F"/>
    <w:rsid w:val="00EE26F9"/>
    <w:rsid w:val="00EF192C"/>
    <w:rsid w:val="00EF2E57"/>
    <w:rsid w:val="00EF3091"/>
    <w:rsid w:val="00F000EA"/>
    <w:rsid w:val="00F0218D"/>
    <w:rsid w:val="00F036E2"/>
    <w:rsid w:val="00F06BB8"/>
    <w:rsid w:val="00F11157"/>
    <w:rsid w:val="00F11B5E"/>
    <w:rsid w:val="00F12478"/>
    <w:rsid w:val="00F13E49"/>
    <w:rsid w:val="00F14558"/>
    <w:rsid w:val="00F160F4"/>
    <w:rsid w:val="00F23056"/>
    <w:rsid w:val="00F2331F"/>
    <w:rsid w:val="00F2394E"/>
    <w:rsid w:val="00F27723"/>
    <w:rsid w:val="00F27851"/>
    <w:rsid w:val="00F30B17"/>
    <w:rsid w:val="00F37D58"/>
    <w:rsid w:val="00F55630"/>
    <w:rsid w:val="00F55B3D"/>
    <w:rsid w:val="00F56290"/>
    <w:rsid w:val="00F568F3"/>
    <w:rsid w:val="00F5783F"/>
    <w:rsid w:val="00F717D0"/>
    <w:rsid w:val="00F71ED1"/>
    <w:rsid w:val="00F7501C"/>
    <w:rsid w:val="00F75C53"/>
    <w:rsid w:val="00F80112"/>
    <w:rsid w:val="00F809F3"/>
    <w:rsid w:val="00F819B7"/>
    <w:rsid w:val="00FB0B99"/>
    <w:rsid w:val="00FB1CA8"/>
    <w:rsid w:val="00FB2B51"/>
    <w:rsid w:val="00FB50F9"/>
    <w:rsid w:val="00FB7D84"/>
    <w:rsid w:val="00FC28FC"/>
    <w:rsid w:val="00FC5916"/>
    <w:rsid w:val="00FC5BB8"/>
    <w:rsid w:val="00FC6625"/>
    <w:rsid w:val="00FD0615"/>
    <w:rsid w:val="00FD100B"/>
    <w:rsid w:val="00FD706C"/>
    <w:rsid w:val="00FF14B2"/>
    <w:rsid w:val="00FF2876"/>
    <w:rsid w:val="00FF3432"/>
    <w:rsid w:val="00FF65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0AF35"/>
  <w15:chartTrackingRefBased/>
  <w15:docId w15:val="{163DE672-67DF-4335-A30B-ACCFFFE9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649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4965"/>
    <w:rPr>
      <w:sz w:val="20"/>
      <w:szCs w:val="20"/>
    </w:rPr>
  </w:style>
  <w:style w:type="character" w:styleId="FootnoteReference">
    <w:name w:val="footnote reference"/>
    <w:basedOn w:val="DefaultParagraphFont"/>
    <w:uiPriority w:val="99"/>
    <w:semiHidden/>
    <w:unhideWhenUsed/>
    <w:rsid w:val="00564965"/>
    <w:rPr>
      <w:vertAlign w:val="superscript"/>
    </w:rPr>
  </w:style>
  <w:style w:type="character" w:styleId="Hyperlink">
    <w:name w:val="Hyperlink"/>
    <w:basedOn w:val="DefaultParagraphFont"/>
    <w:uiPriority w:val="99"/>
    <w:unhideWhenUsed/>
    <w:rsid w:val="00564965"/>
    <w:rPr>
      <w:color w:val="0563C1" w:themeColor="hyperlink"/>
      <w:u w:val="single"/>
    </w:rPr>
  </w:style>
  <w:style w:type="character" w:styleId="UnresolvedMention">
    <w:name w:val="Unresolved Mention"/>
    <w:basedOn w:val="DefaultParagraphFont"/>
    <w:uiPriority w:val="99"/>
    <w:semiHidden/>
    <w:unhideWhenUsed/>
    <w:rsid w:val="00564965"/>
    <w:rPr>
      <w:color w:val="605E5C"/>
      <w:shd w:val="clear" w:color="auto" w:fill="E1DFDD"/>
    </w:rPr>
  </w:style>
  <w:style w:type="paragraph" w:styleId="Header">
    <w:name w:val="header"/>
    <w:basedOn w:val="Normal"/>
    <w:link w:val="HeaderChar"/>
    <w:uiPriority w:val="99"/>
    <w:unhideWhenUsed/>
    <w:rsid w:val="002B06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6B5"/>
  </w:style>
  <w:style w:type="paragraph" w:styleId="Footer">
    <w:name w:val="footer"/>
    <w:basedOn w:val="Normal"/>
    <w:link w:val="FooterChar"/>
    <w:uiPriority w:val="99"/>
    <w:unhideWhenUsed/>
    <w:rsid w:val="002B0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6B5"/>
  </w:style>
  <w:style w:type="character" w:styleId="FollowedHyperlink">
    <w:name w:val="FollowedHyperlink"/>
    <w:basedOn w:val="DefaultParagraphFont"/>
    <w:uiPriority w:val="99"/>
    <w:semiHidden/>
    <w:unhideWhenUsed/>
    <w:rsid w:val="008904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10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bigimpactadvertising.com.au/portfolio/mobill-billboard/" TargetMode="External"/><Relationship Id="rId3" Type="http://schemas.openxmlformats.org/officeDocument/2006/relationships/hyperlink" Target="https://eresources.hcourt.gov.au/showCase/2013/HCA/58" TargetMode="External"/><Relationship Id="rId7" Type="http://schemas.openxmlformats.org/officeDocument/2006/relationships/hyperlink" Target="https://eresources.hcourt.gov.au/downloadPdf/2019/HCA/15" TargetMode="External"/><Relationship Id="rId2" Type="http://schemas.openxmlformats.org/officeDocument/2006/relationships/hyperlink" Target="https://www.sbs.com.au/news/article/donations-ban-constitutionally-invalid/y0swgsqvd" TargetMode="External"/><Relationship Id="rId1" Type="http://schemas.openxmlformats.org/officeDocument/2006/relationships/hyperlink" Target="https://eresources.hcourt.gov.au/showCase/2015/HCA/34" TargetMode="External"/><Relationship Id="rId6" Type="http://schemas.openxmlformats.org/officeDocument/2006/relationships/hyperlink" Target="https://www.aph.gov.au/Parliamentary_Business/Bills_Legislation/Bills_Search_Results/Result?bId=s1260" TargetMode="External"/><Relationship Id="rId5" Type="http://schemas.openxmlformats.org/officeDocument/2006/relationships/hyperlink" Target="https://tobaccotactics.org/article/tobacco-company-investments-in-pharmaceutical-nrt-products/" TargetMode="External"/><Relationship Id="rId4" Type="http://schemas.openxmlformats.org/officeDocument/2006/relationships/hyperlink" Target="https://productiongap.org/2021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77c74b-77b5-4c97-882d-eead2a707f23">
      <Terms xmlns="http://schemas.microsoft.com/office/infopath/2007/PartnerControls"/>
    </lcf76f155ced4ddcb4097134ff3c332f>
    <TaxCatchAll xmlns="616ae013-c81a-4123-829f-3af5763c27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F50AB19D8A2541A827C2ACB192F326" ma:contentTypeVersion="17" ma:contentTypeDescription="Create a new document." ma:contentTypeScope="" ma:versionID="e28fbae3c09aede499feca5e32896b4a">
  <xsd:schema xmlns:xsd="http://www.w3.org/2001/XMLSchema" xmlns:xs="http://www.w3.org/2001/XMLSchema" xmlns:p="http://schemas.microsoft.com/office/2006/metadata/properties" xmlns:ns2="d477c74b-77b5-4c97-882d-eead2a707f23" xmlns:ns3="616ae013-c81a-4123-829f-3af5763c278b" targetNamespace="http://schemas.microsoft.com/office/2006/metadata/properties" ma:root="true" ma:fieldsID="65fcea4417327d0353faec24c3fd2583" ns2:_="" ns3:_="">
    <xsd:import namespace="d477c74b-77b5-4c97-882d-eead2a707f23"/>
    <xsd:import namespace="616ae013-c81a-4123-829f-3af5763c27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7c74b-77b5-4c97-882d-eead2a707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6ae013-c81a-4123-829f-3af5763c27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14cb1a5-55c0-4e5f-b536-3ecc419bdcde}" ma:internalName="TaxCatchAll" ma:showField="CatchAllData" ma:web="616ae013-c81a-4123-829f-3af5763c2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A86B1-DA70-49F1-8269-16BD9B8F212A}">
  <ds:schemaRefs>
    <ds:schemaRef ds:uri="http://schemas.openxmlformats.org/officeDocument/2006/bibliography"/>
  </ds:schemaRefs>
</ds:datastoreItem>
</file>

<file path=customXml/itemProps2.xml><?xml version="1.0" encoding="utf-8"?>
<ds:datastoreItem xmlns:ds="http://schemas.openxmlformats.org/officeDocument/2006/customXml" ds:itemID="{A31674BD-0EDD-47EC-8818-91E40FD931D4}">
  <ds:schemaRefs>
    <ds:schemaRef ds:uri="http://schemas.microsoft.com/office/2006/metadata/properties"/>
    <ds:schemaRef ds:uri="http://schemas.microsoft.com/office/infopath/2007/PartnerControls"/>
    <ds:schemaRef ds:uri="d477c74b-77b5-4c97-882d-eead2a707f23"/>
    <ds:schemaRef ds:uri="616ae013-c81a-4123-829f-3af5763c278b"/>
  </ds:schemaRefs>
</ds:datastoreItem>
</file>

<file path=customXml/itemProps3.xml><?xml version="1.0" encoding="utf-8"?>
<ds:datastoreItem xmlns:ds="http://schemas.openxmlformats.org/officeDocument/2006/customXml" ds:itemID="{38236939-F1BC-407C-BC2F-85240AA661BA}">
  <ds:schemaRefs>
    <ds:schemaRef ds:uri="http://schemas.microsoft.com/sharepoint/v3/contenttype/forms"/>
  </ds:schemaRefs>
</ds:datastoreItem>
</file>

<file path=customXml/itemProps4.xml><?xml version="1.0" encoding="utf-8"?>
<ds:datastoreItem xmlns:ds="http://schemas.openxmlformats.org/officeDocument/2006/customXml" ds:itemID="{4AC7808E-C2FB-4D43-B23E-6E4AF018F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7c74b-77b5-4c97-882d-eead2a707f23"/>
    <ds:schemaRef ds:uri="616ae013-c81a-4123-829f-3af5763c2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5080</Words>
  <Characters>28150</Characters>
  <Application>Microsoft Office Word</Application>
  <DocSecurity>0</DocSecurity>
  <Lines>400</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33244</CharactersWithSpaces>
  <SharedDoc>false</SharedDoc>
  <HLinks>
    <vt:vector size="42" baseType="variant">
      <vt:variant>
        <vt:i4>4653147</vt:i4>
      </vt:variant>
      <vt:variant>
        <vt:i4>18</vt:i4>
      </vt:variant>
      <vt:variant>
        <vt:i4>0</vt:i4>
      </vt:variant>
      <vt:variant>
        <vt:i4>5</vt:i4>
      </vt:variant>
      <vt:variant>
        <vt:lpwstr>https://eresources.hcourt.gov.au/downloadPdf/2019/HCA/15</vt:lpwstr>
      </vt:variant>
      <vt:variant>
        <vt:lpwstr/>
      </vt:variant>
      <vt:variant>
        <vt:i4>4522004</vt:i4>
      </vt:variant>
      <vt:variant>
        <vt:i4>15</vt:i4>
      </vt:variant>
      <vt:variant>
        <vt:i4>0</vt:i4>
      </vt:variant>
      <vt:variant>
        <vt:i4>5</vt:i4>
      </vt:variant>
      <vt:variant>
        <vt:lpwstr>https://www.aph.gov.au/Parliamentary_Business/Bills_Legislation/Bills_Search_Results/Result?bId=s1260</vt:lpwstr>
      </vt:variant>
      <vt:variant>
        <vt:lpwstr/>
      </vt:variant>
      <vt:variant>
        <vt:i4>7340064</vt:i4>
      </vt:variant>
      <vt:variant>
        <vt:i4>12</vt:i4>
      </vt:variant>
      <vt:variant>
        <vt:i4>0</vt:i4>
      </vt:variant>
      <vt:variant>
        <vt:i4>5</vt:i4>
      </vt:variant>
      <vt:variant>
        <vt:lpwstr>https://tobaccotactics.org/article/tobacco-company-investments-in-pharmaceutical-nrt-products/</vt:lpwstr>
      </vt:variant>
      <vt:variant>
        <vt:lpwstr/>
      </vt:variant>
      <vt:variant>
        <vt:i4>327744</vt:i4>
      </vt:variant>
      <vt:variant>
        <vt:i4>9</vt:i4>
      </vt:variant>
      <vt:variant>
        <vt:i4>0</vt:i4>
      </vt:variant>
      <vt:variant>
        <vt:i4>5</vt:i4>
      </vt:variant>
      <vt:variant>
        <vt:lpwstr>https://productiongap.org/2021report/</vt:lpwstr>
      </vt:variant>
      <vt:variant>
        <vt:lpwstr>2021downloads</vt:lpwstr>
      </vt:variant>
      <vt:variant>
        <vt:i4>4915286</vt:i4>
      </vt:variant>
      <vt:variant>
        <vt:i4>6</vt:i4>
      </vt:variant>
      <vt:variant>
        <vt:i4>0</vt:i4>
      </vt:variant>
      <vt:variant>
        <vt:i4>5</vt:i4>
      </vt:variant>
      <vt:variant>
        <vt:lpwstr>https://www.sbs.com.au/news/article/donations-ban-constitutionally-invalid/y0swgsqvd</vt:lpwstr>
      </vt:variant>
      <vt:variant>
        <vt:lpwstr/>
      </vt:variant>
      <vt:variant>
        <vt:i4>3801136</vt:i4>
      </vt:variant>
      <vt:variant>
        <vt:i4>3</vt:i4>
      </vt:variant>
      <vt:variant>
        <vt:i4>0</vt:i4>
      </vt:variant>
      <vt:variant>
        <vt:i4>5</vt:i4>
      </vt:variant>
      <vt:variant>
        <vt:lpwstr>http://www.bigimpactadvertising.com.au/portfolio/mobill-billboard/</vt:lpwstr>
      </vt:variant>
      <vt:variant>
        <vt:lpwstr/>
      </vt:variant>
      <vt:variant>
        <vt:i4>393296</vt:i4>
      </vt:variant>
      <vt:variant>
        <vt:i4>0</vt:i4>
      </vt:variant>
      <vt:variant>
        <vt:i4>0</vt:i4>
      </vt:variant>
      <vt:variant>
        <vt:i4>5</vt:i4>
      </vt:variant>
      <vt:variant>
        <vt:lpwstr>https://eresources.hcourt.gov.au/showCase/2015/HCA/34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2023-10-26T08:25:00Z</cp:lastPrinted>
  <dcterms:created xsi:type="dcterms:W3CDTF">2023-11-01T00:06:00Z</dcterms:created>
  <dcterms:modified xsi:type="dcterms:W3CDTF">2023-11-01T00:06:00Z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0x01010016F50AB19D8A2541A827C2ACB192F326</vt:lpwstr>
  </property>
  <property fmtid="{D5CDD505-2E9C-101B-9397-08002B2CF9AE}" pid="3" name="MediaServiceImageTags">
    <vt:lpwstr/>
  </property>
</Properties>
</file>