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912A" w14:textId="77777777" w:rsidR="00A4633F" w:rsidRDefault="00A4633F" w:rsidP="00FC5401">
      <w:pPr>
        <w:spacing w:before="120"/>
        <w:jc w:val="both"/>
        <w:rPr>
          <w:rFonts w:ascii="Arial" w:hAnsi="Arial" w:cs="Arial"/>
        </w:rPr>
      </w:pPr>
      <w:bookmarkStart w:id="0" w:name="_Toc44738651"/>
      <w:r>
        <w:rPr>
          <w:rFonts w:ascii="Arial" w:hAnsi="Arial" w:cs="Arial"/>
        </w:rPr>
        <w:t>Australian Capital Territory</w:t>
      </w:r>
    </w:p>
    <w:p w14:paraId="5955BC4B" w14:textId="2F05D4F9" w:rsidR="00A4633F" w:rsidRPr="00261659" w:rsidRDefault="00A4633F" w:rsidP="00FC5401">
      <w:pPr>
        <w:pStyle w:val="Billname"/>
        <w:spacing w:before="700"/>
        <w:jc w:val="both"/>
      </w:pPr>
      <w:r>
        <w:t xml:space="preserve">Casino Control (Fees) </w:t>
      </w:r>
      <w:r w:rsidRPr="00261659">
        <w:t xml:space="preserve">Determination </w:t>
      </w:r>
      <w:r w:rsidR="00964257">
        <w:t>20</w:t>
      </w:r>
      <w:r w:rsidR="00FF555D">
        <w:t>2</w:t>
      </w:r>
      <w:r w:rsidR="00BB7C51">
        <w:t>3</w:t>
      </w:r>
    </w:p>
    <w:p w14:paraId="49256063" w14:textId="2ACD6EE6" w:rsidR="00A4633F" w:rsidRDefault="00BA71AC" w:rsidP="00FC5401">
      <w:pPr>
        <w:spacing w:before="240" w:after="60"/>
        <w:jc w:val="both"/>
        <w:rPr>
          <w:rFonts w:ascii="Arial" w:hAnsi="Arial" w:cs="Arial"/>
          <w:b/>
          <w:bCs/>
          <w:vertAlign w:val="superscript"/>
        </w:rPr>
      </w:pPr>
      <w:r w:rsidRPr="00261659">
        <w:rPr>
          <w:rFonts w:ascii="Arial" w:hAnsi="Arial" w:cs="Arial"/>
          <w:b/>
          <w:bCs/>
        </w:rPr>
        <w:t xml:space="preserve">Disallowable Instrument </w:t>
      </w:r>
      <w:bookmarkStart w:id="1" w:name="_Hlk10625456"/>
      <w:r w:rsidR="00B26593" w:rsidRPr="00F4553A">
        <w:rPr>
          <w:rFonts w:ascii="Arial" w:hAnsi="Arial" w:cs="Arial"/>
          <w:b/>
          <w:bCs/>
        </w:rPr>
        <w:t>DI</w:t>
      </w:r>
      <w:r w:rsidR="00B26593">
        <w:rPr>
          <w:rFonts w:ascii="Arial" w:hAnsi="Arial" w:cs="Arial"/>
          <w:b/>
          <w:bCs/>
        </w:rPr>
        <w:t>20</w:t>
      </w:r>
      <w:r w:rsidR="00FF555D">
        <w:rPr>
          <w:rFonts w:ascii="Arial" w:hAnsi="Arial" w:cs="Arial"/>
          <w:b/>
          <w:bCs/>
        </w:rPr>
        <w:t>2</w:t>
      </w:r>
      <w:bookmarkEnd w:id="1"/>
      <w:r w:rsidR="00BB7C51">
        <w:rPr>
          <w:rFonts w:ascii="Arial" w:hAnsi="Arial" w:cs="Arial"/>
          <w:b/>
          <w:bCs/>
        </w:rPr>
        <w:t>3</w:t>
      </w:r>
      <w:r w:rsidR="002413E3">
        <w:rPr>
          <w:rFonts w:ascii="Arial" w:hAnsi="Arial" w:cs="Arial"/>
          <w:b/>
          <w:bCs/>
        </w:rPr>
        <w:t>–</w:t>
      </w:r>
      <w:r w:rsidR="00CE4AD9">
        <w:rPr>
          <w:rFonts w:ascii="Arial" w:hAnsi="Arial" w:cs="Arial"/>
          <w:b/>
          <w:bCs/>
        </w:rPr>
        <w:t>181</w:t>
      </w:r>
    </w:p>
    <w:p w14:paraId="39EF9952" w14:textId="77777777" w:rsidR="00A4633F" w:rsidRDefault="00A4633F" w:rsidP="00FC5401">
      <w:pPr>
        <w:pStyle w:val="madeunder"/>
        <w:spacing w:before="240" w:after="120"/>
      </w:pPr>
      <w:r>
        <w:t xml:space="preserve">made under the  </w:t>
      </w:r>
    </w:p>
    <w:p w14:paraId="37D9B316" w14:textId="77777777" w:rsidR="00A4633F" w:rsidRDefault="00A4633F" w:rsidP="00FC5401">
      <w:pPr>
        <w:pStyle w:val="CoverActName"/>
      </w:pPr>
      <w:r>
        <w:rPr>
          <w:rFonts w:cs="Arial"/>
          <w:sz w:val="20"/>
        </w:rPr>
        <w:t xml:space="preserve">Casino Control Act 2006, section 143 (Determination of </w:t>
      </w:r>
      <w:r w:rsidR="00B26593">
        <w:rPr>
          <w:rFonts w:cs="Arial"/>
          <w:sz w:val="20"/>
        </w:rPr>
        <w:t>f</w:t>
      </w:r>
      <w:r>
        <w:rPr>
          <w:rFonts w:cs="Arial"/>
          <w:sz w:val="20"/>
        </w:rPr>
        <w:t>ees)</w:t>
      </w:r>
    </w:p>
    <w:p w14:paraId="35B813BB" w14:textId="77777777" w:rsidR="00A4633F" w:rsidRDefault="00A4633F" w:rsidP="00FC5401">
      <w:pPr>
        <w:pStyle w:val="N-line3"/>
        <w:pBdr>
          <w:bottom w:val="none" w:sz="0" w:space="0" w:color="auto"/>
        </w:pBdr>
        <w:rPr>
          <w:sz w:val="22"/>
        </w:rPr>
      </w:pPr>
    </w:p>
    <w:p w14:paraId="71D9C45F" w14:textId="77777777" w:rsidR="00A4633F" w:rsidRDefault="00A4633F" w:rsidP="00FC5401">
      <w:pPr>
        <w:jc w:val="both"/>
        <w:rPr>
          <w:sz w:val="22"/>
        </w:rPr>
      </w:pPr>
    </w:p>
    <w:p w14:paraId="4A4F6FBD" w14:textId="77777777" w:rsidR="00A4633F" w:rsidRDefault="00A4633F" w:rsidP="00FC5401">
      <w:pPr>
        <w:pStyle w:val="Heading3"/>
        <w:jc w:val="both"/>
      </w:pPr>
      <w:r>
        <w:t>EXPLANATORY STATEMENT</w:t>
      </w:r>
    </w:p>
    <w:p w14:paraId="647E8FFB" w14:textId="77777777" w:rsidR="00A4633F" w:rsidRDefault="00A4633F" w:rsidP="00FC5401">
      <w:pPr>
        <w:jc w:val="both"/>
      </w:pPr>
    </w:p>
    <w:p w14:paraId="666686B8" w14:textId="77777777" w:rsidR="00A4633F" w:rsidRDefault="00A4633F" w:rsidP="00FC5401">
      <w:pPr>
        <w:pStyle w:val="N-line3"/>
        <w:pBdr>
          <w:top w:val="single" w:sz="12" w:space="1" w:color="auto"/>
          <w:bottom w:val="none" w:sz="0" w:space="0" w:color="auto"/>
        </w:pBdr>
        <w:rPr>
          <w:sz w:val="22"/>
        </w:rPr>
      </w:pPr>
    </w:p>
    <w:p w14:paraId="064B2853" w14:textId="77777777" w:rsidR="00A4633F" w:rsidRDefault="00A4633F" w:rsidP="00FC5401">
      <w:pPr>
        <w:jc w:val="both"/>
      </w:pPr>
      <w:r>
        <w:t xml:space="preserve">The </w:t>
      </w:r>
      <w:r>
        <w:rPr>
          <w:i/>
          <w:iCs/>
        </w:rPr>
        <w:t xml:space="preserve">Casino Control Act 2006 </w:t>
      </w:r>
      <w:r>
        <w:t>(the Act)</w:t>
      </w:r>
      <w:r>
        <w:rPr>
          <w:i/>
          <w:iCs/>
        </w:rPr>
        <w:t xml:space="preserve"> </w:t>
      </w:r>
      <w:r>
        <w:t xml:space="preserve">regulates the operation of the casino in the Territory. </w:t>
      </w:r>
    </w:p>
    <w:p w14:paraId="0C56A5B6" w14:textId="77777777" w:rsidR="00A4633F" w:rsidRDefault="00A4633F" w:rsidP="00FC5401">
      <w:pPr>
        <w:jc w:val="both"/>
        <w:rPr>
          <w:sz w:val="22"/>
        </w:rPr>
      </w:pPr>
    </w:p>
    <w:p w14:paraId="731FFB60" w14:textId="36395626" w:rsidR="00A4633F" w:rsidRPr="00756AC1" w:rsidRDefault="00A4633F" w:rsidP="00FC5401">
      <w:pPr>
        <w:jc w:val="both"/>
      </w:pPr>
      <w:r w:rsidRPr="00136490">
        <w:t>This instrument revokes the determination of fees made by Disallowable Instrument DI</w:t>
      </w:r>
      <w:r w:rsidR="00964257" w:rsidRPr="00136490">
        <w:t>20</w:t>
      </w:r>
      <w:r w:rsidR="00CD1401" w:rsidRPr="00136490">
        <w:t>2</w:t>
      </w:r>
      <w:r w:rsidR="00BB7C51">
        <w:t>2</w:t>
      </w:r>
      <w:r w:rsidR="00CD1401" w:rsidRPr="00136490">
        <w:t>-</w:t>
      </w:r>
      <w:r w:rsidR="00BB7C51">
        <w:t>131</w:t>
      </w:r>
      <w:r w:rsidR="00742AEC" w:rsidRPr="00136490">
        <w:t xml:space="preserve">, the </w:t>
      </w:r>
      <w:r w:rsidR="00742AEC" w:rsidRPr="00136490">
        <w:rPr>
          <w:i/>
        </w:rPr>
        <w:t>Casino Control (Fees) Determination 20</w:t>
      </w:r>
      <w:r w:rsidR="00CD1401" w:rsidRPr="00136490">
        <w:rPr>
          <w:i/>
        </w:rPr>
        <w:t>2</w:t>
      </w:r>
      <w:r w:rsidR="00DF5065">
        <w:rPr>
          <w:i/>
        </w:rPr>
        <w:t>2</w:t>
      </w:r>
      <w:r w:rsidR="00742AEC" w:rsidRPr="00136490">
        <w:rPr>
          <w:i/>
        </w:rPr>
        <w:t>.</w:t>
      </w:r>
    </w:p>
    <w:p w14:paraId="2CFB7DEC" w14:textId="77777777" w:rsidR="00A4633F" w:rsidRDefault="00A4633F" w:rsidP="00FC5401">
      <w:pPr>
        <w:jc w:val="both"/>
        <w:rPr>
          <w:sz w:val="22"/>
        </w:rPr>
      </w:pPr>
    </w:p>
    <w:p w14:paraId="471A9DE0" w14:textId="2F1E7DB2" w:rsidR="00A4633F" w:rsidRDefault="00A4633F" w:rsidP="00FC5401">
      <w:pPr>
        <w:jc w:val="both"/>
      </w:pPr>
      <w:r>
        <w:t>Section 143 of the Act provides that the Minister may determine fees for the Act. This instrument provides for fees in relation to administrative tasks performed under the Act, including matters relating to the casino licence and applications for casino employee’s licences and variations to these licences.</w:t>
      </w:r>
    </w:p>
    <w:p w14:paraId="63277DBA" w14:textId="77777777" w:rsidR="00A4633F" w:rsidRDefault="00A4633F" w:rsidP="00FC5401">
      <w:pPr>
        <w:jc w:val="both"/>
      </w:pPr>
    </w:p>
    <w:p w14:paraId="6CD935C3" w14:textId="77777777" w:rsidR="00540C3C" w:rsidRDefault="00581EED" w:rsidP="003960EB">
      <w:pPr>
        <w:pStyle w:val="Header"/>
        <w:jc w:val="both"/>
      </w:pPr>
      <w:r w:rsidRPr="00C96D5F">
        <w:t xml:space="preserve">The new determination sets the fees that will apply </w:t>
      </w:r>
      <w:r w:rsidR="00244209">
        <w:t>beginning on</w:t>
      </w:r>
      <w:r w:rsidRPr="00C96D5F">
        <w:t xml:space="preserve"> 1</w:t>
      </w:r>
      <w:r>
        <w:t> </w:t>
      </w:r>
      <w:r w:rsidRPr="00C96D5F">
        <w:t>July</w:t>
      </w:r>
      <w:r>
        <w:t> </w:t>
      </w:r>
      <w:r w:rsidRPr="00C96D5F">
        <w:t>202</w:t>
      </w:r>
      <w:r w:rsidR="00DF5065">
        <w:t>3</w:t>
      </w:r>
      <w:r w:rsidRPr="00C96D5F">
        <w:t xml:space="preserve"> and repeals the </w:t>
      </w:r>
      <w:r w:rsidRPr="0025517C">
        <w:rPr>
          <w:i/>
          <w:iCs/>
        </w:rPr>
        <w:t>Casino Control (Fees) Determination 202</w:t>
      </w:r>
      <w:r w:rsidR="00DF5065">
        <w:rPr>
          <w:i/>
          <w:iCs/>
        </w:rPr>
        <w:t>2</w:t>
      </w:r>
      <w:r w:rsidRPr="00C96D5F">
        <w:t xml:space="preserve"> DI202</w:t>
      </w:r>
      <w:r w:rsidR="00BF5D9F">
        <w:t>2</w:t>
      </w:r>
      <w:r w:rsidRPr="00C96D5F">
        <w:t>-</w:t>
      </w:r>
      <w:r w:rsidR="00BF5D9F">
        <w:t>131</w:t>
      </w:r>
      <w:r w:rsidRPr="00C96D5F">
        <w:t xml:space="preserve">. It provides for fee increases in line with annual adjustments to the Wages Price Index (WPI) of </w:t>
      </w:r>
      <w:r w:rsidR="00235439">
        <w:t>3.</w:t>
      </w:r>
      <w:r w:rsidR="00BF5D9F">
        <w:t>7</w:t>
      </w:r>
      <w:r w:rsidR="00235439">
        <w:t>5</w:t>
      </w:r>
      <w:r w:rsidRPr="00C96D5F">
        <w:t xml:space="preserve">%, </w:t>
      </w:r>
      <w:r w:rsidR="003F3F0F" w:rsidRPr="003F3F0F">
        <w:t xml:space="preserve">rounded down to the nearest dollar for most fees, with the exception of fees that have been consecutively rounded down in previous years by more than $1.00 </w:t>
      </w:r>
      <w:r w:rsidR="003960EB">
        <w:t>which</w:t>
      </w:r>
      <w:r w:rsidR="003F3F0F" w:rsidRPr="003F3F0F">
        <w:t xml:space="preserve"> </w:t>
      </w:r>
      <w:r w:rsidR="003F3F0F" w:rsidRPr="00832890">
        <w:t xml:space="preserve">have been rounded up to the nearest dollar. </w:t>
      </w:r>
    </w:p>
    <w:p w14:paraId="19171146" w14:textId="77777777" w:rsidR="00540C3C" w:rsidRDefault="00540C3C" w:rsidP="003960EB">
      <w:pPr>
        <w:pStyle w:val="Header"/>
        <w:jc w:val="both"/>
      </w:pPr>
    </w:p>
    <w:p w14:paraId="539C75C2" w14:textId="63F069C8" w:rsidR="00A17BC9" w:rsidRDefault="003F3F0F" w:rsidP="003960EB">
      <w:pPr>
        <w:pStyle w:val="Header"/>
        <w:jc w:val="both"/>
      </w:pPr>
      <w:r w:rsidRPr="00832890">
        <w:t xml:space="preserve">This approach aligns with </w:t>
      </w:r>
      <w:r w:rsidR="00B94B9A">
        <w:t xml:space="preserve">the 2022 </w:t>
      </w:r>
      <w:r w:rsidRPr="00832890">
        <w:t>Treasury Guidelines for Fees and Charges.</w:t>
      </w:r>
    </w:p>
    <w:p w14:paraId="290146A8" w14:textId="77777777" w:rsidR="00A17BC9" w:rsidRDefault="00A17BC9" w:rsidP="003960EB">
      <w:pPr>
        <w:pStyle w:val="Header"/>
        <w:jc w:val="both"/>
      </w:pPr>
    </w:p>
    <w:p w14:paraId="58982999" w14:textId="6D98734D" w:rsidR="00A17BC9" w:rsidRPr="00756AC1" w:rsidRDefault="00A17BC9" w:rsidP="00A17BC9">
      <w:pPr>
        <w:jc w:val="both"/>
      </w:pPr>
      <w:r>
        <w:t xml:space="preserve">The list of items for which fees are set in this instrument is identical to the list of items in </w:t>
      </w:r>
      <w:r w:rsidRPr="00756AC1">
        <w:t>Disallowable Instrument DI</w:t>
      </w:r>
      <w:r>
        <w:t>202</w:t>
      </w:r>
      <w:r w:rsidR="00BF5D9F">
        <w:t>2</w:t>
      </w:r>
      <w:r>
        <w:t>-</w:t>
      </w:r>
      <w:r w:rsidR="00BF5D9F">
        <w:t>131</w:t>
      </w:r>
      <w:r w:rsidRPr="00756AC1">
        <w:t>.</w:t>
      </w:r>
    </w:p>
    <w:p w14:paraId="423E4A19" w14:textId="77777777" w:rsidR="00A17BC9" w:rsidRDefault="00A17BC9" w:rsidP="003960EB">
      <w:pPr>
        <w:pStyle w:val="Header"/>
        <w:jc w:val="both"/>
      </w:pPr>
    </w:p>
    <w:p w14:paraId="16B1ACCD" w14:textId="6080A4C7" w:rsidR="00581EED" w:rsidRPr="003960EB" w:rsidRDefault="00C56E01" w:rsidP="003960EB">
      <w:pPr>
        <w:pStyle w:val="Header"/>
        <w:jc w:val="both"/>
        <w:rPr>
          <w:b/>
          <w:bCs/>
          <w:color w:val="5B9BD5"/>
          <w:bdr w:val="none" w:sz="0" w:space="0" w:color="auto" w:frame="1"/>
        </w:rPr>
      </w:pPr>
      <w:r>
        <w:t xml:space="preserve">The Attachment to this Explanatory Statement lists the fees previously determined to enable comparison. </w:t>
      </w:r>
    </w:p>
    <w:p w14:paraId="07772877" w14:textId="77777777" w:rsidR="003F7610" w:rsidRDefault="003F7610" w:rsidP="003F7610">
      <w:pPr>
        <w:jc w:val="both"/>
      </w:pPr>
    </w:p>
    <w:bookmarkEnd w:id="0"/>
    <w:p w14:paraId="37C36805" w14:textId="77777777" w:rsidR="00216BEB" w:rsidRDefault="00216BEB" w:rsidP="00FC5401">
      <w:pPr>
        <w:jc w:val="both"/>
        <w:sectPr w:rsidR="00216BEB" w:rsidSect="00B746EE">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paperSrc w:first="7" w:other="7"/>
          <w:cols w:space="720"/>
        </w:sectPr>
      </w:pPr>
    </w:p>
    <w:p w14:paraId="00046B12" w14:textId="77777777" w:rsidR="002413E3" w:rsidRPr="002413E3" w:rsidRDefault="002413E3">
      <w:pPr>
        <w:rPr>
          <w:sz w:val="12"/>
          <w:szCs w:val="12"/>
        </w:rPr>
      </w:pPr>
    </w:p>
    <w:tbl>
      <w:tblPr>
        <w:tblW w:w="9617"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69"/>
        <w:gridCol w:w="5512"/>
        <w:gridCol w:w="1418"/>
        <w:gridCol w:w="1418"/>
      </w:tblGrid>
      <w:tr w:rsidR="00964257" w:rsidRPr="00652B7F" w14:paraId="5E7B2AF3" w14:textId="77777777" w:rsidTr="00964257">
        <w:trPr>
          <w:trHeight w:val="368"/>
          <w:tblHeader/>
          <w:jc w:val="center"/>
        </w:trPr>
        <w:tc>
          <w:tcPr>
            <w:tcW w:w="1269" w:type="dxa"/>
            <w:tcBorders>
              <w:top w:val="nil"/>
              <w:bottom w:val="single" w:sz="12" w:space="0" w:color="auto"/>
            </w:tcBorders>
          </w:tcPr>
          <w:p w14:paraId="5E7A6074" w14:textId="77777777" w:rsidR="00964257" w:rsidRPr="00652B7F" w:rsidRDefault="00964257" w:rsidP="009B2C84">
            <w:pPr>
              <w:pStyle w:val="Heading2"/>
              <w:spacing w:before="120"/>
              <w:jc w:val="left"/>
              <w:rPr>
                <w:sz w:val="22"/>
                <w:szCs w:val="22"/>
              </w:rPr>
            </w:pPr>
            <w:r w:rsidRPr="00652B7F">
              <w:rPr>
                <w:sz w:val="22"/>
                <w:szCs w:val="22"/>
              </w:rPr>
              <w:t xml:space="preserve">Column </w:t>
            </w:r>
            <w:r>
              <w:rPr>
                <w:sz w:val="22"/>
                <w:szCs w:val="22"/>
              </w:rPr>
              <w:t>1</w:t>
            </w:r>
          </w:p>
        </w:tc>
        <w:tc>
          <w:tcPr>
            <w:tcW w:w="5512" w:type="dxa"/>
            <w:tcBorders>
              <w:top w:val="nil"/>
              <w:bottom w:val="single" w:sz="12" w:space="0" w:color="auto"/>
            </w:tcBorders>
          </w:tcPr>
          <w:p w14:paraId="17D33DC6" w14:textId="77777777" w:rsidR="00964257" w:rsidRPr="00652B7F" w:rsidRDefault="00964257" w:rsidP="009B2C84">
            <w:pPr>
              <w:spacing w:before="120"/>
              <w:rPr>
                <w:b/>
                <w:bCs/>
                <w:sz w:val="22"/>
                <w:szCs w:val="22"/>
              </w:rPr>
            </w:pPr>
            <w:r w:rsidRPr="00652B7F">
              <w:rPr>
                <w:b/>
                <w:bCs/>
                <w:sz w:val="22"/>
                <w:szCs w:val="22"/>
              </w:rPr>
              <w:t xml:space="preserve">Column </w:t>
            </w:r>
            <w:r>
              <w:rPr>
                <w:b/>
                <w:bCs/>
                <w:sz w:val="22"/>
                <w:szCs w:val="22"/>
              </w:rPr>
              <w:t>2</w:t>
            </w:r>
          </w:p>
        </w:tc>
        <w:tc>
          <w:tcPr>
            <w:tcW w:w="1418" w:type="dxa"/>
            <w:tcBorders>
              <w:top w:val="nil"/>
              <w:bottom w:val="single" w:sz="12" w:space="0" w:color="auto"/>
            </w:tcBorders>
          </w:tcPr>
          <w:p w14:paraId="1DF5A388" w14:textId="77777777" w:rsidR="00964257" w:rsidRPr="00652B7F" w:rsidRDefault="00964257" w:rsidP="00B913C4">
            <w:pPr>
              <w:spacing w:before="120"/>
              <w:rPr>
                <w:b/>
                <w:bCs/>
                <w:sz w:val="22"/>
                <w:szCs w:val="22"/>
              </w:rPr>
            </w:pPr>
            <w:r w:rsidRPr="00652B7F">
              <w:rPr>
                <w:b/>
                <w:bCs/>
                <w:sz w:val="22"/>
                <w:szCs w:val="22"/>
              </w:rPr>
              <w:t xml:space="preserve">Column </w:t>
            </w:r>
            <w:r>
              <w:rPr>
                <w:b/>
                <w:bCs/>
                <w:sz w:val="22"/>
                <w:szCs w:val="22"/>
              </w:rPr>
              <w:t>3</w:t>
            </w:r>
          </w:p>
        </w:tc>
        <w:tc>
          <w:tcPr>
            <w:tcW w:w="1418" w:type="dxa"/>
            <w:tcBorders>
              <w:top w:val="nil"/>
              <w:bottom w:val="single" w:sz="12" w:space="0" w:color="auto"/>
            </w:tcBorders>
          </w:tcPr>
          <w:p w14:paraId="738F60A2" w14:textId="77777777" w:rsidR="00964257" w:rsidRPr="00652B7F" w:rsidRDefault="00964257" w:rsidP="00B913C4">
            <w:pPr>
              <w:spacing w:before="120"/>
              <w:rPr>
                <w:b/>
                <w:bCs/>
                <w:sz w:val="22"/>
                <w:szCs w:val="22"/>
              </w:rPr>
            </w:pPr>
            <w:r>
              <w:rPr>
                <w:b/>
                <w:bCs/>
                <w:sz w:val="22"/>
                <w:szCs w:val="22"/>
              </w:rPr>
              <w:t>Column 4</w:t>
            </w:r>
          </w:p>
        </w:tc>
      </w:tr>
      <w:tr w:rsidR="00964257" w:rsidRPr="00652B7F" w14:paraId="1AF7D379" w14:textId="77777777" w:rsidTr="00964257">
        <w:trPr>
          <w:trHeight w:val="741"/>
          <w:tblHeader/>
          <w:jc w:val="center"/>
        </w:trPr>
        <w:tc>
          <w:tcPr>
            <w:tcW w:w="1269" w:type="dxa"/>
            <w:tcBorders>
              <w:top w:val="single" w:sz="12" w:space="0" w:color="auto"/>
              <w:bottom w:val="single" w:sz="12" w:space="0" w:color="auto"/>
            </w:tcBorders>
          </w:tcPr>
          <w:p w14:paraId="362B8F1C" w14:textId="77777777" w:rsidR="00964257" w:rsidRPr="00652B7F" w:rsidRDefault="00964257" w:rsidP="006B53DB">
            <w:pPr>
              <w:pStyle w:val="Heading2"/>
              <w:jc w:val="left"/>
              <w:rPr>
                <w:sz w:val="22"/>
                <w:szCs w:val="22"/>
              </w:rPr>
            </w:pPr>
            <w:r w:rsidRPr="00652B7F">
              <w:rPr>
                <w:sz w:val="22"/>
                <w:szCs w:val="22"/>
              </w:rPr>
              <w:t xml:space="preserve">Relevant </w:t>
            </w:r>
            <w:r>
              <w:rPr>
                <w:sz w:val="22"/>
                <w:szCs w:val="22"/>
              </w:rPr>
              <w:t>S</w:t>
            </w:r>
            <w:r w:rsidRPr="00652B7F">
              <w:rPr>
                <w:sz w:val="22"/>
                <w:szCs w:val="22"/>
              </w:rPr>
              <w:t>ection of Act</w:t>
            </w:r>
          </w:p>
        </w:tc>
        <w:tc>
          <w:tcPr>
            <w:tcW w:w="5512" w:type="dxa"/>
            <w:tcBorders>
              <w:top w:val="single" w:sz="12" w:space="0" w:color="auto"/>
              <w:bottom w:val="single" w:sz="12" w:space="0" w:color="auto"/>
            </w:tcBorders>
          </w:tcPr>
          <w:p w14:paraId="401DEF0D" w14:textId="77777777" w:rsidR="00964257" w:rsidRPr="00652B7F" w:rsidRDefault="00964257" w:rsidP="009B2C84">
            <w:pPr>
              <w:rPr>
                <w:b/>
                <w:bCs/>
                <w:sz w:val="22"/>
                <w:szCs w:val="22"/>
              </w:rPr>
            </w:pPr>
            <w:r w:rsidRPr="00652B7F">
              <w:rPr>
                <w:b/>
                <w:bCs/>
                <w:sz w:val="22"/>
                <w:szCs w:val="22"/>
              </w:rPr>
              <w:t>Description of Matter for which Fee is Payable</w:t>
            </w:r>
          </w:p>
        </w:tc>
        <w:tc>
          <w:tcPr>
            <w:tcW w:w="1418" w:type="dxa"/>
            <w:tcBorders>
              <w:top w:val="single" w:sz="12" w:space="0" w:color="auto"/>
              <w:bottom w:val="single" w:sz="12" w:space="0" w:color="auto"/>
            </w:tcBorders>
          </w:tcPr>
          <w:p w14:paraId="5768A34F" w14:textId="77777777" w:rsidR="00EB5D9D" w:rsidRPr="00652B7F" w:rsidRDefault="00964257" w:rsidP="000727D5">
            <w:pPr>
              <w:rPr>
                <w:b/>
                <w:bCs/>
                <w:sz w:val="22"/>
                <w:szCs w:val="22"/>
              </w:rPr>
            </w:pPr>
            <w:r>
              <w:rPr>
                <w:b/>
                <w:bCs/>
                <w:sz w:val="22"/>
                <w:szCs w:val="22"/>
              </w:rPr>
              <w:t>Previous Fee</w:t>
            </w:r>
            <w:r w:rsidR="00EB5D9D">
              <w:rPr>
                <w:b/>
                <w:bCs/>
                <w:sz w:val="22"/>
                <w:szCs w:val="22"/>
              </w:rPr>
              <w:t xml:space="preserve"> (GST exempt)</w:t>
            </w:r>
          </w:p>
        </w:tc>
        <w:tc>
          <w:tcPr>
            <w:tcW w:w="1418" w:type="dxa"/>
            <w:tcBorders>
              <w:top w:val="single" w:sz="12" w:space="0" w:color="auto"/>
              <w:bottom w:val="single" w:sz="12" w:space="0" w:color="auto"/>
            </w:tcBorders>
          </w:tcPr>
          <w:p w14:paraId="644DE284" w14:textId="1E90C1A1" w:rsidR="00EB5D9D" w:rsidRPr="00652B7F" w:rsidRDefault="00964257" w:rsidP="000727D5">
            <w:pPr>
              <w:rPr>
                <w:b/>
                <w:bCs/>
                <w:sz w:val="22"/>
                <w:szCs w:val="22"/>
              </w:rPr>
            </w:pPr>
            <w:r>
              <w:rPr>
                <w:b/>
                <w:bCs/>
                <w:sz w:val="22"/>
                <w:szCs w:val="22"/>
              </w:rPr>
              <w:t xml:space="preserve">Fee </w:t>
            </w:r>
            <w:r w:rsidR="007E1BB5">
              <w:rPr>
                <w:b/>
                <w:bCs/>
                <w:sz w:val="22"/>
                <w:szCs w:val="22"/>
              </w:rPr>
              <w:t>on and after</w:t>
            </w:r>
            <w:r>
              <w:rPr>
                <w:b/>
                <w:bCs/>
                <w:sz w:val="22"/>
                <w:szCs w:val="22"/>
              </w:rPr>
              <w:t xml:space="preserve"> 1</w:t>
            </w:r>
            <w:r w:rsidR="005E5C6E">
              <w:rPr>
                <w:b/>
                <w:bCs/>
                <w:sz w:val="22"/>
                <w:szCs w:val="22"/>
              </w:rPr>
              <w:t> </w:t>
            </w:r>
            <w:r>
              <w:rPr>
                <w:b/>
                <w:bCs/>
                <w:sz w:val="22"/>
                <w:szCs w:val="22"/>
              </w:rPr>
              <w:t>July 20</w:t>
            </w:r>
            <w:r w:rsidR="00E11BC8">
              <w:rPr>
                <w:b/>
                <w:bCs/>
                <w:sz w:val="22"/>
                <w:szCs w:val="22"/>
              </w:rPr>
              <w:t>2</w:t>
            </w:r>
            <w:r w:rsidR="009F721A">
              <w:rPr>
                <w:b/>
                <w:bCs/>
                <w:sz w:val="22"/>
                <w:szCs w:val="22"/>
              </w:rPr>
              <w:t>3</w:t>
            </w:r>
            <w:r w:rsidR="00EB5D9D">
              <w:rPr>
                <w:b/>
                <w:bCs/>
                <w:sz w:val="22"/>
                <w:szCs w:val="22"/>
              </w:rPr>
              <w:t xml:space="preserve"> (GST exempt)</w:t>
            </w:r>
          </w:p>
        </w:tc>
      </w:tr>
      <w:tr w:rsidR="00DB1E0E" w:rsidRPr="00A01B5F" w14:paraId="58AD7FE1" w14:textId="77777777" w:rsidTr="007235CD">
        <w:trPr>
          <w:trHeight w:val="260"/>
          <w:tblHeader/>
          <w:jc w:val="center"/>
        </w:trPr>
        <w:tc>
          <w:tcPr>
            <w:tcW w:w="1269" w:type="dxa"/>
            <w:tcBorders>
              <w:top w:val="single" w:sz="12" w:space="0" w:color="auto"/>
              <w:right w:val="nil"/>
            </w:tcBorders>
          </w:tcPr>
          <w:p w14:paraId="3078838D" w14:textId="77777777" w:rsidR="00DB1E0E" w:rsidRPr="00A01B5F" w:rsidRDefault="00DB1E0E" w:rsidP="00DB1E0E">
            <w:pPr>
              <w:rPr>
                <w:szCs w:val="24"/>
              </w:rPr>
            </w:pPr>
            <w:r w:rsidRPr="00A01B5F">
              <w:rPr>
                <w:szCs w:val="24"/>
              </w:rPr>
              <w:t>12</w:t>
            </w:r>
          </w:p>
        </w:tc>
        <w:tc>
          <w:tcPr>
            <w:tcW w:w="5512" w:type="dxa"/>
            <w:tcBorders>
              <w:top w:val="single" w:sz="12" w:space="0" w:color="auto"/>
              <w:left w:val="nil"/>
              <w:right w:val="nil"/>
            </w:tcBorders>
          </w:tcPr>
          <w:p w14:paraId="1A5B93B6" w14:textId="193F814D" w:rsidR="00DB1E0E" w:rsidRDefault="00DB1E0E" w:rsidP="00DB1E0E">
            <w:pPr>
              <w:rPr>
                <w:szCs w:val="24"/>
              </w:rPr>
            </w:pPr>
            <w:r>
              <w:rPr>
                <w:szCs w:val="24"/>
              </w:rPr>
              <w:t>A</w:t>
            </w:r>
            <w:r w:rsidRPr="00A01B5F">
              <w:rPr>
                <w:szCs w:val="24"/>
              </w:rPr>
              <w:t>pplication for approval of a change of ownership</w:t>
            </w:r>
          </w:p>
          <w:p w14:paraId="463E7EA4" w14:textId="77777777" w:rsidR="00DB1E0E" w:rsidRPr="00A01B5F" w:rsidRDefault="00DB1E0E" w:rsidP="00DB1E0E">
            <w:pPr>
              <w:rPr>
                <w:szCs w:val="24"/>
              </w:rPr>
            </w:pPr>
          </w:p>
        </w:tc>
        <w:tc>
          <w:tcPr>
            <w:tcW w:w="1418" w:type="dxa"/>
            <w:tcBorders>
              <w:top w:val="single" w:sz="12" w:space="0" w:color="auto"/>
              <w:left w:val="nil"/>
            </w:tcBorders>
          </w:tcPr>
          <w:p w14:paraId="668D2507" w14:textId="50F6ECA1" w:rsidR="00DB1E0E" w:rsidRPr="00A01B5F" w:rsidRDefault="009F721A" w:rsidP="00DB1E0E">
            <w:pPr>
              <w:rPr>
                <w:szCs w:val="24"/>
              </w:rPr>
            </w:pPr>
            <w:r w:rsidRPr="009F721A">
              <w:rPr>
                <w:szCs w:val="24"/>
              </w:rPr>
              <w:t>3,238.00</w:t>
            </w:r>
          </w:p>
        </w:tc>
        <w:tc>
          <w:tcPr>
            <w:tcW w:w="1418" w:type="dxa"/>
            <w:tcBorders>
              <w:top w:val="single" w:sz="12" w:space="0" w:color="auto"/>
              <w:left w:val="nil"/>
            </w:tcBorders>
          </w:tcPr>
          <w:p w14:paraId="4FD27A5F" w14:textId="65C57170" w:rsidR="00DB1E0E" w:rsidRDefault="00E728FC" w:rsidP="00DB1E0E">
            <w:pPr>
              <w:rPr>
                <w:szCs w:val="24"/>
              </w:rPr>
            </w:pPr>
            <w:r>
              <w:rPr>
                <w:szCs w:val="24"/>
              </w:rPr>
              <w:t>3,359</w:t>
            </w:r>
            <w:r w:rsidR="00DB1E0E">
              <w:rPr>
                <w:szCs w:val="24"/>
              </w:rPr>
              <w:t>.00</w:t>
            </w:r>
          </w:p>
        </w:tc>
      </w:tr>
      <w:tr w:rsidR="00DB1E0E" w14:paraId="1FC10989" w14:textId="77777777" w:rsidTr="007235CD">
        <w:trPr>
          <w:trHeight w:val="117"/>
          <w:tblHeader/>
          <w:jc w:val="center"/>
        </w:trPr>
        <w:tc>
          <w:tcPr>
            <w:tcW w:w="1269" w:type="dxa"/>
            <w:tcBorders>
              <w:right w:val="nil"/>
            </w:tcBorders>
          </w:tcPr>
          <w:p w14:paraId="130FADC3" w14:textId="77777777" w:rsidR="00DB1E0E" w:rsidRPr="00A01B5F" w:rsidRDefault="00DB1E0E" w:rsidP="00DB1E0E">
            <w:pPr>
              <w:rPr>
                <w:szCs w:val="24"/>
              </w:rPr>
            </w:pPr>
            <w:r w:rsidRPr="00A01B5F">
              <w:rPr>
                <w:szCs w:val="24"/>
              </w:rPr>
              <w:t>15(1)</w:t>
            </w:r>
          </w:p>
        </w:tc>
        <w:tc>
          <w:tcPr>
            <w:tcW w:w="5512" w:type="dxa"/>
            <w:tcBorders>
              <w:left w:val="nil"/>
              <w:right w:val="nil"/>
            </w:tcBorders>
          </w:tcPr>
          <w:p w14:paraId="5B89CF34" w14:textId="2F5A587C" w:rsidR="00DB1E0E" w:rsidRDefault="00DB1E0E" w:rsidP="00DB1E0E">
            <w:pPr>
              <w:rPr>
                <w:szCs w:val="24"/>
              </w:rPr>
            </w:pPr>
            <w:r>
              <w:rPr>
                <w:szCs w:val="24"/>
              </w:rPr>
              <w:t>A</w:t>
            </w:r>
            <w:r w:rsidRPr="00A01B5F">
              <w:rPr>
                <w:szCs w:val="24"/>
              </w:rPr>
              <w:t>pplication for approval of a proposed casino lease</w:t>
            </w:r>
          </w:p>
          <w:p w14:paraId="50DEF507" w14:textId="77777777" w:rsidR="00DB1E0E" w:rsidRPr="00A01B5F" w:rsidRDefault="00DB1E0E" w:rsidP="00DB1E0E">
            <w:pPr>
              <w:rPr>
                <w:szCs w:val="24"/>
              </w:rPr>
            </w:pPr>
          </w:p>
        </w:tc>
        <w:tc>
          <w:tcPr>
            <w:tcW w:w="1418" w:type="dxa"/>
            <w:tcBorders>
              <w:left w:val="nil"/>
            </w:tcBorders>
          </w:tcPr>
          <w:p w14:paraId="146AE00B" w14:textId="584F2999" w:rsidR="00DB1E0E" w:rsidRPr="00A01B5F" w:rsidRDefault="009F721A" w:rsidP="00DB1E0E">
            <w:pPr>
              <w:rPr>
                <w:szCs w:val="24"/>
              </w:rPr>
            </w:pPr>
            <w:r w:rsidRPr="009F721A">
              <w:rPr>
                <w:szCs w:val="24"/>
              </w:rPr>
              <w:t>3,238.00</w:t>
            </w:r>
          </w:p>
        </w:tc>
        <w:tc>
          <w:tcPr>
            <w:tcW w:w="1418" w:type="dxa"/>
            <w:tcBorders>
              <w:left w:val="nil"/>
            </w:tcBorders>
          </w:tcPr>
          <w:p w14:paraId="6321B8F2" w14:textId="28A1B3E9" w:rsidR="00DB1E0E" w:rsidRDefault="00603557" w:rsidP="00DB1E0E">
            <w:pPr>
              <w:rPr>
                <w:szCs w:val="24"/>
              </w:rPr>
            </w:pPr>
            <w:r>
              <w:rPr>
                <w:szCs w:val="24"/>
              </w:rPr>
              <w:t>3,</w:t>
            </w:r>
            <w:r w:rsidR="00E728FC">
              <w:rPr>
                <w:szCs w:val="24"/>
              </w:rPr>
              <w:t>359</w:t>
            </w:r>
            <w:r w:rsidR="00DB1E0E">
              <w:rPr>
                <w:szCs w:val="24"/>
              </w:rPr>
              <w:t>.00</w:t>
            </w:r>
          </w:p>
        </w:tc>
      </w:tr>
      <w:tr w:rsidR="00DB1E0E" w14:paraId="740300DE" w14:textId="77777777" w:rsidTr="007235CD">
        <w:trPr>
          <w:trHeight w:val="56"/>
          <w:tblHeader/>
          <w:jc w:val="center"/>
        </w:trPr>
        <w:tc>
          <w:tcPr>
            <w:tcW w:w="1269" w:type="dxa"/>
            <w:tcBorders>
              <w:right w:val="nil"/>
            </w:tcBorders>
          </w:tcPr>
          <w:p w14:paraId="4B979CA5" w14:textId="77777777" w:rsidR="00DB1E0E" w:rsidRPr="00A01B5F" w:rsidRDefault="00DB1E0E" w:rsidP="00DB1E0E">
            <w:pPr>
              <w:rPr>
                <w:szCs w:val="24"/>
              </w:rPr>
            </w:pPr>
            <w:r w:rsidRPr="00A01B5F">
              <w:rPr>
                <w:szCs w:val="24"/>
              </w:rPr>
              <w:t>17(1)</w:t>
            </w:r>
          </w:p>
        </w:tc>
        <w:tc>
          <w:tcPr>
            <w:tcW w:w="5512" w:type="dxa"/>
            <w:tcBorders>
              <w:left w:val="nil"/>
              <w:right w:val="nil"/>
            </w:tcBorders>
          </w:tcPr>
          <w:p w14:paraId="1261318C" w14:textId="716C66F4" w:rsidR="00DB1E0E" w:rsidRDefault="00DB1E0E" w:rsidP="00DB1E0E">
            <w:pPr>
              <w:rPr>
                <w:szCs w:val="24"/>
              </w:rPr>
            </w:pPr>
            <w:r>
              <w:rPr>
                <w:szCs w:val="24"/>
              </w:rPr>
              <w:t>A</w:t>
            </w:r>
            <w:r w:rsidRPr="00A01B5F">
              <w:rPr>
                <w:szCs w:val="24"/>
              </w:rPr>
              <w:t>pplication for approval to amend a casino lease</w:t>
            </w:r>
          </w:p>
          <w:p w14:paraId="35B685E7" w14:textId="77777777" w:rsidR="00DB1E0E" w:rsidRPr="00A01B5F" w:rsidRDefault="00DB1E0E" w:rsidP="00DB1E0E">
            <w:pPr>
              <w:rPr>
                <w:szCs w:val="24"/>
              </w:rPr>
            </w:pPr>
          </w:p>
        </w:tc>
        <w:tc>
          <w:tcPr>
            <w:tcW w:w="1418" w:type="dxa"/>
            <w:tcBorders>
              <w:left w:val="nil"/>
            </w:tcBorders>
          </w:tcPr>
          <w:p w14:paraId="363BB1AE" w14:textId="675229DB" w:rsidR="00DB1E0E" w:rsidRPr="00A01B5F" w:rsidRDefault="009F721A" w:rsidP="00DB1E0E">
            <w:pPr>
              <w:rPr>
                <w:szCs w:val="24"/>
              </w:rPr>
            </w:pPr>
            <w:r w:rsidRPr="009F721A">
              <w:rPr>
                <w:szCs w:val="24"/>
              </w:rPr>
              <w:t>808.00</w:t>
            </w:r>
          </w:p>
        </w:tc>
        <w:tc>
          <w:tcPr>
            <w:tcW w:w="1418" w:type="dxa"/>
            <w:tcBorders>
              <w:left w:val="nil"/>
            </w:tcBorders>
          </w:tcPr>
          <w:p w14:paraId="2B1C33FB" w14:textId="561CA0BB" w:rsidR="00DB1E0E" w:rsidRDefault="00603557" w:rsidP="00DB1E0E">
            <w:pPr>
              <w:rPr>
                <w:szCs w:val="24"/>
              </w:rPr>
            </w:pPr>
            <w:r>
              <w:rPr>
                <w:szCs w:val="24"/>
              </w:rPr>
              <w:t>8</w:t>
            </w:r>
            <w:r w:rsidR="00E728FC">
              <w:rPr>
                <w:szCs w:val="24"/>
              </w:rPr>
              <w:t>3</w:t>
            </w:r>
            <w:r>
              <w:rPr>
                <w:szCs w:val="24"/>
              </w:rPr>
              <w:t>8</w:t>
            </w:r>
            <w:r w:rsidR="00DB1E0E">
              <w:rPr>
                <w:szCs w:val="24"/>
              </w:rPr>
              <w:t>.00</w:t>
            </w:r>
          </w:p>
        </w:tc>
      </w:tr>
      <w:tr w:rsidR="00DB1E0E" w14:paraId="74B53CB3" w14:textId="77777777" w:rsidTr="007235CD">
        <w:trPr>
          <w:trHeight w:val="133"/>
          <w:tblHeader/>
          <w:jc w:val="center"/>
        </w:trPr>
        <w:tc>
          <w:tcPr>
            <w:tcW w:w="1269" w:type="dxa"/>
            <w:tcBorders>
              <w:right w:val="nil"/>
            </w:tcBorders>
          </w:tcPr>
          <w:p w14:paraId="324538F0" w14:textId="77777777" w:rsidR="00DB1E0E" w:rsidRPr="00A01B5F" w:rsidRDefault="00DB1E0E" w:rsidP="00DB1E0E">
            <w:pPr>
              <w:rPr>
                <w:szCs w:val="24"/>
              </w:rPr>
            </w:pPr>
            <w:r w:rsidRPr="00A01B5F">
              <w:rPr>
                <w:szCs w:val="24"/>
              </w:rPr>
              <w:t>29(1)</w:t>
            </w:r>
          </w:p>
        </w:tc>
        <w:tc>
          <w:tcPr>
            <w:tcW w:w="5512" w:type="dxa"/>
            <w:tcBorders>
              <w:left w:val="nil"/>
              <w:right w:val="nil"/>
            </w:tcBorders>
          </w:tcPr>
          <w:p w14:paraId="24A6256F" w14:textId="41B2A4E8" w:rsidR="00DB1E0E" w:rsidRDefault="00DB1E0E" w:rsidP="00DB1E0E">
            <w:pPr>
              <w:rPr>
                <w:szCs w:val="24"/>
              </w:rPr>
            </w:pPr>
            <w:r>
              <w:rPr>
                <w:szCs w:val="24"/>
              </w:rPr>
              <w:t>A</w:t>
            </w:r>
            <w:r w:rsidRPr="00A01B5F">
              <w:rPr>
                <w:szCs w:val="24"/>
              </w:rPr>
              <w:t>pplication to transfer the casino licence</w:t>
            </w:r>
          </w:p>
          <w:p w14:paraId="14F6C96D" w14:textId="77777777" w:rsidR="00DB1E0E" w:rsidRPr="00A01B5F" w:rsidRDefault="00DB1E0E" w:rsidP="00DB1E0E">
            <w:pPr>
              <w:rPr>
                <w:szCs w:val="24"/>
              </w:rPr>
            </w:pPr>
          </w:p>
        </w:tc>
        <w:tc>
          <w:tcPr>
            <w:tcW w:w="1418" w:type="dxa"/>
            <w:tcBorders>
              <w:left w:val="nil"/>
            </w:tcBorders>
          </w:tcPr>
          <w:p w14:paraId="5A9A139E" w14:textId="2AED6720" w:rsidR="00DB1E0E" w:rsidRPr="00A01B5F" w:rsidRDefault="009F721A" w:rsidP="00DB1E0E">
            <w:pPr>
              <w:rPr>
                <w:szCs w:val="24"/>
              </w:rPr>
            </w:pPr>
            <w:r w:rsidRPr="009F721A">
              <w:rPr>
                <w:szCs w:val="24"/>
              </w:rPr>
              <w:t>3,238.00</w:t>
            </w:r>
          </w:p>
        </w:tc>
        <w:tc>
          <w:tcPr>
            <w:tcW w:w="1418" w:type="dxa"/>
            <w:tcBorders>
              <w:left w:val="nil"/>
            </w:tcBorders>
          </w:tcPr>
          <w:p w14:paraId="63EF7701" w14:textId="6076A269" w:rsidR="00DB1E0E" w:rsidRDefault="00603557" w:rsidP="00DB1E0E">
            <w:pPr>
              <w:rPr>
                <w:szCs w:val="24"/>
              </w:rPr>
            </w:pPr>
            <w:r>
              <w:rPr>
                <w:szCs w:val="24"/>
              </w:rPr>
              <w:t>3,</w:t>
            </w:r>
            <w:r w:rsidR="00E728FC">
              <w:rPr>
                <w:szCs w:val="24"/>
              </w:rPr>
              <w:t>359</w:t>
            </w:r>
            <w:r w:rsidR="00DB1E0E">
              <w:rPr>
                <w:szCs w:val="24"/>
              </w:rPr>
              <w:t>.00</w:t>
            </w:r>
          </w:p>
        </w:tc>
      </w:tr>
      <w:tr w:rsidR="00DB1E0E" w14:paraId="2E84C227" w14:textId="77777777" w:rsidTr="007235CD">
        <w:trPr>
          <w:trHeight w:val="56"/>
          <w:tblHeader/>
          <w:jc w:val="center"/>
        </w:trPr>
        <w:tc>
          <w:tcPr>
            <w:tcW w:w="1269" w:type="dxa"/>
            <w:tcBorders>
              <w:right w:val="nil"/>
            </w:tcBorders>
          </w:tcPr>
          <w:p w14:paraId="67E688F9" w14:textId="77777777" w:rsidR="00DB1E0E" w:rsidRPr="00A01B5F" w:rsidRDefault="00DB1E0E" w:rsidP="00DB1E0E">
            <w:pPr>
              <w:rPr>
                <w:szCs w:val="24"/>
              </w:rPr>
            </w:pPr>
            <w:r w:rsidRPr="00A01B5F">
              <w:rPr>
                <w:szCs w:val="24"/>
              </w:rPr>
              <w:t>42(1)</w:t>
            </w:r>
          </w:p>
        </w:tc>
        <w:tc>
          <w:tcPr>
            <w:tcW w:w="5512" w:type="dxa"/>
            <w:tcBorders>
              <w:left w:val="nil"/>
              <w:right w:val="nil"/>
            </w:tcBorders>
          </w:tcPr>
          <w:p w14:paraId="1221B2AB" w14:textId="37C18FB1" w:rsidR="00DB1E0E" w:rsidRDefault="00DB1E0E" w:rsidP="00DB1E0E">
            <w:pPr>
              <w:rPr>
                <w:szCs w:val="24"/>
              </w:rPr>
            </w:pPr>
            <w:r>
              <w:rPr>
                <w:szCs w:val="24"/>
              </w:rPr>
              <w:t>A</w:t>
            </w:r>
            <w:r w:rsidRPr="00A01B5F">
              <w:rPr>
                <w:szCs w:val="24"/>
              </w:rPr>
              <w:t>pplication for a casino employee licence</w:t>
            </w:r>
          </w:p>
          <w:p w14:paraId="31D0076A" w14:textId="77777777" w:rsidR="00DB1E0E" w:rsidRPr="00A01B5F" w:rsidRDefault="00DB1E0E" w:rsidP="00DB1E0E">
            <w:pPr>
              <w:rPr>
                <w:szCs w:val="24"/>
              </w:rPr>
            </w:pPr>
          </w:p>
        </w:tc>
        <w:tc>
          <w:tcPr>
            <w:tcW w:w="1418" w:type="dxa"/>
            <w:tcBorders>
              <w:left w:val="nil"/>
            </w:tcBorders>
          </w:tcPr>
          <w:p w14:paraId="14B93751" w14:textId="669C83BF" w:rsidR="00DB1E0E" w:rsidRPr="00A01B5F" w:rsidRDefault="009F721A" w:rsidP="00DB1E0E">
            <w:pPr>
              <w:rPr>
                <w:szCs w:val="24"/>
              </w:rPr>
            </w:pPr>
            <w:r w:rsidRPr="009F721A">
              <w:rPr>
                <w:szCs w:val="24"/>
              </w:rPr>
              <w:t>193.00</w:t>
            </w:r>
          </w:p>
        </w:tc>
        <w:tc>
          <w:tcPr>
            <w:tcW w:w="1418" w:type="dxa"/>
            <w:tcBorders>
              <w:left w:val="nil"/>
            </w:tcBorders>
          </w:tcPr>
          <w:p w14:paraId="208BCEAF" w14:textId="1D772AE7" w:rsidR="00DB1E0E" w:rsidRDefault="00E728FC" w:rsidP="00DB1E0E">
            <w:pPr>
              <w:rPr>
                <w:szCs w:val="24"/>
              </w:rPr>
            </w:pPr>
            <w:r>
              <w:rPr>
                <w:szCs w:val="24"/>
              </w:rPr>
              <w:t>200</w:t>
            </w:r>
            <w:r w:rsidR="00DB1E0E">
              <w:rPr>
                <w:szCs w:val="24"/>
              </w:rPr>
              <w:t>.00</w:t>
            </w:r>
          </w:p>
        </w:tc>
      </w:tr>
      <w:tr w:rsidR="00DB1E0E" w14:paraId="020CA2AA" w14:textId="77777777" w:rsidTr="007235CD">
        <w:trPr>
          <w:trHeight w:val="149"/>
          <w:tblHeader/>
          <w:jc w:val="center"/>
        </w:trPr>
        <w:tc>
          <w:tcPr>
            <w:tcW w:w="1269" w:type="dxa"/>
            <w:tcBorders>
              <w:right w:val="nil"/>
            </w:tcBorders>
          </w:tcPr>
          <w:p w14:paraId="36191CF3" w14:textId="77777777" w:rsidR="00DB1E0E" w:rsidRPr="00A01B5F" w:rsidRDefault="00DB1E0E" w:rsidP="00DB1E0E">
            <w:pPr>
              <w:rPr>
                <w:szCs w:val="24"/>
              </w:rPr>
            </w:pPr>
            <w:r w:rsidRPr="00A01B5F">
              <w:rPr>
                <w:szCs w:val="24"/>
              </w:rPr>
              <w:t>46</w:t>
            </w:r>
          </w:p>
        </w:tc>
        <w:tc>
          <w:tcPr>
            <w:tcW w:w="5512" w:type="dxa"/>
            <w:tcBorders>
              <w:left w:val="nil"/>
              <w:right w:val="nil"/>
            </w:tcBorders>
          </w:tcPr>
          <w:p w14:paraId="7C785464" w14:textId="2C523E9A" w:rsidR="00DB1E0E" w:rsidRDefault="00DB1E0E" w:rsidP="00DB1E0E">
            <w:pPr>
              <w:rPr>
                <w:szCs w:val="24"/>
              </w:rPr>
            </w:pPr>
            <w:r>
              <w:rPr>
                <w:szCs w:val="24"/>
              </w:rPr>
              <w:t>R</w:t>
            </w:r>
            <w:r w:rsidRPr="00A01B5F">
              <w:rPr>
                <w:szCs w:val="24"/>
              </w:rPr>
              <w:t>eplace</w:t>
            </w:r>
            <w:r>
              <w:rPr>
                <w:szCs w:val="24"/>
              </w:rPr>
              <w:t>ment of</w:t>
            </w:r>
            <w:r w:rsidRPr="00A01B5F">
              <w:rPr>
                <w:szCs w:val="24"/>
              </w:rPr>
              <w:t xml:space="preserve"> a casino employee licence</w:t>
            </w:r>
          </w:p>
          <w:p w14:paraId="2F4A706C" w14:textId="77777777" w:rsidR="00DB1E0E" w:rsidRPr="00A01B5F" w:rsidRDefault="00DB1E0E" w:rsidP="00DB1E0E">
            <w:pPr>
              <w:rPr>
                <w:szCs w:val="24"/>
              </w:rPr>
            </w:pPr>
          </w:p>
        </w:tc>
        <w:tc>
          <w:tcPr>
            <w:tcW w:w="1418" w:type="dxa"/>
            <w:tcBorders>
              <w:left w:val="nil"/>
            </w:tcBorders>
          </w:tcPr>
          <w:p w14:paraId="55C7AEE2" w14:textId="2DA891F0" w:rsidR="00DB1E0E" w:rsidRPr="00A01B5F" w:rsidRDefault="009F721A" w:rsidP="00DB1E0E">
            <w:pPr>
              <w:rPr>
                <w:szCs w:val="24"/>
              </w:rPr>
            </w:pPr>
            <w:r w:rsidRPr="009F721A">
              <w:rPr>
                <w:szCs w:val="24"/>
              </w:rPr>
              <w:t>72.00</w:t>
            </w:r>
          </w:p>
        </w:tc>
        <w:tc>
          <w:tcPr>
            <w:tcW w:w="1418" w:type="dxa"/>
            <w:tcBorders>
              <w:left w:val="nil"/>
            </w:tcBorders>
          </w:tcPr>
          <w:p w14:paraId="688CF129" w14:textId="36F36620" w:rsidR="00DB1E0E" w:rsidRPr="00A01B5F" w:rsidRDefault="00603557" w:rsidP="00DB1E0E">
            <w:pPr>
              <w:rPr>
                <w:szCs w:val="24"/>
              </w:rPr>
            </w:pPr>
            <w:r>
              <w:rPr>
                <w:szCs w:val="24"/>
              </w:rPr>
              <w:t>7</w:t>
            </w:r>
            <w:r w:rsidR="00E728FC">
              <w:rPr>
                <w:szCs w:val="24"/>
              </w:rPr>
              <w:t>4</w:t>
            </w:r>
            <w:r w:rsidR="00DB1E0E">
              <w:rPr>
                <w:szCs w:val="24"/>
              </w:rPr>
              <w:t>.00</w:t>
            </w:r>
          </w:p>
        </w:tc>
      </w:tr>
      <w:tr w:rsidR="00DB1E0E" w14:paraId="7AD9B501" w14:textId="77777777" w:rsidTr="00964257">
        <w:trPr>
          <w:trHeight w:val="874"/>
          <w:tblHeader/>
          <w:jc w:val="center"/>
        </w:trPr>
        <w:tc>
          <w:tcPr>
            <w:tcW w:w="1269" w:type="dxa"/>
            <w:tcBorders>
              <w:right w:val="nil"/>
            </w:tcBorders>
          </w:tcPr>
          <w:p w14:paraId="39C91565" w14:textId="77777777" w:rsidR="00DB1E0E" w:rsidRPr="00A01B5F" w:rsidRDefault="00DB1E0E" w:rsidP="00DB1E0E">
            <w:pPr>
              <w:rPr>
                <w:szCs w:val="24"/>
              </w:rPr>
            </w:pPr>
            <w:r w:rsidRPr="00A01B5F">
              <w:rPr>
                <w:szCs w:val="24"/>
              </w:rPr>
              <w:t>47(1)</w:t>
            </w:r>
          </w:p>
        </w:tc>
        <w:tc>
          <w:tcPr>
            <w:tcW w:w="5512" w:type="dxa"/>
            <w:tcBorders>
              <w:left w:val="nil"/>
              <w:right w:val="nil"/>
            </w:tcBorders>
          </w:tcPr>
          <w:p w14:paraId="7246A207" w14:textId="6A3857E9" w:rsidR="00DB1E0E" w:rsidRDefault="00DB1E0E" w:rsidP="00DB1E0E">
            <w:pPr>
              <w:rPr>
                <w:szCs w:val="24"/>
              </w:rPr>
            </w:pPr>
            <w:r>
              <w:rPr>
                <w:szCs w:val="24"/>
              </w:rPr>
              <w:t>A</w:t>
            </w:r>
            <w:r w:rsidRPr="00A01B5F">
              <w:rPr>
                <w:szCs w:val="24"/>
              </w:rPr>
              <w:t>pplication for renewal of a casino employee licence</w:t>
            </w:r>
          </w:p>
          <w:p w14:paraId="1AC2CB53" w14:textId="77777777" w:rsidR="00DB1E0E" w:rsidRPr="00A01B5F" w:rsidRDefault="00DB1E0E" w:rsidP="00DB1E0E">
            <w:pPr>
              <w:rPr>
                <w:szCs w:val="24"/>
              </w:rPr>
            </w:pPr>
          </w:p>
        </w:tc>
        <w:tc>
          <w:tcPr>
            <w:tcW w:w="1418" w:type="dxa"/>
            <w:tcBorders>
              <w:left w:val="nil"/>
            </w:tcBorders>
          </w:tcPr>
          <w:p w14:paraId="3DFEEE78" w14:textId="7F88B83F" w:rsidR="00DB1E0E" w:rsidRPr="00A01B5F" w:rsidRDefault="009F721A" w:rsidP="00DB1E0E">
            <w:pPr>
              <w:rPr>
                <w:szCs w:val="24"/>
              </w:rPr>
            </w:pPr>
            <w:r w:rsidRPr="009F721A">
              <w:rPr>
                <w:szCs w:val="24"/>
              </w:rPr>
              <w:t>49.00</w:t>
            </w:r>
          </w:p>
        </w:tc>
        <w:tc>
          <w:tcPr>
            <w:tcW w:w="1418" w:type="dxa"/>
            <w:tcBorders>
              <w:left w:val="nil"/>
            </w:tcBorders>
          </w:tcPr>
          <w:p w14:paraId="780F37B9" w14:textId="3B11390E" w:rsidR="00DB1E0E" w:rsidRDefault="00E728FC" w:rsidP="00DB1E0E">
            <w:pPr>
              <w:rPr>
                <w:szCs w:val="24"/>
              </w:rPr>
            </w:pPr>
            <w:r>
              <w:rPr>
                <w:szCs w:val="24"/>
              </w:rPr>
              <w:t>50</w:t>
            </w:r>
            <w:r w:rsidR="00DB1E0E">
              <w:rPr>
                <w:szCs w:val="24"/>
              </w:rPr>
              <w:t>.00</w:t>
            </w:r>
          </w:p>
        </w:tc>
      </w:tr>
      <w:tr w:rsidR="00DB1E0E" w14:paraId="1BE7F1E2" w14:textId="77777777" w:rsidTr="007235CD">
        <w:trPr>
          <w:trHeight w:val="56"/>
          <w:tblHeader/>
          <w:jc w:val="center"/>
        </w:trPr>
        <w:tc>
          <w:tcPr>
            <w:tcW w:w="1269" w:type="dxa"/>
            <w:tcBorders>
              <w:right w:val="nil"/>
            </w:tcBorders>
          </w:tcPr>
          <w:p w14:paraId="0D01F0DC" w14:textId="77777777" w:rsidR="00DB1E0E" w:rsidRPr="00A01B5F" w:rsidRDefault="00DB1E0E" w:rsidP="00DB1E0E">
            <w:pPr>
              <w:rPr>
                <w:szCs w:val="24"/>
              </w:rPr>
            </w:pPr>
            <w:r w:rsidRPr="00A01B5F">
              <w:rPr>
                <w:szCs w:val="24"/>
              </w:rPr>
              <w:t>52(1)</w:t>
            </w:r>
          </w:p>
        </w:tc>
        <w:tc>
          <w:tcPr>
            <w:tcW w:w="5512" w:type="dxa"/>
            <w:tcBorders>
              <w:left w:val="nil"/>
              <w:right w:val="nil"/>
            </w:tcBorders>
          </w:tcPr>
          <w:p w14:paraId="1E81E763" w14:textId="0E9167CE" w:rsidR="00DB1E0E" w:rsidRDefault="00DB1E0E" w:rsidP="00DB1E0E">
            <w:pPr>
              <w:rPr>
                <w:szCs w:val="24"/>
              </w:rPr>
            </w:pPr>
            <w:r>
              <w:rPr>
                <w:szCs w:val="24"/>
              </w:rPr>
              <w:t>A</w:t>
            </w:r>
            <w:r w:rsidRPr="00A01B5F">
              <w:rPr>
                <w:szCs w:val="24"/>
              </w:rPr>
              <w:t>pplication to change the prescribed functions</w:t>
            </w:r>
            <w:r>
              <w:rPr>
                <w:szCs w:val="24"/>
              </w:rPr>
              <w:t xml:space="preserve"> that may be performed by the holder</w:t>
            </w:r>
            <w:r w:rsidRPr="00A01B5F">
              <w:rPr>
                <w:szCs w:val="24"/>
              </w:rPr>
              <w:t xml:space="preserve"> of a casino employee licence</w:t>
            </w:r>
          </w:p>
          <w:p w14:paraId="78969508" w14:textId="77777777" w:rsidR="00DB1E0E" w:rsidRPr="00A01B5F" w:rsidRDefault="00DB1E0E" w:rsidP="00DB1E0E">
            <w:pPr>
              <w:rPr>
                <w:szCs w:val="24"/>
              </w:rPr>
            </w:pPr>
          </w:p>
        </w:tc>
        <w:tc>
          <w:tcPr>
            <w:tcW w:w="1418" w:type="dxa"/>
            <w:tcBorders>
              <w:left w:val="nil"/>
            </w:tcBorders>
          </w:tcPr>
          <w:p w14:paraId="43E04C77" w14:textId="45AC4633" w:rsidR="00DB1E0E" w:rsidRPr="00A01B5F" w:rsidRDefault="009F721A" w:rsidP="00DB1E0E">
            <w:pPr>
              <w:rPr>
                <w:szCs w:val="24"/>
              </w:rPr>
            </w:pPr>
            <w:r w:rsidRPr="009F721A">
              <w:rPr>
                <w:szCs w:val="24"/>
              </w:rPr>
              <w:t>72.00</w:t>
            </w:r>
          </w:p>
        </w:tc>
        <w:tc>
          <w:tcPr>
            <w:tcW w:w="1418" w:type="dxa"/>
            <w:tcBorders>
              <w:left w:val="nil"/>
            </w:tcBorders>
          </w:tcPr>
          <w:p w14:paraId="0EE2551D" w14:textId="7D0DFF8B" w:rsidR="00DB1E0E" w:rsidRDefault="00603557" w:rsidP="00DB1E0E">
            <w:pPr>
              <w:rPr>
                <w:szCs w:val="24"/>
              </w:rPr>
            </w:pPr>
            <w:r>
              <w:rPr>
                <w:szCs w:val="24"/>
              </w:rPr>
              <w:t>7</w:t>
            </w:r>
            <w:r w:rsidR="00E728FC">
              <w:rPr>
                <w:szCs w:val="24"/>
              </w:rPr>
              <w:t>4</w:t>
            </w:r>
            <w:r w:rsidR="00DB1E0E">
              <w:rPr>
                <w:szCs w:val="24"/>
              </w:rPr>
              <w:t>.00</w:t>
            </w:r>
          </w:p>
        </w:tc>
      </w:tr>
      <w:tr w:rsidR="00DB1E0E" w14:paraId="1CDF6795" w14:textId="77777777" w:rsidTr="007235CD">
        <w:trPr>
          <w:trHeight w:val="408"/>
          <w:tblHeader/>
          <w:jc w:val="center"/>
        </w:trPr>
        <w:tc>
          <w:tcPr>
            <w:tcW w:w="1269" w:type="dxa"/>
            <w:tcBorders>
              <w:right w:val="nil"/>
            </w:tcBorders>
          </w:tcPr>
          <w:p w14:paraId="2C37355B" w14:textId="77777777" w:rsidR="00DB1E0E" w:rsidRPr="00A01B5F" w:rsidRDefault="00DB1E0E" w:rsidP="00DB1E0E">
            <w:pPr>
              <w:rPr>
                <w:szCs w:val="24"/>
              </w:rPr>
            </w:pPr>
            <w:r w:rsidRPr="00A01B5F">
              <w:rPr>
                <w:szCs w:val="24"/>
              </w:rPr>
              <w:t>87(1)</w:t>
            </w:r>
          </w:p>
        </w:tc>
        <w:tc>
          <w:tcPr>
            <w:tcW w:w="5512" w:type="dxa"/>
            <w:tcBorders>
              <w:left w:val="nil"/>
              <w:right w:val="nil"/>
            </w:tcBorders>
          </w:tcPr>
          <w:p w14:paraId="5D06BE1F" w14:textId="7CFF7BBB" w:rsidR="00DB1E0E" w:rsidRDefault="00DB1E0E" w:rsidP="00DB1E0E">
            <w:pPr>
              <w:rPr>
                <w:szCs w:val="24"/>
              </w:rPr>
            </w:pPr>
            <w:r>
              <w:rPr>
                <w:szCs w:val="24"/>
              </w:rPr>
              <w:t>A</w:t>
            </w:r>
            <w:r w:rsidRPr="00A01B5F">
              <w:rPr>
                <w:szCs w:val="24"/>
              </w:rPr>
              <w:t>pplication for revocation of an exclusion notice issued under section 82</w:t>
            </w:r>
          </w:p>
          <w:p w14:paraId="66B891D6" w14:textId="77777777" w:rsidR="00DB1E0E" w:rsidRPr="00A01B5F" w:rsidRDefault="00DB1E0E" w:rsidP="00DB1E0E">
            <w:pPr>
              <w:rPr>
                <w:szCs w:val="24"/>
              </w:rPr>
            </w:pPr>
          </w:p>
        </w:tc>
        <w:tc>
          <w:tcPr>
            <w:tcW w:w="1418" w:type="dxa"/>
            <w:tcBorders>
              <w:left w:val="nil"/>
            </w:tcBorders>
          </w:tcPr>
          <w:p w14:paraId="51BFB222" w14:textId="43D06CD7" w:rsidR="00DB1E0E" w:rsidRPr="00A01B5F" w:rsidRDefault="009F721A" w:rsidP="00DB1E0E">
            <w:pPr>
              <w:rPr>
                <w:szCs w:val="24"/>
              </w:rPr>
            </w:pPr>
            <w:r w:rsidRPr="009F721A">
              <w:rPr>
                <w:szCs w:val="24"/>
              </w:rPr>
              <w:t>157.00</w:t>
            </w:r>
          </w:p>
        </w:tc>
        <w:tc>
          <w:tcPr>
            <w:tcW w:w="1418" w:type="dxa"/>
            <w:tcBorders>
              <w:left w:val="nil"/>
            </w:tcBorders>
          </w:tcPr>
          <w:p w14:paraId="422191B3" w14:textId="5AF04BAF" w:rsidR="00DB1E0E" w:rsidRDefault="00603557" w:rsidP="00DB1E0E">
            <w:pPr>
              <w:rPr>
                <w:szCs w:val="24"/>
              </w:rPr>
            </w:pPr>
            <w:r>
              <w:rPr>
                <w:szCs w:val="24"/>
              </w:rPr>
              <w:t>1</w:t>
            </w:r>
            <w:r w:rsidR="00E728FC">
              <w:rPr>
                <w:szCs w:val="24"/>
              </w:rPr>
              <w:t>62</w:t>
            </w:r>
            <w:r w:rsidR="00DB1E0E">
              <w:rPr>
                <w:szCs w:val="24"/>
              </w:rPr>
              <w:t>.00</w:t>
            </w:r>
          </w:p>
        </w:tc>
      </w:tr>
      <w:tr w:rsidR="00DB1E0E" w14:paraId="0AD28B32" w14:textId="77777777" w:rsidTr="007235CD">
        <w:trPr>
          <w:trHeight w:val="137"/>
          <w:tblHeader/>
          <w:jc w:val="center"/>
        </w:trPr>
        <w:tc>
          <w:tcPr>
            <w:tcW w:w="1269" w:type="dxa"/>
            <w:tcBorders>
              <w:right w:val="nil"/>
            </w:tcBorders>
          </w:tcPr>
          <w:p w14:paraId="419573A7" w14:textId="77777777" w:rsidR="00DB1E0E" w:rsidRPr="00A01B5F" w:rsidRDefault="00DB1E0E" w:rsidP="00DB1E0E">
            <w:pPr>
              <w:rPr>
                <w:szCs w:val="24"/>
              </w:rPr>
            </w:pPr>
            <w:r w:rsidRPr="00A01B5F">
              <w:rPr>
                <w:szCs w:val="24"/>
              </w:rPr>
              <w:t>95(1)</w:t>
            </w:r>
          </w:p>
        </w:tc>
        <w:tc>
          <w:tcPr>
            <w:tcW w:w="5512" w:type="dxa"/>
            <w:tcBorders>
              <w:left w:val="nil"/>
              <w:right w:val="nil"/>
            </w:tcBorders>
          </w:tcPr>
          <w:p w14:paraId="1D82B42C" w14:textId="3339524B" w:rsidR="00DB1E0E" w:rsidRDefault="00DB1E0E" w:rsidP="00DB1E0E">
            <w:pPr>
              <w:rPr>
                <w:szCs w:val="24"/>
              </w:rPr>
            </w:pPr>
            <w:r>
              <w:rPr>
                <w:szCs w:val="24"/>
              </w:rPr>
              <w:t>A</w:t>
            </w:r>
            <w:r w:rsidRPr="00A01B5F">
              <w:rPr>
                <w:szCs w:val="24"/>
              </w:rPr>
              <w:t>pplication for a declaration that a game is an authorised game</w:t>
            </w:r>
          </w:p>
          <w:p w14:paraId="3A46C20B" w14:textId="77777777" w:rsidR="00DB1E0E" w:rsidRPr="00A01B5F" w:rsidRDefault="00DB1E0E" w:rsidP="00DB1E0E">
            <w:pPr>
              <w:rPr>
                <w:szCs w:val="24"/>
              </w:rPr>
            </w:pPr>
          </w:p>
        </w:tc>
        <w:tc>
          <w:tcPr>
            <w:tcW w:w="1418" w:type="dxa"/>
            <w:tcBorders>
              <w:left w:val="nil"/>
            </w:tcBorders>
          </w:tcPr>
          <w:p w14:paraId="478EF377" w14:textId="091353B5" w:rsidR="00DB1E0E" w:rsidRPr="00A01B5F" w:rsidRDefault="009F721A" w:rsidP="00DB1E0E">
            <w:pPr>
              <w:rPr>
                <w:szCs w:val="24"/>
              </w:rPr>
            </w:pPr>
            <w:r w:rsidRPr="009F721A">
              <w:rPr>
                <w:szCs w:val="24"/>
              </w:rPr>
              <w:t>144.00</w:t>
            </w:r>
          </w:p>
        </w:tc>
        <w:tc>
          <w:tcPr>
            <w:tcW w:w="1418" w:type="dxa"/>
            <w:tcBorders>
              <w:left w:val="nil"/>
            </w:tcBorders>
          </w:tcPr>
          <w:p w14:paraId="521F0368" w14:textId="457F053E" w:rsidR="00DB1E0E" w:rsidRDefault="00603557" w:rsidP="00DB1E0E">
            <w:pPr>
              <w:rPr>
                <w:szCs w:val="24"/>
              </w:rPr>
            </w:pPr>
            <w:r>
              <w:rPr>
                <w:szCs w:val="24"/>
              </w:rPr>
              <w:t>14</w:t>
            </w:r>
            <w:r w:rsidR="00E728FC">
              <w:rPr>
                <w:szCs w:val="24"/>
              </w:rPr>
              <w:t>9</w:t>
            </w:r>
            <w:r w:rsidR="00DB1E0E">
              <w:rPr>
                <w:szCs w:val="24"/>
              </w:rPr>
              <w:t>.00</w:t>
            </w:r>
          </w:p>
        </w:tc>
      </w:tr>
      <w:tr w:rsidR="00DB1E0E" w14:paraId="611CA2D1" w14:textId="77777777" w:rsidTr="007235CD">
        <w:trPr>
          <w:trHeight w:val="135"/>
          <w:tblHeader/>
          <w:jc w:val="center"/>
        </w:trPr>
        <w:tc>
          <w:tcPr>
            <w:tcW w:w="1269" w:type="dxa"/>
            <w:tcBorders>
              <w:top w:val="dotted" w:sz="4" w:space="0" w:color="auto"/>
              <w:right w:val="nil"/>
            </w:tcBorders>
          </w:tcPr>
          <w:p w14:paraId="500DAD7B" w14:textId="77777777" w:rsidR="00DB1E0E" w:rsidRPr="00A01B5F" w:rsidRDefault="00DB1E0E" w:rsidP="00DB1E0E">
            <w:pPr>
              <w:rPr>
                <w:szCs w:val="24"/>
              </w:rPr>
            </w:pPr>
            <w:r w:rsidRPr="00A01B5F">
              <w:rPr>
                <w:szCs w:val="24"/>
              </w:rPr>
              <w:t>96(1)</w:t>
            </w:r>
          </w:p>
        </w:tc>
        <w:tc>
          <w:tcPr>
            <w:tcW w:w="5512" w:type="dxa"/>
            <w:tcBorders>
              <w:top w:val="dotted" w:sz="4" w:space="0" w:color="auto"/>
              <w:left w:val="nil"/>
              <w:right w:val="nil"/>
            </w:tcBorders>
          </w:tcPr>
          <w:p w14:paraId="37C51888" w14:textId="2633D69E" w:rsidR="00DB1E0E" w:rsidRDefault="00DB1E0E" w:rsidP="00DB1E0E">
            <w:pPr>
              <w:rPr>
                <w:szCs w:val="24"/>
              </w:rPr>
            </w:pPr>
            <w:r>
              <w:rPr>
                <w:szCs w:val="24"/>
              </w:rPr>
              <w:t>A</w:t>
            </w:r>
            <w:r w:rsidRPr="00A01B5F">
              <w:rPr>
                <w:szCs w:val="24"/>
              </w:rPr>
              <w:t>pplication for approval of the rules for an authorised game</w:t>
            </w:r>
          </w:p>
          <w:p w14:paraId="1F4AF2DF" w14:textId="77777777" w:rsidR="00DB1E0E" w:rsidRPr="00A01B5F" w:rsidRDefault="00DB1E0E" w:rsidP="00DB1E0E">
            <w:pPr>
              <w:rPr>
                <w:szCs w:val="24"/>
              </w:rPr>
            </w:pPr>
          </w:p>
        </w:tc>
        <w:tc>
          <w:tcPr>
            <w:tcW w:w="1418" w:type="dxa"/>
            <w:tcBorders>
              <w:top w:val="dotted" w:sz="4" w:space="0" w:color="auto"/>
              <w:left w:val="nil"/>
            </w:tcBorders>
          </w:tcPr>
          <w:p w14:paraId="19542A35" w14:textId="2A182B8D" w:rsidR="00DB1E0E" w:rsidRPr="00A01B5F" w:rsidRDefault="009F721A" w:rsidP="00DB1E0E">
            <w:pPr>
              <w:rPr>
                <w:szCs w:val="24"/>
              </w:rPr>
            </w:pPr>
            <w:r w:rsidRPr="009F721A">
              <w:rPr>
                <w:szCs w:val="24"/>
              </w:rPr>
              <w:t>644.00</w:t>
            </w:r>
          </w:p>
        </w:tc>
        <w:tc>
          <w:tcPr>
            <w:tcW w:w="1418" w:type="dxa"/>
            <w:tcBorders>
              <w:top w:val="dotted" w:sz="4" w:space="0" w:color="auto"/>
              <w:left w:val="nil"/>
            </w:tcBorders>
          </w:tcPr>
          <w:p w14:paraId="4CE3FAE3" w14:textId="7C4B847B" w:rsidR="00DB1E0E" w:rsidRDefault="00603557" w:rsidP="00DB1E0E">
            <w:pPr>
              <w:rPr>
                <w:szCs w:val="24"/>
              </w:rPr>
            </w:pPr>
            <w:r>
              <w:rPr>
                <w:szCs w:val="24"/>
              </w:rPr>
              <w:t>6</w:t>
            </w:r>
            <w:r w:rsidR="00E728FC">
              <w:rPr>
                <w:szCs w:val="24"/>
              </w:rPr>
              <w:t>68</w:t>
            </w:r>
            <w:r w:rsidR="007E75B9">
              <w:rPr>
                <w:szCs w:val="24"/>
              </w:rPr>
              <w:t>.00</w:t>
            </w:r>
          </w:p>
        </w:tc>
      </w:tr>
      <w:tr w:rsidR="00DB1E0E" w14:paraId="2CCE8410" w14:textId="77777777" w:rsidTr="007235CD">
        <w:trPr>
          <w:trHeight w:val="56"/>
          <w:tblHeader/>
          <w:jc w:val="center"/>
        </w:trPr>
        <w:tc>
          <w:tcPr>
            <w:tcW w:w="1269" w:type="dxa"/>
            <w:tcBorders>
              <w:right w:val="nil"/>
            </w:tcBorders>
          </w:tcPr>
          <w:p w14:paraId="229F094A" w14:textId="77777777" w:rsidR="00DB1E0E" w:rsidRPr="00A01B5F" w:rsidRDefault="00DB1E0E" w:rsidP="00DB1E0E">
            <w:pPr>
              <w:rPr>
                <w:szCs w:val="24"/>
              </w:rPr>
            </w:pPr>
            <w:r w:rsidRPr="00A01B5F">
              <w:rPr>
                <w:szCs w:val="24"/>
              </w:rPr>
              <w:t>97(1)</w:t>
            </w:r>
          </w:p>
        </w:tc>
        <w:tc>
          <w:tcPr>
            <w:tcW w:w="5512" w:type="dxa"/>
            <w:tcBorders>
              <w:left w:val="nil"/>
              <w:right w:val="nil"/>
            </w:tcBorders>
          </w:tcPr>
          <w:p w14:paraId="4A341BCC" w14:textId="20D17376" w:rsidR="00DB1E0E" w:rsidRDefault="00DB1E0E" w:rsidP="00DB1E0E">
            <w:pPr>
              <w:rPr>
                <w:szCs w:val="24"/>
              </w:rPr>
            </w:pPr>
            <w:r>
              <w:rPr>
                <w:szCs w:val="24"/>
              </w:rPr>
              <w:t>A</w:t>
            </w:r>
            <w:r w:rsidRPr="00A01B5F">
              <w:rPr>
                <w:szCs w:val="24"/>
              </w:rPr>
              <w:t>pplication for approval to amend the rules of an authorised game</w:t>
            </w:r>
          </w:p>
          <w:p w14:paraId="4C1B38A0" w14:textId="77777777" w:rsidR="00DB1E0E" w:rsidRPr="00A01B5F" w:rsidRDefault="00DB1E0E" w:rsidP="00DB1E0E">
            <w:pPr>
              <w:rPr>
                <w:szCs w:val="24"/>
              </w:rPr>
            </w:pPr>
          </w:p>
        </w:tc>
        <w:tc>
          <w:tcPr>
            <w:tcW w:w="1418" w:type="dxa"/>
            <w:tcBorders>
              <w:left w:val="nil"/>
            </w:tcBorders>
          </w:tcPr>
          <w:p w14:paraId="4B5831F5" w14:textId="10B69CEB" w:rsidR="00DB1E0E" w:rsidRPr="00A01B5F" w:rsidRDefault="009F721A" w:rsidP="00DB1E0E">
            <w:pPr>
              <w:rPr>
                <w:szCs w:val="24"/>
              </w:rPr>
            </w:pPr>
            <w:r w:rsidRPr="009F721A">
              <w:rPr>
                <w:szCs w:val="24"/>
              </w:rPr>
              <w:t>157.00</w:t>
            </w:r>
          </w:p>
        </w:tc>
        <w:tc>
          <w:tcPr>
            <w:tcW w:w="1418" w:type="dxa"/>
            <w:tcBorders>
              <w:left w:val="nil"/>
            </w:tcBorders>
          </w:tcPr>
          <w:p w14:paraId="11816A0F" w14:textId="6E144689" w:rsidR="00DB1E0E" w:rsidRDefault="00603557" w:rsidP="00DB1E0E">
            <w:pPr>
              <w:rPr>
                <w:szCs w:val="24"/>
              </w:rPr>
            </w:pPr>
            <w:r>
              <w:rPr>
                <w:szCs w:val="24"/>
              </w:rPr>
              <w:t>1</w:t>
            </w:r>
            <w:r w:rsidR="00E728FC">
              <w:rPr>
                <w:szCs w:val="24"/>
              </w:rPr>
              <w:t>62</w:t>
            </w:r>
            <w:r w:rsidR="00DB1E0E">
              <w:rPr>
                <w:szCs w:val="24"/>
              </w:rPr>
              <w:t>.00</w:t>
            </w:r>
          </w:p>
        </w:tc>
      </w:tr>
      <w:tr w:rsidR="00DB1E0E" w14:paraId="047DA298" w14:textId="77777777" w:rsidTr="007235CD">
        <w:trPr>
          <w:trHeight w:val="598"/>
          <w:tblHeader/>
          <w:jc w:val="center"/>
        </w:trPr>
        <w:tc>
          <w:tcPr>
            <w:tcW w:w="1269" w:type="dxa"/>
            <w:tcBorders>
              <w:right w:val="nil"/>
            </w:tcBorders>
          </w:tcPr>
          <w:p w14:paraId="09AD1FA6" w14:textId="77777777" w:rsidR="00DB1E0E" w:rsidRPr="00A01B5F" w:rsidRDefault="00DB1E0E" w:rsidP="00DB1E0E">
            <w:pPr>
              <w:rPr>
                <w:szCs w:val="24"/>
              </w:rPr>
            </w:pPr>
            <w:r w:rsidRPr="00A01B5F">
              <w:rPr>
                <w:szCs w:val="24"/>
              </w:rPr>
              <w:t>131(1)</w:t>
            </w:r>
          </w:p>
        </w:tc>
        <w:tc>
          <w:tcPr>
            <w:tcW w:w="5512" w:type="dxa"/>
            <w:tcBorders>
              <w:left w:val="nil"/>
              <w:right w:val="nil"/>
            </w:tcBorders>
          </w:tcPr>
          <w:p w14:paraId="51A3E1DE" w14:textId="53C84BF1" w:rsidR="00DB1E0E" w:rsidRDefault="00DB1E0E" w:rsidP="00DB1E0E">
            <w:pPr>
              <w:rPr>
                <w:szCs w:val="24"/>
              </w:rPr>
            </w:pPr>
            <w:r>
              <w:rPr>
                <w:szCs w:val="24"/>
              </w:rPr>
              <w:t>A</w:t>
            </w:r>
            <w:r w:rsidRPr="00A01B5F">
              <w:rPr>
                <w:szCs w:val="24"/>
              </w:rPr>
              <w:t>pplication for approval to use a banking account</w:t>
            </w:r>
          </w:p>
          <w:p w14:paraId="171CF531" w14:textId="77777777" w:rsidR="00DB1E0E" w:rsidRPr="00A01B5F" w:rsidRDefault="00DB1E0E" w:rsidP="00DB1E0E">
            <w:pPr>
              <w:rPr>
                <w:szCs w:val="24"/>
              </w:rPr>
            </w:pPr>
          </w:p>
        </w:tc>
        <w:tc>
          <w:tcPr>
            <w:tcW w:w="1418" w:type="dxa"/>
            <w:tcBorders>
              <w:left w:val="nil"/>
            </w:tcBorders>
          </w:tcPr>
          <w:p w14:paraId="4CF70FB9" w14:textId="0C7C8BD1" w:rsidR="00DB1E0E" w:rsidRPr="00A01B5F" w:rsidRDefault="009F721A" w:rsidP="00DB1E0E">
            <w:pPr>
              <w:rPr>
                <w:szCs w:val="24"/>
              </w:rPr>
            </w:pPr>
            <w:r w:rsidRPr="009F721A">
              <w:rPr>
                <w:szCs w:val="24"/>
              </w:rPr>
              <w:t>157.00</w:t>
            </w:r>
          </w:p>
        </w:tc>
        <w:tc>
          <w:tcPr>
            <w:tcW w:w="1418" w:type="dxa"/>
            <w:tcBorders>
              <w:left w:val="nil"/>
            </w:tcBorders>
          </w:tcPr>
          <w:p w14:paraId="3D230B84" w14:textId="77AD9BAF" w:rsidR="00DB1E0E" w:rsidRDefault="00603557" w:rsidP="00DB1E0E">
            <w:pPr>
              <w:rPr>
                <w:szCs w:val="24"/>
              </w:rPr>
            </w:pPr>
            <w:r>
              <w:rPr>
                <w:szCs w:val="24"/>
              </w:rPr>
              <w:t>1</w:t>
            </w:r>
            <w:r w:rsidR="00E728FC">
              <w:rPr>
                <w:szCs w:val="24"/>
              </w:rPr>
              <w:t>62</w:t>
            </w:r>
            <w:r w:rsidR="007E75B9">
              <w:rPr>
                <w:szCs w:val="24"/>
              </w:rPr>
              <w:t>.00</w:t>
            </w:r>
          </w:p>
        </w:tc>
      </w:tr>
    </w:tbl>
    <w:p w14:paraId="62D35A50" w14:textId="77777777" w:rsidR="00B913C4" w:rsidRDefault="00B913C4" w:rsidP="00B913C4">
      <w:pPr>
        <w:tabs>
          <w:tab w:val="left" w:pos="1526"/>
          <w:tab w:val="left" w:pos="6487"/>
          <w:tab w:val="left" w:pos="7905"/>
        </w:tabs>
        <w:rPr>
          <w:b/>
          <w:bCs/>
        </w:rPr>
      </w:pPr>
    </w:p>
    <w:p w14:paraId="613C98A2" w14:textId="77777777" w:rsidR="00B913C4" w:rsidRDefault="00B913C4" w:rsidP="00B913C4">
      <w:pPr>
        <w:tabs>
          <w:tab w:val="left" w:pos="1526"/>
          <w:tab w:val="left" w:pos="6487"/>
          <w:tab w:val="left" w:pos="7905"/>
        </w:tabs>
        <w:rPr>
          <w:b/>
          <w:bCs/>
        </w:rPr>
      </w:pPr>
    </w:p>
    <w:sectPr w:rsidR="00B913C4" w:rsidSect="002E787F">
      <w:headerReference w:type="default" r:id="rId13"/>
      <w:pgSz w:w="11907" w:h="16840" w:code="9"/>
      <w:pgMar w:top="1440" w:right="1797" w:bottom="1418"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697FA" w14:textId="77777777" w:rsidR="00913FDB" w:rsidRDefault="00913FDB">
      <w:r>
        <w:separator/>
      </w:r>
    </w:p>
  </w:endnote>
  <w:endnote w:type="continuationSeparator" w:id="0">
    <w:p w14:paraId="6FE78D3B" w14:textId="77777777" w:rsidR="00913FDB" w:rsidRDefault="0091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290A" w14:textId="689490D0" w:rsidR="000748CC" w:rsidRPr="00754429" w:rsidRDefault="00754429" w:rsidP="00754429">
    <w:pPr>
      <w:pStyle w:val="Footer"/>
      <w:jc w:val="center"/>
      <w:rPr>
        <w:rFonts w:ascii="Arial" w:hAnsi="Arial" w:cs="Arial"/>
        <w:sz w:val="14"/>
      </w:rPr>
    </w:pPr>
    <w:r w:rsidRPr="00754429">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1113" w14:textId="27F47761" w:rsidR="000748CC" w:rsidRPr="00754429" w:rsidRDefault="00754429" w:rsidP="00754429">
    <w:pPr>
      <w:pStyle w:val="Footer"/>
      <w:jc w:val="center"/>
      <w:rPr>
        <w:rFonts w:ascii="Arial" w:hAnsi="Arial" w:cs="Arial"/>
        <w:sz w:val="14"/>
      </w:rPr>
    </w:pPr>
    <w:r w:rsidRPr="0075442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E798" w14:textId="77777777" w:rsidR="00754429" w:rsidRDefault="00754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EFA9" w14:textId="77777777" w:rsidR="00913FDB" w:rsidRDefault="00913FDB">
      <w:r>
        <w:separator/>
      </w:r>
    </w:p>
  </w:footnote>
  <w:footnote w:type="continuationSeparator" w:id="0">
    <w:p w14:paraId="47E029B5" w14:textId="77777777" w:rsidR="00913FDB" w:rsidRDefault="0091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145E" w14:textId="33E8D1C9" w:rsidR="000748CC" w:rsidRDefault="000748CC" w:rsidP="002E787F">
    <w:pPr>
      <w:pStyle w:val="Heading5"/>
      <w:tabs>
        <w:tab w:val="left" w:pos="6237"/>
      </w:tabs>
      <w:ind w:right="-427"/>
      <w:jc w:val="center"/>
      <w:rPr>
        <w:sz w:val="22"/>
        <w:szCs w:val="22"/>
      </w:rPr>
    </w:pPr>
    <w:bookmarkStart w:id="2" w:name="_Hlk104358017"/>
    <w:bookmarkStart w:id="3" w:name="_Hlk104358018"/>
    <w:r w:rsidRPr="003A39C6">
      <w:rPr>
        <w:sz w:val="22"/>
        <w:szCs w:val="22"/>
      </w:rPr>
      <w:t xml:space="preserve">This is page 1 of </w:t>
    </w:r>
    <w:r w:rsidR="00E11BC8">
      <w:rPr>
        <w:sz w:val="22"/>
        <w:szCs w:val="22"/>
      </w:rPr>
      <w:t>1</w:t>
    </w:r>
    <w:r w:rsidRPr="003A39C6">
      <w:rPr>
        <w:sz w:val="22"/>
        <w:szCs w:val="22"/>
      </w:rPr>
      <w:t xml:space="preserve"> page of </w:t>
    </w:r>
    <w:r w:rsidRPr="003A39C6">
      <w:rPr>
        <w:rStyle w:val="PageNumber"/>
        <w:sz w:val="22"/>
        <w:szCs w:val="22"/>
      </w:rPr>
      <w:t xml:space="preserve">the </w:t>
    </w:r>
    <w:r w:rsidRPr="003A39C6">
      <w:rPr>
        <w:sz w:val="22"/>
        <w:szCs w:val="22"/>
      </w:rPr>
      <w:t>Attachment to the Explanatory Statement to</w:t>
    </w:r>
    <w:r>
      <w:rPr>
        <w:sz w:val="22"/>
        <w:szCs w:val="22"/>
      </w:rPr>
      <w:t xml:space="preserve"> </w:t>
    </w:r>
    <w:r w:rsidRPr="003A39C6">
      <w:rPr>
        <w:sz w:val="22"/>
        <w:szCs w:val="22"/>
      </w:rPr>
      <w:t>the</w:t>
    </w:r>
  </w:p>
  <w:p w14:paraId="0CD626F4" w14:textId="60B51919" w:rsidR="000748CC" w:rsidRPr="003A39C6" w:rsidRDefault="000748CC" w:rsidP="002E787F">
    <w:pPr>
      <w:pStyle w:val="Heading5"/>
      <w:tabs>
        <w:tab w:val="left" w:pos="6237"/>
      </w:tabs>
      <w:ind w:right="-427"/>
      <w:jc w:val="center"/>
      <w:rPr>
        <w:i/>
        <w:iCs/>
        <w:sz w:val="22"/>
        <w:szCs w:val="22"/>
      </w:rPr>
    </w:pPr>
    <w:r w:rsidRPr="003A39C6">
      <w:rPr>
        <w:i/>
        <w:iCs/>
        <w:sz w:val="22"/>
        <w:szCs w:val="22"/>
      </w:rPr>
      <w:t>Casino C</w:t>
    </w:r>
    <w:r w:rsidR="00693D9E">
      <w:rPr>
        <w:i/>
        <w:iCs/>
        <w:sz w:val="22"/>
        <w:szCs w:val="22"/>
      </w:rPr>
      <w:t xml:space="preserve">ontrol (Fees) Determination </w:t>
    </w:r>
    <w:r w:rsidR="00005500">
      <w:rPr>
        <w:i/>
        <w:iCs/>
        <w:sz w:val="22"/>
        <w:szCs w:val="22"/>
      </w:rPr>
      <w:t>20</w:t>
    </w:r>
    <w:r w:rsidR="00FF555D">
      <w:rPr>
        <w:i/>
        <w:iCs/>
        <w:sz w:val="22"/>
        <w:szCs w:val="22"/>
      </w:rPr>
      <w:t>2</w:t>
    </w:r>
    <w:r w:rsidR="001E14E4">
      <w:rPr>
        <w:i/>
        <w:iCs/>
        <w:sz w:val="22"/>
        <w:szCs w:val="22"/>
      </w:rPr>
      <w:t>3</w:t>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A1E8" w14:textId="77777777" w:rsidR="00754429" w:rsidRDefault="00754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A416" w14:textId="77777777" w:rsidR="00754429" w:rsidRDefault="007544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E519" w14:textId="77777777" w:rsidR="000748CC" w:rsidRDefault="000748CC" w:rsidP="00316BA3">
    <w:pPr>
      <w:pStyle w:val="Heading5"/>
      <w:tabs>
        <w:tab w:val="left" w:pos="6237"/>
      </w:tabs>
      <w:ind w:right="-427"/>
      <w:jc w:val="center"/>
      <w:rPr>
        <w:sz w:val="22"/>
        <w:szCs w:val="22"/>
      </w:rPr>
    </w:pPr>
    <w:r w:rsidRPr="003A39C6">
      <w:rPr>
        <w:sz w:val="22"/>
        <w:szCs w:val="22"/>
      </w:rPr>
      <w:t xml:space="preserve">This is page 2 of 2 pages of </w:t>
    </w:r>
    <w:r w:rsidRPr="003A39C6">
      <w:rPr>
        <w:rStyle w:val="PageNumber"/>
        <w:sz w:val="22"/>
        <w:szCs w:val="22"/>
      </w:rPr>
      <w:t xml:space="preserve">the </w:t>
    </w:r>
    <w:r w:rsidRPr="003A39C6">
      <w:rPr>
        <w:sz w:val="22"/>
        <w:szCs w:val="22"/>
      </w:rPr>
      <w:t>Attachment to the Explanatory Statement to</w:t>
    </w:r>
    <w:r>
      <w:rPr>
        <w:sz w:val="22"/>
        <w:szCs w:val="22"/>
      </w:rPr>
      <w:t xml:space="preserve"> </w:t>
    </w:r>
    <w:r w:rsidRPr="003A39C6">
      <w:rPr>
        <w:sz w:val="22"/>
        <w:szCs w:val="22"/>
      </w:rPr>
      <w:t>the</w:t>
    </w:r>
  </w:p>
  <w:p w14:paraId="25D4B864" w14:textId="77777777" w:rsidR="000748CC" w:rsidRPr="003A39C6" w:rsidRDefault="000748CC" w:rsidP="00316BA3">
    <w:pPr>
      <w:pStyle w:val="Heading5"/>
      <w:tabs>
        <w:tab w:val="left" w:pos="6237"/>
      </w:tabs>
      <w:ind w:right="-427"/>
      <w:jc w:val="center"/>
      <w:rPr>
        <w:i/>
        <w:iCs/>
        <w:sz w:val="22"/>
        <w:szCs w:val="22"/>
      </w:rPr>
    </w:pPr>
    <w:r w:rsidRPr="003A39C6">
      <w:rPr>
        <w:i/>
        <w:iCs/>
        <w:sz w:val="22"/>
        <w:szCs w:val="22"/>
      </w:rPr>
      <w:t>Casino C</w:t>
    </w:r>
    <w:r w:rsidR="00693D9E">
      <w:rPr>
        <w:i/>
        <w:iCs/>
        <w:sz w:val="22"/>
        <w:szCs w:val="22"/>
      </w:rPr>
      <w:t xml:space="preserve">ontrol (Fees) Determination </w:t>
    </w:r>
    <w:r w:rsidR="00005500">
      <w:rPr>
        <w:i/>
        <w:iCs/>
        <w:sz w:val="22"/>
        <w:szCs w:val="22"/>
      </w:rPr>
      <w:t>2019</w:t>
    </w:r>
  </w:p>
  <w:p w14:paraId="6CB292AB" w14:textId="77777777" w:rsidR="000748CC" w:rsidRDefault="000748CC">
    <w:pPr>
      <w:pStyle w:val="Header"/>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1856"/>
    <w:multiLevelType w:val="hybridMultilevel"/>
    <w:tmpl w:val="9A206140"/>
    <w:lvl w:ilvl="0" w:tplc="55E81170">
      <w:start w:val="1"/>
      <w:numFmt w:val="bullet"/>
      <w:lvlText w:val=""/>
      <w:lvlJc w:val="left"/>
      <w:pPr>
        <w:tabs>
          <w:tab w:val="num" w:pos="927"/>
        </w:tabs>
        <w:ind w:left="851" w:hanging="284"/>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7533DA"/>
    <w:multiLevelType w:val="hybridMultilevel"/>
    <w:tmpl w:val="FB9E77B0"/>
    <w:lvl w:ilvl="0" w:tplc="01E04D42">
      <w:start w:val="1"/>
      <w:numFmt w:val="decimal"/>
      <w:lvlText w:val="%1"/>
      <w:lvlJc w:val="left"/>
      <w:pPr>
        <w:tabs>
          <w:tab w:val="num" w:pos="1080"/>
        </w:tabs>
        <w:ind w:left="1080" w:hanging="10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5E576B0B"/>
    <w:multiLevelType w:val="hybridMultilevel"/>
    <w:tmpl w:val="5282A6D6"/>
    <w:lvl w:ilvl="0" w:tplc="347A84E8">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A824099"/>
    <w:multiLevelType w:val="hybridMultilevel"/>
    <w:tmpl w:val="DF567CD8"/>
    <w:lvl w:ilvl="0" w:tplc="01E04D42">
      <w:start w:val="1"/>
      <w:numFmt w:val="decimal"/>
      <w:lvlText w:val="%1"/>
      <w:lvlJc w:val="left"/>
      <w:pPr>
        <w:tabs>
          <w:tab w:val="num" w:pos="1080"/>
        </w:tabs>
        <w:ind w:left="108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C409C2"/>
    <w:multiLevelType w:val="hybridMultilevel"/>
    <w:tmpl w:val="EC4CACB4"/>
    <w:lvl w:ilvl="0" w:tplc="01E04D42">
      <w:start w:val="1"/>
      <w:numFmt w:val="decimal"/>
      <w:lvlText w:val="%1"/>
      <w:lvlJc w:val="left"/>
      <w:pPr>
        <w:tabs>
          <w:tab w:val="num" w:pos="1080"/>
        </w:tabs>
        <w:ind w:left="108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931359202">
    <w:abstractNumId w:val="1"/>
  </w:num>
  <w:num w:numId="2" w16cid:durableId="1843621626">
    <w:abstractNumId w:val="3"/>
  </w:num>
  <w:num w:numId="3" w16cid:durableId="892617894">
    <w:abstractNumId w:val="4"/>
  </w:num>
  <w:num w:numId="4" w16cid:durableId="13045612">
    <w:abstractNumId w:val="2"/>
  </w:num>
  <w:num w:numId="5" w16cid:durableId="154848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AC"/>
    <w:rsid w:val="00005500"/>
    <w:rsid w:val="00031311"/>
    <w:rsid w:val="00037818"/>
    <w:rsid w:val="00053EEE"/>
    <w:rsid w:val="00054AE9"/>
    <w:rsid w:val="0006009C"/>
    <w:rsid w:val="00060527"/>
    <w:rsid w:val="00072464"/>
    <w:rsid w:val="000727D5"/>
    <w:rsid w:val="000748CC"/>
    <w:rsid w:val="0009416D"/>
    <w:rsid w:val="000B1519"/>
    <w:rsid w:val="000B5CFE"/>
    <w:rsid w:val="000C07CA"/>
    <w:rsid w:val="000D79FD"/>
    <w:rsid w:val="000E5348"/>
    <w:rsid w:val="000F2827"/>
    <w:rsid w:val="000F339F"/>
    <w:rsid w:val="00104911"/>
    <w:rsid w:val="001220C2"/>
    <w:rsid w:val="0013465A"/>
    <w:rsid w:val="00136490"/>
    <w:rsid w:val="001475E5"/>
    <w:rsid w:val="00150B05"/>
    <w:rsid w:val="00167E03"/>
    <w:rsid w:val="0017079F"/>
    <w:rsid w:val="001716DE"/>
    <w:rsid w:val="001771ED"/>
    <w:rsid w:val="0019610C"/>
    <w:rsid w:val="001B251D"/>
    <w:rsid w:val="001D7913"/>
    <w:rsid w:val="001E14E4"/>
    <w:rsid w:val="001E53F7"/>
    <w:rsid w:val="002013EA"/>
    <w:rsid w:val="00207892"/>
    <w:rsid w:val="00216BBA"/>
    <w:rsid w:val="00216BEB"/>
    <w:rsid w:val="00235439"/>
    <w:rsid w:val="002413E3"/>
    <w:rsid w:val="00241AC8"/>
    <w:rsid w:val="00244209"/>
    <w:rsid w:val="0025517C"/>
    <w:rsid w:val="00261659"/>
    <w:rsid w:val="002A65B5"/>
    <w:rsid w:val="002C2364"/>
    <w:rsid w:val="002C6BAD"/>
    <w:rsid w:val="002C7396"/>
    <w:rsid w:val="002D4F41"/>
    <w:rsid w:val="002E787F"/>
    <w:rsid w:val="002E7F47"/>
    <w:rsid w:val="002F0CBD"/>
    <w:rsid w:val="00311644"/>
    <w:rsid w:val="00315448"/>
    <w:rsid w:val="00316BA3"/>
    <w:rsid w:val="00320BD6"/>
    <w:rsid w:val="00321D42"/>
    <w:rsid w:val="00325E88"/>
    <w:rsid w:val="003321BC"/>
    <w:rsid w:val="00347148"/>
    <w:rsid w:val="003665BC"/>
    <w:rsid w:val="00382FA7"/>
    <w:rsid w:val="003960EB"/>
    <w:rsid w:val="003A39C6"/>
    <w:rsid w:val="003A767F"/>
    <w:rsid w:val="003B1459"/>
    <w:rsid w:val="003D17C6"/>
    <w:rsid w:val="003E5EE0"/>
    <w:rsid w:val="003F3F0F"/>
    <w:rsid w:val="003F7610"/>
    <w:rsid w:val="004011ED"/>
    <w:rsid w:val="00401D58"/>
    <w:rsid w:val="0041211F"/>
    <w:rsid w:val="00457FC3"/>
    <w:rsid w:val="004963B7"/>
    <w:rsid w:val="004B20A2"/>
    <w:rsid w:val="004C2F8A"/>
    <w:rsid w:val="004E003D"/>
    <w:rsid w:val="004E5BEC"/>
    <w:rsid w:val="00505479"/>
    <w:rsid w:val="005124BB"/>
    <w:rsid w:val="00513BBE"/>
    <w:rsid w:val="00521374"/>
    <w:rsid w:val="00523EED"/>
    <w:rsid w:val="00532F60"/>
    <w:rsid w:val="005333B1"/>
    <w:rsid w:val="00540C3C"/>
    <w:rsid w:val="00541900"/>
    <w:rsid w:val="00553A06"/>
    <w:rsid w:val="00565249"/>
    <w:rsid w:val="00570995"/>
    <w:rsid w:val="00581EED"/>
    <w:rsid w:val="00584045"/>
    <w:rsid w:val="005909B7"/>
    <w:rsid w:val="005B1716"/>
    <w:rsid w:val="005C29A3"/>
    <w:rsid w:val="005C3EBF"/>
    <w:rsid w:val="005C4208"/>
    <w:rsid w:val="005C7601"/>
    <w:rsid w:val="005D0A56"/>
    <w:rsid w:val="005E5C6E"/>
    <w:rsid w:val="00603557"/>
    <w:rsid w:val="00603F2A"/>
    <w:rsid w:val="00652B7F"/>
    <w:rsid w:val="00655309"/>
    <w:rsid w:val="006618AC"/>
    <w:rsid w:val="0066271E"/>
    <w:rsid w:val="00674DEC"/>
    <w:rsid w:val="00681E64"/>
    <w:rsid w:val="00693D9E"/>
    <w:rsid w:val="006A1821"/>
    <w:rsid w:val="006B036B"/>
    <w:rsid w:val="006B4032"/>
    <w:rsid w:val="006B53DB"/>
    <w:rsid w:val="007235CD"/>
    <w:rsid w:val="00742656"/>
    <w:rsid w:val="00742AEC"/>
    <w:rsid w:val="00750CFF"/>
    <w:rsid w:val="00752520"/>
    <w:rsid w:val="00754429"/>
    <w:rsid w:val="00756AC1"/>
    <w:rsid w:val="00762C98"/>
    <w:rsid w:val="00763446"/>
    <w:rsid w:val="0078208C"/>
    <w:rsid w:val="00784AB8"/>
    <w:rsid w:val="0079748D"/>
    <w:rsid w:val="007A7340"/>
    <w:rsid w:val="007D0061"/>
    <w:rsid w:val="007D5E64"/>
    <w:rsid w:val="007D6DA8"/>
    <w:rsid w:val="007E1BB5"/>
    <w:rsid w:val="007E75B9"/>
    <w:rsid w:val="00825A13"/>
    <w:rsid w:val="00832890"/>
    <w:rsid w:val="00832F98"/>
    <w:rsid w:val="00851F11"/>
    <w:rsid w:val="00854C90"/>
    <w:rsid w:val="0085546C"/>
    <w:rsid w:val="00862B10"/>
    <w:rsid w:val="008779D9"/>
    <w:rsid w:val="00883A6A"/>
    <w:rsid w:val="00894E3B"/>
    <w:rsid w:val="0089520E"/>
    <w:rsid w:val="008A2AF6"/>
    <w:rsid w:val="008A3ABE"/>
    <w:rsid w:val="008C49CE"/>
    <w:rsid w:val="008C6A5C"/>
    <w:rsid w:val="008F59B6"/>
    <w:rsid w:val="008F63FE"/>
    <w:rsid w:val="00905C91"/>
    <w:rsid w:val="00913FDB"/>
    <w:rsid w:val="00922704"/>
    <w:rsid w:val="009409D9"/>
    <w:rsid w:val="00953B5D"/>
    <w:rsid w:val="00964257"/>
    <w:rsid w:val="00967DF4"/>
    <w:rsid w:val="00980700"/>
    <w:rsid w:val="00980982"/>
    <w:rsid w:val="00985871"/>
    <w:rsid w:val="0099356B"/>
    <w:rsid w:val="009A3E16"/>
    <w:rsid w:val="009A5767"/>
    <w:rsid w:val="009B0B53"/>
    <w:rsid w:val="009B2C84"/>
    <w:rsid w:val="009B7E4D"/>
    <w:rsid w:val="009D1B5D"/>
    <w:rsid w:val="009D68FE"/>
    <w:rsid w:val="009F721A"/>
    <w:rsid w:val="009F7521"/>
    <w:rsid w:val="00A01B5F"/>
    <w:rsid w:val="00A17BC9"/>
    <w:rsid w:val="00A21332"/>
    <w:rsid w:val="00A21FA4"/>
    <w:rsid w:val="00A226B4"/>
    <w:rsid w:val="00A22F9B"/>
    <w:rsid w:val="00A23289"/>
    <w:rsid w:val="00A4056B"/>
    <w:rsid w:val="00A4633F"/>
    <w:rsid w:val="00A5395E"/>
    <w:rsid w:val="00A54140"/>
    <w:rsid w:val="00A6260D"/>
    <w:rsid w:val="00A66411"/>
    <w:rsid w:val="00A66FAF"/>
    <w:rsid w:val="00A75836"/>
    <w:rsid w:val="00A8756C"/>
    <w:rsid w:val="00A92C68"/>
    <w:rsid w:val="00A968D9"/>
    <w:rsid w:val="00A96B95"/>
    <w:rsid w:val="00AA451A"/>
    <w:rsid w:val="00AC09FA"/>
    <w:rsid w:val="00AC27A2"/>
    <w:rsid w:val="00AE7B90"/>
    <w:rsid w:val="00AE7BE6"/>
    <w:rsid w:val="00AE7F04"/>
    <w:rsid w:val="00AF02C3"/>
    <w:rsid w:val="00B0450C"/>
    <w:rsid w:val="00B1326D"/>
    <w:rsid w:val="00B164F8"/>
    <w:rsid w:val="00B25074"/>
    <w:rsid w:val="00B26593"/>
    <w:rsid w:val="00B32A82"/>
    <w:rsid w:val="00B746EE"/>
    <w:rsid w:val="00B913C4"/>
    <w:rsid w:val="00B92DE4"/>
    <w:rsid w:val="00B94B9A"/>
    <w:rsid w:val="00B94F82"/>
    <w:rsid w:val="00BA71AC"/>
    <w:rsid w:val="00BB7C51"/>
    <w:rsid w:val="00BC2AE5"/>
    <w:rsid w:val="00BC78F1"/>
    <w:rsid w:val="00BE3838"/>
    <w:rsid w:val="00BF5D9F"/>
    <w:rsid w:val="00C567C9"/>
    <w:rsid w:val="00C56E01"/>
    <w:rsid w:val="00C56F3B"/>
    <w:rsid w:val="00C837D4"/>
    <w:rsid w:val="00CA4F8C"/>
    <w:rsid w:val="00CA54D3"/>
    <w:rsid w:val="00CB7A5F"/>
    <w:rsid w:val="00CC13E9"/>
    <w:rsid w:val="00CC3DE7"/>
    <w:rsid w:val="00CD1401"/>
    <w:rsid w:val="00CD71C5"/>
    <w:rsid w:val="00CE4AD9"/>
    <w:rsid w:val="00CF75F1"/>
    <w:rsid w:val="00D079D4"/>
    <w:rsid w:val="00D24B38"/>
    <w:rsid w:val="00D2697B"/>
    <w:rsid w:val="00D6642E"/>
    <w:rsid w:val="00D7273F"/>
    <w:rsid w:val="00D744A6"/>
    <w:rsid w:val="00D84BB9"/>
    <w:rsid w:val="00D878F3"/>
    <w:rsid w:val="00D9159A"/>
    <w:rsid w:val="00D91697"/>
    <w:rsid w:val="00DB1E0E"/>
    <w:rsid w:val="00DF3914"/>
    <w:rsid w:val="00DF5065"/>
    <w:rsid w:val="00E11BC8"/>
    <w:rsid w:val="00E237EA"/>
    <w:rsid w:val="00E23E94"/>
    <w:rsid w:val="00E61884"/>
    <w:rsid w:val="00E629F0"/>
    <w:rsid w:val="00E66CD7"/>
    <w:rsid w:val="00E67B44"/>
    <w:rsid w:val="00E716EE"/>
    <w:rsid w:val="00E728FC"/>
    <w:rsid w:val="00EA647D"/>
    <w:rsid w:val="00EB5D9D"/>
    <w:rsid w:val="00ED52BC"/>
    <w:rsid w:val="00F0708A"/>
    <w:rsid w:val="00F44C42"/>
    <w:rsid w:val="00F4553A"/>
    <w:rsid w:val="00F458C3"/>
    <w:rsid w:val="00F73BD4"/>
    <w:rsid w:val="00FB454F"/>
    <w:rsid w:val="00FC36AD"/>
    <w:rsid w:val="00FC5401"/>
    <w:rsid w:val="00FD4FE6"/>
    <w:rsid w:val="00FF30EC"/>
    <w:rsid w:val="00FF555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D97647"/>
  <w14:defaultImageDpi w14:val="0"/>
  <w15:docId w15:val="{58E07EF0-4E27-4F83-B5FD-064B16BA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macro" w:semiHidden="1" w:unhideWhenUsed="1"/>
    <w:lsdException w:name="List Bullet" w:semiHidden="1" w:unhideWhenUsed="1"/>
    <w:lsdException w:name="Titl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F2A"/>
    <w:rPr>
      <w:sz w:val="24"/>
      <w:lang w:eastAsia="en-US"/>
    </w:rPr>
  </w:style>
  <w:style w:type="paragraph" w:styleId="Heading1">
    <w:name w:val="heading 1"/>
    <w:basedOn w:val="Normal"/>
    <w:next w:val="Normal"/>
    <w:link w:val="Heading1Char"/>
    <w:uiPriority w:val="9"/>
    <w:qFormat/>
    <w:rsid w:val="00603F2A"/>
    <w:pPr>
      <w:keepNext/>
      <w:spacing w:before="60" w:after="60"/>
      <w:ind w:left="720" w:hanging="720"/>
      <w:outlineLvl w:val="0"/>
    </w:pPr>
    <w:rPr>
      <w:rFonts w:ascii="Arial" w:hAnsi="Arial" w:cs="Arial"/>
      <w:b/>
      <w:bCs/>
    </w:rPr>
  </w:style>
  <w:style w:type="paragraph" w:styleId="Heading2">
    <w:name w:val="heading 2"/>
    <w:basedOn w:val="Normal"/>
    <w:next w:val="Normal"/>
    <w:link w:val="Heading2Char"/>
    <w:uiPriority w:val="9"/>
    <w:qFormat/>
    <w:rsid w:val="00603F2A"/>
    <w:pPr>
      <w:keepNext/>
      <w:jc w:val="center"/>
      <w:outlineLvl w:val="1"/>
    </w:pPr>
    <w:rPr>
      <w:b/>
      <w:bCs/>
    </w:rPr>
  </w:style>
  <w:style w:type="paragraph" w:styleId="Heading3">
    <w:name w:val="heading 3"/>
    <w:basedOn w:val="Normal"/>
    <w:next w:val="Normal"/>
    <w:link w:val="Heading3Char"/>
    <w:uiPriority w:val="9"/>
    <w:qFormat/>
    <w:rsid w:val="00603F2A"/>
    <w:pPr>
      <w:keepNext/>
      <w:outlineLvl w:val="2"/>
    </w:pPr>
    <w:rPr>
      <w:rFonts w:ascii="Arial" w:hAnsi="Arial" w:cs="Arial"/>
      <w:b/>
      <w:bCs/>
      <w:sz w:val="28"/>
    </w:rPr>
  </w:style>
  <w:style w:type="paragraph" w:styleId="Heading4">
    <w:name w:val="heading 4"/>
    <w:basedOn w:val="Normal"/>
    <w:next w:val="Normal"/>
    <w:link w:val="Heading4Char"/>
    <w:uiPriority w:val="9"/>
    <w:qFormat/>
    <w:rsid w:val="00603F2A"/>
    <w:pPr>
      <w:keepNext/>
      <w:outlineLvl w:val="3"/>
    </w:pPr>
    <w:rPr>
      <w:b/>
      <w:bCs/>
    </w:rPr>
  </w:style>
  <w:style w:type="paragraph" w:styleId="Heading5">
    <w:name w:val="heading 5"/>
    <w:basedOn w:val="Normal"/>
    <w:next w:val="Normal"/>
    <w:link w:val="Heading5Char"/>
    <w:uiPriority w:val="9"/>
    <w:qFormat/>
    <w:rsid w:val="00603F2A"/>
    <w:pPr>
      <w:keepNext/>
      <w:overflowPunct w:val="0"/>
      <w:autoSpaceDE w:val="0"/>
      <w:autoSpaceDN w:val="0"/>
      <w:adjustRightInd w:val="0"/>
      <w:jc w:val="right"/>
      <w:textAlignment w:val="baseline"/>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03F2A"/>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603F2A"/>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603F2A"/>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603F2A"/>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603F2A"/>
    <w:rPr>
      <w:rFonts w:asciiTheme="minorHAnsi" w:eastAsiaTheme="minorEastAsia" w:hAnsiTheme="minorHAnsi" w:cs="Times New Roman"/>
      <w:b/>
      <w:bCs/>
      <w:i/>
      <w:iCs/>
      <w:sz w:val="26"/>
      <w:szCs w:val="26"/>
      <w:lang w:val="x-none" w:eastAsia="en-US"/>
    </w:rPr>
  </w:style>
  <w:style w:type="paragraph" w:customStyle="1" w:styleId="Billname">
    <w:name w:val="Billname"/>
    <w:basedOn w:val="Normal"/>
    <w:rsid w:val="00603F2A"/>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603F2A"/>
    <w:pPr>
      <w:pBdr>
        <w:bottom w:val="single" w:sz="12" w:space="1" w:color="auto"/>
      </w:pBdr>
      <w:jc w:val="both"/>
    </w:pPr>
  </w:style>
  <w:style w:type="paragraph" w:customStyle="1" w:styleId="madeunder">
    <w:name w:val="made under"/>
    <w:basedOn w:val="Normal"/>
    <w:rsid w:val="00603F2A"/>
    <w:pPr>
      <w:spacing w:before="180" w:after="60"/>
      <w:jc w:val="both"/>
    </w:pPr>
  </w:style>
  <w:style w:type="paragraph" w:customStyle="1" w:styleId="CoverActName">
    <w:name w:val="CoverActName"/>
    <w:basedOn w:val="Normal"/>
    <w:rsid w:val="00603F2A"/>
    <w:pPr>
      <w:tabs>
        <w:tab w:val="left" w:pos="2600"/>
      </w:tabs>
      <w:spacing w:before="200" w:after="60"/>
      <w:jc w:val="both"/>
    </w:pPr>
    <w:rPr>
      <w:rFonts w:ascii="Arial" w:hAnsi="Arial"/>
      <w:b/>
    </w:rPr>
  </w:style>
  <w:style w:type="paragraph" w:styleId="BodyTextIndent">
    <w:name w:val="Body Text Indent"/>
    <w:basedOn w:val="Normal"/>
    <w:link w:val="BodyTextIndentChar"/>
    <w:uiPriority w:val="99"/>
    <w:rsid w:val="00603F2A"/>
    <w:pPr>
      <w:ind w:left="567"/>
    </w:pPr>
    <w:rPr>
      <w:rFonts w:ascii="CG Times (WN)" w:hAnsi="CG Times (WN)"/>
      <w:szCs w:val="24"/>
      <w:lang w:val="en-GB"/>
    </w:rPr>
  </w:style>
  <w:style w:type="character" w:customStyle="1" w:styleId="BodyTextIndentChar">
    <w:name w:val="Body Text Indent Char"/>
    <w:basedOn w:val="DefaultParagraphFont"/>
    <w:link w:val="BodyTextIndent"/>
    <w:uiPriority w:val="99"/>
    <w:semiHidden/>
    <w:locked/>
    <w:rsid w:val="00603F2A"/>
    <w:rPr>
      <w:rFonts w:cs="Times New Roman"/>
      <w:sz w:val="24"/>
      <w:lang w:val="x-none" w:eastAsia="en-US"/>
    </w:rPr>
  </w:style>
  <w:style w:type="paragraph" w:customStyle="1" w:styleId="Amain">
    <w:name w:val="A main"/>
    <w:basedOn w:val="Normal"/>
    <w:rsid w:val="00603F2A"/>
    <w:pPr>
      <w:tabs>
        <w:tab w:val="right" w:pos="500"/>
        <w:tab w:val="left" w:pos="700"/>
      </w:tabs>
      <w:spacing w:before="80" w:after="60"/>
      <w:ind w:left="700" w:hanging="700"/>
      <w:jc w:val="both"/>
      <w:outlineLvl w:val="5"/>
    </w:pPr>
    <w:rPr>
      <w:szCs w:val="24"/>
    </w:rPr>
  </w:style>
  <w:style w:type="paragraph" w:styleId="Header">
    <w:name w:val="header"/>
    <w:basedOn w:val="Normal"/>
    <w:link w:val="HeaderChar"/>
    <w:uiPriority w:val="99"/>
    <w:rsid w:val="00603F2A"/>
    <w:pPr>
      <w:tabs>
        <w:tab w:val="center" w:pos="4153"/>
        <w:tab w:val="right" w:pos="8306"/>
      </w:tabs>
    </w:pPr>
  </w:style>
  <w:style w:type="character" w:customStyle="1" w:styleId="HeaderChar">
    <w:name w:val="Header Char"/>
    <w:basedOn w:val="DefaultParagraphFont"/>
    <w:link w:val="Header"/>
    <w:uiPriority w:val="99"/>
    <w:semiHidden/>
    <w:locked/>
    <w:rsid w:val="00603F2A"/>
    <w:rPr>
      <w:rFonts w:cs="Times New Roman"/>
      <w:sz w:val="24"/>
      <w:lang w:val="x-none" w:eastAsia="en-US"/>
    </w:rPr>
  </w:style>
  <w:style w:type="paragraph" w:styleId="Footer">
    <w:name w:val="footer"/>
    <w:basedOn w:val="Normal"/>
    <w:link w:val="FooterChar"/>
    <w:uiPriority w:val="99"/>
    <w:rsid w:val="00603F2A"/>
    <w:pPr>
      <w:tabs>
        <w:tab w:val="center" w:pos="4153"/>
        <w:tab w:val="right" w:pos="8306"/>
      </w:tabs>
    </w:pPr>
  </w:style>
  <w:style w:type="character" w:customStyle="1" w:styleId="FooterChar">
    <w:name w:val="Footer Char"/>
    <w:basedOn w:val="DefaultParagraphFont"/>
    <w:link w:val="Footer"/>
    <w:uiPriority w:val="99"/>
    <w:semiHidden/>
    <w:locked/>
    <w:rsid w:val="00603F2A"/>
    <w:rPr>
      <w:rFonts w:cs="Times New Roman"/>
      <w:sz w:val="24"/>
      <w:lang w:val="x-none" w:eastAsia="en-US"/>
    </w:rPr>
  </w:style>
  <w:style w:type="character" w:styleId="PageNumber">
    <w:name w:val="page number"/>
    <w:basedOn w:val="DefaultParagraphFont"/>
    <w:uiPriority w:val="99"/>
    <w:rsid w:val="00603F2A"/>
    <w:rPr>
      <w:rFonts w:cs="Times New Roman"/>
    </w:rPr>
  </w:style>
  <w:style w:type="character" w:styleId="Hyperlink">
    <w:name w:val="Hyperlink"/>
    <w:basedOn w:val="DefaultParagraphFont"/>
    <w:uiPriority w:val="99"/>
    <w:rsid w:val="00603F2A"/>
    <w:rPr>
      <w:rFonts w:cs="Times New Roman"/>
      <w:color w:val="0000FF"/>
      <w:u w:val="single"/>
    </w:rPr>
  </w:style>
  <w:style w:type="paragraph" w:styleId="BalloonText">
    <w:name w:val="Balloon Text"/>
    <w:basedOn w:val="Normal"/>
    <w:link w:val="BalloonTextChar"/>
    <w:uiPriority w:val="99"/>
    <w:semiHidden/>
    <w:rsid w:val="004E5B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3F2A"/>
    <w:rPr>
      <w:rFonts w:ascii="Tahoma" w:hAnsi="Tahoma" w:cs="Tahoma"/>
      <w:sz w:val="16"/>
      <w:szCs w:val="16"/>
      <w:lang w:val="x-none" w:eastAsia="en-US"/>
    </w:rPr>
  </w:style>
  <w:style w:type="character" w:styleId="CommentReference">
    <w:name w:val="annotation reference"/>
    <w:basedOn w:val="DefaultParagraphFont"/>
    <w:rsid w:val="00FF555D"/>
    <w:rPr>
      <w:sz w:val="16"/>
      <w:szCs w:val="16"/>
    </w:rPr>
  </w:style>
  <w:style w:type="paragraph" w:styleId="CommentText">
    <w:name w:val="annotation text"/>
    <w:basedOn w:val="Normal"/>
    <w:link w:val="CommentTextChar"/>
    <w:rsid w:val="00FF555D"/>
    <w:rPr>
      <w:sz w:val="20"/>
    </w:rPr>
  </w:style>
  <w:style w:type="character" w:customStyle="1" w:styleId="CommentTextChar">
    <w:name w:val="Comment Text Char"/>
    <w:basedOn w:val="DefaultParagraphFont"/>
    <w:link w:val="CommentText"/>
    <w:rsid w:val="00FF555D"/>
    <w:rPr>
      <w:lang w:eastAsia="en-US"/>
    </w:rPr>
  </w:style>
  <w:style w:type="paragraph" w:styleId="CommentSubject">
    <w:name w:val="annotation subject"/>
    <w:basedOn w:val="CommentText"/>
    <w:next w:val="CommentText"/>
    <w:link w:val="CommentSubjectChar"/>
    <w:rsid w:val="00FF555D"/>
    <w:rPr>
      <w:b/>
      <w:bCs/>
    </w:rPr>
  </w:style>
  <w:style w:type="character" w:customStyle="1" w:styleId="CommentSubjectChar">
    <w:name w:val="Comment Subject Char"/>
    <w:basedOn w:val="CommentTextChar"/>
    <w:link w:val="CommentSubject"/>
    <w:rsid w:val="00FF555D"/>
    <w:rPr>
      <w:b/>
      <w:bCs/>
      <w:lang w:eastAsia="en-US"/>
    </w:rPr>
  </w:style>
  <w:style w:type="paragraph" w:styleId="Revision">
    <w:name w:val="Revision"/>
    <w:hidden/>
    <w:uiPriority w:val="99"/>
    <w:semiHidden/>
    <w:rsid w:val="00BB7C5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2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2284</Characters>
  <Application>Microsoft Office Word</Application>
  <DocSecurity>0</DocSecurity>
  <Lines>125</Lines>
  <Paragraphs>73</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2015-05-06T00:22:00Z</cp:lastPrinted>
  <dcterms:created xsi:type="dcterms:W3CDTF">2023-06-29T03:21:00Z</dcterms:created>
  <dcterms:modified xsi:type="dcterms:W3CDTF">2023-06-29T03:21:00Z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1352132</vt:lpwstr>
  </property>
  <property fmtid="{D5CDD505-2E9C-101B-9397-08002B2CF9AE}" pid="4" name="JMSREQUIREDCHECKIN">
    <vt:lpwstr/>
  </property>
  <property fmtid="{D5CDD505-2E9C-101B-9397-08002B2CF9AE}" pid="5" name="Objective-Id">
    <vt:lpwstr>A42111904</vt:lpwstr>
  </property>
  <property fmtid="{D5CDD505-2E9C-101B-9397-08002B2CF9AE}" pid="6" name="Objective-Title">
    <vt:lpwstr>Casino Control (Fees) Determination 2023 ES (Draft)</vt:lpwstr>
  </property>
  <property fmtid="{D5CDD505-2E9C-101B-9397-08002B2CF9AE}" pid="7" name="Objective-Comment">
    <vt:lpwstr/>
  </property>
  <property fmtid="{D5CDD505-2E9C-101B-9397-08002B2CF9AE}" pid="8" name="Objective-CreationStamp">
    <vt:filetime>2023-05-25T00:30:20Z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2023-05-26T05:23:08Z</vt:filetime>
  </property>
  <property fmtid="{D5CDD505-2E9C-101B-9397-08002B2CF9AE}" pid="12" name="Objective-ModificationStamp">
    <vt:filetime>2023-05-26T05:23:08Z</vt:filetime>
  </property>
  <property fmtid="{D5CDD505-2E9C-101B-9397-08002B2CF9AE}" pid="13" name="Objective-Owner">
    <vt:lpwstr>Lalanka Amarisiri</vt:lpwstr>
  </property>
  <property fmtid="{D5CDD505-2E9C-101B-9397-08002B2CF9AE}" pid="14" name="Objective-Path">
    <vt:lpwstr>Whole of ACT Government:AC - Access Canberra:BRANCH - Corporate Support and Capability:SECTION - Finance &amp; Budgets:UNIT - Finance &amp; Budgets:Business and Finance Services - Finance:Business and Finance Services - Financial Year 2022-2023:2022-23 FINANCE &amp; BUDGETS - GRC:10- Fees and Charges:</vt:lpwstr>
  </property>
  <property fmtid="{D5CDD505-2E9C-101B-9397-08002B2CF9AE}" pid="15" name="Objective-Parent">
    <vt:lpwstr>10- Fees and Charges</vt:lpwstr>
  </property>
  <property fmtid="{D5CDD505-2E9C-101B-9397-08002B2CF9AE}" pid="16" name="Objective-State">
    <vt:lpwstr>Published</vt:lpwstr>
  </property>
  <property fmtid="{D5CDD505-2E9C-101B-9397-08002B2CF9AE}" pid="17" name="Objective-Version">
    <vt:lpwstr>5.0</vt:lpwstr>
  </property>
  <property fmtid="{D5CDD505-2E9C-101B-9397-08002B2CF9AE}" pid="18" name="Objective-VersionNumber">
    <vt:r8>5</vt:r8>
  </property>
  <property fmtid="{D5CDD505-2E9C-101B-9397-08002B2CF9AE}" pid="19" name="Objective-VersionComment">
    <vt:lpwstr/>
  </property>
  <property fmtid="{D5CDD505-2E9C-101B-9397-08002B2CF9AE}" pid="20" name="Objective-FileNumber">
    <vt:lpwstr>1-2022/79671</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vt:lpwstr>ACCESS CANBERRA</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ACT</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ies>
</file>