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632550F" w14:textId="77777777" w:rsidR="005D70F1" w:rsidRDefault="005D70F1" w:rsidP="00CC3A60">
      <w:pPr>
        <w:spacing w:before="120"/>
        <w:jc w:val="both"/>
        <w:rPr>
          <w:rFonts w:ascii="Arial" w:hAnsi="Arial" w:cs="Arial"/>
        </w:rPr>
      </w:pPr>
      <w:bookmarkStart w:id="0" w:name="_Toc44738651"/>
      <w:r>
        <w:rPr>
          <w:rFonts w:ascii="Arial" w:hAnsi="Arial" w:cs="Arial"/>
        </w:rPr>
        <w:t>Australian Capital Territory</w:t>
      </w:r>
    </w:p>
    <w:p w14:paraId="43F5E29C" w14:textId="4654B988" w:rsidR="005D70F1" w:rsidRPr="004E28DD" w:rsidRDefault="007739D2" w:rsidP="00CC3A60">
      <w:pPr>
        <w:pStyle w:val="Heading1"/>
        <w:jc w:val="both"/>
      </w:pPr>
      <w:r w:rsidRPr="00A44D62">
        <w:t xml:space="preserve">Utilities </w:t>
      </w:r>
      <w:r w:rsidR="009E504B">
        <w:t>(</w:t>
      </w:r>
      <w:r w:rsidRPr="00A44D62">
        <w:t>Technical Regulation</w:t>
      </w:r>
      <w:r w:rsidR="009E504B">
        <w:t>)</w:t>
      </w:r>
      <w:r w:rsidRPr="00A44D62">
        <w:t xml:space="preserve"> (List</w:t>
      </w:r>
      <w:r w:rsidR="009E504B">
        <w:t xml:space="preserve">ed </w:t>
      </w:r>
      <w:r w:rsidRPr="00A44D62">
        <w:t xml:space="preserve">Dams) Determination </w:t>
      </w:r>
      <w:r w:rsidR="0066073B" w:rsidRPr="004E28DD">
        <w:t>202</w:t>
      </w:r>
      <w:r w:rsidR="005270A1" w:rsidRPr="004E28DD">
        <w:t>3</w:t>
      </w:r>
    </w:p>
    <w:p w14:paraId="4B03636C" w14:textId="68445C83" w:rsidR="005D70F1" w:rsidRPr="002F1A2A" w:rsidRDefault="005D70F1" w:rsidP="00CC3A60">
      <w:pPr>
        <w:pStyle w:val="Heading2"/>
        <w:jc w:val="both"/>
      </w:pPr>
      <w:r w:rsidRPr="004E28DD">
        <w:t xml:space="preserve">Disallowable </w:t>
      </w:r>
      <w:r w:rsidR="001A0F6A" w:rsidRPr="004E28DD">
        <w:t>I</w:t>
      </w:r>
      <w:r w:rsidRPr="004E28DD">
        <w:t>nstrument DI</w:t>
      </w:r>
      <w:r w:rsidR="007739D2" w:rsidRPr="004E28DD">
        <w:t>20</w:t>
      </w:r>
      <w:r w:rsidR="0066073B" w:rsidRPr="004E28DD">
        <w:t>2</w:t>
      </w:r>
      <w:r w:rsidR="005270A1" w:rsidRPr="004E28DD">
        <w:t>3</w:t>
      </w:r>
      <w:r w:rsidRPr="004E28DD">
        <w:t>–</w:t>
      </w:r>
      <w:r w:rsidR="00754838" w:rsidRPr="00754838">
        <w:t xml:space="preserve"> 203</w:t>
      </w:r>
    </w:p>
    <w:p w14:paraId="5C09FD86" w14:textId="77777777" w:rsidR="005D70F1" w:rsidRDefault="005D70F1" w:rsidP="005A512B">
      <w:pPr>
        <w:pStyle w:val="madeunder"/>
        <w:spacing w:before="240" w:after="120"/>
      </w:pPr>
      <w:r>
        <w:t xml:space="preserve">made under the </w:t>
      </w:r>
    </w:p>
    <w:p w14:paraId="064FEEFA" w14:textId="77777777" w:rsidR="007739D2" w:rsidRPr="00A44D62" w:rsidRDefault="007739D2" w:rsidP="005A512B">
      <w:pPr>
        <w:pStyle w:val="CoverActName"/>
        <w:rPr>
          <w:rFonts w:cs="Arial"/>
          <w:sz w:val="20"/>
        </w:rPr>
      </w:pPr>
      <w:r w:rsidRPr="00AF2DE4">
        <w:rPr>
          <w:rFonts w:cs="Arial"/>
          <w:i/>
          <w:sz w:val="20"/>
        </w:rPr>
        <w:t>Utilities (Technical Regulation) Act 2014</w:t>
      </w:r>
      <w:r w:rsidR="008B7C0C">
        <w:rPr>
          <w:rFonts w:cs="Arial"/>
          <w:i/>
          <w:sz w:val="20"/>
        </w:rPr>
        <w:t>,</w:t>
      </w:r>
      <w:r w:rsidRPr="00A44D62">
        <w:rPr>
          <w:rFonts w:cs="Arial"/>
          <w:sz w:val="20"/>
        </w:rPr>
        <w:t xml:space="preserve"> </w:t>
      </w:r>
      <w:r w:rsidR="008B7C0C">
        <w:rPr>
          <w:rFonts w:cs="Arial"/>
          <w:sz w:val="20"/>
        </w:rPr>
        <w:t>s</w:t>
      </w:r>
      <w:r w:rsidRPr="00A44D62">
        <w:rPr>
          <w:rFonts w:cs="Arial"/>
          <w:sz w:val="20"/>
        </w:rPr>
        <w:t>ection 69 (listing of certain dams)</w:t>
      </w:r>
    </w:p>
    <w:p w14:paraId="438F9282" w14:textId="77777777" w:rsidR="005D70F1" w:rsidRPr="002F1A2A" w:rsidRDefault="005D70F1" w:rsidP="00CC3A60">
      <w:pPr>
        <w:pStyle w:val="Heading3"/>
        <w:jc w:val="both"/>
      </w:pPr>
      <w:r w:rsidRPr="002F1A2A">
        <w:t>EXPLANATORY STATEMENT</w:t>
      </w:r>
    </w:p>
    <w:p w14:paraId="75F46D13" w14:textId="77777777" w:rsidR="005D70F1" w:rsidRDefault="005D70F1" w:rsidP="005A512B">
      <w:pPr>
        <w:pStyle w:val="N-line3"/>
        <w:pBdr>
          <w:bottom w:val="none" w:sz="0" w:space="0" w:color="auto"/>
        </w:pBdr>
      </w:pPr>
    </w:p>
    <w:p w14:paraId="3D0968AA" w14:textId="77777777" w:rsidR="00481307" w:rsidRDefault="00481307" w:rsidP="00CC3A60">
      <w:pPr>
        <w:jc w:val="both"/>
      </w:pPr>
    </w:p>
    <w:p w14:paraId="2D0117DA" w14:textId="77777777" w:rsidR="005D70F1" w:rsidRDefault="005D70F1" w:rsidP="005A512B">
      <w:pPr>
        <w:pStyle w:val="N-line3"/>
        <w:pBdr>
          <w:top w:val="single" w:sz="12" w:space="1" w:color="auto"/>
          <w:bottom w:val="none" w:sz="0" w:space="0" w:color="auto"/>
        </w:pBdr>
      </w:pPr>
    </w:p>
    <w:bookmarkEnd w:id="0"/>
    <w:p w14:paraId="1DFCD4B9" w14:textId="29FB9482" w:rsidR="00255FBF" w:rsidRPr="008B7C0C" w:rsidRDefault="00255FBF" w:rsidP="005A512B">
      <w:pPr>
        <w:jc w:val="both"/>
        <w:rPr>
          <w:szCs w:val="24"/>
        </w:rPr>
      </w:pPr>
      <w:r w:rsidRPr="004E28DD">
        <w:rPr>
          <w:szCs w:val="24"/>
        </w:rPr>
        <w:t xml:space="preserve">This explanatory statement relates to the </w:t>
      </w:r>
      <w:r w:rsidRPr="004E28DD">
        <w:rPr>
          <w:i/>
          <w:szCs w:val="24"/>
        </w:rPr>
        <w:t xml:space="preserve">Utilities </w:t>
      </w:r>
      <w:r w:rsidR="009E504B" w:rsidRPr="004E28DD">
        <w:rPr>
          <w:i/>
          <w:szCs w:val="24"/>
        </w:rPr>
        <w:t>(</w:t>
      </w:r>
      <w:r w:rsidRPr="004E28DD">
        <w:rPr>
          <w:i/>
          <w:szCs w:val="24"/>
        </w:rPr>
        <w:t>Technical Regulation</w:t>
      </w:r>
      <w:r w:rsidR="009E504B" w:rsidRPr="004E28DD">
        <w:rPr>
          <w:i/>
          <w:szCs w:val="24"/>
        </w:rPr>
        <w:t>)</w:t>
      </w:r>
      <w:r w:rsidRPr="004E28DD">
        <w:rPr>
          <w:i/>
          <w:szCs w:val="24"/>
        </w:rPr>
        <w:t xml:space="preserve"> (Listed Dams) Determination </w:t>
      </w:r>
      <w:r w:rsidR="0066073B" w:rsidRPr="004E28DD">
        <w:rPr>
          <w:i/>
          <w:szCs w:val="24"/>
        </w:rPr>
        <w:t>202</w:t>
      </w:r>
      <w:r w:rsidR="005270A1" w:rsidRPr="004E28DD">
        <w:rPr>
          <w:i/>
          <w:szCs w:val="24"/>
        </w:rPr>
        <w:t>3</w:t>
      </w:r>
      <w:r w:rsidRPr="004E28DD">
        <w:rPr>
          <w:i/>
          <w:szCs w:val="24"/>
        </w:rPr>
        <w:t xml:space="preserve"> </w:t>
      </w:r>
      <w:r w:rsidRPr="004E28DD">
        <w:rPr>
          <w:szCs w:val="24"/>
        </w:rPr>
        <w:t>as presented to the Legislative Assembly. It has been prepared in order to assist the reader of the</w:t>
      </w:r>
      <w:r w:rsidRPr="008B7C0C">
        <w:rPr>
          <w:szCs w:val="24"/>
        </w:rPr>
        <w:t xml:space="preserve"> disallowable instrument and to help inform debate on it. It does not form part of the disallowable instrument and has not been endorsed by the Assembly.</w:t>
      </w:r>
    </w:p>
    <w:p w14:paraId="07797E79" w14:textId="77777777" w:rsidR="00255FBF" w:rsidRPr="008B7C0C" w:rsidRDefault="00255FBF" w:rsidP="005A512B">
      <w:pPr>
        <w:jc w:val="both"/>
        <w:rPr>
          <w:szCs w:val="24"/>
        </w:rPr>
      </w:pPr>
    </w:p>
    <w:p w14:paraId="5AF5A373" w14:textId="77777777" w:rsidR="00255FBF" w:rsidRPr="008B7C0C" w:rsidRDefault="00255FBF" w:rsidP="005A512B">
      <w:pPr>
        <w:jc w:val="both"/>
        <w:rPr>
          <w:szCs w:val="24"/>
        </w:rPr>
      </w:pPr>
      <w:r w:rsidRPr="008B7C0C">
        <w:rPr>
          <w:szCs w:val="24"/>
        </w:rPr>
        <w:t xml:space="preserve">The </w:t>
      </w:r>
      <w:r w:rsidR="00390020">
        <w:rPr>
          <w:szCs w:val="24"/>
        </w:rPr>
        <w:t>explanatory s</w:t>
      </w:r>
      <w:r w:rsidRPr="008B7C0C">
        <w:rPr>
          <w:szCs w:val="24"/>
        </w:rPr>
        <w:t>tatement must be read in conjunction with the disallowable instrument. It is not, and is not meant to be, a comprehensive description of the disallowable instrument. What is said about a provision is not to be taken as an authoritative guide to the meaning of a provision, this being a task for the courts.</w:t>
      </w:r>
    </w:p>
    <w:p w14:paraId="1C8C5529" w14:textId="77777777" w:rsidR="00255FBF" w:rsidRDefault="00255FBF" w:rsidP="005A512B">
      <w:pPr>
        <w:jc w:val="both"/>
        <w:rPr>
          <w:szCs w:val="24"/>
        </w:rPr>
      </w:pPr>
    </w:p>
    <w:p w14:paraId="4EABCC54" w14:textId="00F3D9F6" w:rsidR="001542B2" w:rsidRDefault="001542B2" w:rsidP="005A512B">
      <w:pPr>
        <w:jc w:val="both"/>
        <w:rPr>
          <w:b/>
          <w:szCs w:val="24"/>
        </w:rPr>
      </w:pPr>
      <w:r>
        <w:rPr>
          <w:b/>
          <w:szCs w:val="24"/>
        </w:rPr>
        <w:t>Overview</w:t>
      </w:r>
    </w:p>
    <w:p w14:paraId="25FD5E21" w14:textId="77777777" w:rsidR="004E28DD" w:rsidRPr="005028E6" w:rsidRDefault="004E28DD" w:rsidP="005A512B">
      <w:pPr>
        <w:jc w:val="both"/>
        <w:rPr>
          <w:b/>
          <w:szCs w:val="24"/>
        </w:rPr>
      </w:pPr>
    </w:p>
    <w:p w14:paraId="254AA707" w14:textId="360CF5A6" w:rsidR="005270A1" w:rsidRDefault="005270A1" w:rsidP="005A512B">
      <w:pPr>
        <w:jc w:val="both"/>
        <w:rPr>
          <w:szCs w:val="24"/>
        </w:rPr>
      </w:pPr>
      <w:r>
        <w:rPr>
          <w:szCs w:val="24"/>
        </w:rPr>
        <w:t xml:space="preserve">In </w:t>
      </w:r>
      <w:r w:rsidR="00573C59" w:rsidRPr="004E28DD">
        <w:rPr>
          <w:szCs w:val="24"/>
        </w:rPr>
        <w:t xml:space="preserve">the </w:t>
      </w:r>
      <w:r w:rsidR="00573C59" w:rsidRPr="004E28DD">
        <w:rPr>
          <w:i/>
          <w:szCs w:val="24"/>
        </w:rPr>
        <w:t>Utilities (Technical Regulation) (Listed Dams) Determination 20</w:t>
      </w:r>
      <w:r w:rsidR="00573C59">
        <w:rPr>
          <w:i/>
          <w:szCs w:val="24"/>
        </w:rPr>
        <w:t xml:space="preserve">19 </w:t>
      </w:r>
      <w:r w:rsidR="00573C59">
        <w:rPr>
          <w:iCs/>
          <w:szCs w:val="24"/>
        </w:rPr>
        <w:t>(</w:t>
      </w:r>
      <w:r w:rsidR="00573C59">
        <w:rPr>
          <w:szCs w:val="24"/>
        </w:rPr>
        <w:t>DI2019-205),</w:t>
      </w:r>
      <w:r>
        <w:rPr>
          <w:szCs w:val="24"/>
        </w:rPr>
        <w:t xml:space="preserve"> the Technical Regulator determined:</w:t>
      </w:r>
    </w:p>
    <w:p w14:paraId="0A7FD400" w14:textId="142EE67A" w:rsidR="005270A1" w:rsidRPr="00CC3A60" w:rsidRDefault="005270A1" w:rsidP="00CC3A60">
      <w:pPr>
        <w:pStyle w:val="ListParagraph"/>
        <w:numPr>
          <w:ilvl w:val="0"/>
          <w:numId w:val="21"/>
        </w:numPr>
        <w:jc w:val="both"/>
        <w:rPr>
          <w:rFonts w:ascii="Times New Roman" w:hAnsi="Times New Roman"/>
          <w:szCs w:val="24"/>
        </w:rPr>
      </w:pPr>
      <w:r w:rsidRPr="00CC3A60">
        <w:rPr>
          <w:rFonts w:ascii="Times New Roman" w:hAnsi="Times New Roman"/>
          <w:szCs w:val="24"/>
        </w:rPr>
        <w:t>16 dams owned by Icon Water</w:t>
      </w:r>
    </w:p>
    <w:p w14:paraId="664C9E53" w14:textId="6F9771C5" w:rsidR="005270A1" w:rsidRPr="00CC3A60" w:rsidRDefault="005270A1" w:rsidP="00CC3A60">
      <w:pPr>
        <w:pStyle w:val="ListParagraph"/>
        <w:numPr>
          <w:ilvl w:val="0"/>
          <w:numId w:val="21"/>
        </w:numPr>
        <w:jc w:val="both"/>
        <w:rPr>
          <w:rFonts w:ascii="Times New Roman" w:hAnsi="Times New Roman"/>
          <w:szCs w:val="24"/>
        </w:rPr>
      </w:pPr>
      <w:r w:rsidRPr="00CC3A60">
        <w:rPr>
          <w:rFonts w:ascii="Times New Roman" w:hAnsi="Times New Roman"/>
          <w:szCs w:val="24"/>
        </w:rPr>
        <w:t xml:space="preserve">16 dams owned by ACT Government </w:t>
      </w:r>
    </w:p>
    <w:p w14:paraId="4E7DF55F" w14:textId="6F70A101" w:rsidR="005270A1" w:rsidRPr="00CC3A60" w:rsidRDefault="005270A1" w:rsidP="00CC3A60">
      <w:pPr>
        <w:pStyle w:val="ListParagraph"/>
        <w:numPr>
          <w:ilvl w:val="0"/>
          <w:numId w:val="21"/>
        </w:numPr>
        <w:jc w:val="both"/>
        <w:rPr>
          <w:rFonts w:ascii="Times New Roman" w:hAnsi="Times New Roman"/>
          <w:szCs w:val="24"/>
        </w:rPr>
      </w:pPr>
      <w:r w:rsidRPr="00CC3A60">
        <w:rPr>
          <w:rFonts w:ascii="Times New Roman" w:hAnsi="Times New Roman"/>
          <w:szCs w:val="24"/>
        </w:rPr>
        <w:t>2 Dams owned by Queanbeyan-Palerang Regional Council (QPRC)</w:t>
      </w:r>
    </w:p>
    <w:p w14:paraId="262CA103" w14:textId="06515AEC" w:rsidR="005270A1" w:rsidRDefault="005270A1" w:rsidP="005A512B">
      <w:pPr>
        <w:jc w:val="both"/>
        <w:rPr>
          <w:i/>
          <w:iCs/>
          <w:szCs w:val="24"/>
        </w:rPr>
      </w:pPr>
      <w:r>
        <w:rPr>
          <w:szCs w:val="24"/>
        </w:rPr>
        <w:t xml:space="preserve">as ‘listed dams’ under section 69 of the </w:t>
      </w:r>
      <w:r>
        <w:rPr>
          <w:i/>
          <w:iCs/>
          <w:szCs w:val="24"/>
        </w:rPr>
        <w:t>Utilities (Technical Regulation) Act 2014 (the Act).</w:t>
      </w:r>
    </w:p>
    <w:p w14:paraId="7A19B3C6" w14:textId="77777777" w:rsidR="005270A1" w:rsidRPr="00CC3A60" w:rsidRDefault="005270A1" w:rsidP="005A512B">
      <w:pPr>
        <w:jc w:val="both"/>
        <w:rPr>
          <w:i/>
          <w:iCs/>
          <w:szCs w:val="24"/>
        </w:rPr>
      </w:pPr>
    </w:p>
    <w:p w14:paraId="1D1ADCE4" w14:textId="2F007AB5" w:rsidR="005270A1" w:rsidRPr="004E28DD" w:rsidRDefault="005270A1" w:rsidP="005A512B">
      <w:pPr>
        <w:jc w:val="both"/>
        <w:rPr>
          <w:szCs w:val="24"/>
        </w:rPr>
      </w:pPr>
      <w:r w:rsidRPr="004E28DD">
        <w:rPr>
          <w:szCs w:val="24"/>
        </w:rPr>
        <w:t xml:space="preserve">This determination revises the ‘listed dams’ </w:t>
      </w:r>
      <w:r w:rsidR="00CC3A60" w:rsidRPr="004E28DD">
        <w:rPr>
          <w:szCs w:val="24"/>
        </w:rPr>
        <w:t xml:space="preserve">of </w:t>
      </w:r>
      <w:r w:rsidRPr="004E28DD">
        <w:rPr>
          <w:szCs w:val="24"/>
        </w:rPr>
        <w:t>the two previous determinations, as follows:</w:t>
      </w:r>
    </w:p>
    <w:p w14:paraId="3FD16606" w14:textId="5992A5D1" w:rsidR="005270A1" w:rsidRPr="004E28DD" w:rsidRDefault="005270A1" w:rsidP="005A512B">
      <w:pPr>
        <w:pStyle w:val="ListParagraph"/>
        <w:numPr>
          <w:ilvl w:val="0"/>
          <w:numId w:val="21"/>
        </w:numPr>
        <w:jc w:val="both"/>
        <w:rPr>
          <w:rFonts w:ascii="Times New Roman" w:hAnsi="Times New Roman"/>
          <w:szCs w:val="24"/>
        </w:rPr>
      </w:pPr>
      <w:r w:rsidRPr="004E28DD">
        <w:rPr>
          <w:rFonts w:ascii="Times New Roman" w:hAnsi="Times New Roman"/>
          <w:szCs w:val="24"/>
        </w:rPr>
        <w:t>1</w:t>
      </w:r>
      <w:r w:rsidR="000E2AAA" w:rsidRPr="004E28DD">
        <w:rPr>
          <w:rFonts w:ascii="Times New Roman" w:hAnsi="Times New Roman"/>
          <w:szCs w:val="24"/>
        </w:rPr>
        <w:t>5</w:t>
      </w:r>
      <w:r w:rsidRPr="004E28DD">
        <w:rPr>
          <w:rFonts w:ascii="Times New Roman" w:hAnsi="Times New Roman"/>
          <w:szCs w:val="24"/>
        </w:rPr>
        <w:t xml:space="preserve"> dams owned by Icon Water</w:t>
      </w:r>
    </w:p>
    <w:p w14:paraId="5F43BD88" w14:textId="4182C0BB" w:rsidR="005270A1" w:rsidRPr="004E28DD" w:rsidRDefault="005270A1" w:rsidP="005A512B">
      <w:pPr>
        <w:pStyle w:val="ListParagraph"/>
        <w:numPr>
          <w:ilvl w:val="0"/>
          <w:numId w:val="21"/>
        </w:numPr>
        <w:jc w:val="both"/>
        <w:rPr>
          <w:rFonts w:ascii="Times New Roman" w:hAnsi="Times New Roman"/>
          <w:szCs w:val="24"/>
        </w:rPr>
      </w:pPr>
      <w:r w:rsidRPr="004E28DD">
        <w:rPr>
          <w:rFonts w:ascii="Times New Roman" w:hAnsi="Times New Roman"/>
          <w:szCs w:val="24"/>
        </w:rPr>
        <w:t>1</w:t>
      </w:r>
      <w:r w:rsidR="004E28DD" w:rsidRPr="004E28DD">
        <w:rPr>
          <w:rFonts w:ascii="Times New Roman" w:hAnsi="Times New Roman"/>
          <w:szCs w:val="24"/>
        </w:rPr>
        <w:t>5</w:t>
      </w:r>
      <w:r w:rsidRPr="004E28DD">
        <w:rPr>
          <w:rFonts w:ascii="Times New Roman" w:hAnsi="Times New Roman"/>
          <w:szCs w:val="24"/>
        </w:rPr>
        <w:t xml:space="preserve"> dams owned by ACT Government </w:t>
      </w:r>
    </w:p>
    <w:p w14:paraId="44CB03F1" w14:textId="77777777" w:rsidR="005270A1" w:rsidRPr="004E28DD" w:rsidRDefault="005270A1" w:rsidP="005A512B">
      <w:pPr>
        <w:pStyle w:val="ListParagraph"/>
        <w:numPr>
          <w:ilvl w:val="0"/>
          <w:numId w:val="21"/>
        </w:numPr>
        <w:jc w:val="both"/>
        <w:rPr>
          <w:rFonts w:ascii="Times New Roman" w:hAnsi="Times New Roman"/>
          <w:szCs w:val="24"/>
        </w:rPr>
      </w:pPr>
      <w:r w:rsidRPr="004E28DD">
        <w:rPr>
          <w:rFonts w:ascii="Times New Roman" w:hAnsi="Times New Roman"/>
          <w:szCs w:val="24"/>
        </w:rPr>
        <w:t>2 Dams owned by Queanbeyan-Palerang Regional Council (QPRC)</w:t>
      </w:r>
    </w:p>
    <w:p w14:paraId="06FBE1CE" w14:textId="39B9CE50" w:rsidR="00481307" w:rsidRDefault="00481307" w:rsidP="005A512B">
      <w:pPr>
        <w:jc w:val="both"/>
        <w:rPr>
          <w:szCs w:val="24"/>
        </w:rPr>
      </w:pPr>
    </w:p>
    <w:p w14:paraId="282CAAA8" w14:textId="77777777" w:rsidR="00CC3A60" w:rsidRDefault="00CC3A60" w:rsidP="005A512B">
      <w:pPr>
        <w:jc w:val="both"/>
        <w:rPr>
          <w:szCs w:val="24"/>
        </w:rPr>
      </w:pPr>
    </w:p>
    <w:p w14:paraId="0B76660C" w14:textId="77777777" w:rsidR="004E28DD" w:rsidRDefault="004E28DD">
      <w:pPr>
        <w:rPr>
          <w:b/>
          <w:szCs w:val="24"/>
        </w:rPr>
      </w:pPr>
      <w:r>
        <w:rPr>
          <w:b/>
          <w:szCs w:val="24"/>
        </w:rPr>
        <w:br w:type="page"/>
      </w:r>
    </w:p>
    <w:p w14:paraId="081255C2" w14:textId="0410CE77" w:rsidR="00390020" w:rsidRDefault="001542B2" w:rsidP="00CC3A60">
      <w:pPr>
        <w:autoSpaceDE w:val="0"/>
        <w:autoSpaceDN w:val="0"/>
        <w:adjustRightInd w:val="0"/>
        <w:jc w:val="both"/>
        <w:rPr>
          <w:b/>
          <w:szCs w:val="24"/>
        </w:rPr>
      </w:pPr>
      <w:r>
        <w:rPr>
          <w:b/>
          <w:szCs w:val="24"/>
        </w:rPr>
        <w:lastRenderedPageBreak/>
        <w:t>Background</w:t>
      </w:r>
    </w:p>
    <w:p w14:paraId="13CD6C3C" w14:textId="77777777" w:rsidR="004E28DD" w:rsidRDefault="004E28DD" w:rsidP="00CC3A60">
      <w:pPr>
        <w:autoSpaceDE w:val="0"/>
        <w:autoSpaceDN w:val="0"/>
        <w:adjustRightInd w:val="0"/>
        <w:jc w:val="both"/>
        <w:rPr>
          <w:rFonts w:cs="Calibri"/>
          <w:szCs w:val="24"/>
        </w:rPr>
      </w:pPr>
    </w:p>
    <w:p w14:paraId="4270B69D" w14:textId="71429AB3" w:rsidR="006B689C" w:rsidRDefault="006B689C" w:rsidP="00CC3A60">
      <w:pPr>
        <w:autoSpaceDE w:val="0"/>
        <w:autoSpaceDN w:val="0"/>
        <w:adjustRightInd w:val="0"/>
        <w:jc w:val="both"/>
        <w:rPr>
          <w:szCs w:val="24"/>
        </w:rPr>
      </w:pPr>
      <w:r>
        <w:rPr>
          <w:rFonts w:cs="Calibri"/>
          <w:szCs w:val="24"/>
        </w:rPr>
        <w:t>T</w:t>
      </w:r>
      <w:r w:rsidRPr="008E5A40">
        <w:rPr>
          <w:rFonts w:cs="Calibri"/>
          <w:szCs w:val="24"/>
        </w:rPr>
        <w:t xml:space="preserve">he </w:t>
      </w:r>
      <w:r>
        <w:rPr>
          <w:rFonts w:cs="Calibri"/>
          <w:szCs w:val="24"/>
        </w:rPr>
        <w:t xml:space="preserve">Act </w:t>
      </w:r>
      <w:r w:rsidRPr="008E5A40">
        <w:rPr>
          <w:rFonts w:cs="Calibri"/>
          <w:szCs w:val="24"/>
        </w:rPr>
        <w:t>commence</w:t>
      </w:r>
      <w:r>
        <w:rPr>
          <w:rFonts w:cs="Calibri"/>
          <w:szCs w:val="24"/>
        </w:rPr>
        <w:t>d</w:t>
      </w:r>
      <w:r w:rsidRPr="008E5A40">
        <w:rPr>
          <w:rFonts w:cs="Calibri"/>
          <w:szCs w:val="24"/>
        </w:rPr>
        <w:t xml:space="preserve"> on 1 March 2015. Part 8 of </w:t>
      </w:r>
      <w:r>
        <w:rPr>
          <w:rFonts w:cs="Calibri"/>
          <w:szCs w:val="24"/>
        </w:rPr>
        <w:t>the Act</w:t>
      </w:r>
      <w:r w:rsidRPr="008E5A40">
        <w:rPr>
          <w:rFonts w:cs="Calibri"/>
          <w:szCs w:val="24"/>
        </w:rPr>
        <w:t xml:space="preserve"> introduces a uniform framework for dam safety regulation in the Territory. </w:t>
      </w:r>
      <w:r w:rsidRPr="000D0051">
        <w:rPr>
          <w:rFonts w:cs="Calibri"/>
          <w:szCs w:val="24"/>
        </w:rPr>
        <w:t>Section 58 of the Act require</w:t>
      </w:r>
      <w:r w:rsidR="00065B8D">
        <w:rPr>
          <w:rFonts w:cs="Calibri"/>
          <w:szCs w:val="24"/>
        </w:rPr>
        <w:t>s</w:t>
      </w:r>
      <w:r w:rsidRPr="000D0051">
        <w:rPr>
          <w:rFonts w:cs="Calibri"/>
          <w:szCs w:val="24"/>
        </w:rPr>
        <w:t xml:space="preserve"> all existing or proposed dams in the Territory that are more than 5m high or ha</w:t>
      </w:r>
      <w:r>
        <w:rPr>
          <w:rFonts w:cs="Calibri"/>
          <w:szCs w:val="24"/>
        </w:rPr>
        <w:t>ve</w:t>
      </w:r>
      <w:r w:rsidRPr="000D0051">
        <w:rPr>
          <w:rFonts w:cs="Calibri"/>
          <w:szCs w:val="24"/>
        </w:rPr>
        <w:t xml:space="preserve"> a water storage capacity </w:t>
      </w:r>
      <w:r w:rsidRPr="004E28DD">
        <w:rPr>
          <w:rFonts w:cs="Calibri"/>
          <w:szCs w:val="24"/>
        </w:rPr>
        <w:t>of more than 250ML to be included in a</w:t>
      </w:r>
      <w:r w:rsidR="006A3070" w:rsidRPr="004E28DD">
        <w:rPr>
          <w:rFonts w:cs="Calibri"/>
          <w:szCs w:val="24"/>
        </w:rPr>
        <w:t xml:space="preserve"> public</w:t>
      </w:r>
      <w:r w:rsidRPr="004E28DD">
        <w:rPr>
          <w:rFonts w:cs="Calibri"/>
          <w:szCs w:val="24"/>
        </w:rPr>
        <w:t xml:space="preserve"> dams register</w:t>
      </w:r>
      <w:r w:rsidR="00065B8D" w:rsidRPr="004E28DD">
        <w:rPr>
          <w:rFonts w:cs="Calibri"/>
          <w:szCs w:val="24"/>
        </w:rPr>
        <w:t xml:space="preserve"> (‘registrable dams’)</w:t>
      </w:r>
      <w:r w:rsidRPr="004E28DD">
        <w:rPr>
          <w:rFonts w:cs="Calibri"/>
          <w:szCs w:val="24"/>
        </w:rPr>
        <w:t xml:space="preserve">. </w:t>
      </w:r>
      <w:r w:rsidR="00C56574" w:rsidRPr="004E28DD">
        <w:rPr>
          <w:rFonts w:cs="Calibri"/>
          <w:szCs w:val="24"/>
        </w:rPr>
        <w:t xml:space="preserve"> </w:t>
      </w:r>
      <w:r w:rsidRPr="004E28DD">
        <w:rPr>
          <w:rFonts w:cs="Calibri"/>
          <w:szCs w:val="24"/>
        </w:rPr>
        <w:t xml:space="preserve">A dams register </w:t>
      </w:r>
      <w:r w:rsidR="009E504B" w:rsidRPr="004E28DD">
        <w:rPr>
          <w:rFonts w:cs="Calibri"/>
          <w:szCs w:val="24"/>
        </w:rPr>
        <w:t xml:space="preserve">is maintained in accordance with s58 of the Act and </w:t>
      </w:r>
      <w:r w:rsidRPr="004E28DD">
        <w:rPr>
          <w:rFonts w:cs="Calibri"/>
          <w:szCs w:val="24"/>
        </w:rPr>
        <w:t xml:space="preserve">currently includes </w:t>
      </w:r>
      <w:r w:rsidR="00DC5494" w:rsidRPr="004E28DD">
        <w:rPr>
          <w:rFonts w:cs="Calibri"/>
          <w:szCs w:val="24"/>
        </w:rPr>
        <w:t>4</w:t>
      </w:r>
      <w:r w:rsidR="005A512B" w:rsidRPr="004E28DD">
        <w:rPr>
          <w:rFonts w:cs="Calibri"/>
          <w:szCs w:val="24"/>
        </w:rPr>
        <w:t>4</w:t>
      </w:r>
      <w:r w:rsidR="00DC5494" w:rsidRPr="004E28DD">
        <w:rPr>
          <w:rFonts w:cs="Calibri"/>
          <w:szCs w:val="24"/>
        </w:rPr>
        <w:t xml:space="preserve"> </w:t>
      </w:r>
      <w:r w:rsidRPr="004E28DD">
        <w:rPr>
          <w:rFonts w:cs="Calibri"/>
          <w:szCs w:val="24"/>
        </w:rPr>
        <w:t>dams</w:t>
      </w:r>
      <w:r w:rsidR="00065B8D" w:rsidRPr="004E28DD">
        <w:rPr>
          <w:rFonts w:cs="Calibri"/>
          <w:szCs w:val="24"/>
        </w:rPr>
        <w:t xml:space="preserve">. </w:t>
      </w:r>
      <w:r w:rsidR="00573C59" w:rsidRPr="004E28DD">
        <w:rPr>
          <w:rFonts w:cs="Calibri"/>
          <w:szCs w:val="24"/>
        </w:rPr>
        <w:t xml:space="preserve">The dams register is accessible </w:t>
      </w:r>
      <w:r w:rsidR="00573C59">
        <w:rPr>
          <w:rFonts w:cs="Calibri"/>
          <w:szCs w:val="24"/>
        </w:rPr>
        <w:t xml:space="preserve">at </w:t>
      </w:r>
      <w:r w:rsidR="00573C59" w:rsidRPr="00240CD7">
        <w:rPr>
          <w:rFonts w:cs="Calibri"/>
          <w:szCs w:val="24"/>
        </w:rPr>
        <w:t>https://www.accesscanberra.act.gov.au/s/public-registers</w:t>
      </w:r>
      <w:r w:rsidR="00573C59" w:rsidRPr="004E28DD">
        <w:rPr>
          <w:rFonts w:cs="Calibri"/>
          <w:szCs w:val="24"/>
        </w:rPr>
        <w:t>.</w:t>
      </w:r>
    </w:p>
    <w:p w14:paraId="791A7548" w14:textId="77777777" w:rsidR="006B689C" w:rsidRDefault="006B689C" w:rsidP="00CC3A60">
      <w:pPr>
        <w:autoSpaceDE w:val="0"/>
        <w:autoSpaceDN w:val="0"/>
        <w:adjustRightInd w:val="0"/>
        <w:jc w:val="both"/>
        <w:rPr>
          <w:szCs w:val="24"/>
        </w:rPr>
      </w:pPr>
    </w:p>
    <w:p w14:paraId="0712399B" w14:textId="41DFB645" w:rsidR="00761CAB" w:rsidRDefault="006B689C" w:rsidP="005A512B">
      <w:pPr>
        <w:autoSpaceDE w:val="0"/>
        <w:autoSpaceDN w:val="0"/>
        <w:adjustRightInd w:val="0"/>
        <w:jc w:val="both"/>
        <w:rPr>
          <w:rFonts w:cs="Calibri"/>
          <w:szCs w:val="24"/>
        </w:rPr>
      </w:pPr>
      <w:r>
        <w:rPr>
          <w:rFonts w:cs="Calibri"/>
          <w:szCs w:val="24"/>
        </w:rPr>
        <w:t xml:space="preserve">Section 59 of the Act states that </w:t>
      </w:r>
      <w:r w:rsidR="00C600AF">
        <w:rPr>
          <w:rFonts w:cs="Calibri"/>
          <w:szCs w:val="24"/>
        </w:rPr>
        <w:t>the T</w:t>
      </w:r>
      <w:r w:rsidRPr="0046095A">
        <w:rPr>
          <w:rFonts w:cs="Calibri"/>
          <w:szCs w:val="24"/>
        </w:rPr>
        <w:t>echnic</w:t>
      </w:r>
      <w:r w:rsidR="00C600AF">
        <w:rPr>
          <w:rFonts w:cs="Calibri"/>
          <w:szCs w:val="24"/>
        </w:rPr>
        <w:t>al R</w:t>
      </w:r>
      <w:r w:rsidRPr="0046095A">
        <w:rPr>
          <w:rFonts w:cs="Calibri"/>
          <w:szCs w:val="24"/>
        </w:rPr>
        <w:t xml:space="preserve">egulator must determine the </w:t>
      </w:r>
      <w:r w:rsidR="00065B8D">
        <w:rPr>
          <w:rFonts w:cs="Calibri"/>
          <w:szCs w:val="24"/>
        </w:rPr>
        <w:t>‘</w:t>
      </w:r>
      <w:r>
        <w:rPr>
          <w:rFonts w:cs="Calibri"/>
          <w:szCs w:val="24"/>
        </w:rPr>
        <w:t xml:space="preserve">required </w:t>
      </w:r>
      <w:r w:rsidRPr="0046095A">
        <w:rPr>
          <w:rFonts w:cs="Calibri"/>
          <w:szCs w:val="24"/>
        </w:rPr>
        <w:t>information</w:t>
      </w:r>
      <w:r w:rsidR="00065B8D">
        <w:rPr>
          <w:rFonts w:cs="Calibri"/>
          <w:szCs w:val="24"/>
        </w:rPr>
        <w:t>’</w:t>
      </w:r>
      <w:r w:rsidRPr="0046095A">
        <w:rPr>
          <w:rFonts w:cs="Calibri"/>
          <w:szCs w:val="24"/>
        </w:rPr>
        <w:t xml:space="preserve"> </w:t>
      </w:r>
      <w:r w:rsidR="006A3070">
        <w:rPr>
          <w:rFonts w:cs="Calibri"/>
          <w:szCs w:val="24"/>
        </w:rPr>
        <w:t>to be</w:t>
      </w:r>
      <w:r>
        <w:rPr>
          <w:rFonts w:cs="Calibri"/>
          <w:szCs w:val="24"/>
        </w:rPr>
        <w:t xml:space="preserve"> provided for </w:t>
      </w:r>
      <w:r w:rsidR="00065B8D">
        <w:rPr>
          <w:rFonts w:cs="Calibri"/>
          <w:szCs w:val="24"/>
        </w:rPr>
        <w:t xml:space="preserve">registrable </w:t>
      </w:r>
      <w:r>
        <w:rPr>
          <w:rFonts w:cs="Calibri"/>
          <w:szCs w:val="24"/>
        </w:rPr>
        <w:t xml:space="preserve">dams. </w:t>
      </w:r>
      <w:r w:rsidR="00C56574">
        <w:rPr>
          <w:rFonts w:cs="Calibri"/>
          <w:szCs w:val="24"/>
        </w:rPr>
        <w:t xml:space="preserve"> </w:t>
      </w:r>
      <w:r w:rsidR="00C32D66">
        <w:rPr>
          <w:rFonts w:cs="Calibri"/>
          <w:szCs w:val="24"/>
        </w:rPr>
        <w:t>Th</w:t>
      </w:r>
      <w:r>
        <w:rPr>
          <w:rFonts w:cs="Calibri"/>
          <w:szCs w:val="24"/>
        </w:rPr>
        <w:t xml:space="preserve">e required information </w:t>
      </w:r>
      <w:r w:rsidR="006A3070">
        <w:rPr>
          <w:rFonts w:cs="Calibri"/>
          <w:szCs w:val="24"/>
        </w:rPr>
        <w:t>was</w:t>
      </w:r>
      <w:r w:rsidR="00C32D66">
        <w:rPr>
          <w:rFonts w:cs="Calibri"/>
          <w:szCs w:val="24"/>
        </w:rPr>
        <w:t xml:space="preserve"> determined </w:t>
      </w:r>
      <w:r>
        <w:rPr>
          <w:rFonts w:cs="Calibri"/>
          <w:szCs w:val="24"/>
        </w:rPr>
        <w:t xml:space="preserve">in </w:t>
      </w:r>
      <w:r w:rsidRPr="004E28DD">
        <w:rPr>
          <w:rFonts w:cs="Calibri"/>
          <w:szCs w:val="24"/>
        </w:rPr>
        <w:t xml:space="preserve">May 2015 </w:t>
      </w:r>
      <w:r w:rsidR="006A3070" w:rsidRPr="004E28DD">
        <w:rPr>
          <w:rFonts w:cs="Calibri"/>
          <w:szCs w:val="24"/>
        </w:rPr>
        <w:t>(</w:t>
      </w:r>
      <w:r w:rsidR="00573C59">
        <w:rPr>
          <w:rFonts w:cs="Calibri"/>
          <w:i/>
          <w:iCs/>
          <w:szCs w:val="24"/>
        </w:rPr>
        <w:t xml:space="preserve">Utilities (Technical Regulation) Dams Register – Required Information Determination 2015 (No 1) </w:t>
      </w:r>
      <w:r w:rsidR="00573C59" w:rsidRPr="006D189D">
        <w:rPr>
          <w:rFonts w:cs="Calibri"/>
          <w:szCs w:val="24"/>
        </w:rPr>
        <w:t>(</w:t>
      </w:r>
      <w:r w:rsidRPr="004E28DD">
        <w:rPr>
          <w:rFonts w:cs="Calibri"/>
          <w:szCs w:val="24"/>
        </w:rPr>
        <w:t>NI2015-188</w:t>
      </w:r>
      <w:r w:rsidR="006A3070" w:rsidRPr="004E28DD">
        <w:rPr>
          <w:rFonts w:cs="Calibri"/>
          <w:szCs w:val="24"/>
        </w:rPr>
        <w:t>)</w:t>
      </w:r>
      <w:r w:rsidR="006A3070">
        <w:rPr>
          <w:rFonts w:cs="Calibri"/>
          <w:szCs w:val="24"/>
        </w:rPr>
        <w:t xml:space="preserve"> and includes </w:t>
      </w:r>
      <w:r>
        <w:rPr>
          <w:rFonts w:cs="Calibri"/>
          <w:szCs w:val="24"/>
        </w:rPr>
        <w:t xml:space="preserve">a consequence category assessment </w:t>
      </w:r>
      <w:r w:rsidR="006A3070">
        <w:rPr>
          <w:rFonts w:cs="Calibri"/>
          <w:szCs w:val="24"/>
        </w:rPr>
        <w:t>made by the dam owner</w:t>
      </w:r>
      <w:r>
        <w:rPr>
          <w:rFonts w:cs="Calibri"/>
          <w:szCs w:val="24"/>
        </w:rPr>
        <w:t xml:space="preserve">. </w:t>
      </w:r>
      <w:r w:rsidR="00C56574">
        <w:rPr>
          <w:rFonts w:cs="Calibri"/>
          <w:szCs w:val="24"/>
        </w:rPr>
        <w:t xml:space="preserve"> </w:t>
      </w:r>
      <w:r>
        <w:rPr>
          <w:rFonts w:cs="Calibri"/>
          <w:szCs w:val="24"/>
        </w:rPr>
        <w:t>This assessment provides guidance on the risk of a dam to the community</w:t>
      </w:r>
      <w:r w:rsidR="00BD0857">
        <w:rPr>
          <w:rFonts w:cs="Calibri"/>
          <w:szCs w:val="24"/>
        </w:rPr>
        <w:t xml:space="preserve"> in the event of the failure of the dam</w:t>
      </w:r>
      <w:r>
        <w:rPr>
          <w:rFonts w:cs="Calibri"/>
          <w:szCs w:val="24"/>
        </w:rPr>
        <w:t xml:space="preserve"> and </w:t>
      </w:r>
      <w:r w:rsidRPr="000D0051">
        <w:rPr>
          <w:rFonts w:cs="Calibri"/>
          <w:szCs w:val="24"/>
        </w:rPr>
        <w:t>is</w:t>
      </w:r>
      <w:r>
        <w:rPr>
          <w:rFonts w:cs="Calibri"/>
          <w:szCs w:val="24"/>
        </w:rPr>
        <w:t xml:space="preserve"> made</w:t>
      </w:r>
      <w:r w:rsidRPr="000D0051">
        <w:rPr>
          <w:rFonts w:cs="Calibri"/>
          <w:szCs w:val="24"/>
        </w:rPr>
        <w:t xml:space="preserve"> according to </w:t>
      </w:r>
      <w:r w:rsidR="00DC5494" w:rsidRPr="00AB689F">
        <w:rPr>
          <w:rFonts w:cs="Calibri"/>
          <w:i/>
          <w:szCs w:val="24"/>
        </w:rPr>
        <w:t>ANCOLD Guidelines on Dam Safety Management</w:t>
      </w:r>
      <w:r w:rsidR="00DC5494">
        <w:rPr>
          <w:rFonts w:cs="Calibri"/>
          <w:szCs w:val="24"/>
        </w:rPr>
        <w:t xml:space="preserve"> (2003)</w:t>
      </w:r>
      <w:r>
        <w:rPr>
          <w:rFonts w:cs="Calibri"/>
          <w:szCs w:val="24"/>
        </w:rPr>
        <w:t xml:space="preserve">. </w:t>
      </w:r>
    </w:p>
    <w:p w14:paraId="5B99663A" w14:textId="77777777" w:rsidR="005A512B" w:rsidRDefault="005A512B" w:rsidP="00CC3A60">
      <w:pPr>
        <w:autoSpaceDE w:val="0"/>
        <w:autoSpaceDN w:val="0"/>
        <w:adjustRightInd w:val="0"/>
        <w:jc w:val="both"/>
        <w:rPr>
          <w:rFonts w:cs="Calibri"/>
          <w:szCs w:val="24"/>
        </w:rPr>
      </w:pPr>
    </w:p>
    <w:p w14:paraId="613898E4" w14:textId="574BBC3B" w:rsidR="006B689C" w:rsidRDefault="0055116F" w:rsidP="00CC3A60">
      <w:pPr>
        <w:jc w:val="both"/>
        <w:rPr>
          <w:rFonts w:cs="Calibri"/>
          <w:szCs w:val="24"/>
        </w:rPr>
      </w:pPr>
      <w:r>
        <w:rPr>
          <w:rFonts w:cs="Calibri"/>
          <w:szCs w:val="24"/>
        </w:rPr>
        <w:t>S</w:t>
      </w:r>
      <w:r w:rsidR="006B689C" w:rsidRPr="000D0051">
        <w:rPr>
          <w:rFonts w:cs="Calibri"/>
          <w:szCs w:val="24"/>
        </w:rPr>
        <w:t>ection 69 of the Act requires the</w:t>
      </w:r>
      <w:r w:rsidR="006B689C">
        <w:rPr>
          <w:rFonts w:cs="Calibri"/>
          <w:szCs w:val="24"/>
        </w:rPr>
        <w:t xml:space="preserve"> </w:t>
      </w:r>
      <w:r w:rsidR="00FB2390">
        <w:rPr>
          <w:rFonts w:cs="Calibri"/>
          <w:szCs w:val="24"/>
        </w:rPr>
        <w:t>T</w:t>
      </w:r>
      <w:r w:rsidR="006B689C">
        <w:rPr>
          <w:rFonts w:cs="Calibri"/>
          <w:szCs w:val="24"/>
        </w:rPr>
        <w:t xml:space="preserve">echnical </w:t>
      </w:r>
      <w:r w:rsidR="00FB2390">
        <w:rPr>
          <w:rFonts w:cs="Calibri"/>
          <w:szCs w:val="24"/>
        </w:rPr>
        <w:t>R</w:t>
      </w:r>
      <w:r w:rsidR="006B689C">
        <w:rPr>
          <w:rFonts w:cs="Calibri"/>
          <w:szCs w:val="24"/>
        </w:rPr>
        <w:t>egulator</w:t>
      </w:r>
      <w:r w:rsidR="006B689C" w:rsidRPr="000D0051">
        <w:rPr>
          <w:rFonts w:cs="Calibri"/>
          <w:szCs w:val="24"/>
        </w:rPr>
        <w:t xml:space="preserve"> </w:t>
      </w:r>
      <w:r w:rsidR="006B689C" w:rsidRPr="008E5A40">
        <w:rPr>
          <w:rFonts w:cs="Calibri"/>
          <w:szCs w:val="24"/>
        </w:rPr>
        <w:t>to</w:t>
      </w:r>
      <w:r w:rsidR="006B689C">
        <w:rPr>
          <w:rFonts w:cs="Calibri"/>
          <w:szCs w:val="24"/>
        </w:rPr>
        <w:t xml:space="preserve"> consider the information provided in relation to </w:t>
      </w:r>
      <w:r w:rsidR="00065B8D">
        <w:rPr>
          <w:rFonts w:cs="Calibri"/>
          <w:szCs w:val="24"/>
        </w:rPr>
        <w:t xml:space="preserve">registrable </w:t>
      </w:r>
      <w:r w:rsidR="006B689C">
        <w:rPr>
          <w:rFonts w:cs="Calibri"/>
          <w:szCs w:val="24"/>
        </w:rPr>
        <w:t>dams and determine a list of the dams that present a risk of significant adverse effects on the community in the event</w:t>
      </w:r>
      <w:r w:rsidR="005469CE">
        <w:rPr>
          <w:rFonts w:cs="Calibri"/>
          <w:szCs w:val="24"/>
        </w:rPr>
        <w:t xml:space="preserve"> of the failure of the dam</w:t>
      </w:r>
      <w:r w:rsidR="00390020">
        <w:rPr>
          <w:rFonts w:cs="Calibri"/>
          <w:szCs w:val="24"/>
        </w:rPr>
        <w:t xml:space="preserve"> (‘listed dams’)</w:t>
      </w:r>
      <w:r w:rsidR="005469CE">
        <w:rPr>
          <w:rFonts w:cs="Calibri"/>
          <w:szCs w:val="24"/>
        </w:rPr>
        <w:t xml:space="preserve">. </w:t>
      </w:r>
      <w:r w:rsidR="00C56574">
        <w:rPr>
          <w:rFonts w:cs="Calibri"/>
          <w:szCs w:val="24"/>
        </w:rPr>
        <w:t xml:space="preserve"> </w:t>
      </w:r>
      <w:r w:rsidR="00CD016B">
        <w:rPr>
          <w:rFonts w:cs="Calibri"/>
          <w:szCs w:val="24"/>
        </w:rPr>
        <w:t xml:space="preserve">All </w:t>
      </w:r>
      <w:r w:rsidR="00065B8D">
        <w:rPr>
          <w:rFonts w:cs="Calibri"/>
          <w:szCs w:val="24"/>
        </w:rPr>
        <w:t xml:space="preserve">listed </w:t>
      </w:r>
      <w:r w:rsidR="00CD016B">
        <w:rPr>
          <w:rFonts w:cs="Calibri"/>
          <w:szCs w:val="24"/>
        </w:rPr>
        <w:t xml:space="preserve">dams must comply with the </w:t>
      </w:r>
      <w:r w:rsidR="00AB689F" w:rsidRPr="00F30F8C">
        <w:rPr>
          <w:rFonts w:cs="Calibri"/>
          <w:i/>
        </w:rPr>
        <w:t>ACT Dam Safety Code 2018</w:t>
      </w:r>
      <w:r w:rsidR="00AB689F">
        <w:rPr>
          <w:rFonts w:cs="Calibri"/>
          <w:szCs w:val="24"/>
        </w:rPr>
        <w:t xml:space="preserve"> (the Code)</w:t>
      </w:r>
      <w:r w:rsidR="00CD016B">
        <w:rPr>
          <w:rFonts w:cs="Calibri"/>
          <w:szCs w:val="24"/>
        </w:rPr>
        <w:t>.</w:t>
      </w:r>
    </w:p>
    <w:p w14:paraId="534E5BC3" w14:textId="77777777" w:rsidR="006B689C" w:rsidRDefault="006B689C" w:rsidP="00CC3A60">
      <w:pPr>
        <w:autoSpaceDE w:val="0"/>
        <w:autoSpaceDN w:val="0"/>
        <w:adjustRightInd w:val="0"/>
        <w:jc w:val="both"/>
        <w:rPr>
          <w:szCs w:val="24"/>
        </w:rPr>
      </w:pPr>
    </w:p>
    <w:p w14:paraId="00232820" w14:textId="6E056C67" w:rsidR="00761CAB" w:rsidRDefault="00481307" w:rsidP="00CC3A60">
      <w:pPr>
        <w:autoSpaceDE w:val="0"/>
        <w:autoSpaceDN w:val="0"/>
        <w:adjustRightInd w:val="0"/>
        <w:jc w:val="both"/>
        <w:rPr>
          <w:rFonts w:cs="Calibri"/>
          <w:szCs w:val="24"/>
        </w:rPr>
      </w:pPr>
      <w:r w:rsidRPr="00865A95">
        <w:rPr>
          <w:rFonts w:cs="Calibri"/>
          <w:szCs w:val="24"/>
        </w:rPr>
        <w:t>Icon Water</w:t>
      </w:r>
      <w:r w:rsidR="00E8416F" w:rsidRPr="00865A95">
        <w:rPr>
          <w:rFonts w:cs="Calibri"/>
          <w:szCs w:val="24"/>
        </w:rPr>
        <w:t xml:space="preserve">, </w:t>
      </w:r>
      <w:r w:rsidR="00DC5494" w:rsidRPr="00865A95">
        <w:rPr>
          <w:rFonts w:cs="Calibri"/>
          <w:szCs w:val="24"/>
        </w:rPr>
        <w:t xml:space="preserve">ACT Government agencies </w:t>
      </w:r>
      <w:r w:rsidR="00E8416F" w:rsidRPr="00865A95">
        <w:rPr>
          <w:szCs w:val="24"/>
          <w:lang w:eastAsia="en-AU"/>
        </w:rPr>
        <w:t>and Q</w:t>
      </w:r>
      <w:r w:rsidR="005A512B">
        <w:rPr>
          <w:szCs w:val="24"/>
          <w:lang w:eastAsia="en-AU"/>
        </w:rPr>
        <w:t>PRC</w:t>
      </w:r>
      <w:r w:rsidR="00E8416F" w:rsidRPr="00865A95">
        <w:rPr>
          <w:szCs w:val="24"/>
          <w:lang w:eastAsia="en-AU"/>
        </w:rPr>
        <w:t xml:space="preserve"> </w:t>
      </w:r>
      <w:r w:rsidR="00CD016B" w:rsidRPr="00865A95">
        <w:rPr>
          <w:rFonts w:cs="Calibri"/>
          <w:szCs w:val="24"/>
        </w:rPr>
        <w:t>operating</w:t>
      </w:r>
      <w:r w:rsidR="00761CAB" w:rsidRPr="00865A95">
        <w:rPr>
          <w:rFonts w:cs="Calibri"/>
          <w:szCs w:val="24"/>
        </w:rPr>
        <w:t xml:space="preserve"> </w:t>
      </w:r>
      <w:r w:rsidR="00065B8D" w:rsidRPr="00865A95">
        <w:rPr>
          <w:rFonts w:cs="Calibri"/>
          <w:szCs w:val="24"/>
        </w:rPr>
        <w:t xml:space="preserve">registrable </w:t>
      </w:r>
      <w:r w:rsidR="00DC5494" w:rsidRPr="00865A95">
        <w:rPr>
          <w:rFonts w:cs="Calibri"/>
          <w:szCs w:val="24"/>
        </w:rPr>
        <w:t>dams</w:t>
      </w:r>
      <w:r w:rsidR="008C7410" w:rsidRPr="00865A95">
        <w:rPr>
          <w:rFonts w:cs="Calibri"/>
          <w:szCs w:val="24"/>
        </w:rPr>
        <w:t xml:space="preserve"> </w:t>
      </w:r>
      <w:r w:rsidRPr="00865A95">
        <w:rPr>
          <w:rFonts w:cs="Calibri"/>
          <w:szCs w:val="24"/>
        </w:rPr>
        <w:t>ha</w:t>
      </w:r>
      <w:r w:rsidR="00392721" w:rsidRPr="00865A95">
        <w:rPr>
          <w:rFonts w:cs="Calibri"/>
          <w:szCs w:val="24"/>
        </w:rPr>
        <w:t>ve</w:t>
      </w:r>
      <w:r w:rsidRPr="00865A95">
        <w:rPr>
          <w:rFonts w:cs="Calibri"/>
          <w:szCs w:val="24"/>
        </w:rPr>
        <w:t xml:space="preserve"> provided</w:t>
      </w:r>
      <w:r w:rsidR="00392721" w:rsidRPr="00865A95">
        <w:rPr>
          <w:rFonts w:cs="Calibri"/>
          <w:szCs w:val="24"/>
        </w:rPr>
        <w:t xml:space="preserve"> the </w:t>
      </w:r>
      <w:r w:rsidR="00FB2390" w:rsidRPr="00865A95">
        <w:rPr>
          <w:rFonts w:cs="Calibri"/>
          <w:szCs w:val="24"/>
        </w:rPr>
        <w:t>T</w:t>
      </w:r>
      <w:r w:rsidR="00392721" w:rsidRPr="00865A95">
        <w:rPr>
          <w:rFonts w:cs="Calibri"/>
          <w:szCs w:val="24"/>
        </w:rPr>
        <w:t xml:space="preserve">echnical </w:t>
      </w:r>
      <w:r w:rsidR="00FB2390" w:rsidRPr="00865A95">
        <w:rPr>
          <w:rFonts w:cs="Calibri"/>
          <w:szCs w:val="24"/>
        </w:rPr>
        <w:t>R</w:t>
      </w:r>
      <w:r w:rsidR="00392721" w:rsidRPr="00865A95">
        <w:rPr>
          <w:rFonts w:cs="Calibri"/>
          <w:szCs w:val="24"/>
        </w:rPr>
        <w:t>egulator</w:t>
      </w:r>
      <w:r w:rsidR="00761CAB" w:rsidRPr="00865A95">
        <w:rPr>
          <w:rFonts w:cs="Calibri"/>
          <w:szCs w:val="24"/>
        </w:rPr>
        <w:t xml:space="preserve"> with</w:t>
      </w:r>
      <w:r w:rsidR="00392721" w:rsidRPr="00865A95">
        <w:rPr>
          <w:rFonts w:cs="Calibri"/>
          <w:szCs w:val="24"/>
        </w:rPr>
        <w:t xml:space="preserve"> an</w:t>
      </w:r>
      <w:r w:rsidR="00392721">
        <w:rPr>
          <w:rFonts w:cs="Calibri"/>
          <w:szCs w:val="24"/>
        </w:rPr>
        <w:t xml:space="preserve"> assessment of the consequence category of </w:t>
      </w:r>
      <w:r w:rsidR="00390020">
        <w:rPr>
          <w:rFonts w:cs="Calibri"/>
          <w:szCs w:val="24"/>
        </w:rPr>
        <w:t xml:space="preserve">each </w:t>
      </w:r>
      <w:r w:rsidR="00392721">
        <w:rPr>
          <w:rFonts w:cs="Calibri"/>
          <w:szCs w:val="24"/>
        </w:rPr>
        <w:t>dam</w:t>
      </w:r>
      <w:r w:rsidR="00D20D2E">
        <w:rPr>
          <w:rFonts w:cs="Calibri"/>
          <w:szCs w:val="24"/>
        </w:rPr>
        <w:t>.</w:t>
      </w:r>
      <w:r w:rsidR="00761CAB">
        <w:rPr>
          <w:rFonts w:cs="Calibri"/>
          <w:szCs w:val="24"/>
        </w:rPr>
        <w:t xml:space="preserve"> </w:t>
      </w:r>
      <w:r w:rsidR="00C56574">
        <w:rPr>
          <w:rFonts w:cs="Calibri"/>
          <w:szCs w:val="24"/>
        </w:rPr>
        <w:t xml:space="preserve"> </w:t>
      </w:r>
      <w:r w:rsidR="00761CAB">
        <w:rPr>
          <w:rFonts w:cs="Arial"/>
          <w:szCs w:val="24"/>
          <w:lang w:eastAsia="en-AU"/>
        </w:rPr>
        <w:t>A</w:t>
      </w:r>
      <w:r w:rsidR="00761CAB" w:rsidRPr="000D0051">
        <w:rPr>
          <w:rFonts w:cs="Calibri"/>
          <w:szCs w:val="24"/>
        </w:rPr>
        <w:t xml:space="preserve"> ‘</w:t>
      </w:r>
      <w:r w:rsidR="00BE6AD6">
        <w:rPr>
          <w:rFonts w:cs="Calibri"/>
          <w:szCs w:val="24"/>
        </w:rPr>
        <w:t>Significant</w:t>
      </w:r>
      <w:r w:rsidR="00761CAB" w:rsidRPr="000D0051">
        <w:rPr>
          <w:rFonts w:cs="Calibri"/>
          <w:szCs w:val="24"/>
        </w:rPr>
        <w:t xml:space="preserve">’ consequence category indicates that the consequence of failure of a dam </w:t>
      </w:r>
      <w:r w:rsidR="00BE6AD6">
        <w:rPr>
          <w:rFonts w:cs="Calibri"/>
          <w:szCs w:val="24"/>
        </w:rPr>
        <w:t>could result in</w:t>
      </w:r>
      <w:r w:rsidR="00761CAB" w:rsidRPr="000D0051">
        <w:rPr>
          <w:rFonts w:cs="Calibri"/>
          <w:szCs w:val="24"/>
        </w:rPr>
        <w:t xml:space="preserve"> loss of life </w:t>
      </w:r>
      <w:r w:rsidR="00761CAB" w:rsidRPr="00865A95">
        <w:rPr>
          <w:rFonts w:cs="Calibri"/>
          <w:szCs w:val="24"/>
        </w:rPr>
        <w:t xml:space="preserve">and </w:t>
      </w:r>
      <w:r w:rsidR="00F30F8C" w:rsidRPr="00865A95">
        <w:rPr>
          <w:rFonts w:cs="Calibri"/>
          <w:szCs w:val="24"/>
        </w:rPr>
        <w:t xml:space="preserve">cause </w:t>
      </w:r>
      <w:r w:rsidR="00761CAB" w:rsidRPr="00865A95">
        <w:rPr>
          <w:rFonts w:cs="Calibri"/>
          <w:szCs w:val="24"/>
        </w:rPr>
        <w:t>m</w:t>
      </w:r>
      <w:r w:rsidR="00BE6AD6" w:rsidRPr="00865A95">
        <w:rPr>
          <w:rFonts w:cs="Calibri"/>
          <w:szCs w:val="24"/>
        </w:rPr>
        <w:t xml:space="preserve">inor </w:t>
      </w:r>
      <w:r w:rsidR="00865A95" w:rsidRPr="00865A95">
        <w:rPr>
          <w:rFonts w:cs="Calibri"/>
          <w:szCs w:val="24"/>
        </w:rPr>
        <w:t xml:space="preserve">to major </w:t>
      </w:r>
      <w:r w:rsidR="00761CAB" w:rsidRPr="00865A95">
        <w:rPr>
          <w:rFonts w:cs="Calibri"/>
          <w:szCs w:val="24"/>
        </w:rPr>
        <w:t xml:space="preserve">damage. ‘High </w:t>
      </w:r>
      <w:r w:rsidR="00787A7B" w:rsidRPr="00865A95">
        <w:rPr>
          <w:rFonts w:cs="Calibri"/>
          <w:szCs w:val="24"/>
        </w:rPr>
        <w:t>C</w:t>
      </w:r>
      <w:r w:rsidR="00761CAB" w:rsidRPr="00865A95">
        <w:rPr>
          <w:rFonts w:cs="Calibri"/>
          <w:szCs w:val="24"/>
        </w:rPr>
        <w:t>’,</w:t>
      </w:r>
      <w:r w:rsidR="00787A7B" w:rsidRPr="00865A95">
        <w:rPr>
          <w:rFonts w:cs="Calibri"/>
          <w:szCs w:val="24"/>
        </w:rPr>
        <w:t xml:space="preserve"> ‘High B’,</w:t>
      </w:r>
      <w:r w:rsidR="00761CAB" w:rsidRPr="00865A95">
        <w:rPr>
          <w:rFonts w:cs="Calibri"/>
          <w:szCs w:val="24"/>
        </w:rPr>
        <w:t xml:space="preserve"> ‘High A’ and ‘Extreme’</w:t>
      </w:r>
      <w:r w:rsidR="00761CAB" w:rsidRPr="000D0051">
        <w:rPr>
          <w:rFonts w:cs="Calibri"/>
          <w:szCs w:val="24"/>
        </w:rPr>
        <w:t xml:space="preserve"> categories indicate correspondingly more severe consequences.</w:t>
      </w:r>
    </w:p>
    <w:p w14:paraId="6C16E1AE" w14:textId="44DCB524" w:rsidR="00E04847" w:rsidRDefault="00E04847" w:rsidP="00CC3A60">
      <w:pPr>
        <w:autoSpaceDE w:val="0"/>
        <w:autoSpaceDN w:val="0"/>
        <w:adjustRightInd w:val="0"/>
        <w:jc w:val="both"/>
        <w:rPr>
          <w:rFonts w:cs="Calibri"/>
          <w:szCs w:val="24"/>
        </w:rPr>
      </w:pPr>
    </w:p>
    <w:p w14:paraId="546908EA" w14:textId="121DB712" w:rsidR="00EE10FD" w:rsidRPr="00CC3A60" w:rsidRDefault="00072EE5" w:rsidP="00CC3A60">
      <w:pPr>
        <w:autoSpaceDE w:val="0"/>
        <w:autoSpaceDN w:val="0"/>
        <w:adjustRightInd w:val="0"/>
        <w:jc w:val="both"/>
        <w:rPr>
          <w:szCs w:val="24"/>
        </w:rPr>
      </w:pPr>
      <w:r w:rsidRPr="00CC3A60">
        <w:rPr>
          <w:rFonts w:cs="Calibri"/>
          <w:szCs w:val="24"/>
        </w:rPr>
        <w:t xml:space="preserve">The Technical Regulator has also determined </w:t>
      </w:r>
      <w:r w:rsidR="00575074" w:rsidRPr="00CC3A60">
        <w:rPr>
          <w:rFonts w:cs="Calibri"/>
          <w:szCs w:val="24"/>
        </w:rPr>
        <w:t>that</w:t>
      </w:r>
      <w:r w:rsidR="005A512B" w:rsidRPr="00CC3A60">
        <w:rPr>
          <w:rFonts w:cs="Calibri"/>
          <w:szCs w:val="24"/>
        </w:rPr>
        <w:t xml:space="preserve"> </w:t>
      </w:r>
      <w:r w:rsidR="00575074" w:rsidRPr="00CC3A60">
        <w:rPr>
          <w:szCs w:val="24"/>
        </w:rPr>
        <w:t xml:space="preserve">dams with an embankment height </w:t>
      </w:r>
      <w:r w:rsidR="00C02B32" w:rsidRPr="00CC3A60">
        <w:rPr>
          <w:szCs w:val="24"/>
        </w:rPr>
        <w:t>equal to or exceeding 10</w:t>
      </w:r>
      <w:r w:rsidR="00C56574" w:rsidRPr="00CC3A60">
        <w:rPr>
          <w:szCs w:val="24"/>
        </w:rPr>
        <w:t xml:space="preserve"> </w:t>
      </w:r>
      <w:r w:rsidR="00C02B32" w:rsidRPr="00CC3A60">
        <w:rPr>
          <w:szCs w:val="24"/>
        </w:rPr>
        <w:t>m</w:t>
      </w:r>
      <w:r w:rsidR="005A283B" w:rsidRPr="00CC3A60">
        <w:rPr>
          <w:szCs w:val="24"/>
        </w:rPr>
        <w:t xml:space="preserve"> should be </w:t>
      </w:r>
      <w:r w:rsidR="00573C59">
        <w:rPr>
          <w:szCs w:val="24"/>
        </w:rPr>
        <w:t xml:space="preserve">a </w:t>
      </w:r>
      <w:r w:rsidR="005A283B" w:rsidRPr="00CC3A60">
        <w:rPr>
          <w:szCs w:val="24"/>
        </w:rPr>
        <w:t xml:space="preserve">listed </w:t>
      </w:r>
      <w:r w:rsidR="00573C59">
        <w:rPr>
          <w:szCs w:val="24"/>
        </w:rPr>
        <w:t xml:space="preserve">dam </w:t>
      </w:r>
      <w:r w:rsidR="00BE2D6F" w:rsidRPr="00CC3A60">
        <w:rPr>
          <w:szCs w:val="24"/>
        </w:rPr>
        <w:t>under section 69</w:t>
      </w:r>
      <w:r w:rsidR="00FA7741" w:rsidRPr="00CC3A60">
        <w:rPr>
          <w:szCs w:val="24"/>
        </w:rPr>
        <w:t xml:space="preserve">; </w:t>
      </w:r>
      <w:r w:rsidR="00727116" w:rsidRPr="00CC3A60">
        <w:rPr>
          <w:szCs w:val="24"/>
        </w:rPr>
        <w:t>even though</w:t>
      </w:r>
      <w:r w:rsidR="00FA7741" w:rsidRPr="00CC3A60">
        <w:rPr>
          <w:szCs w:val="24"/>
        </w:rPr>
        <w:t xml:space="preserve"> the </w:t>
      </w:r>
      <w:r w:rsidR="00727116" w:rsidRPr="00CC3A60">
        <w:rPr>
          <w:szCs w:val="24"/>
        </w:rPr>
        <w:t xml:space="preserve">consequence category </w:t>
      </w:r>
      <w:r w:rsidR="00712D23" w:rsidRPr="00CC3A60">
        <w:rPr>
          <w:szCs w:val="24"/>
        </w:rPr>
        <w:t>may be</w:t>
      </w:r>
      <w:r w:rsidR="00727116" w:rsidRPr="00CC3A60">
        <w:rPr>
          <w:szCs w:val="24"/>
        </w:rPr>
        <w:t xml:space="preserve"> lower than </w:t>
      </w:r>
      <w:r w:rsidR="00FD65DB" w:rsidRPr="00CC3A60">
        <w:rPr>
          <w:szCs w:val="24"/>
        </w:rPr>
        <w:t>S</w:t>
      </w:r>
      <w:r w:rsidR="00727116" w:rsidRPr="00CC3A60">
        <w:rPr>
          <w:szCs w:val="24"/>
        </w:rPr>
        <w:t>ignificant</w:t>
      </w:r>
      <w:r w:rsidR="00A2277D" w:rsidRPr="00CC3A60">
        <w:rPr>
          <w:szCs w:val="24"/>
        </w:rPr>
        <w:t xml:space="preserve">. </w:t>
      </w:r>
      <w:r w:rsidR="00C56574" w:rsidRPr="00CC3A60">
        <w:rPr>
          <w:szCs w:val="24"/>
        </w:rPr>
        <w:t xml:space="preserve"> </w:t>
      </w:r>
      <w:r w:rsidR="005C46E5" w:rsidRPr="00CC3A60">
        <w:rPr>
          <w:szCs w:val="24"/>
        </w:rPr>
        <w:t xml:space="preserve">This action </w:t>
      </w:r>
      <w:r w:rsidR="004077FF" w:rsidRPr="00CC3A60">
        <w:rPr>
          <w:szCs w:val="24"/>
        </w:rPr>
        <w:t>is</w:t>
      </w:r>
      <w:r w:rsidR="005C46E5" w:rsidRPr="00CC3A60">
        <w:rPr>
          <w:szCs w:val="24"/>
        </w:rPr>
        <w:t xml:space="preserve"> taken to bring the ACT </w:t>
      </w:r>
      <w:r w:rsidR="00FD65DB" w:rsidRPr="00CC3A60">
        <w:rPr>
          <w:szCs w:val="24"/>
        </w:rPr>
        <w:t xml:space="preserve">broadly </w:t>
      </w:r>
      <w:r w:rsidR="005C46E5" w:rsidRPr="00CC3A60">
        <w:rPr>
          <w:szCs w:val="24"/>
        </w:rPr>
        <w:t xml:space="preserve">in line with regulation </w:t>
      </w:r>
      <w:r w:rsidR="005A512B" w:rsidRPr="00CC3A60">
        <w:rPr>
          <w:szCs w:val="24"/>
        </w:rPr>
        <w:t xml:space="preserve">of dams undertaken by </w:t>
      </w:r>
      <w:r w:rsidR="005C46E5" w:rsidRPr="00CC3A60">
        <w:rPr>
          <w:szCs w:val="24"/>
        </w:rPr>
        <w:t xml:space="preserve">other </w:t>
      </w:r>
      <w:r w:rsidR="00FD65DB" w:rsidRPr="00CC3A60">
        <w:rPr>
          <w:szCs w:val="24"/>
        </w:rPr>
        <w:t>e</w:t>
      </w:r>
      <w:r w:rsidR="005C46E5" w:rsidRPr="00CC3A60">
        <w:rPr>
          <w:szCs w:val="24"/>
        </w:rPr>
        <w:t>ast</w:t>
      </w:r>
      <w:r w:rsidR="00FD65DB" w:rsidRPr="00CC3A60">
        <w:rPr>
          <w:szCs w:val="24"/>
        </w:rPr>
        <w:t>ern</w:t>
      </w:r>
      <w:r w:rsidR="005C46E5" w:rsidRPr="00CC3A60">
        <w:rPr>
          <w:szCs w:val="24"/>
        </w:rPr>
        <w:t xml:space="preserve"> </w:t>
      </w:r>
      <w:r w:rsidR="007556DA" w:rsidRPr="00CC3A60">
        <w:rPr>
          <w:szCs w:val="24"/>
        </w:rPr>
        <w:t xml:space="preserve">Australian </w:t>
      </w:r>
      <w:r w:rsidR="005C46E5" w:rsidRPr="00CC3A60">
        <w:rPr>
          <w:szCs w:val="24"/>
        </w:rPr>
        <w:t>jurisdictions.</w:t>
      </w:r>
    </w:p>
    <w:p w14:paraId="5FC716C2" w14:textId="77777777" w:rsidR="0046295B" w:rsidRDefault="0046295B" w:rsidP="00CC3A60">
      <w:pPr>
        <w:autoSpaceDE w:val="0"/>
        <w:autoSpaceDN w:val="0"/>
        <w:adjustRightInd w:val="0"/>
        <w:jc w:val="both"/>
        <w:rPr>
          <w:rFonts w:cs="Calibri"/>
          <w:szCs w:val="24"/>
        </w:rPr>
      </w:pPr>
    </w:p>
    <w:p w14:paraId="6B9A4F6E" w14:textId="77777777" w:rsidR="00573C59" w:rsidRPr="0046295B" w:rsidRDefault="00573C59" w:rsidP="00573C59">
      <w:pPr>
        <w:autoSpaceDE w:val="0"/>
        <w:autoSpaceDN w:val="0"/>
        <w:adjustRightInd w:val="0"/>
        <w:jc w:val="both"/>
        <w:rPr>
          <w:rFonts w:cs="Calibri"/>
          <w:szCs w:val="24"/>
        </w:rPr>
      </w:pPr>
      <w:r>
        <w:rPr>
          <w:rFonts w:cs="Calibri"/>
          <w:szCs w:val="24"/>
        </w:rPr>
        <w:t xml:space="preserve">It must be noted that </w:t>
      </w:r>
      <w:r w:rsidRPr="0046295B">
        <w:rPr>
          <w:rFonts w:cs="Calibri"/>
          <w:szCs w:val="24"/>
        </w:rPr>
        <w:t xml:space="preserve">the risk of adverse effects </w:t>
      </w:r>
      <w:r>
        <w:rPr>
          <w:rFonts w:cs="Calibri"/>
          <w:szCs w:val="24"/>
        </w:rPr>
        <w:t>in the case of</w:t>
      </w:r>
      <w:r w:rsidRPr="0046295B">
        <w:rPr>
          <w:rFonts w:cs="Calibri"/>
          <w:szCs w:val="24"/>
        </w:rPr>
        <w:t xml:space="preserve"> failure is </w:t>
      </w:r>
      <w:r>
        <w:rPr>
          <w:rFonts w:cs="Calibri"/>
          <w:szCs w:val="24"/>
        </w:rPr>
        <w:t>not</w:t>
      </w:r>
      <w:r w:rsidRPr="0046295B">
        <w:rPr>
          <w:rFonts w:cs="Calibri"/>
          <w:szCs w:val="24"/>
        </w:rPr>
        <w:t xml:space="preserve"> related to the risk of failure. </w:t>
      </w:r>
      <w:r>
        <w:rPr>
          <w:rFonts w:cs="Calibri"/>
          <w:szCs w:val="24"/>
        </w:rPr>
        <w:t xml:space="preserve"> </w:t>
      </w:r>
      <w:r w:rsidRPr="0046295B">
        <w:rPr>
          <w:rFonts w:cs="Calibri"/>
          <w:szCs w:val="24"/>
        </w:rPr>
        <w:t>A dam with an associated high risk of adverse impact</w:t>
      </w:r>
      <w:r>
        <w:rPr>
          <w:rFonts w:cs="Calibri"/>
          <w:szCs w:val="24"/>
        </w:rPr>
        <w:t>s</w:t>
      </w:r>
      <w:r w:rsidRPr="0046295B">
        <w:rPr>
          <w:rFonts w:cs="Calibri"/>
          <w:szCs w:val="24"/>
        </w:rPr>
        <w:t xml:space="preserve"> in the case of failure can be, and usually is, a dam</w:t>
      </w:r>
      <w:r>
        <w:rPr>
          <w:rFonts w:cs="Calibri"/>
          <w:szCs w:val="24"/>
        </w:rPr>
        <w:t xml:space="preserve"> where the </w:t>
      </w:r>
      <w:r w:rsidRPr="0046295B">
        <w:rPr>
          <w:rFonts w:cs="Calibri"/>
          <w:szCs w:val="24"/>
        </w:rPr>
        <w:t xml:space="preserve">risk of failure </w:t>
      </w:r>
      <w:r>
        <w:rPr>
          <w:rFonts w:cs="Calibri"/>
          <w:szCs w:val="24"/>
        </w:rPr>
        <w:t xml:space="preserve">has been categorised as </w:t>
      </w:r>
      <w:r w:rsidRPr="0046295B">
        <w:rPr>
          <w:rFonts w:cs="Calibri"/>
          <w:szCs w:val="24"/>
        </w:rPr>
        <w:t>very low.</w:t>
      </w:r>
    </w:p>
    <w:p w14:paraId="4F39D3D2" w14:textId="77777777" w:rsidR="00D20D2E" w:rsidRDefault="00D20D2E" w:rsidP="00CC3A60">
      <w:pPr>
        <w:jc w:val="both"/>
        <w:rPr>
          <w:rFonts w:cs="Calibri"/>
          <w:szCs w:val="24"/>
        </w:rPr>
      </w:pPr>
    </w:p>
    <w:p w14:paraId="7EFAB15E" w14:textId="77777777" w:rsidR="00573C59" w:rsidRDefault="00573C59" w:rsidP="00573C59">
      <w:pPr>
        <w:jc w:val="both"/>
        <w:rPr>
          <w:rFonts w:cs="Calibri"/>
          <w:szCs w:val="24"/>
        </w:rPr>
      </w:pPr>
      <w:r>
        <w:rPr>
          <w:rFonts w:cs="Calibri"/>
          <w:szCs w:val="24"/>
        </w:rPr>
        <w:t>The consequence categories of the listed dams are included in the instrument as information only.</w:t>
      </w:r>
    </w:p>
    <w:p w14:paraId="72736C90" w14:textId="72162DE0" w:rsidR="00573C59" w:rsidRDefault="00573C59" w:rsidP="00573C59">
      <w:pPr>
        <w:rPr>
          <w:rFonts w:cs="Calibri"/>
          <w:szCs w:val="24"/>
        </w:rPr>
      </w:pPr>
      <w:r>
        <w:rPr>
          <w:rFonts w:cs="Calibri"/>
          <w:szCs w:val="24"/>
        </w:rPr>
        <w:t xml:space="preserve"> </w:t>
      </w:r>
    </w:p>
    <w:p w14:paraId="67F9FB2C" w14:textId="77777777" w:rsidR="00573C59" w:rsidRPr="00573C59" w:rsidRDefault="00573C59" w:rsidP="00573C59">
      <w:pPr>
        <w:jc w:val="both"/>
        <w:rPr>
          <w:rFonts w:cs="Calibri"/>
          <w:szCs w:val="24"/>
        </w:rPr>
      </w:pPr>
      <w:r w:rsidRPr="00573C59">
        <w:rPr>
          <w:rFonts w:cs="Calibri"/>
          <w:szCs w:val="24"/>
        </w:rPr>
        <w:t>27 listed dams have been assessed as being in the ‘Significant’ consequence category or higher. 5 listed dams have been assessed as being in the ‘Low’ or ‘Very low’ consequence category but have an embankment height greater than or equal to 10m. Only one of these dams (North Weston Lower Pond) was not previously a listed dam. 3 dams have been delisted due to an accepted revised consequence category.</w:t>
      </w:r>
    </w:p>
    <w:p w14:paraId="57EADBAA" w14:textId="77777777" w:rsidR="00573C59" w:rsidRDefault="00573C59" w:rsidP="00573C59">
      <w:pPr>
        <w:rPr>
          <w:rFonts w:cs="Calibri"/>
          <w:szCs w:val="24"/>
        </w:rPr>
      </w:pPr>
    </w:p>
    <w:p w14:paraId="548CD521" w14:textId="77777777" w:rsidR="004E28DD" w:rsidRDefault="004E28DD">
      <w:pPr>
        <w:rPr>
          <w:rFonts w:cs="Calibri"/>
          <w:szCs w:val="24"/>
        </w:rPr>
      </w:pPr>
      <w:r>
        <w:rPr>
          <w:rFonts w:cs="Calibri"/>
          <w:szCs w:val="24"/>
        </w:rPr>
        <w:br w:type="page"/>
      </w:r>
    </w:p>
    <w:p w14:paraId="1DDCC68D" w14:textId="77777777" w:rsidR="00CC3A60" w:rsidRDefault="00CC3A60" w:rsidP="00CC3A60">
      <w:pPr>
        <w:jc w:val="both"/>
        <w:rPr>
          <w:rFonts w:cs="Calibri"/>
          <w:szCs w:val="24"/>
        </w:rPr>
      </w:pPr>
    </w:p>
    <w:p w14:paraId="55E3920B" w14:textId="77777777" w:rsidR="00513458" w:rsidRPr="004E28DD" w:rsidRDefault="00513458" w:rsidP="00CC3A60">
      <w:pPr>
        <w:jc w:val="both"/>
        <w:rPr>
          <w:rFonts w:cs="Calibri"/>
          <w:szCs w:val="24"/>
        </w:rPr>
      </w:pPr>
    </w:p>
    <w:p w14:paraId="257B6EA6" w14:textId="77777777" w:rsidR="00573C59" w:rsidRDefault="00573C59" w:rsidP="00573C59">
      <w:pPr>
        <w:autoSpaceDE w:val="0"/>
        <w:autoSpaceDN w:val="0"/>
        <w:adjustRightInd w:val="0"/>
        <w:jc w:val="both"/>
        <w:rPr>
          <w:rFonts w:cs="Calibri"/>
          <w:szCs w:val="24"/>
        </w:rPr>
      </w:pPr>
      <w:r>
        <w:rPr>
          <w:rFonts w:cs="Arial"/>
          <w:szCs w:val="24"/>
          <w:lang w:eastAsia="en-AU"/>
        </w:rPr>
        <w:t xml:space="preserve">Section 72 of the Act states that the Technical Regulator must prepare a technical code </w:t>
      </w:r>
      <w:r w:rsidRPr="000D4784">
        <w:t xml:space="preserve">to </w:t>
      </w:r>
      <w:r>
        <w:t>i</w:t>
      </w:r>
      <w:r w:rsidRPr="000D4784">
        <w:t>dentify and regulate the safety of</w:t>
      </w:r>
      <w:r>
        <w:t xml:space="preserve"> listed</w:t>
      </w:r>
      <w:r w:rsidRPr="000D4784">
        <w:t xml:space="preserve"> dams</w:t>
      </w:r>
      <w:r>
        <w:rPr>
          <w:rFonts w:cs="Arial"/>
          <w:szCs w:val="24"/>
          <w:lang w:eastAsia="en-AU"/>
        </w:rPr>
        <w:t xml:space="preserve">.  The </w:t>
      </w:r>
      <w:r>
        <w:rPr>
          <w:rFonts w:cs="Arial"/>
          <w:i/>
          <w:iCs/>
          <w:szCs w:val="24"/>
          <w:lang w:eastAsia="en-AU"/>
        </w:rPr>
        <w:t xml:space="preserve">Utilities (Technical Regulation) (ACT Dam Safety </w:t>
      </w:r>
      <w:r w:rsidRPr="006D189D">
        <w:rPr>
          <w:rFonts w:cs="Arial"/>
          <w:i/>
          <w:iCs/>
          <w:szCs w:val="24"/>
          <w:lang w:eastAsia="en-AU"/>
        </w:rPr>
        <w:t>Code) Approval 2018</w:t>
      </w:r>
      <w:r>
        <w:rPr>
          <w:rFonts w:cs="Arial"/>
          <w:szCs w:val="24"/>
          <w:lang w:eastAsia="en-AU"/>
        </w:rPr>
        <w:t xml:space="preserve"> </w:t>
      </w:r>
      <w:r w:rsidRPr="00D4427D">
        <w:rPr>
          <w:rFonts w:cs="Arial"/>
          <w:szCs w:val="24"/>
          <w:lang w:eastAsia="en-AU"/>
        </w:rPr>
        <w:t>(</w:t>
      </w:r>
      <w:r w:rsidRPr="00D4427D">
        <w:rPr>
          <w:rFonts w:cs="Calibri"/>
          <w:u w:val="single"/>
        </w:rPr>
        <w:t>DI2018-202)</w:t>
      </w:r>
      <w:r>
        <w:rPr>
          <w:rFonts w:cs="Calibri"/>
          <w:b/>
          <w:u w:val="single"/>
        </w:rPr>
        <w:t xml:space="preserve"> </w:t>
      </w:r>
      <w:r w:rsidRPr="006D189D">
        <w:rPr>
          <w:rFonts w:cs="Calibri"/>
          <w:bCs/>
          <w:u w:val="single"/>
        </w:rPr>
        <w:t>(the Code)</w:t>
      </w:r>
      <w:r>
        <w:rPr>
          <w:rFonts w:cs="Calibri"/>
          <w:b/>
          <w:u w:val="single"/>
        </w:rPr>
        <w:t xml:space="preserve"> </w:t>
      </w:r>
      <w:r>
        <w:rPr>
          <w:rFonts w:cs="Arial"/>
          <w:szCs w:val="24"/>
          <w:lang w:eastAsia="en-AU"/>
        </w:rPr>
        <w:t xml:space="preserve">was approved by Minister Gentleman on 15 June 2018, and requires compliance with the </w:t>
      </w:r>
      <w:r w:rsidRPr="0055116F">
        <w:rPr>
          <w:rFonts w:cs="Arial"/>
          <w:i/>
          <w:szCs w:val="24"/>
          <w:lang w:eastAsia="en-AU"/>
        </w:rPr>
        <w:t>ANCOLD Guidelines on Dam Safety Management</w:t>
      </w:r>
      <w:r>
        <w:rPr>
          <w:rFonts w:cs="Arial"/>
          <w:szCs w:val="24"/>
          <w:lang w:eastAsia="en-AU"/>
        </w:rPr>
        <w:t>.</w:t>
      </w:r>
      <w:r>
        <w:rPr>
          <w:rFonts w:cs="Calibri"/>
          <w:szCs w:val="24"/>
        </w:rPr>
        <w:t xml:space="preserve"> Under s75 of the Act the owners of listed dams must comply with the </w:t>
      </w:r>
      <w:r>
        <w:rPr>
          <w:rFonts w:cs="Arial"/>
          <w:szCs w:val="24"/>
          <w:lang w:eastAsia="en-AU"/>
        </w:rPr>
        <w:t>Code.</w:t>
      </w:r>
      <w:r>
        <w:rPr>
          <w:rFonts w:cs="Calibri"/>
          <w:szCs w:val="24"/>
        </w:rPr>
        <w:t xml:space="preserve"> </w:t>
      </w:r>
    </w:p>
    <w:p w14:paraId="6EE802E2" w14:textId="77777777" w:rsidR="00390020" w:rsidRDefault="00390020" w:rsidP="00CC3A60">
      <w:pPr>
        <w:autoSpaceDE w:val="0"/>
        <w:autoSpaceDN w:val="0"/>
        <w:adjustRightInd w:val="0"/>
        <w:jc w:val="both"/>
        <w:rPr>
          <w:rFonts w:cs="Calibri"/>
          <w:szCs w:val="24"/>
        </w:rPr>
      </w:pPr>
    </w:p>
    <w:p w14:paraId="55C39B86" w14:textId="77777777" w:rsidR="008C26AE" w:rsidRDefault="00390020" w:rsidP="00CC3A60">
      <w:pPr>
        <w:autoSpaceDE w:val="0"/>
        <w:autoSpaceDN w:val="0"/>
        <w:adjustRightInd w:val="0"/>
        <w:jc w:val="both"/>
        <w:rPr>
          <w:rFonts w:cs="Calibri"/>
          <w:szCs w:val="24"/>
        </w:rPr>
      </w:pPr>
      <w:r>
        <w:rPr>
          <w:rFonts w:cs="Calibri"/>
          <w:szCs w:val="24"/>
        </w:rPr>
        <w:t>T</w:t>
      </w:r>
      <w:r w:rsidR="00FB206D">
        <w:rPr>
          <w:rFonts w:cs="Calibri"/>
          <w:szCs w:val="24"/>
        </w:rPr>
        <w:t xml:space="preserve">here is a public </w:t>
      </w:r>
      <w:r>
        <w:rPr>
          <w:rFonts w:cs="Calibri"/>
          <w:szCs w:val="24"/>
        </w:rPr>
        <w:t xml:space="preserve">interest </w:t>
      </w:r>
      <w:r w:rsidR="00FB206D">
        <w:rPr>
          <w:rFonts w:cs="Calibri"/>
          <w:szCs w:val="24"/>
        </w:rPr>
        <w:t>purpose in listing these dams, as it provide</w:t>
      </w:r>
      <w:r w:rsidR="00CD016B">
        <w:rPr>
          <w:rFonts w:cs="Calibri"/>
          <w:szCs w:val="24"/>
        </w:rPr>
        <w:t>s</w:t>
      </w:r>
      <w:r w:rsidR="00FB206D">
        <w:rPr>
          <w:rFonts w:cs="Calibri"/>
          <w:szCs w:val="24"/>
        </w:rPr>
        <w:t xml:space="preserve"> information to the community, developers and other relevant government agencies about the location of higher risk consequence category dams.</w:t>
      </w:r>
    </w:p>
    <w:p w14:paraId="4C325499" w14:textId="77777777" w:rsidR="00481307" w:rsidRDefault="00481307" w:rsidP="00CC3A60">
      <w:pPr>
        <w:jc w:val="both"/>
        <w:rPr>
          <w:rFonts w:cs="Calibri"/>
          <w:szCs w:val="24"/>
        </w:rPr>
      </w:pPr>
    </w:p>
    <w:p w14:paraId="39E16785" w14:textId="77777777" w:rsidR="00573C59" w:rsidRPr="00084444" w:rsidRDefault="00573C59" w:rsidP="00573C59">
      <w:pPr>
        <w:autoSpaceDE w:val="0"/>
        <w:autoSpaceDN w:val="0"/>
        <w:adjustRightInd w:val="0"/>
        <w:jc w:val="both"/>
        <w:rPr>
          <w:szCs w:val="24"/>
          <w:lang w:eastAsia="en-AU"/>
        </w:rPr>
      </w:pPr>
      <w:r w:rsidRPr="00084444">
        <w:t xml:space="preserve">A </w:t>
      </w:r>
      <w:r>
        <w:t>r</w:t>
      </w:r>
      <w:r w:rsidRPr="00084444">
        <w:t xml:space="preserve">egulatory </w:t>
      </w:r>
      <w:r>
        <w:t>i</w:t>
      </w:r>
      <w:r w:rsidRPr="00084444">
        <w:t xml:space="preserve">mpact </w:t>
      </w:r>
      <w:r>
        <w:t>s</w:t>
      </w:r>
      <w:r w:rsidRPr="00084444">
        <w:t xml:space="preserve">tatement (RIS) is not required for this disallowable instrument as it is unlikely to impose appreciable costs on the community or a part of the community (section 34(1) of the </w:t>
      </w:r>
      <w:r w:rsidRPr="006D189D">
        <w:rPr>
          <w:i/>
          <w:iCs/>
        </w:rPr>
        <w:t>Legislation Act 2001</w:t>
      </w:r>
      <w:r w:rsidRPr="00084444">
        <w:t xml:space="preserve">).  Further, in accordance with section 36(1)(b) of the Legislation Act, a RIS is not necessary as the instrument does not operate to the disadvantage of anyone by adversely affecting the person’s rights or imposing liabilities on the person. </w:t>
      </w:r>
    </w:p>
    <w:p w14:paraId="174D3A6D" w14:textId="77777777" w:rsidR="00573C59" w:rsidRPr="00084444" w:rsidRDefault="00573C59" w:rsidP="00573C59">
      <w:pPr>
        <w:autoSpaceDE w:val="0"/>
        <w:autoSpaceDN w:val="0"/>
        <w:adjustRightInd w:val="0"/>
        <w:jc w:val="both"/>
        <w:rPr>
          <w:szCs w:val="24"/>
          <w:lang w:eastAsia="en-AU"/>
        </w:rPr>
      </w:pPr>
    </w:p>
    <w:p w14:paraId="08C72AAA" w14:textId="77777777" w:rsidR="00573C59" w:rsidRPr="00084444" w:rsidRDefault="00573C59" w:rsidP="00573C59">
      <w:pPr>
        <w:autoSpaceDE w:val="0"/>
        <w:autoSpaceDN w:val="0"/>
        <w:adjustRightInd w:val="0"/>
        <w:jc w:val="both"/>
        <w:rPr>
          <w:szCs w:val="24"/>
          <w:lang w:eastAsia="en-AU"/>
        </w:rPr>
      </w:pPr>
      <w:r w:rsidRPr="00084444">
        <w:rPr>
          <w:szCs w:val="24"/>
          <w:lang w:eastAsia="en-AU"/>
        </w:rPr>
        <w:t>The determination is consistent with the Legislative Assembly’s Scrutiny of Bills Committee Terms of Reference.  In particular, the determination:</w:t>
      </w:r>
    </w:p>
    <w:p w14:paraId="5BBC5EAC" w14:textId="77777777" w:rsidR="00573C59" w:rsidRPr="00084444" w:rsidRDefault="00573C59" w:rsidP="00573C59">
      <w:pPr>
        <w:numPr>
          <w:ilvl w:val="0"/>
          <w:numId w:val="12"/>
        </w:numPr>
        <w:autoSpaceDE w:val="0"/>
        <w:autoSpaceDN w:val="0"/>
        <w:adjustRightInd w:val="0"/>
        <w:jc w:val="both"/>
        <w:rPr>
          <w:szCs w:val="24"/>
          <w:lang w:eastAsia="en-AU"/>
        </w:rPr>
      </w:pPr>
      <w:r w:rsidRPr="00084444">
        <w:rPr>
          <w:szCs w:val="24"/>
          <w:lang w:eastAsia="en-AU"/>
        </w:rPr>
        <w:t>is in accordance with the general objects of the Act,</w:t>
      </w:r>
    </w:p>
    <w:p w14:paraId="6488DF0C" w14:textId="77777777" w:rsidR="00573C59" w:rsidRPr="00084444" w:rsidRDefault="00573C59" w:rsidP="00573C59">
      <w:pPr>
        <w:numPr>
          <w:ilvl w:val="0"/>
          <w:numId w:val="12"/>
        </w:numPr>
        <w:autoSpaceDE w:val="0"/>
        <w:autoSpaceDN w:val="0"/>
        <w:adjustRightInd w:val="0"/>
        <w:jc w:val="both"/>
        <w:rPr>
          <w:szCs w:val="24"/>
          <w:lang w:eastAsia="en-AU"/>
        </w:rPr>
      </w:pPr>
      <w:r w:rsidRPr="00084444">
        <w:rPr>
          <w:szCs w:val="24"/>
          <w:lang w:eastAsia="en-AU"/>
        </w:rPr>
        <w:t xml:space="preserve">does not unduly trespass on rights previously established by law, </w:t>
      </w:r>
    </w:p>
    <w:p w14:paraId="71E1C525" w14:textId="77777777" w:rsidR="00573C59" w:rsidRPr="00084444" w:rsidRDefault="00573C59" w:rsidP="00573C59">
      <w:pPr>
        <w:numPr>
          <w:ilvl w:val="0"/>
          <w:numId w:val="12"/>
        </w:numPr>
        <w:autoSpaceDE w:val="0"/>
        <w:autoSpaceDN w:val="0"/>
        <w:adjustRightInd w:val="0"/>
        <w:jc w:val="both"/>
        <w:rPr>
          <w:szCs w:val="24"/>
          <w:lang w:eastAsia="en-AU"/>
        </w:rPr>
      </w:pPr>
      <w:r w:rsidRPr="00084444">
        <w:rPr>
          <w:szCs w:val="24"/>
          <w:lang w:eastAsia="en-AU"/>
        </w:rPr>
        <w:t>does not make rights, liberties and/or obligations upon non-reviewable decisions,</w:t>
      </w:r>
    </w:p>
    <w:p w14:paraId="7D550AF5" w14:textId="77777777" w:rsidR="00573C59" w:rsidRPr="00084444" w:rsidRDefault="00573C59" w:rsidP="00573C59">
      <w:pPr>
        <w:numPr>
          <w:ilvl w:val="0"/>
          <w:numId w:val="12"/>
        </w:numPr>
        <w:autoSpaceDE w:val="0"/>
        <w:autoSpaceDN w:val="0"/>
        <w:adjustRightInd w:val="0"/>
        <w:jc w:val="both"/>
        <w:rPr>
          <w:szCs w:val="24"/>
          <w:lang w:eastAsia="en-AU"/>
        </w:rPr>
      </w:pPr>
      <w:r w:rsidRPr="00084444">
        <w:rPr>
          <w:szCs w:val="24"/>
          <w:lang w:eastAsia="en-AU"/>
        </w:rPr>
        <w:t>only contains a matter that is appropriately dealt with in a disallowable instrument,</w:t>
      </w:r>
    </w:p>
    <w:p w14:paraId="42925636" w14:textId="77777777" w:rsidR="00573C59" w:rsidRPr="00084444" w:rsidRDefault="00573C59" w:rsidP="00573C59">
      <w:pPr>
        <w:numPr>
          <w:ilvl w:val="0"/>
          <w:numId w:val="12"/>
        </w:numPr>
        <w:autoSpaceDE w:val="0"/>
        <w:autoSpaceDN w:val="0"/>
        <w:adjustRightInd w:val="0"/>
        <w:jc w:val="both"/>
        <w:rPr>
          <w:szCs w:val="24"/>
          <w:lang w:eastAsia="en-AU"/>
        </w:rPr>
      </w:pPr>
      <w:r w:rsidRPr="00084444">
        <w:rPr>
          <w:szCs w:val="24"/>
          <w:lang w:eastAsia="en-AU"/>
        </w:rPr>
        <w:t>merely serves to give effect to an aspect of the previously enacted regulatory regime.</w:t>
      </w:r>
    </w:p>
    <w:p w14:paraId="03021D2E" w14:textId="77777777" w:rsidR="00573C59" w:rsidRPr="00084444" w:rsidRDefault="00573C59" w:rsidP="00573C59">
      <w:pPr>
        <w:autoSpaceDE w:val="0"/>
        <w:autoSpaceDN w:val="0"/>
        <w:adjustRightInd w:val="0"/>
        <w:jc w:val="both"/>
        <w:rPr>
          <w:szCs w:val="24"/>
          <w:lang w:eastAsia="en-AU"/>
        </w:rPr>
      </w:pPr>
    </w:p>
    <w:p w14:paraId="03260CBC" w14:textId="77777777" w:rsidR="00573C59" w:rsidRPr="00084444" w:rsidRDefault="00573C59" w:rsidP="00573C59">
      <w:pPr>
        <w:autoSpaceDE w:val="0"/>
        <w:autoSpaceDN w:val="0"/>
        <w:adjustRightInd w:val="0"/>
        <w:jc w:val="both"/>
        <w:rPr>
          <w:szCs w:val="24"/>
          <w:lang w:eastAsia="en-AU"/>
        </w:rPr>
      </w:pPr>
      <w:r w:rsidRPr="00084444">
        <w:rPr>
          <w:szCs w:val="24"/>
          <w:lang w:eastAsia="en-AU"/>
        </w:rPr>
        <w:t xml:space="preserve">This instrument does not engage any human rights. </w:t>
      </w:r>
    </w:p>
    <w:p w14:paraId="65C3436A" w14:textId="77777777" w:rsidR="00573C59" w:rsidRDefault="00573C59" w:rsidP="00573C59">
      <w:pPr>
        <w:jc w:val="both"/>
        <w:rPr>
          <w:b/>
          <w:szCs w:val="24"/>
          <w:u w:val="single"/>
        </w:rPr>
      </w:pPr>
    </w:p>
    <w:p w14:paraId="0EFE3669" w14:textId="77777777" w:rsidR="00573C59" w:rsidRPr="00890BB6" w:rsidRDefault="00573C59" w:rsidP="00573C59">
      <w:pPr>
        <w:autoSpaceDE w:val="0"/>
        <w:autoSpaceDN w:val="0"/>
        <w:adjustRightInd w:val="0"/>
        <w:jc w:val="both"/>
        <w:rPr>
          <w:szCs w:val="24"/>
          <w:lang w:eastAsia="en-AU"/>
        </w:rPr>
      </w:pPr>
    </w:p>
    <w:p w14:paraId="78917D75" w14:textId="77777777" w:rsidR="00BE3689" w:rsidRPr="00890BB6" w:rsidRDefault="00BE3689" w:rsidP="00573C59">
      <w:pPr>
        <w:autoSpaceDE w:val="0"/>
        <w:autoSpaceDN w:val="0"/>
        <w:adjustRightInd w:val="0"/>
        <w:jc w:val="both"/>
        <w:rPr>
          <w:szCs w:val="24"/>
          <w:lang w:eastAsia="en-AU"/>
        </w:rPr>
      </w:pPr>
    </w:p>
    <w:sectPr w:rsidR="00BE3689" w:rsidRPr="00890BB6" w:rsidSect="00354530">
      <w:headerReference w:type="even" r:id="rId7"/>
      <w:headerReference w:type="default" r:id="rId8"/>
      <w:footerReference w:type="even" r:id="rId9"/>
      <w:footerReference w:type="default" r:id="rId10"/>
      <w:headerReference w:type="first" r:id="rId11"/>
      <w:footerReference w:type="first" r:id="rId12"/>
      <w:pgSz w:w="11907" w:h="16839" w:code="9"/>
      <w:pgMar w:top="1440" w:right="1559" w:bottom="1440" w:left="180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4C78DC1" w14:textId="77777777" w:rsidR="001646F7" w:rsidRDefault="001646F7">
      <w:r>
        <w:separator/>
      </w:r>
    </w:p>
  </w:endnote>
  <w:endnote w:type="continuationSeparator" w:id="0">
    <w:p w14:paraId="34DB375F" w14:textId="77777777" w:rsidR="001646F7" w:rsidRDefault="001646F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Times">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7B3F14" w14:textId="77777777" w:rsidR="00891800" w:rsidRDefault="00891800">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55F479" w14:textId="77777777" w:rsidR="00B928D1" w:rsidRDefault="00B928D1">
    <w:pPr>
      <w:pStyle w:val="Footer"/>
      <w:jc w:val="center"/>
    </w:pPr>
    <w:r>
      <w:fldChar w:fldCharType="begin"/>
    </w:r>
    <w:r>
      <w:instrText xml:space="preserve"> PAGE   \* MERGEFORMAT </w:instrText>
    </w:r>
    <w:r>
      <w:fldChar w:fldCharType="separate"/>
    </w:r>
    <w:r w:rsidR="00C600AF">
      <w:rPr>
        <w:noProof/>
      </w:rPr>
      <w:t>4</w:t>
    </w:r>
    <w:r>
      <w:fldChar w:fldCharType="end"/>
    </w:r>
  </w:p>
  <w:p w14:paraId="76908B6A" w14:textId="4F50F5D6" w:rsidR="004C4A40" w:rsidRPr="00891800" w:rsidRDefault="00891800" w:rsidP="00891800">
    <w:pPr>
      <w:pStyle w:val="Footer"/>
      <w:spacing w:before="0" w:after="0" w:line="240" w:lineRule="auto"/>
      <w:jc w:val="center"/>
      <w:rPr>
        <w:rFonts w:cs="Arial"/>
        <w:sz w:val="14"/>
      </w:rPr>
    </w:pPr>
    <w:r w:rsidRPr="00891800">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CE66F6" w14:textId="77777777" w:rsidR="00891800" w:rsidRDefault="0089180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ACC8BCA" w14:textId="77777777" w:rsidR="001646F7" w:rsidRDefault="001646F7">
      <w:r>
        <w:separator/>
      </w:r>
    </w:p>
  </w:footnote>
  <w:footnote w:type="continuationSeparator" w:id="0">
    <w:p w14:paraId="32BCE071" w14:textId="77777777" w:rsidR="001646F7" w:rsidRDefault="001646F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9C95B5" w14:textId="77777777" w:rsidR="00891800" w:rsidRDefault="0089180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AFA469" w14:textId="77777777" w:rsidR="00891800" w:rsidRDefault="00891800">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08A3BD" w14:textId="77777777" w:rsidR="00891800" w:rsidRDefault="0089180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hint="default"/>
      </w:rPr>
    </w:lvl>
  </w:abstractNum>
  <w:abstractNum w:abstractNumId="1" w15:restartNumberingAfterBreak="0">
    <w:nsid w:val="036266A1"/>
    <w:multiLevelType w:val="hybridMultilevel"/>
    <w:tmpl w:val="1610B68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07FD1A7B"/>
    <w:multiLevelType w:val="hybridMultilevel"/>
    <w:tmpl w:val="582AD1E8"/>
    <w:lvl w:ilvl="0" w:tplc="44F86300">
      <w:start w:val="1"/>
      <w:numFmt w:val="lowerRoman"/>
      <w:lvlText w:val="(%1)"/>
      <w:lvlJc w:val="left"/>
      <w:pPr>
        <w:tabs>
          <w:tab w:val="num" w:pos="1080"/>
        </w:tabs>
        <w:ind w:left="1080" w:hanging="72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3" w15:restartNumberingAfterBreak="0">
    <w:nsid w:val="0A0A4658"/>
    <w:multiLevelType w:val="multilevel"/>
    <w:tmpl w:val="4C9A11D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pStyle w:val="AH5Sec"/>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rPr>
        <w:b w:val="0"/>
        <w:i w:val="0"/>
      </w:rPr>
    </w:lvl>
    <w:lvl w:ilvl="8">
      <w:start w:val="1"/>
      <w:numFmt w:val="upperLetter"/>
      <w:lvlText w:val="(%9)"/>
      <w:lvlJc w:val="right"/>
      <w:pPr>
        <w:tabs>
          <w:tab w:val="num" w:pos="2260"/>
        </w:tabs>
        <w:ind w:left="2260" w:hanging="200"/>
      </w:pPr>
      <w:rPr>
        <w:b w:val="0"/>
        <w:i w:val="0"/>
      </w:rPr>
    </w:lvl>
  </w:abstractNum>
  <w:abstractNum w:abstractNumId="4" w15:restartNumberingAfterBreak="0">
    <w:nsid w:val="0FBF3D0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5" w15:restartNumberingAfterBreak="0">
    <w:nsid w:val="1CFC145B"/>
    <w:multiLevelType w:val="hybridMultilevel"/>
    <w:tmpl w:val="1D5239BE"/>
    <w:lvl w:ilvl="0" w:tplc="0C09000F">
      <w:start w:val="1"/>
      <w:numFmt w:val="decimal"/>
      <w:lvlText w:val="%1."/>
      <w:lvlJc w:val="left"/>
      <w:pPr>
        <w:ind w:left="720" w:hanging="360"/>
      </w:p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start w:val="1"/>
      <w:numFmt w:val="decimal"/>
      <w:lvlText w:val="%4."/>
      <w:lvlJc w:val="left"/>
      <w:pPr>
        <w:ind w:left="2880" w:hanging="360"/>
      </w:pPr>
    </w:lvl>
    <w:lvl w:ilvl="4" w:tplc="0C090019">
      <w:start w:val="1"/>
      <w:numFmt w:val="lowerLetter"/>
      <w:lvlText w:val="%5."/>
      <w:lvlJc w:val="left"/>
      <w:pPr>
        <w:ind w:left="3600" w:hanging="360"/>
      </w:pPr>
    </w:lvl>
    <w:lvl w:ilvl="5" w:tplc="0C09001B">
      <w:start w:val="1"/>
      <w:numFmt w:val="lowerRoman"/>
      <w:lvlText w:val="%6."/>
      <w:lvlJc w:val="right"/>
      <w:pPr>
        <w:ind w:left="4320" w:hanging="180"/>
      </w:pPr>
    </w:lvl>
    <w:lvl w:ilvl="6" w:tplc="0C09000F">
      <w:start w:val="1"/>
      <w:numFmt w:val="decimal"/>
      <w:lvlText w:val="%7."/>
      <w:lvlJc w:val="left"/>
      <w:pPr>
        <w:ind w:left="5040" w:hanging="360"/>
      </w:pPr>
    </w:lvl>
    <w:lvl w:ilvl="7" w:tplc="0C090019">
      <w:start w:val="1"/>
      <w:numFmt w:val="lowerLetter"/>
      <w:lvlText w:val="%8."/>
      <w:lvlJc w:val="left"/>
      <w:pPr>
        <w:ind w:left="5760" w:hanging="360"/>
      </w:pPr>
    </w:lvl>
    <w:lvl w:ilvl="8" w:tplc="0C09001B">
      <w:start w:val="1"/>
      <w:numFmt w:val="lowerRoman"/>
      <w:lvlText w:val="%9."/>
      <w:lvlJc w:val="right"/>
      <w:pPr>
        <w:ind w:left="6480" w:hanging="180"/>
      </w:pPr>
    </w:lvl>
  </w:abstractNum>
  <w:abstractNum w:abstractNumId="6" w15:restartNumberingAfterBreak="0">
    <w:nsid w:val="22E15D2F"/>
    <w:multiLevelType w:val="multilevel"/>
    <w:tmpl w:val="3F144E58"/>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pStyle w:val="Apara"/>
      <w:lvlText w:val="%7."/>
      <w:lvlJc w:val="left"/>
      <w:pPr>
        <w:tabs>
          <w:tab w:val="num" w:pos="5040"/>
        </w:tabs>
        <w:ind w:left="5040" w:hanging="720"/>
      </w:pPr>
    </w:lvl>
    <w:lvl w:ilvl="7">
      <w:start w:val="1"/>
      <w:numFmt w:val="decimal"/>
      <w:pStyle w:val="Asubpara"/>
      <w:lvlText w:val="%8."/>
      <w:lvlJc w:val="left"/>
      <w:pPr>
        <w:tabs>
          <w:tab w:val="num" w:pos="5760"/>
        </w:tabs>
        <w:ind w:left="5760" w:hanging="720"/>
      </w:pPr>
    </w:lvl>
    <w:lvl w:ilvl="8">
      <w:start w:val="1"/>
      <w:numFmt w:val="decimal"/>
      <w:pStyle w:val="Asubsubpara"/>
      <w:lvlText w:val="%9."/>
      <w:lvlJc w:val="left"/>
      <w:pPr>
        <w:tabs>
          <w:tab w:val="num" w:pos="6480"/>
        </w:tabs>
        <w:ind w:left="6480" w:hanging="720"/>
      </w:pPr>
    </w:lvl>
  </w:abstractNum>
  <w:abstractNum w:abstractNumId="7" w15:restartNumberingAfterBreak="0">
    <w:nsid w:val="234D6B01"/>
    <w:multiLevelType w:val="hybridMultilevel"/>
    <w:tmpl w:val="46CC80A6"/>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8" w15:restartNumberingAfterBreak="0">
    <w:nsid w:val="264B4C51"/>
    <w:multiLevelType w:val="hybridMultilevel"/>
    <w:tmpl w:val="E952A71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3441660D"/>
    <w:multiLevelType w:val="hybridMultilevel"/>
    <w:tmpl w:val="A7944C06"/>
    <w:lvl w:ilvl="0" w:tplc="0C090017">
      <w:start w:val="1"/>
      <w:numFmt w:val="lowerLetter"/>
      <w:lvlText w:val="%1)"/>
      <w:lvlJc w:val="left"/>
      <w:pPr>
        <w:ind w:left="770" w:hanging="360"/>
      </w:pPr>
    </w:lvl>
    <w:lvl w:ilvl="1" w:tplc="0C090019" w:tentative="1">
      <w:start w:val="1"/>
      <w:numFmt w:val="lowerLetter"/>
      <w:lvlText w:val="%2."/>
      <w:lvlJc w:val="left"/>
      <w:pPr>
        <w:ind w:left="1490" w:hanging="360"/>
      </w:pPr>
    </w:lvl>
    <w:lvl w:ilvl="2" w:tplc="0C09001B" w:tentative="1">
      <w:start w:val="1"/>
      <w:numFmt w:val="lowerRoman"/>
      <w:lvlText w:val="%3."/>
      <w:lvlJc w:val="right"/>
      <w:pPr>
        <w:ind w:left="2210" w:hanging="180"/>
      </w:pPr>
    </w:lvl>
    <w:lvl w:ilvl="3" w:tplc="0C09000F" w:tentative="1">
      <w:start w:val="1"/>
      <w:numFmt w:val="decimal"/>
      <w:lvlText w:val="%4."/>
      <w:lvlJc w:val="left"/>
      <w:pPr>
        <w:ind w:left="2930" w:hanging="360"/>
      </w:pPr>
    </w:lvl>
    <w:lvl w:ilvl="4" w:tplc="0C090019" w:tentative="1">
      <w:start w:val="1"/>
      <w:numFmt w:val="lowerLetter"/>
      <w:lvlText w:val="%5."/>
      <w:lvlJc w:val="left"/>
      <w:pPr>
        <w:ind w:left="3650" w:hanging="360"/>
      </w:pPr>
    </w:lvl>
    <w:lvl w:ilvl="5" w:tplc="0C09001B" w:tentative="1">
      <w:start w:val="1"/>
      <w:numFmt w:val="lowerRoman"/>
      <w:lvlText w:val="%6."/>
      <w:lvlJc w:val="right"/>
      <w:pPr>
        <w:ind w:left="4370" w:hanging="180"/>
      </w:pPr>
    </w:lvl>
    <w:lvl w:ilvl="6" w:tplc="0C09000F" w:tentative="1">
      <w:start w:val="1"/>
      <w:numFmt w:val="decimal"/>
      <w:lvlText w:val="%7."/>
      <w:lvlJc w:val="left"/>
      <w:pPr>
        <w:ind w:left="5090" w:hanging="360"/>
      </w:pPr>
    </w:lvl>
    <w:lvl w:ilvl="7" w:tplc="0C090019" w:tentative="1">
      <w:start w:val="1"/>
      <w:numFmt w:val="lowerLetter"/>
      <w:lvlText w:val="%8."/>
      <w:lvlJc w:val="left"/>
      <w:pPr>
        <w:ind w:left="5810" w:hanging="360"/>
      </w:pPr>
    </w:lvl>
    <w:lvl w:ilvl="8" w:tplc="0C09001B" w:tentative="1">
      <w:start w:val="1"/>
      <w:numFmt w:val="lowerRoman"/>
      <w:lvlText w:val="%9."/>
      <w:lvlJc w:val="right"/>
      <w:pPr>
        <w:ind w:left="6530" w:hanging="180"/>
      </w:pPr>
    </w:lvl>
  </w:abstractNum>
  <w:abstractNum w:abstractNumId="10" w15:restartNumberingAfterBreak="0">
    <w:nsid w:val="34501507"/>
    <w:multiLevelType w:val="hybridMultilevel"/>
    <w:tmpl w:val="3B1269E8"/>
    <w:lvl w:ilvl="0" w:tplc="75C0ABBE">
      <w:start w:val="1"/>
      <w:numFmt w:val="bullet"/>
      <w:lvlText w:val="-"/>
      <w:lvlJc w:val="left"/>
      <w:pPr>
        <w:tabs>
          <w:tab w:val="num" w:pos="810"/>
        </w:tabs>
        <w:ind w:left="810" w:hanging="360"/>
      </w:pPr>
      <w:rPr>
        <w:rFonts w:ascii="Times New Roman" w:eastAsia="Times New Roman" w:hAnsi="Times New Roman" w:hint="default"/>
      </w:rPr>
    </w:lvl>
    <w:lvl w:ilvl="1" w:tplc="04090003">
      <w:start w:val="1"/>
      <w:numFmt w:val="bullet"/>
      <w:lvlText w:val="o"/>
      <w:lvlJc w:val="left"/>
      <w:pPr>
        <w:tabs>
          <w:tab w:val="num" w:pos="1530"/>
        </w:tabs>
        <w:ind w:left="1530" w:hanging="360"/>
      </w:pPr>
      <w:rPr>
        <w:rFonts w:ascii="Courier New" w:hAnsi="Courier New" w:cs="Courier New" w:hint="default"/>
      </w:rPr>
    </w:lvl>
    <w:lvl w:ilvl="2" w:tplc="04090005">
      <w:start w:val="1"/>
      <w:numFmt w:val="bullet"/>
      <w:lvlText w:val=""/>
      <w:lvlJc w:val="left"/>
      <w:pPr>
        <w:tabs>
          <w:tab w:val="num" w:pos="2250"/>
        </w:tabs>
        <w:ind w:left="2250" w:hanging="360"/>
      </w:pPr>
      <w:rPr>
        <w:rFonts w:ascii="Wingdings" w:hAnsi="Wingdings" w:cs="Times New Roman" w:hint="default"/>
      </w:rPr>
    </w:lvl>
    <w:lvl w:ilvl="3" w:tplc="04090001">
      <w:start w:val="1"/>
      <w:numFmt w:val="bullet"/>
      <w:lvlText w:val=""/>
      <w:lvlJc w:val="left"/>
      <w:pPr>
        <w:tabs>
          <w:tab w:val="num" w:pos="2970"/>
        </w:tabs>
        <w:ind w:left="2970" w:hanging="360"/>
      </w:pPr>
      <w:rPr>
        <w:rFonts w:ascii="Symbol" w:hAnsi="Symbol" w:cs="Times New Roman" w:hint="default"/>
      </w:rPr>
    </w:lvl>
    <w:lvl w:ilvl="4" w:tplc="04090003">
      <w:start w:val="1"/>
      <w:numFmt w:val="bullet"/>
      <w:lvlText w:val="o"/>
      <w:lvlJc w:val="left"/>
      <w:pPr>
        <w:tabs>
          <w:tab w:val="num" w:pos="3690"/>
        </w:tabs>
        <w:ind w:left="3690" w:hanging="360"/>
      </w:pPr>
      <w:rPr>
        <w:rFonts w:ascii="Courier New" w:hAnsi="Courier New" w:cs="Courier New" w:hint="default"/>
      </w:rPr>
    </w:lvl>
    <w:lvl w:ilvl="5" w:tplc="04090005">
      <w:start w:val="1"/>
      <w:numFmt w:val="bullet"/>
      <w:lvlText w:val=""/>
      <w:lvlJc w:val="left"/>
      <w:pPr>
        <w:tabs>
          <w:tab w:val="num" w:pos="4410"/>
        </w:tabs>
        <w:ind w:left="4410" w:hanging="360"/>
      </w:pPr>
      <w:rPr>
        <w:rFonts w:ascii="Wingdings" w:hAnsi="Wingdings" w:cs="Times New Roman" w:hint="default"/>
      </w:rPr>
    </w:lvl>
    <w:lvl w:ilvl="6" w:tplc="04090001">
      <w:start w:val="1"/>
      <w:numFmt w:val="bullet"/>
      <w:lvlText w:val=""/>
      <w:lvlJc w:val="left"/>
      <w:pPr>
        <w:tabs>
          <w:tab w:val="num" w:pos="5130"/>
        </w:tabs>
        <w:ind w:left="5130" w:hanging="360"/>
      </w:pPr>
      <w:rPr>
        <w:rFonts w:ascii="Symbol" w:hAnsi="Symbol" w:cs="Times New Roman" w:hint="default"/>
      </w:rPr>
    </w:lvl>
    <w:lvl w:ilvl="7" w:tplc="04090003">
      <w:start w:val="1"/>
      <w:numFmt w:val="bullet"/>
      <w:lvlText w:val="o"/>
      <w:lvlJc w:val="left"/>
      <w:pPr>
        <w:tabs>
          <w:tab w:val="num" w:pos="5850"/>
        </w:tabs>
        <w:ind w:left="5850" w:hanging="360"/>
      </w:pPr>
      <w:rPr>
        <w:rFonts w:ascii="Courier New" w:hAnsi="Courier New" w:cs="Courier New" w:hint="default"/>
      </w:rPr>
    </w:lvl>
    <w:lvl w:ilvl="8" w:tplc="04090005">
      <w:start w:val="1"/>
      <w:numFmt w:val="bullet"/>
      <w:lvlText w:val=""/>
      <w:lvlJc w:val="left"/>
      <w:pPr>
        <w:tabs>
          <w:tab w:val="num" w:pos="6570"/>
        </w:tabs>
        <w:ind w:left="6570" w:hanging="360"/>
      </w:pPr>
      <w:rPr>
        <w:rFonts w:ascii="Wingdings" w:hAnsi="Wingdings" w:cs="Times New Roman" w:hint="default"/>
      </w:rPr>
    </w:lvl>
  </w:abstractNum>
  <w:abstractNum w:abstractNumId="11" w15:restartNumberingAfterBreak="0">
    <w:nsid w:val="34E90251"/>
    <w:multiLevelType w:val="hybridMultilevel"/>
    <w:tmpl w:val="1B4C828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362F614E"/>
    <w:multiLevelType w:val="hybridMultilevel"/>
    <w:tmpl w:val="F3442390"/>
    <w:lvl w:ilvl="0" w:tplc="477E314E">
      <w:start w:val="1"/>
      <w:numFmt w:val="lowerLetter"/>
      <w:lvlText w:val="(%1)"/>
      <w:lvlJc w:val="left"/>
      <w:pPr>
        <w:tabs>
          <w:tab w:val="num" w:pos="394"/>
        </w:tabs>
        <w:ind w:left="394" w:hanging="360"/>
      </w:pPr>
      <w:rPr>
        <w:rFonts w:hint="default"/>
      </w:rPr>
    </w:lvl>
    <w:lvl w:ilvl="1" w:tplc="04090019">
      <w:start w:val="1"/>
      <w:numFmt w:val="lowerLetter"/>
      <w:lvlText w:val="%2."/>
      <w:lvlJc w:val="left"/>
      <w:pPr>
        <w:tabs>
          <w:tab w:val="num" w:pos="1114"/>
        </w:tabs>
        <w:ind w:left="1114" w:hanging="360"/>
      </w:pPr>
    </w:lvl>
    <w:lvl w:ilvl="2" w:tplc="0409001B">
      <w:start w:val="1"/>
      <w:numFmt w:val="lowerRoman"/>
      <w:lvlText w:val="%3."/>
      <w:lvlJc w:val="right"/>
      <w:pPr>
        <w:tabs>
          <w:tab w:val="num" w:pos="1834"/>
        </w:tabs>
        <w:ind w:left="1834" w:hanging="180"/>
      </w:pPr>
    </w:lvl>
    <w:lvl w:ilvl="3" w:tplc="0409000F">
      <w:start w:val="1"/>
      <w:numFmt w:val="decimal"/>
      <w:lvlText w:val="%4."/>
      <w:lvlJc w:val="left"/>
      <w:pPr>
        <w:tabs>
          <w:tab w:val="num" w:pos="2554"/>
        </w:tabs>
        <w:ind w:left="2554" w:hanging="360"/>
      </w:pPr>
    </w:lvl>
    <w:lvl w:ilvl="4" w:tplc="04090019">
      <w:start w:val="1"/>
      <w:numFmt w:val="lowerLetter"/>
      <w:lvlText w:val="%5."/>
      <w:lvlJc w:val="left"/>
      <w:pPr>
        <w:tabs>
          <w:tab w:val="num" w:pos="3274"/>
        </w:tabs>
        <w:ind w:left="3274" w:hanging="360"/>
      </w:pPr>
    </w:lvl>
    <w:lvl w:ilvl="5" w:tplc="0409001B">
      <w:start w:val="1"/>
      <w:numFmt w:val="lowerRoman"/>
      <w:lvlText w:val="%6."/>
      <w:lvlJc w:val="right"/>
      <w:pPr>
        <w:tabs>
          <w:tab w:val="num" w:pos="3994"/>
        </w:tabs>
        <w:ind w:left="3994" w:hanging="180"/>
      </w:pPr>
    </w:lvl>
    <w:lvl w:ilvl="6" w:tplc="0409000F">
      <w:start w:val="1"/>
      <w:numFmt w:val="decimal"/>
      <w:lvlText w:val="%7."/>
      <w:lvlJc w:val="left"/>
      <w:pPr>
        <w:tabs>
          <w:tab w:val="num" w:pos="4714"/>
        </w:tabs>
        <w:ind w:left="4714" w:hanging="360"/>
      </w:pPr>
    </w:lvl>
    <w:lvl w:ilvl="7" w:tplc="04090019">
      <w:start w:val="1"/>
      <w:numFmt w:val="lowerLetter"/>
      <w:lvlText w:val="%8."/>
      <w:lvlJc w:val="left"/>
      <w:pPr>
        <w:tabs>
          <w:tab w:val="num" w:pos="5434"/>
        </w:tabs>
        <w:ind w:left="5434" w:hanging="360"/>
      </w:pPr>
    </w:lvl>
    <w:lvl w:ilvl="8" w:tplc="0409001B">
      <w:start w:val="1"/>
      <w:numFmt w:val="lowerRoman"/>
      <w:lvlText w:val="%9."/>
      <w:lvlJc w:val="right"/>
      <w:pPr>
        <w:tabs>
          <w:tab w:val="num" w:pos="6154"/>
        </w:tabs>
        <w:ind w:left="6154" w:hanging="180"/>
      </w:pPr>
    </w:lvl>
  </w:abstractNum>
  <w:abstractNum w:abstractNumId="13" w15:restartNumberingAfterBreak="0">
    <w:nsid w:val="37086305"/>
    <w:multiLevelType w:val="singleLevel"/>
    <w:tmpl w:val="C12E9D90"/>
    <w:lvl w:ilvl="0">
      <w:start w:val="1"/>
      <w:numFmt w:val="bullet"/>
      <w:pStyle w:val="Aparabullet"/>
      <w:lvlText w:val=""/>
      <w:lvlJc w:val="left"/>
      <w:pPr>
        <w:tabs>
          <w:tab w:val="num" w:pos="1740"/>
        </w:tabs>
        <w:ind w:left="1740" w:hanging="540"/>
      </w:pPr>
      <w:rPr>
        <w:rFonts w:ascii="Symbol" w:hAnsi="Symbol" w:hint="default"/>
        <w:sz w:val="20"/>
      </w:rPr>
    </w:lvl>
  </w:abstractNum>
  <w:abstractNum w:abstractNumId="14" w15:restartNumberingAfterBreak="0">
    <w:nsid w:val="3C327B1A"/>
    <w:multiLevelType w:val="hybridMultilevel"/>
    <w:tmpl w:val="B6A2DF3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55DE5F0C"/>
    <w:multiLevelType w:val="hybridMultilevel"/>
    <w:tmpl w:val="4D3EAB32"/>
    <w:lvl w:ilvl="0" w:tplc="0C090001">
      <w:start w:val="1"/>
      <w:numFmt w:val="bullet"/>
      <w:lvlText w:val=""/>
      <w:lvlJc w:val="left"/>
      <w:pPr>
        <w:ind w:left="779" w:hanging="360"/>
      </w:pPr>
      <w:rPr>
        <w:rFonts w:ascii="Symbol" w:hAnsi="Symbol" w:hint="default"/>
      </w:rPr>
    </w:lvl>
    <w:lvl w:ilvl="1" w:tplc="0C090003" w:tentative="1">
      <w:start w:val="1"/>
      <w:numFmt w:val="bullet"/>
      <w:lvlText w:val="o"/>
      <w:lvlJc w:val="left"/>
      <w:pPr>
        <w:ind w:left="1499" w:hanging="360"/>
      </w:pPr>
      <w:rPr>
        <w:rFonts w:ascii="Courier New" w:hAnsi="Courier New" w:cs="Courier New" w:hint="default"/>
      </w:rPr>
    </w:lvl>
    <w:lvl w:ilvl="2" w:tplc="0C090005" w:tentative="1">
      <w:start w:val="1"/>
      <w:numFmt w:val="bullet"/>
      <w:lvlText w:val=""/>
      <w:lvlJc w:val="left"/>
      <w:pPr>
        <w:ind w:left="2219" w:hanging="360"/>
      </w:pPr>
      <w:rPr>
        <w:rFonts w:ascii="Wingdings" w:hAnsi="Wingdings" w:hint="default"/>
      </w:rPr>
    </w:lvl>
    <w:lvl w:ilvl="3" w:tplc="0C090001" w:tentative="1">
      <w:start w:val="1"/>
      <w:numFmt w:val="bullet"/>
      <w:lvlText w:val=""/>
      <w:lvlJc w:val="left"/>
      <w:pPr>
        <w:ind w:left="2939" w:hanging="360"/>
      </w:pPr>
      <w:rPr>
        <w:rFonts w:ascii="Symbol" w:hAnsi="Symbol" w:hint="default"/>
      </w:rPr>
    </w:lvl>
    <w:lvl w:ilvl="4" w:tplc="0C090003" w:tentative="1">
      <w:start w:val="1"/>
      <w:numFmt w:val="bullet"/>
      <w:lvlText w:val="o"/>
      <w:lvlJc w:val="left"/>
      <w:pPr>
        <w:ind w:left="3659" w:hanging="360"/>
      </w:pPr>
      <w:rPr>
        <w:rFonts w:ascii="Courier New" w:hAnsi="Courier New" w:cs="Courier New" w:hint="default"/>
      </w:rPr>
    </w:lvl>
    <w:lvl w:ilvl="5" w:tplc="0C090005" w:tentative="1">
      <w:start w:val="1"/>
      <w:numFmt w:val="bullet"/>
      <w:lvlText w:val=""/>
      <w:lvlJc w:val="left"/>
      <w:pPr>
        <w:ind w:left="4379" w:hanging="360"/>
      </w:pPr>
      <w:rPr>
        <w:rFonts w:ascii="Wingdings" w:hAnsi="Wingdings" w:hint="default"/>
      </w:rPr>
    </w:lvl>
    <w:lvl w:ilvl="6" w:tplc="0C090001" w:tentative="1">
      <w:start w:val="1"/>
      <w:numFmt w:val="bullet"/>
      <w:lvlText w:val=""/>
      <w:lvlJc w:val="left"/>
      <w:pPr>
        <w:ind w:left="5099" w:hanging="360"/>
      </w:pPr>
      <w:rPr>
        <w:rFonts w:ascii="Symbol" w:hAnsi="Symbol" w:hint="default"/>
      </w:rPr>
    </w:lvl>
    <w:lvl w:ilvl="7" w:tplc="0C090003" w:tentative="1">
      <w:start w:val="1"/>
      <w:numFmt w:val="bullet"/>
      <w:lvlText w:val="o"/>
      <w:lvlJc w:val="left"/>
      <w:pPr>
        <w:ind w:left="5819" w:hanging="360"/>
      </w:pPr>
      <w:rPr>
        <w:rFonts w:ascii="Courier New" w:hAnsi="Courier New" w:cs="Courier New" w:hint="default"/>
      </w:rPr>
    </w:lvl>
    <w:lvl w:ilvl="8" w:tplc="0C090005" w:tentative="1">
      <w:start w:val="1"/>
      <w:numFmt w:val="bullet"/>
      <w:lvlText w:val=""/>
      <w:lvlJc w:val="left"/>
      <w:pPr>
        <w:ind w:left="6539" w:hanging="360"/>
      </w:pPr>
      <w:rPr>
        <w:rFonts w:ascii="Wingdings" w:hAnsi="Wingdings" w:hint="default"/>
      </w:rPr>
    </w:lvl>
  </w:abstractNum>
  <w:abstractNum w:abstractNumId="16" w15:restartNumberingAfterBreak="0">
    <w:nsid w:val="630A4775"/>
    <w:multiLevelType w:val="hybridMultilevel"/>
    <w:tmpl w:val="46CC80A6"/>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7" w15:restartNumberingAfterBreak="0">
    <w:nsid w:val="6E9A50D7"/>
    <w:multiLevelType w:val="hybridMultilevel"/>
    <w:tmpl w:val="B9F20E72"/>
    <w:lvl w:ilvl="0" w:tplc="DE10BB94">
      <w:start w:val="1"/>
      <w:numFmt w:val="decimal"/>
      <w:lvlText w:val="%1"/>
      <w:lvlJc w:val="left"/>
      <w:pPr>
        <w:tabs>
          <w:tab w:val="num" w:pos="705"/>
        </w:tabs>
        <w:ind w:left="705" w:hanging="705"/>
      </w:pPr>
      <w:rPr>
        <w:rFonts w:hint="default"/>
      </w:rPr>
    </w:lvl>
    <w:lvl w:ilvl="1" w:tplc="04090019">
      <w:start w:val="1"/>
      <w:numFmt w:val="lowerLetter"/>
      <w:lvlText w:val="%2."/>
      <w:lvlJc w:val="left"/>
      <w:pPr>
        <w:tabs>
          <w:tab w:val="num" w:pos="1080"/>
        </w:tabs>
        <w:ind w:left="1080" w:hanging="360"/>
      </w:pPr>
    </w:lvl>
    <w:lvl w:ilvl="2" w:tplc="0409001B">
      <w:start w:val="1"/>
      <w:numFmt w:val="lowerRoman"/>
      <w:lvlText w:val="%3."/>
      <w:lvlJc w:val="right"/>
      <w:pPr>
        <w:tabs>
          <w:tab w:val="num" w:pos="1800"/>
        </w:tabs>
        <w:ind w:left="1800" w:hanging="180"/>
      </w:pPr>
    </w:lvl>
    <w:lvl w:ilvl="3" w:tplc="0409000F">
      <w:start w:val="1"/>
      <w:numFmt w:val="decimal"/>
      <w:lvlText w:val="%4."/>
      <w:lvlJc w:val="left"/>
      <w:pPr>
        <w:tabs>
          <w:tab w:val="num" w:pos="2520"/>
        </w:tabs>
        <w:ind w:left="2520" w:hanging="360"/>
      </w:pPr>
    </w:lvl>
    <w:lvl w:ilvl="4" w:tplc="04090019">
      <w:start w:val="1"/>
      <w:numFmt w:val="lowerLetter"/>
      <w:lvlText w:val="%5."/>
      <w:lvlJc w:val="left"/>
      <w:pPr>
        <w:tabs>
          <w:tab w:val="num" w:pos="3240"/>
        </w:tabs>
        <w:ind w:left="3240" w:hanging="360"/>
      </w:pPr>
    </w:lvl>
    <w:lvl w:ilvl="5" w:tplc="0409001B">
      <w:start w:val="1"/>
      <w:numFmt w:val="lowerRoman"/>
      <w:lvlText w:val="%6."/>
      <w:lvlJc w:val="right"/>
      <w:pPr>
        <w:tabs>
          <w:tab w:val="num" w:pos="3960"/>
        </w:tabs>
        <w:ind w:left="3960" w:hanging="180"/>
      </w:pPr>
    </w:lvl>
    <w:lvl w:ilvl="6" w:tplc="0409000F">
      <w:start w:val="1"/>
      <w:numFmt w:val="decimal"/>
      <w:lvlText w:val="%7."/>
      <w:lvlJc w:val="left"/>
      <w:pPr>
        <w:tabs>
          <w:tab w:val="num" w:pos="4680"/>
        </w:tabs>
        <w:ind w:left="4680" w:hanging="360"/>
      </w:pPr>
    </w:lvl>
    <w:lvl w:ilvl="7" w:tplc="04090019">
      <w:start w:val="1"/>
      <w:numFmt w:val="lowerLetter"/>
      <w:lvlText w:val="%8."/>
      <w:lvlJc w:val="left"/>
      <w:pPr>
        <w:tabs>
          <w:tab w:val="num" w:pos="5400"/>
        </w:tabs>
        <w:ind w:left="5400" w:hanging="360"/>
      </w:pPr>
    </w:lvl>
    <w:lvl w:ilvl="8" w:tplc="0409001B">
      <w:start w:val="1"/>
      <w:numFmt w:val="lowerRoman"/>
      <w:lvlText w:val="%9."/>
      <w:lvlJc w:val="right"/>
      <w:pPr>
        <w:tabs>
          <w:tab w:val="num" w:pos="6120"/>
        </w:tabs>
        <w:ind w:left="6120" w:hanging="180"/>
      </w:pPr>
    </w:lvl>
  </w:abstractNum>
  <w:abstractNum w:abstractNumId="18" w15:restartNumberingAfterBreak="0">
    <w:nsid w:val="784B2DFE"/>
    <w:multiLevelType w:val="hybridMultilevel"/>
    <w:tmpl w:val="46CC80A6"/>
    <w:lvl w:ilvl="0" w:tplc="0C09000F">
      <w:start w:val="1"/>
      <w:numFmt w:val="decimal"/>
      <w:lvlText w:val="%1."/>
      <w:lvlJc w:val="left"/>
      <w:pPr>
        <w:ind w:left="720" w:hanging="360"/>
      </w:p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start w:val="1"/>
      <w:numFmt w:val="decimal"/>
      <w:lvlText w:val="%4."/>
      <w:lvlJc w:val="left"/>
      <w:pPr>
        <w:ind w:left="2880" w:hanging="360"/>
      </w:pPr>
    </w:lvl>
    <w:lvl w:ilvl="4" w:tplc="0C090019">
      <w:start w:val="1"/>
      <w:numFmt w:val="lowerLetter"/>
      <w:lvlText w:val="%5."/>
      <w:lvlJc w:val="left"/>
      <w:pPr>
        <w:ind w:left="3600" w:hanging="360"/>
      </w:pPr>
    </w:lvl>
    <w:lvl w:ilvl="5" w:tplc="0C09001B">
      <w:start w:val="1"/>
      <w:numFmt w:val="lowerRoman"/>
      <w:lvlText w:val="%6."/>
      <w:lvlJc w:val="right"/>
      <w:pPr>
        <w:ind w:left="4320" w:hanging="180"/>
      </w:pPr>
    </w:lvl>
    <w:lvl w:ilvl="6" w:tplc="0C09000F">
      <w:start w:val="1"/>
      <w:numFmt w:val="decimal"/>
      <w:lvlText w:val="%7."/>
      <w:lvlJc w:val="left"/>
      <w:pPr>
        <w:ind w:left="5040" w:hanging="360"/>
      </w:pPr>
    </w:lvl>
    <w:lvl w:ilvl="7" w:tplc="0C090019">
      <w:start w:val="1"/>
      <w:numFmt w:val="lowerLetter"/>
      <w:lvlText w:val="%8."/>
      <w:lvlJc w:val="left"/>
      <w:pPr>
        <w:ind w:left="5760" w:hanging="360"/>
      </w:pPr>
    </w:lvl>
    <w:lvl w:ilvl="8" w:tplc="0C09001B">
      <w:start w:val="1"/>
      <w:numFmt w:val="lowerRoman"/>
      <w:lvlText w:val="%9."/>
      <w:lvlJc w:val="right"/>
      <w:pPr>
        <w:ind w:left="6480" w:hanging="180"/>
      </w:pPr>
    </w:lvl>
  </w:abstractNum>
  <w:num w:numId="1" w16cid:durableId="2048407941">
    <w:abstractNumId w:val="3"/>
  </w:num>
  <w:num w:numId="2" w16cid:durableId="1778986638">
    <w:abstractNumId w:val="0"/>
  </w:num>
  <w:num w:numId="3" w16cid:durableId="31729189">
    <w:abstractNumId w:val="4"/>
  </w:num>
  <w:num w:numId="4" w16cid:durableId="54936200">
    <w:abstractNumId w:val="13"/>
  </w:num>
  <w:num w:numId="5" w16cid:durableId="1372145172">
    <w:abstractNumId w:val="17"/>
  </w:num>
  <w:num w:numId="6" w16cid:durableId="1934364252">
    <w:abstractNumId w:val="2"/>
  </w:num>
  <w:num w:numId="7" w16cid:durableId="105463066">
    <w:abstractNumId w:val="10"/>
  </w:num>
  <w:num w:numId="8" w16cid:durableId="259144924">
    <w:abstractNumId w:val="12"/>
  </w:num>
  <w:num w:numId="9" w16cid:durableId="226689957">
    <w:abstractNumId w:val="8"/>
  </w:num>
  <w:num w:numId="10" w16cid:durableId="816800304">
    <w:abstractNumId w:val="1"/>
  </w:num>
  <w:num w:numId="11" w16cid:durableId="147551621">
    <w:abstractNumId w:val="14"/>
  </w:num>
  <w:num w:numId="12" w16cid:durableId="1785886267">
    <w:abstractNumId w:val="9"/>
  </w:num>
  <w:num w:numId="13" w16cid:durableId="500778269">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16cid:durableId="1934972342">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16cid:durableId="1870147470">
    <w:abstractNumId w:val="5"/>
  </w:num>
  <w:num w:numId="16" w16cid:durableId="665591430">
    <w:abstractNumId w:val="15"/>
  </w:num>
  <w:num w:numId="17" w16cid:durableId="1402631757">
    <w:abstractNumId w:val="18"/>
  </w:num>
  <w:num w:numId="18" w16cid:durableId="719010827">
    <w:abstractNumId w:val="16"/>
  </w:num>
  <w:num w:numId="19" w16cid:durableId="1008798479">
    <w:abstractNumId w:val="7"/>
  </w:num>
  <w:num w:numId="20" w16cid:durableId="1423528883">
    <w:abstractNumId w:val="6"/>
  </w:num>
  <w:num w:numId="21" w16cid:durableId="1387728767">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4252F"/>
    <w:rsid w:val="0003517A"/>
    <w:rsid w:val="00061551"/>
    <w:rsid w:val="00065B8D"/>
    <w:rsid w:val="00072EE5"/>
    <w:rsid w:val="000753D2"/>
    <w:rsid w:val="00075779"/>
    <w:rsid w:val="00076332"/>
    <w:rsid w:val="00081CA7"/>
    <w:rsid w:val="000835CE"/>
    <w:rsid w:val="00085FE2"/>
    <w:rsid w:val="000875AF"/>
    <w:rsid w:val="00087899"/>
    <w:rsid w:val="000A18ED"/>
    <w:rsid w:val="000A2C12"/>
    <w:rsid w:val="000A4411"/>
    <w:rsid w:val="000B116B"/>
    <w:rsid w:val="000B1BA3"/>
    <w:rsid w:val="000C0AB3"/>
    <w:rsid w:val="000C1083"/>
    <w:rsid w:val="000C3308"/>
    <w:rsid w:val="000D5418"/>
    <w:rsid w:val="000E063C"/>
    <w:rsid w:val="000E2AAA"/>
    <w:rsid w:val="000F09EC"/>
    <w:rsid w:val="000F569D"/>
    <w:rsid w:val="001007E2"/>
    <w:rsid w:val="00102FE1"/>
    <w:rsid w:val="0011776F"/>
    <w:rsid w:val="001253EA"/>
    <w:rsid w:val="001345D5"/>
    <w:rsid w:val="001542B2"/>
    <w:rsid w:val="001646F7"/>
    <w:rsid w:val="00177F33"/>
    <w:rsid w:val="00181EFB"/>
    <w:rsid w:val="001A0F6A"/>
    <w:rsid w:val="001A1D68"/>
    <w:rsid w:val="001D6930"/>
    <w:rsid w:val="001E39CF"/>
    <w:rsid w:val="001F7F9C"/>
    <w:rsid w:val="00203AE9"/>
    <w:rsid w:val="00203CD9"/>
    <w:rsid w:val="00215D5A"/>
    <w:rsid w:val="002244DF"/>
    <w:rsid w:val="00225F26"/>
    <w:rsid w:val="002454DA"/>
    <w:rsid w:val="00255FBF"/>
    <w:rsid w:val="0027593F"/>
    <w:rsid w:val="00276BF3"/>
    <w:rsid w:val="00276CDC"/>
    <w:rsid w:val="002819A0"/>
    <w:rsid w:val="002A0AC5"/>
    <w:rsid w:val="002A7908"/>
    <w:rsid w:val="002B2BC0"/>
    <w:rsid w:val="002B5FBE"/>
    <w:rsid w:val="002C15B8"/>
    <w:rsid w:val="002F1A2A"/>
    <w:rsid w:val="002F5321"/>
    <w:rsid w:val="003178A8"/>
    <w:rsid w:val="00317AA5"/>
    <w:rsid w:val="00350065"/>
    <w:rsid w:val="00354530"/>
    <w:rsid w:val="0036321A"/>
    <w:rsid w:val="00366B5F"/>
    <w:rsid w:val="00387EE5"/>
    <w:rsid w:val="00390020"/>
    <w:rsid w:val="00392721"/>
    <w:rsid w:val="003A5714"/>
    <w:rsid w:val="003C54E7"/>
    <w:rsid w:val="003D0C43"/>
    <w:rsid w:val="003D69A3"/>
    <w:rsid w:val="003E57E8"/>
    <w:rsid w:val="003F381E"/>
    <w:rsid w:val="003F5179"/>
    <w:rsid w:val="00406D42"/>
    <w:rsid w:val="004077FF"/>
    <w:rsid w:val="004115C1"/>
    <w:rsid w:val="00417584"/>
    <w:rsid w:val="00440EBB"/>
    <w:rsid w:val="0044487D"/>
    <w:rsid w:val="0044591E"/>
    <w:rsid w:val="00445D94"/>
    <w:rsid w:val="0046295B"/>
    <w:rsid w:val="00471C05"/>
    <w:rsid w:val="00472389"/>
    <w:rsid w:val="0047585D"/>
    <w:rsid w:val="00481307"/>
    <w:rsid w:val="00484ECB"/>
    <w:rsid w:val="004A020E"/>
    <w:rsid w:val="004A1277"/>
    <w:rsid w:val="004B240F"/>
    <w:rsid w:val="004B50A8"/>
    <w:rsid w:val="004B58A8"/>
    <w:rsid w:val="004C4A40"/>
    <w:rsid w:val="004C4BA0"/>
    <w:rsid w:val="004D667B"/>
    <w:rsid w:val="004D6E31"/>
    <w:rsid w:val="004E28DD"/>
    <w:rsid w:val="005016D3"/>
    <w:rsid w:val="00513458"/>
    <w:rsid w:val="00521A4A"/>
    <w:rsid w:val="005270A1"/>
    <w:rsid w:val="0053337F"/>
    <w:rsid w:val="005348DF"/>
    <w:rsid w:val="005469CE"/>
    <w:rsid w:val="00550787"/>
    <w:rsid w:val="0055116F"/>
    <w:rsid w:val="00551E5A"/>
    <w:rsid w:val="00570E92"/>
    <w:rsid w:val="00573C59"/>
    <w:rsid w:val="00575074"/>
    <w:rsid w:val="00576C20"/>
    <w:rsid w:val="00576E1A"/>
    <w:rsid w:val="00585E77"/>
    <w:rsid w:val="0058717F"/>
    <w:rsid w:val="005A283B"/>
    <w:rsid w:val="005A512B"/>
    <w:rsid w:val="005B4024"/>
    <w:rsid w:val="005C46E5"/>
    <w:rsid w:val="005D1624"/>
    <w:rsid w:val="005D41CE"/>
    <w:rsid w:val="005D70F1"/>
    <w:rsid w:val="005E041F"/>
    <w:rsid w:val="005E09C4"/>
    <w:rsid w:val="005E64B1"/>
    <w:rsid w:val="00616D64"/>
    <w:rsid w:val="00636A8E"/>
    <w:rsid w:val="00652829"/>
    <w:rsid w:val="00653526"/>
    <w:rsid w:val="00655CD7"/>
    <w:rsid w:val="0066073B"/>
    <w:rsid w:val="0066447C"/>
    <w:rsid w:val="00665280"/>
    <w:rsid w:val="00667BBD"/>
    <w:rsid w:val="006735C7"/>
    <w:rsid w:val="006744EF"/>
    <w:rsid w:val="0068612E"/>
    <w:rsid w:val="006A3070"/>
    <w:rsid w:val="006B1D33"/>
    <w:rsid w:val="006B689C"/>
    <w:rsid w:val="006B72DC"/>
    <w:rsid w:val="006C262F"/>
    <w:rsid w:val="006D27F4"/>
    <w:rsid w:val="006D3702"/>
    <w:rsid w:val="006F5401"/>
    <w:rsid w:val="00704C00"/>
    <w:rsid w:val="00712D23"/>
    <w:rsid w:val="00713C0D"/>
    <w:rsid w:val="00715BF3"/>
    <w:rsid w:val="0071650D"/>
    <w:rsid w:val="00727116"/>
    <w:rsid w:val="00731181"/>
    <w:rsid w:val="00754838"/>
    <w:rsid w:val="00754C9B"/>
    <w:rsid w:val="007556DA"/>
    <w:rsid w:val="00761CAB"/>
    <w:rsid w:val="00762CEF"/>
    <w:rsid w:val="007739D2"/>
    <w:rsid w:val="00780293"/>
    <w:rsid w:val="00787A7B"/>
    <w:rsid w:val="00793D3F"/>
    <w:rsid w:val="007A1D89"/>
    <w:rsid w:val="007B0DD3"/>
    <w:rsid w:val="007D03BB"/>
    <w:rsid w:val="007D451D"/>
    <w:rsid w:val="007E262A"/>
    <w:rsid w:val="007E3425"/>
    <w:rsid w:val="007E5934"/>
    <w:rsid w:val="007F06E0"/>
    <w:rsid w:val="00800944"/>
    <w:rsid w:val="008178C0"/>
    <w:rsid w:val="0085656A"/>
    <w:rsid w:val="00861979"/>
    <w:rsid w:val="00865A95"/>
    <w:rsid w:val="00866F70"/>
    <w:rsid w:val="00881779"/>
    <w:rsid w:val="00890BB6"/>
    <w:rsid w:val="00891800"/>
    <w:rsid w:val="008B510E"/>
    <w:rsid w:val="008B7C0C"/>
    <w:rsid w:val="008C26AE"/>
    <w:rsid w:val="008C5781"/>
    <w:rsid w:val="008C7410"/>
    <w:rsid w:val="008F2D40"/>
    <w:rsid w:val="00906103"/>
    <w:rsid w:val="0093654E"/>
    <w:rsid w:val="0094191D"/>
    <w:rsid w:val="00944400"/>
    <w:rsid w:val="00946191"/>
    <w:rsid w:val="009609D9"/>
    <w:rsid w:val="009948E8"/>
    <w:rsid w:val="009A2E3B"/>
    <w:rsid w:val="009B2FCF"/>
    <w:rsid w:val="009E2A4A"/>
    <w:rsid w:val="009E3977"/>
    <w:rsid w:val="009E504B"/>
    <w:rsid w:val="00A2277D"/>
    <w:rsid w:val="00A678A0"/>
    <w:rsid w:val="00A67A9E"/>
    <w:rsid w:val="00A825C3"/>
    <w:rsid w:val="00A84986"/>
    <w:rsid w:val="00A94670"/>
    <w:rsid w:val="00AB689F"/>
    <w:rsid w:val="00AC3FFA"/>
    <w:rsid w:val="00AF2DE4"/>
    <w:rsid w:val="00B0323F"/>
    <w:rsid w:val="00B04210"/>
    <w:rsid w:val="00B0540B"/>
    <w:rsid w:val="00B13485"/>
    <w:rsid w:val="00B54842"/>
    <w:rsid w:val="00B62D99"/>
    <w:rsid w:val="00B62DE8"/>
    <w:rsid w:val="00B66CE6"/>
    <w:rsid w:val="00B74842"/>
    <w:rsid w:val="00B76751"/>
    <w:rsid w:val="00B9051F"/>
    <w:rsid w:val="00B910C8"/>
    <w:rsid w:val="00B928D1"/>
    <w:rsid w:val="00BB0DC7"/>
    <w:rsid w:val="00BB732E"/>
    <w:rsid w:val="00BC5149"/>
    <w:rsid w:val="00BD0857"/>
    <w:rsid w:val="00BD2EEA"/>
    <w:rsid w:val="00BE2D6F"/>
    <w:rsid w:val="00BE3689"/>
    <w:rsid w:val="00BE6AD6"/>
    <w:rsid w:val="00BE7EC6"/>
    <w:rsid w:val="00BF1D4B"/>
    <w:rsid w:val="00BF428B"/>
    <w:rsid w:val="00C00433"/>
    <w:rsid w:val="00C0245C"/>
    <w:rsid w:val="00C02B32"/>
    <w:rsid w:val="00C153B8"/>
    <w:rsid w:val="00C32D66"/>
    <w:rsid w:val="00C4252F"/>
    <w:rsid w:val="00C56574"/>
    <w:rsid w:val="00C600AF"/>
    <w:rsid w:val="00C62EAB"/>
    <w:rsid w:val="00C66AB1"/>
    <w:rsid w:val="00C67566"/>
    <w:rsid w:val="00C843CE"/>
    <w:rsid w:val="00C84C51"/>
    <w:rsid w:val="00C92483"/>
    <w:rsid w:val="00C95C60"/>
    <w:rsid w:val="00C95F9F"/>
    <w:rsid w:val="00CA1CA5"/>
    <w:rsid w:val="00CA4490"/>
    <w:rsid w:val="00CB7167"/>
    <w:rsid w:val="00CC323C"/>
    <w:rsid w:val="00CC3A60"/>
    <w:rsid w:val="00CD016B"/>
    <w:rsid w:val="00CE71E7"/>
    <w:rsid w:val="00D14822"/>
    <w:rsid w:val="00D20116"/>
    <w:rsid w:val="00D20D2E"/>
    <w:rsid w:val="00D33EAA"/>
    <w:rsid w:val="00D37C1F"/>
    <w:rsid w:val="00D4427D"/>
    <w:rsid w:val="00D45B33"/>
    <w:rsid w:val="00D63EA1"/>
    <w:rsid w:val="00D664E7"/>
    <w:rsid w:val="00D90737"/>
    <w:rsid w:val="00D95BC7"/>
    <w:rsid w:val="00D96215"/>
    <w:rsid w:val="00DA156C"/>
    <w:rsid w:val="00DC5494"/>
    <w:rsid w:val="00DD0E91"/>
    <w:rsid w:val="00DD1DFC"/>
    <w:rsid w:val="00DD75F6"/>
    <w:rsid w:val="00DE6293"/>
    <w:rsid w:val="00DF4F15"/>
    <w:rsid w:val="00DF6B8A"/>
    <w:rsid w:val="00E02679"/>
    <w:rsid w:val="00E04847"/>
    <w:rsid w:val="00E420AC"/>
    <w:rsid w:val="00E56D1B"/>
    <w:rsid w:val="00E6167C"/>
    <w:rsid w:val="00E72595"/>
    <w:rsid w:val="00E8416F"/>
    <w:rsid w:val="00E94B24"/>
    <w:rsid w:val="00E954DE"/>
    <w:rsid w:val="00E95DE8"/>
    <w:rsid w:val="00EB2CE2"/>
    <w:rsid w:val="00EB6D42"/>
    <w:rsid w:val="00EE10FD"/>
    <w:rsid w:val="00EE61C2"/>
    <w:rsid w:val="00F274E5"/>
    <w:rsid w:val="00F30F8C"/>
    <w:rsid w:val="00F31764"/>
    <w:rsid w:val="00F46078"/>
    <w:rsid w:val="00F47054"/>
    <w:rsid w:val="00F82F8C"/>
    <w:rsid w:val="00FA74D4"/>
    <w:rsid w:val="00FA7741"/>
    <w:rsid w:val="00FB206D"/>
    <w:rsid w:val="00FB2390"/>
    <w:rsid w:val="00FC4AED"/>
    <w:rsid w:val="00FD65DB"/>
    <w:rsid w:val="00FE1CCD"/>
    <w:rsid w:val="00FF215F"/>
    <w:rsid w:val="00FF5AA8"/>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6DD9D7A8"/>
  <w15:chartTrackingRefBased/>
  <w15:docId w15:val="{102E9924-FA0B-4936-A697-DBDCB5B7FD8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sz w:val="24"/>
      <w:lang w:eastAsia="en-US"/>
    </w:rPr>
  </w:style>
  <w:style w:type="paragraph" w:styleId="Heading1">
    <w:name w:val="heading 1"/>
    <w:basedOn w:val="Billname"/>
    <w:next w:val="Normal"/>
    <w:qFormat/>
    <w:rsid w:val="002F1A2A"/>
    <w:pPr>
      <w:spacing w:before="700"/>
      <w:outlineLvl w:val="0"/>
    </w:pPr>
  </w:style>
  <w:style w:type="paragraph" w:styleId="Heading2">
    <w:name w:val="heading 2"/>
    <w:basedOn w:val="Normal"/>
    <w:next w:val="Normal"/>
    <w:qFormat/>
    <w:rsid w:val="002F1A2A"/>
    <w:pPr>
      <w:spacing w:before="240" w:after="60"/>
      <w:outlineLvl w:val="1"/>
    </w:pPr>
    <w:rPr>
      <w:rFonts w:ascii="Arial" w:hAnsi="Arial" w:cs="Arial"/>
      <w:b/>
      <w:bCs/>
    </w:rPr>
  </w:style>
  <w:style w:type="paragraph" w:styleId="Heading3">
    <w:name w:val="heading 3"/>
    <w:basedOn w:val="Normal"/>
    <w:next w:val="Normal"/>
    <w:qFormat/>
    <w:rsid w:val="002F1A2A"/>
    <w:pPr>
      <w:spacing w:before="360"/>
      <w:ind w:right="565"/>
      <w:outlineLvl w:val="2"/>
    </w:pPr>
    <w:rPr>
      <w:rFonts w:ascii="Arial" w:hAnsi="Arial" w:cs="Arial"/>
      <w:b/>
      <w:bCs/>
      <w:sz w:val="28"/>
      <w:szCs w:val="28"/>
    </w:rPr>
  </w:style>
  <w:style w:type="paragraph" w:styleId="Heading4">
    <w:name w:val="heading 4"/>
    <w:basedOn w:val="Normal"/>
    <w:next w:val="Normal"/>
    <w:qFormat/>
    <w:pPr>
      <w:keepNext/>
      <w:pBdr>
        <w:right w:val="single" w:sz="4" w:space="4" w:color="auto"/>
      </w:pBdr>
      <w:ind w:left="743" w:hanging="709"/>
      <w:outlineLvl w:val="3"/>
    </w:pPr>
    <w:rPr>
      <w:i/>
      <w:i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pPr>
      <w:pBdr>
        <w:top w:val="single" w:sz="4" w:space="1" w:color="auto"/>
        <w:bottom w:val="single" w:sz="4" w:space="1" w:color="auto"/>
      </w:pBdr>
      <w:spacing w:before="240" w:after="240"/>
    </w:pPr>
    <w:rPr>
      <w:rFonts w:ascii="Arial" w:hAnsi="Arial"/>
      <w:b/>
      <w:kern w:val="28"/>
      <w:sz w:val="40"/>
    </w:rPr>
  </w:style>
  <w:style w:type="paragraph" w:styleId="Footer">
    <w:name w:val="footer"/>
    <w:basedOn w:val="Normal"/>
    <w:link w:val="FooterChar"/>
    <w:uiPriority w:val="99"/>
    <w:pPr>
      <w:tabs>
        <w:tab w:val="left" w:pos="2880"/>
      </w:tabs>
      <w:spacing w:before="120" w:after="60" w:line="240" w:lineRule="exact"/>
    </w:pPr>
    <w:rPr>
      <w:rFonts w:ascii="Arial" w:hAnsi="Arial"/>
      <w:sz w:val="18"/>
    </w:rPr>
  </w:style>
  <w:style w:type="paragraph" w:customStyle="1" w:styleId="Billname">
    <w:name w:val="Billname"/>
    <w:basedOn w:val="Normal"/>
    <w:pPr>
      <w:tabs>
        <w:tab w:val="left" w:pos="2400"/>
        <w:tab w:val="left" w:pos="2880"/>
      </w:tabs>
      <w:spacing w:before="1220" w:after="100"/>
    </w:pPr>
    <w:rPr>
      <w:rFonts w:ascii="Arial" w:hAnsi="Arial"/>
      <w:b/>
      <w:sz w:val="40"/>
    </w:rPr>
  </w:style>
  <w:style w:type="paragraph" w:customStyle="1" w:styleId="Amain">
    <w:name w:val="A main"/>
    <w:basedOn w:val="Normal"/>
    <w:pPr>
      <w:tabs>
        <w:tab w:val="right" w:pos="500"/>
        <w:tab w:val="left" w:pos="700"/>
      </w:tabs>
      <w:spacing w:before="80" w:after="60"/>
      <w:ind w:left="700" w:hanging="700"/>
      <w:jc w:val="both"/>
      <w:outlineLvl w:val="5"/>
    </w:pPr>
  </w:style>
  <w:style w:type="paragraph" w:customStyle="1" w:styleId="N-line3">
    <w:name w:val="N-line3"/>
    <w:basedOn w:val="Normal"/>
    <w:next w:val="Normal"/>
    <w:pPr>
      <w:pBdr>
        <w:bottom w:val="single" w:sz="12" w:space="1" w:color="auto"/>
      </w:pBdr>
      <w:jc w:val="both"/>
    </w:pPr>
  </w:style>
  <w:style w:type="paragraph" w:customStyle="1" w:styleId="madeunder">
    <w:name w:val="made under"/>
    <w:basedOn w:val="Normal"/>
    <w:pPr>
      <w:spacing w:before="180" w:after="60"/>
      <w:jc w:val="both"/>
    </w:pPr>
  </w:style>
  <w:style w:type="paragraph" w:customStyle="1" w:styleId="CoverActName">
    <w:name w:val="CoverActName"/>
    <w:basedOn w:val="Normal"/>
    <w:pPr>
      <w:tabs>
        <w:tab w:val="left" w:pos="2600"/>
      </w:tabs>
      <w:spacing w:before="200" w:after="60"/>
      <w:jc w:val="both"/>
    </w:pPr>
    <w:rPr>
      <w:rFonts w:ascii="Arial" w:hAnsi="Arial"/>
      <w:b/>
    </w:rPr>
  </w:style>
  <w:style w:type="paragraph" w:customStyle="1" w:styleId="06Copyright">
    <w:name w:val="06Copyright"/>
    <w:basedOn w:val="Normal"/>
    <w:pPr>
      <w:tabs>
        <w:tab w:val="left" w:pos="2880"/>
      </w:tabs>
    </w:pPr>
  </w:style>
  <w:style w:type="paragraph" w:customStyle="1" w:styleId="Apara">
    <w:name w:val="A para"/>
    <w:basedOn w:val="Normal"/>
    <w:pPr>
      <w:numPr>
        <w:ilvl w:val="6"/>
        <w:numId w:val="20"/>
      </w:numPr>
      <w:spacing w:before="80" w:after="60"/>
      <w:jc w:val="both"/>
      <w:outlineLvl w:val="6"/>
    </w:pPr>
  </w:style>
  <w:style w:type="paragraph" w:customStyle="1" w:styleId="Asubpara">
    <w:name w:val="A subpara"/>
    <w:basedOn w:val="Normal"/>
    <w:pPr>
      <w:numPr>
        <w:ilvl w:val="7"/>
        <w:numId w:val="20"/>
      </w:numPr>
      <w:spacing w:before="80" w:after="60"/>
      <w:jc w:val="both"/>
      <w:outlineLvl w:val="7"/>
    </w:pPr>
  </w:style>
  <w:style w:type="paragraph" w:customStyle="1" w:styleId="Asubsubpara">
    <w:name w:val="A subsubpara"/>
    <w:basedOn w:val="Normal"/>
    <w:pPr>
      <w:numPr>
        <w:ilvl w:val="8"/>
        <w:numId w:val="20"/>
      </w:numPr>
      <w:spacing w:before="80" w:after="60"/>
      <w:jc w:val="both"/>
      <w:outlineLvl w:val="8"/>
    </w:pPr>
  </w:style>
  <w:style w:type="paragraph" w:customStyle="1" w:styleId="AH5Sec">
    <w:name w:val="A H5 Sec"/>
    <w:basedOn w:val="Normal"/>
    <w:next w:val="Amain"/>
    <w:pPr>
      <w:keepNext/>
      <w:numPr>
        <w:ilvl w:val="4"/>
        <w:numId w:val="1"/>
      </w:numPr>
      <w:spacing w:before="180" w:after="60"/>
      <w:outlineLvl w:val="4"/>
    </w:pPr>
    <w:rPr>
      <w:rFonts w:ascii="Arial" w:hAnsi="Arial"/>
      <w:b/>
    </w:rPr>
  </w:style>
  <w:style w:type="paragraph" w:styleId="Header">
    <w:name w:val="header"/>
    <w:basedOn w:val="Normal"/>
    <w:pPr>
      <w:tabs>
        <w:tab w:val="left" w:pos="2880"/>
        <w:tab w:val="center" w:pos="4153"/>
        <w:tab w:val="right" w:pos="8306"/>
      </w:tabs>
    </w:pPr>
  </w:style>
  <w:style w:type="paragraph" w:customStyle="1" w:styleId="ref">
    <w:name w:val="ref"/>
    <w:basedOn w:val="Normal"/>
    <w:next w:val="Normal"/>
    <w:pPr>
      <w:spacing w:after="60"/>
      <w:jc w:val="both"/>
    </w:pPr>
    <w:rPr>
      <w:sz w:val="18"/>
    </w:rPr>
  </w:style>
  <w:style w:type="character" w:customStyle="1" w:styleId="CharDivText">
    <w:name w:val="CharDivText"/>
    <w:basedOn w:val="DefaultParagraphFont"/>
  </w:style>
  <w:style w:type="paragraph" w:customStyle="1" w:styleId="CoverInForce">
    <w:name w:val="CoverInForce"/>
    <w:basedOn w:val="Normal"/>
    <w:pPr>
      <w:tabs>
        <w:tab w:val="left" w:pos="2600"/>
      </w:tabs>
      <w:spacing w:before="200" w:after="60"/>
      <w:jc w:val="both"/>
    </w:pPr>
    <w:rPr>
      <w:rFonts w:ascii="Arial" w:hAnsi="Arial"/>
    </w:rPr>
  </w:style>
  <w:style w:type="paragraph" w:customStyle="1" w:styleId="AFHdg">
    <w:name w:val="AFHdg"/>
    <w:basedOn w:val="Normal"/>
    <w:pPr>
      <w:tabs>
        <w:tab w:val="left" w:pos="2600"/>
      </w:tabs>
      <w:spacing w:before="80" w:after="60"/>
      <w:jc w:val="both"/>
    </w:pPr>
    <w:rPr>
      <w:rFonts w:ascii="Arial" w:hAnsi="Arial"/>
      <w:b/>
      <w:sz w:val="32"/>
    </w:rPr>
  </w:style>
  <w:style w:type="paragraph" w:customStyle="1" w:styleId="ApprFormHd">
    <w:name w:val="ApprFormHd"/>
    <w:basedOn w:val="Normal"/>
    <w:pPr>
      <w:keepNext/>
      <w:tabs>
        <w:tab w:val="left" w:pos="2600"/>
      </w:tabs>
      <w:spacing w:before="320" w:after="60"/>
      <w:outlineLvl w:val="0"/>
    </w:pPr>
    <w:rPr>
      <w:rFonts w:ascii="Arial" w:hAnsi="Arial"/>
      <w:b/>
      <w:sz w:val="34"/>
    </w:rPr>
  </w:style>
  <w:style w:type="character" w:styleId="PageNumber">
    <w:name w:val="page number"/>
    <w:basedOn w:val="DefaultParagraphFont"/>
  </w:style>
  <w:style w:type="paragraph" w:customStyle="1" w:styleId="Aparabullet">
    <w:name w:val="A para bullet"/>
    <w:basedOn w:val="Normal"/>
    <w:pPr>
      <w:numPr>
        <w:numId w:val="4"/>
      </w:numPr>
    </w:pPr>
  </w:style>
  <w:style w:type="paragraph" w:styleId="TOC1">
    <w:name w:val="toc 1"/>
    <w:basedOn w:val="Normal"/>
    <w:next w:val="Normal"/>
    <w:autoRedefine/>
    <w:semiHidden/>
  </w:style>
  <w:style w:type="paragraph" w:styleId="TOC2">
    <w:name w:val="toc 2"/>
    <w:basedOn w:val="Normal"/>
    <w:next w:val="Normal"/>
    <w:autoRedefine/>
    <w:semiHidden/>
    <w:pPr>
      <w:ind w:left="240"/>
    </w:pPr>
  </w:style>
  <w:style w:type="paragraph" w:styleId="TOC3">
    <w:name w:val="toc 3"/>
    <w:basedOn w:val="Normal"/>
    <w:next w:val="Normal"/>
    <w:autoRedefine/>
    <w:semiHidden/>
    <w:pPr>
      <w:ind w:left="480"/>
    </w:pPr>
  </w:style>
  <w:style w:type="paragraph" w:styleId="TOC4">
    <w:name w:val="toc 4"/>
    <w:basedOn w:val="Normal"/>
    <w:next w:val="Normal"/>
    <w:autoRedefine/>
    <w:semiHidden/>
    <w:pPr>
      <w:ind w:left="720"/>
    </w:pPr>
  </w:style>
  <w:style w:type="paragraph" w:styleId="TOC5">
    <w:name w:val="toc 5"/>
    <w:basedOn w:val="Normal"/>
    <w:next w:val="Normal"/>
    <w:autoRedefine/>
    <w:semiHidden/>
    <w:pPr>
      <w:ind w:left="960"/>
    </w:pPr>
  </w:style>
  <w:style w:type="paragraph" w:styleId="TOC6">
    <w:name w:val="toc 6"/>
    <w:basedOn w:val="Normal"/>
    <w:next w:val="Normal"/>
    <w:autoRedefine/>
    <w:semiHidden/>
    <w:pPr>
      <w:ind w:left="1200"/>
    </w:pPr>
  </w:style>
  <w:style w:type="paragraph" w:styleId="TOC7">
    <w:name w:val="toc 7"/>
    <w:basedOn w:val="Normal"/>
    <w:next w:val="Normal"/>
    <w:autoRedefine/>
    <w:semiHidden/>
    <w:pPr>
      <w:ind w:left="1440"/>
    </w:pPr>
  </w:style>
  <w:style w:type="paragraph" w:styleId="TOC8">
    <w:name w:val="toc 8"/>
    <w:basedOn w:val="Normal"/>
    <w:next w:val="Normal"/>
    <w:autoRedefine/>
    <w:semiHidden/>
    <w:pPr>
      <w:ind w:left="1680"/>
    </w:pPr>
  </w:style>
  <w:style w:type="paragraph" w:styleId="TOC9">
    <w:name w:val="toc 9"/>
    <w:basedOn w:val="Normal"/>
    <w:next w:val="Normal"/>
    <w:autoRedefine/>
    <w:semiHidden/>
    <w:pPr>
      <w:ind w:left="1920"/>
    </w:pPr>
  </w:style>
  <w:style w:type="character" w:styleId="Hyperlink">
    <w:name w:val="Hyperlink"/>
    <w:rPr>
      <w:color w:val="0000FF"/>
      <w:u w:val="single"/>
    </w:rPr>
  </w:style>
  <w:style w:type="paragraph" w:styleId="BodyTextIndent">
    <w:name w:val="Body Text Indent"/>
    <w:basedOn w:val="Normal"/>
    <w:pPr>
      <w:spacing w:before="120" w:after="60"/>
      <w:ind w:left="709"/>
    </w:pPr>
  </w:style>
  <w:style w:type="paragraph" w:customStyle="1" w:styleId="Minister">
    <w:name w:val="Minister"/>
    <w:basedOn w:val="Normal"/>
    <w:pPr>
      <w:spacing w:before="880" w:after="60"/>
      <w:jc w:val="right"/>
    </w:pPr>
    <w:rPr>
      <w:caps/>
      <w:szCs w:val="24"/>
    </w:rPr>
  </w:style>
  <w:style w:type="paragraph" w:customStyle="1" w:styleId="DateLine">
    <w:name w:val="DateLine"/>
    <w:basedOn w:val="Normal"/>
    <w:pPr>
      <w:tabs>
        <w:tab w:val="left" w:pos="4320"/>
      </w:tabs>
      <w:spacing w:before="80" w:after="60"/>
      <w:jc w:val="both"/>
    </w:pPr>
    <w:rPr>
      <w:szCs w:val="24"/>
    </w:rPr>
  </w:style>
  <w:style w:type="paragraph" w:customStyle="1" w:styleId="MinisterWord">
    <w:name w:val="MinisterWord"/>
    <w:basedOn w:val="Normal"/>
    <w:pPr>
      <w:tabs>
        <w:tab w:val="left" w:pos="2880"/>
      </w:tabs>
      <w:jc w:val="right"/>
    </w:pPr>
    <w:rPr>
      <w:szCs w:val="24"/>
    </w:rPr>
  </w:style>
  <w:style w:type="character" w:styleId="FollowedHyperlink">
    <w:name w:val="FollowedHyperlink"/>
    <w:rPr>
      <w:color w:val="800080"/>
      <w:u w:val="single"/>
    </w:rPr>
  </w:style>
  <w:style w:type="character" w:styleId="FootnoteReference">
    <w:name w:val="footnote reference"/>
    <w:semiHidden/>
    <w:rPr>
      <w:rFonts w:ascii="Times New Roman" w:hAnsi="Times New Roman" w:cs="Times New Roman"/>
      <w:sz w:val="24"/>
      <w:szCs w:val="24"/>
      <w:vertAlign w:val="superscript"/>
    </w:rPr>
  </w:style>
  <w:style w:type="paragraph" w:styleId="FootnoteText">
    <w:name w:val="footnote text"/>
    <w:basedOn w:val="Normal"/>
    <w:semiHidden/>
    <w:pPr>
      <w:spacing w:before="80" w:after="60"/>
      <w:jc w:val="both"/>
    </w:pPr>
    <w:rPr>
      <w:szCs w:val="24"/>
    </w:rPr>
  </w:style>
  <w:style w:type="paragraph" w:customStyle="1" w:styleId="ShadedSchClause">
    <w:name w:val="Shaded Sch Clause"/>
    <w:basedOn w:val="Normal"/>
    <w:next w:val="Normal"/>
    <w:pPr>
      <w:keepNext/>
      <w:shd w:val="pct25" w:color="auto" w:fill="auto"/>
      <w:tabs>
        <w:tab w:val="left" w:pos="700"/>
      </w:tabs>
      <w:spacing w:before="160"/>
      <w:ind w:left="700" w:hanging="700"/>
      <w:outlineLvl w:val="3"/>
    </w:pPr>
    <w:rPr>
      <w:rFonts w:ascii="Arial" w:hAnsi="Arial" w:cs="Arial"/>
      <w:b/>
      <w:bCs/>
      <w:szCs w:val="24"/>
    </w:rPr>
  </w:style>
  <w:style w:type="character" w:customStyle="1" w:styleId="CharSectNo">
    <w:name w:val="CharSectNo"/>
    <w:basedOn w:val="DefaultParagraphFont"/>
  </w:style>
  <w:style w:type="paragraph" w:styleId="BalloonText">
    <w:name w:val="Balloon Text"/>
    <w:basedOn w:val="Normal"/>
    <w:link w:val="BalloonTextChar"/>
    <w:rsid w:val="001E39CF"/>
    <w:rPr>
      <w:rFonts w:ascii="Tahoma" w:hAnsi="Tahoma" w:cs="Tahoma"/>
      <w:sz w:val="16"/>
      <w:szCs w:val="16"/>
    </w:rPr>
  </w:style>
  <w:style w:type="character" w:customStyle="1" w:styleId="BalloonTextChar">
    <w:name w:val="Balloon Text Char"/>
    <w:link w:val="BalloonText"/>
    <w:rsid w:val="001E39CF"/>
    <w:rPr>
      <w:rFonts w:ascii="Tahoma" w:hAnsi="Tahoma" w:cs="Tahoma"/>
      <w:sz w:val="16"/>
      <w:szCs w:val="16"/>
      <w:lang w:eastAsia="en-US"/>
    </w:rPr>
  </w:style>
  <w:style w:type="character" w:customStyle="1" w:styleId="FooterChar">
    <w:name w:val="Footer Char"/>
    <w:link w:val="Footer"/>
    <w:uiPriority w:val="99"/>
    <w:rsid w:val="00B928D1"/>
    <w:rPr>
      <w:rFonts w:ascii="Arial" w:hAnsi="Arial"/>
      <w:sz w:val="18"/>
      <w:lang w:eastAsia="en-US"/>
    </w:rPr>
  </w:style>
  <w:style w:type="character" w:styleId="CommentReference">
    <w:name w:val="annotation reference"/>
    <w:rsid w:val="00DC5494"/>
    <w:rPr>
      <w:sz w:val="16"/>
      <w:szCs w:val="16"/>
    </w:rPr>
  </w:style>
  <w:style w:type="paragraph" w:styleId="CommentText">
    <w:name w:val="annotation text"/>
    <w:basedOn w:val="Normal"/>
    <w:link w:val="CommentTextChar"/>
    <w:rsid w:val="00DC5494"/>
    <w:rPr>
      <w:sz w:val="20"/>
    </w:rPr>
  </w:style>
  <w:style w:type="character" w:customStyle="1" w:styleId="CommentTextChar">
    <w:name w:val="Comment Text Char"/>
    <w:link w:val="CommentText"/>
    <w:rsid w:val="00DC5494"/>
    <w:rPr>
      <w:lang w:eastAsia="en-US"/>
    </w:rPr>
  </w:style>
  <w:style w:type="paragraph" w:styleId="CommentSubject">
    <w:name w:val="annotation subject"/>
    <w:basedOn w:val="CommentText"/>
    <w:next w:val="CommentText"/>
    <w:link w:val="CommentSubjectChar"/>
    <w:rsid w:val="00DC5494"/>
    <w:rPr>
      <w:b/>
      <w:bCs/>
    </w:rPr>
  </w:style>
  <w:style w:type="character" w:customStyle="1" w:styleId="CommentSubjectChar">
    <w:name w:val="Comment Subject Char"/>
    <w:link w:val="CommentSubject"/>
    <w:rsid w:val="00DC5494"/>
    <w:rPr>
      <w:b/>
      <w:bCs/>
      <w:lang w:eastAsia="en-US"/>
    </w:rPr>
  </w:style>
  <w:style w:type="paragraph" w:styleId="ListParagraph">
    <w:name w:val="List Paragraph"/>
    <w:basedOn w:val="Normal"/>
    <w:uiPriority w:val="34"/>
    <w:qFormat/>
    <w:rsid w:val="00787A7B"/>
    <w:pPr>
      <w:ind w:left="720"/>
      <w:contextualSpacing/>
    </w:pPr>
    <w:rPr>
      <w:rFonts w:ascii="Calibri" w:eastAsia="Times" w:hAnsi="Calibri"/>
    </w:rPr>
  </w:style>
  <w:style w:type="paragraph" w:styleId="Revision">
    <w:name w:val="Revision"/>
    <w:hidden/>
    <w:uiPriority w:val="99"/>
    <w:semiHidden/>
    <w:rsid w:val="005270A1"/>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67605568">
      <w:bodyDiv w:val="1"/>
      <w:marLeft w:val="0"/>
      <w:marRight w:val="0"/>
      <w:marTop w:val="0"/>
      <w:marBottom w:val="0"/>
      <w:divBdr>
        <w:top w:val="none" w:sz="0" w:space="0" w:color="auto"/>
        <w:left w:val="none" w:sz="0" w:space="0" w:color="auto"/>
        <w:bottom w:val="none" w:sz="0" w:space="0" w:color="auto"/>
        <w:right w:val="none" w:sz="0" w:space="0" w:color="auto"/>
      </w:divBdr>
    </w:div>
    <w:div w:id="156259264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3</Pages>
  <Words>990</Words>
  <Characters>5218</Characters>
  <Application>Microsoft Office Word</Application>
  <DocSecurity>0</DocSecurity>
  <Lines>121</Lines>
  <Paragraphs>37</Paragraphs>
  <ScaleCrop>false</ScaleCrop>
  <HeadingPairs>
    <vt:vector size="2" baseType="variant">
      <vt:variant>
        <vt:lpstr>Title</vt:lpstr>
      </vt:variant>
      <vt:variant>
        <vt:i4>1</vt:i4>
      </vt:variant>
    </vt:vector>
  </HeadingPairs>
  <TitlesOfParts>
    <vt:vector size="1" baseType="lpstr">
      <vt:lpstr>Disallowable instrument explanatory statement</vt:lpstr>
    </vt:vector>
  </TitlesOfParts>
  <Company>InTACT</Company>
  <LinksUpToDate>false</LinksUpToDate>
  <CharactersWithSpaces>6197</CharactersWithSpaces>
  <SharedDoc>false</SharedDoc>
  <HLinks>
    <vt:vector size="6" baseType="variant">
      <vt:variant>
        <vt:i4>6750302</vt:i4>
      </vt:variant>
      <vt:variant>
        <vt:i4>0</vt:i4>
      </vt:variant>
      <vt:variant>
        <vt:i4>0</vt:i4>
      </vt:variant>
      <vt:variant>
        <vt:i4>5</vt:i4>
      </vt:variant>
      <vt:variant>
        <vt:lpwstr>https://www.accesscanberra.act.gov.au/app/services/dams_register</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Disallowable instrument explanatory statement</dc:title>
  <dc:subject/>
  <dc:creator>ACT Government</dc:creator>
  <cp:keywords/>
  <cp:lastModifiedBy>PCODCS</cp:lastModifiedBy>
  <cp:revision>4</cp:revision>
  <cp:lastPrinted>2018-08-07T04:04:00Z</cp:lastPrinted>
  <dcterms:created xsi:type="dcterms:W3CDTF">2023-07-24T23:51:00Z</dcterms:created>
  <dcterms:modified xsi:type="dcterms:W3CDTF">2023-07-24T23:51:00Z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Objective-Id">
    <vt:lpwstr>A35986408</vt:lpwstr>
  </property>
  <property fmtid="{D5CDD505-2E9C-101B-9397-08002B2CF9AE}" pid="3" name="Objective-Title">
    <vt:lpwstr>Attachment A - Explanatory Statement of Utilities Technical Regulation (Listed Dams)</vt:lpwstr>
  </property>
  <property fmtid="{D5CDD505-2E9C-101B-9397-08002B2CF9AE}" pid="4" name="Objective-Comment">
    <vt:lpwstr/>
  </property>
  <property fmtid="{D5CDD505-2E9C-101B-9397-08002B2CF9AE}" pid="5" name="Objective-CreationStamp">
    <vt:filetime>2022-07-11T03:10:31Z</vt:filetime>
  </property>
  <property fmtid="{D5CDD505-2E9C-101B-9397-08002B2CF9AE}" pid="6" name="Objective-IsApproved">
    <vt:bool>false</vt:bool>
  </property>
  <property fmtid="{D5CDD505-2E9C-101B-9397-08002B2CF9AE}" pid="7" name="Objective-IsPublished">
    <vt:bool>true</vt:bool>
  </property>
  <property fmtid="{D5CDD505-2E9C-101B-9397-08002B2CF9AE}" pid="8" name="Objective-DatePublished">
    <vt:filetime>2023-07-14T01:31:35Z</vt:filetime>
  </property>
  <property fmtid="{D5CDD505-2E9C-101B-9397-08002B2CF9AE}" pid="9" name="Objective-ModificationStamp">
    <vt:filetime>2023-07-14T01:31:35Z</vt:filetime>
  </property>
  <property fmtid="{D5CDD505-2E9C-101B-9397-08002B2CF9AE}" pid="10" name="Objective-Owner">
    <vt:lpwstr>John Dymke</vt:lpwstr>
  </property>
  <property fmtid="{D5CDD505-2E9C-101B-9397-08002B2CF9AE}" pid="11" name="Objective-Path">
    <vt:lpwstr>Whole of ACT Government:EPSDD - Environment Planning and Sustainable Development Directorate:07. Ministerial, Cabinet and Government Relations:07. Executive Briefs &amp; Correspondence:Director-General, Chief Planning Executive and Utilities Technical Regulator:2022 - Director General Briefs and Correspondence:Access Canberra - Technical Regulator (DG):02. April - June:22/72359 - DG Information Brief - Revised Basis for Listing Dams and Review of Consequence Category Assessments for ACT Dams:</vt:lpwstr>
  </property>
  <property fmtid="{D5CDD505-2E9C-101B-9397-08002B2CF9AE}" pid="12" name="Objective-Parent">
    <vt:lpwstr>22/72359 - DG Information Brief - Revised Basis for Listing Dams and Review of Consequence Category Assessments for ACT Dams</vt:lpwstr>
  </property>
  <property fmtid="{D5CDD505-2E9C-101B-9397-08002B2CF9AE}" pid="13" name="Objective-State">
    <vt:lpwstr>Published</vt:lpwstr>
  </property>
  <property fmtid="{D5CDD505-2E9C-101B-9397-08002B2CF9AE}" pid="14" name="Objective-Version">
    <vt:lpwstr>9.0</vt:lpwstr>
  </property>
  <property fmtid="{D5CDD505-2E9C-101B-9397-08002B2CF9AE}" pid="15" name="Objective-VersionNumber">
    <vt:r8>13</vt:r8>
  </property>
  <property fmtid="{D5CDD505-2E9C-101B-9397-08002B2CF9AE}" pid="16" name="Objective-VersionComment">
    <vt:lpwstr/>
  </property>
  <property fmtid="{D5CDD505-2E9C-101B-9397-08002B2CF9AE}" pid="17" name="Objective-FileNumber">
    <vt:lpwstr>1-2022/72359</vt:lpwstr>
  </property>
  <property fmtid="{D5CDD505-2E9C-101B-9397-08002B2CF9AE}" pid="18" name="Objective-Classification">
    <vt:lpwstr>[Inherited - none]</vt:lpwstr>
  </property>
  <property fmtid="{D5CDD505-2E9C-101B-9397-08002B2CF9AE}" pid="19" name="Objective-Caveats">
    <vt:lpwstr/>
  </property>
  <property fmtid="{D5CDD505-2E9C-101B-9397-08002B2CF9AE}" pid="20" name="Objective-Owner Agency [system]">
    <vt:lpwstr>EPD</vt:lpwstr>
  </property>
  <property fmtid="{D5CDD505-2E9C-101B-9397-08002B2CF9AE}" pid="21" name="Objective-Document Type [system]">
    <vt:lpwstr>0-Document</vt:lpwstr>
  </property>
  <property fmtid="{D5CDD505-2E9C-101B-9397-08002B2CF9AE}" pid="22" name="Objective-Language [system]">
    <vt:lpwstr>English (en)</vt:lpwstr>
  </property>
  <property fmtid="{D5CDD505-2E9C-101B-9397-08002B2CF9AE}" pid="23" name="Objective-Jurisdiction [system]">
    <vt:lpwstr>ACT</vt:lpwstr>
  </property>
  <property fmtid="{D5CDD505-2E9C-101B-9397-08002B2CF9AE}" pid="24" name="Objective-Customers [system]">
    <vt:lpwstr/>
  </property>
  <property fmtid="{D5CDD505-2E9C-101B-9397-08002B2CF9AE}" pid="25" name="Objective-Places [system]">
    <vt:lpwstr/>
  </property>
  <property fmtid="{D5CDD505-2E9C-101B-9397-08002B2CF9AE}" pid="26" name="Objective-Transaction Reference [system]">
    <vt:lpwstr/>
  </property>
  <property fmtid="{D5CDD505-2E9C-101B-9397-08002B2CF9AE}" pid="27" name="Objective-Document Created By [system]">
    <vt:lpwstr/>
  </property>
  <property fmtid="{D5CDD505-2E9C-101B-9397-08002B2CF9AE}" pid="28" name="Objective-Document Created On [system]">
    <vt:lpwstr/>
  </property>
  <property fmtid="{D5CDD505-2E9C-101B-9397-08002B2CF9AE}" pid="29" name="Objective-Covers Period From [system]">
    <vt:lpwstr/>
  </property>
  <property fmtid="{D5CDD505-2E9C-101B-9397-08002B2CF9AE}" pid="30" name="Objective-Covers Period To [system]">
    <vt:lpwstr/>
  </property>
  <property fmtid="{D5CDD505-2E9C-101B-9397-08002B2CF9AE}" pid="31" name="Objective-Owner Agency">
    <vt:lpwstr>ACCESS CANBERRA</vt:lpwstr>
  </property>
  <property fmtid="{D5CDD505-2E9C-101B-9397-08002B2CF9AE}" pid="32" name="Objective-Document Type">
    <vt:lpwstr>0-Document</vt:lpwstr>
  </property>
  <property fmtid="{D5CDD505-2E9C-101B-9397-08002B2CF9AE}" pid="33" name="Objective-Language">
    <vt:lpwstr>English (en)</vt:lpwstr>
  </property>
  <property fmtid="{D5CDD505-2E9C-101B-9397-08002B2CF9AE}" pid="34" name="Objective-Jurisdiction">
    <vt:lpwstr>ACT</vt:lpwstr>
  </property>
  <property fmtid="{D5CDD505-2E9C-101B-9397-08002B2CF9AE}" pid="35" name="Objective-Customers">
    <vt:lpwstr/>
  </property>
  <property fmtid="{D5CDD505-2E9C-101B-9397-08002B2CF9AE}" pid="36" name="Objective-Places">
    <vt:lpwstr/>
  </property>
  <property fmtid="{D5CDD505-2E9C-101B-9397-08002B2CF9AE}" pid="37" name="Objective-Transaction Reference">
    <vt:lpwstr/>
  </property>
  <property fmtid="{D5CDD505-2E9C-101B-9397-08002B2CF9AE}" pid="38" name="Objective-Document Created By">
    <vt:lpwstr/>
  </property>
  <property fmtid="{D5CDD505-2E9C-101B-9397-08002B2CF9AE}" pid="39" name="Objective-Document Created On">
    <vt:lpwstr/>
  </property>
  <property fmtid="{D5CDD505-2E9C-101B-9397-08002B2CF9AE}" pid="40" name="Objective-Covers Period From">
    <vt:lpwstr/>
  </property>
  <property fmtid="{D5CDD505-2E9C-101B-9397-08002B2CF9AE}" pid="41" name="Objective-Covers Period To">
    <vt:lpwstr/>
  </property>
</Properties>
</file>