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F3CB6" w14:textId="77777777" w:rsidR="00291315" w:rsidRPr="001A0801" w:rsidRDefault="00291315" w:rsidP="00291315">
      <w:pPr>
        <w:spacing w:after="120"/>
        <w:rPr>
          <w:rFonts w:asciiTheme="minorHAnsi" w:hAnsiTheme="minorHAnsi" w:cstheme="minorHAnsi"/>
          <w:b/>
          <w:bCs/>
          <w:sz w:val="24"/>
          <w:szCs w:val="24"/>
        </w:rPr>
      </w:pPr>
    </w:p>
    <w:p w14:paraId="1BB0A2EB" w14:textId="57C42B2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202</w:t>
      </w:r>
      <w:r w:rsidR="00F96EE4">
        <w:rPr>
          <w:rFonts w:asciiTheme="minorHAnsi" w:hAnsiTheme="minorHAnsi" w:cstheme="minorHAnsi"/>
          <w:b/>
          <w:bCs/>
          <w:sz w:val="24"/>
          <w:szCs w:val="24"/>
          <w:lang w:eastAsia="en-AU"/>
        </w:rPr>
        <w:t>4</w:t>
      </w:r>
    </w:p>
    <w:p w14:paraId="6266CC56"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1CB9FD93"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2641AD52" w14:textId="72A9C4A6" w:rsidR="00291315" w:rsidRDefault="00291315" w:rsidP="00291315">
      <w:pPr>
        <w:spacing w:after="0" w:line="276" w:lineRule="atLeast"/>
        <w:jc w:val="center"/>
        <w:rPr>
          <w:rFonts w:asciiTheme="minorHAnsi" w:hAnsiTheme="minorHAnsi" w:cstheme="minorHAnsi"/>
          <w:b/>
          <w:bCs/>
          <w:sz w:val="24"/>
          <w:szCs w:val="24"/>
          <w:lang w:eastAsia="en-AU"/>
        </w:rPr>
      </w:pPr>
      <w:r w:rsidRPr="001A0801">
        <w:rPr>
          <w:rFonts w:asciiTheme="minorHAnsi" w:hAnsiTheme="minorHAnsi" w:cstheme="minorHAnsi"/>
          <w:b/>
          <w:bCs/>
          <w:sz w:val="24"/>
          <w:szCs w:val="24"/>
          <w:lang w:eastAsia="en-AU"/>
        </w:rPr>
        <w:t> </w:t>
      </w:r>
    </w:p>
    <w:p w14:paraId="75EA0D89" w14:textId="2F163D14" w:rsidR="001A0801" w:rsidRDefault="001A0801" w:rsidP="00291315">
      <w:pPr>
        <w:spacing w:after="0" w:line="276" w:lineRule="atLeast"/>
        <w:jc w:val="center"/>
        <w:rPr>
          <w:rFonts w:asciiTheme="minorHAnsi" w:hAnsiTheme="minorHAnsi" w:cstheme="minorHAnsi"/>
          <w:b/>
          <w:bCs/>
          <w:sz w:val="24"/>
          <w:szCs w:val="24"/>
          <w:lang w:eastAsia="en-AU"/>
        </w:rPr>
      </w:pPr>
    </w:p>
    <w:p w14:paraId="0331E8EF" w14:textId="77777777" w:rsidR="001A0801" w:rsidRPr="001A0801" w:rsidRDefault="001A0801" w:rsidP="00291315">
      <w:pPr>
        <w:spacing w:after="0" w:line="276" w:lineRule="atLeast"/>
        <w:jc w:val="center"/>
        <w:rPr>
          <w:rFonts w:asciiTheme="minorHAnsi" w:hAnsiTheme="minorHAnsi" w:cstheme="minorHAnsi"/>
          <w:sz w:val="24"/>
          <w:szCs w:val="24"/>
          <w:lang w:eastAsia="en-AU"/>
        </w:rPr>
      </w:pPr>
    </w:p>
    <w:p w14:paraId="40A2F01E"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45E273C2"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1B7FB08C"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0CA4A0E3"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THE LEGISLATIVE ASSEMBLY FOR THE</w:t>
      </w:r>
    </w:p>
    <w:p w14:paraId="22BCD685"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AUSTRALIAN CAPITAL TERRITORY</w:t>
      </w:r>
    </w:p>
    <w:p w14:paraId="417E6CAE"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2A1C2A2D"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158AC775"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08129572" w14:textId="2CC1C2EF" w:rsidR="00291315" w:rsidRDefault="00291315" w:rsidP="00291315">
      <w:pPr>
        <w:spacing w:after="0" w:line="276" w:lineRule="atLeast"/>
        <w:jc w:val="center"/>
        <w:rPr>
          <w:rFonts w:asciiTheme="minorHAnsi" w:hAnsiTheme="minorHAnsi" w:cstheme="minorHAnsi"/>
          <w:b/>
          <w:bCs/>
          <w:sz w:val="24"/>
          <w:szCs w:val="24"/>
          <w:lang w:eastAsia="en-AU"/>
        </w:rPr>
      </w:pPr>
      <w:r w:rsidRPr="001A0801">
        <w:rPr>
          <w:rFonts w:asciiTheme="minorHAnsi" w:hAnsiTheme="minorHAnsi" w:cstheme="minorHAnsi"/>
          <w:b/>
          <w:bCs/>
          <w:sz w:val="24"/>
          <w:szCs w:val="24"/>
          <w:lang w:eastAsia="en-AU"/>
        </w:rPr>
        <w:t> </w:t>
      </w:r>
    </w:p>
    <w:p w14:paraId="206027D1" w14:textId="23E43101" w:rsidR="001A0801" w:rsidRDefault="001A0801" w:rsidP="00291315">
      <w:pPr>
        <w:spacing w:after="0" w:line="276" w:lineRule="atLeast"/>
        <w:jc w:val="center"/>
        <w:rPr>
          <w:rFonts w:asciiTheme="minorHAnsi" w:hAnsiTheme="minorHAnsi" w:cstheme="minorHAnsi"/>
          <w:b/>
          <w:bCs/>
          <w:sz w:val="24"/>
          <w:szCs w:val="24"/>
          <w:lang w:eastAsia="en-AU"/>
        </w:rPr>
      </w:pPr>
    </w:p>
    <w:p w14:paraId="0438B00F" w14:textId="77777777" w:rsidR="001A0801" w:rsidRPr="001A0801" w:rsidRDefault="001A0801" w:rsidP="00291315">
      <w:pPr>
        <w:spacing w:after="0" w:line="276" w:lineRule="atLeast"/>
        <w:jc w:val="center"/>
        <w:rPr>
          <w:rFonts w:asciiTheme="minorHAnsi" w:hAnsiTheme="minorHAnsi" w:cstheme="minorHAnsi"/>
          <w:sz w:val="24"/>
          <w:szCs w:val="24"/>
          <w:lang w:eastAsia="en-AU"/>
        </w:rPr>
      </w:pPr>
    </w:p>
    <w:p w14:paraId="4BFBE3E5"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1962ABD9" w14:textId="1FA7C6B9"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GAMING MACHINE AMENDMENT BILL 202</w:t>
      </w:r>
      <w:r w:rsidR="00F96EE4">
        <w:rPr>
          <w:rFonts w:asciiTheme="minorHAnsi" w:hAnsiTheme="minorHAnsi" w:cstheme="minorHAnsi"/>
          <w:b/>
          <w:bCs/>
          <w:sz w:val="24"/>
          <w:szCs w:val="24"/>
          <w:lang w:eastAsia="en-AU"/>
        </w:rPr>
        <w:t>3</w:t>
      </w:r>
    </w:p>
    <w:p w14:paraId="79676DA2"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0FE5DCD6"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0055B053" w14:textId="0DC6E7E0" w:rsidR="00291315" w:rsidRDefault="00291315" w:rsidP="00291315">
      <w:pPr>
        <w:spacing w:after="0" w:line="276" w:lineRule="atLeast"/>
        <w:jc w:val="center"/>
        <w:rPr>
          <w:rFonts w:asciiTheme="minorHAnsi" w:hAnsiTheme="minorHAnsi" w:cstheme="minorHAnsi"/>
          <w:b/>
          <w:bCs/>
          <w:sz w:val="24"/>
          <w:szCs w:val="24"/>
          <w:lang w:eastAsia="en-AU"/>
        </w:rPr>
      </w:pPr>
      <w:r w:rsidRPr="001A0801">
        <w:rPr>
          <w:rFonts w:asciiTheme="minorHAnsi" w:hAnsiTheme="minorHAnsi" w:cstheme="minorHAnsi"/>
          <w:b/>
          <w:bCs/>
          <w:sz w:val="24"/>
          <w:szCs w:val="24"/>
          <w:lang w:eastAsia="en-AU"/>
        </w:rPr>
        <w:t> </w:t>
      </w:r>
    </w:p>
    <w:p w14:paraId="22BA273C" w14:textId="5A7FFEBD" w:rsidR="001A0801" w:rsidRDefault="001A0801" w:rsidP="00291315">
      <w:pPr>
        <w:spacing w:after="0" w:line="276" w:lineRule="atLeast"/>
        <w:jc w:val="center"/>
        <w:rPr>
          <w:rFonts w:asciiTheme="minorHAnsi" w:hAnsiTheme="minorHAnsi" w:cstheme="minorHAnsi"/>
          <w:b/>
          <w:bCs/>
          <w:sz w:val="24"/>
          <w:szCs w:val="24"/>
          <w:lang w:eastAsia="en-AU"/>
        </w:rPr>
      </w:pPr>
    </w:p>
    <w:p w14:paraId="7B5C7F9C" w14:textId="77777777" w:rsidR="001A0801" w:rsidRPr="001A0801" w:rsidRDefault="001A0801" w:rsidP="00291315">
      <w:pPr>
        <w:spacing w:after="0" w:line="276" w:lineRule="atLeast"/>
        <w:jc w:val="center"/>
        <w:rPr>
          <w:rFonts w:asciiTheme="minorHAnsi" w:hAnsiTheme="minorHAnsi" w:cstheme="minorHAnsi"/>
          <w:sz w:val="24"/>
          <w:szCs w:val="24"/>
          <w:lang w:eastAsia="en-AU"/>
        </w:rPr>
      </w:pPr>
    </w:p>
    <w:p w14:paraId="725A0491"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026E1329" w14:textId="3AAEECC6"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SUPPLEMENTARY EXPLANATORY STATEMENT</w:t>
      </w:r>
    </w:p>
    <w:p w14:paraId="1F9F3E93"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3B305243"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47D0AB68"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2B4C912B" w14:textId="63BE44B0" w:rsidR="00291315" w:rsidRPr="001A0801" w:rsidRDefault="00291315" w:rsidP="00291315">
      <w:pPr>
        <w:spacing w:after="0" w:line="276" w:lineRule="atLeast"/>
        <w:jc w:val="center"/>
        <w:rPr>
          <w:rFonts w:asciiTheme="minorHAnsi" w:hAnsiTheme="minorHAnsi" w:cstheme="minorHAnsi"/>
          <w:b/>
          <w:bCs/>
          <w:sz w:val="24"/>
          <w:szCs w:val="24"/>
          <w:lang w:eastAsia="en-AU"/>
        </w:rPr>
      </w:pPr>
      <w:r w:rsidRPr="001A0801">
        <w:rPr>
          <w:rFonts w:asciiTheme="minorHAnsi" w:hAnsiTheme="minorHAnsi" w:cstheme="minorHAnsi"/>
          <w:b/>
          <w:bCs/>
          <w:sz w:val="24"/>
          <w:szCs w:val="24"/>
          <w:lang w:eastAsia="en-AU"/>
        </w:rPr>
        <w:t> </w:t>
      </w:r>
    </w:p>
    <w:p w14:paraId="03E06747" w14:textId="2698738B" w:rsidR="00291315" w:rsidRDefault="00291315" w:rsidP="00291315">
      <w:pPr>
        <w:spacing w:after="0" w:line="276" w:lineRule="atLeast"/>
        <w:jc w:val="center"/>
        <w:rPr>
          <w:rFonts w:asciiTheme="minorHAnsi" w:hAnsiTheme="minorHAnsi" w:cstheme="minorHAnsi"/>
          <w:b/>
          <w:bCs/>
          <w:sz w:val="24"/>
          <w:szCs w:val="24"/>
          <w:lang w:eastAsia="en-AU"/>
        </w:rPr>
      </w:pPr>
    </w:p>
    <w:p w14:paraId="41955651" w14:textId="77777777" w:rsidR="001A0801" w:rsidRPr="001A0801" w:rsidRDefault="001A0801" w:rsidP="00291315">
      <w:pPr>
        <w:spacing w:after="0" w:line="276" w:lineRule="atLeast"/>
        <w:jc w:val="center"/>
        <w:rPr>
          <w:rFonts w:asciiTheme="minorHAnsi" w:hAnsiTheme="minorHAnsi" w:cstheme="minorHAnsi"/>
          <w:b/>
          <w:bCs/>
          <w:sz w:val="24"/>
          <w:szCs w:val="24"/>
          <w:lang w:eastAsia="en-AU"/>
        </w:rPr>
      </w:pPr>
    </w:p>
    <w:p w14:paraId="7B07F39B" w14:textId="7B196B41" w:rsidR="00291315" w:rsidRPr="001A0801" w:rsidRDefault="00291315" w:rsidP="00291315">
      <w:pPr>
        <w:spacing w:after="0" w:line="276" w:lineRule="atLeast"/>
        <w:jc w:val="center"/>
        <w:rPr>
          <w:rFonts w:asciiTheme="minorHAnsi" w:hAnsiTheme="minorHAnsi" w:cstheme="minorHAnsi"/>
          <w:b/>
          <w:bCs/>
          <w:sz w:val="24"/>
          <w:szCs w:val="24"/>
          <w:lang w:eastAsia="en-AU"/>
        </w:rPr>
      </w:pPr>
    </w:p>
    <w:p w14:paraId="193496D3" w14:textId="118ADA06" w:rsidR="00291315" w:rsidRPr="001A0801" w:rsidRDefault="00291315" w:rsidP="00291315">
      <w:pPr>
        <w:spacing w:after="0" w:line="276" w:lineRule="atLeast"/>
        <w:jc w:val="center"/>
        <w:rPr>
          <w:rFonts w:asciiTheme="minorHAnsi" w:hAnsiTheme="minorHAnsi" w:cstheme="minorHAnsi"/>
          <w:b/>
          <w:bCs/>
          <w:sz w:val="24"/>
          <w:szCs w:val="24"/>
          <w:lang w:eastAsia="en-AU"/>
        </w:rPr>
      </w:pPr>
    </w:p>
    <w:p w14:paraId="6B096F02"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p>
    <w:p w14:paraId="3369F70A"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0336FB00"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6F47E399"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33F3520E" w14:textId="77777777"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42FD2352" w14:textId="26DD3C24" w:rsidR="00291315" w:rsidRPr="001A0801" w:rsidRDefault="00291315" w:rsidP="00291315">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0440E546" w14:textId="77777777" w:rsidR="00291315" w:rsidRPr="001A0801" w:rsidRDefault="00291315" w:rsidP="00291315">
      <w:pPr>
        <w:spacing w:after="0" w:line="276" w:lineRule="atLeast"/>
        <w:ind w:right="686"/>
        <w:jc w:val="right"/>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48A851CC" w14:textId="77777777" w:rsidR="00291315" w:rsidRPr="001A0801" w:rsidRDefault="00291315" w:rsidP="00291315">
      <w:pPr>
        <w:spacing w:after="0" w:line="276" w:lineRule="atLeast"/>
        <w:ind w:right="686"/>
        <w:jc w:val="right"/>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7C56CEC1" w14:textId="77777777" w:rsidR="00291315" w:rsidRPr="001A0801" w:rsidRDefault="00291315" w:rsidP="00291315">
      <w:pPr>
        <w:spacing w:after="0" w:line="276" w:lineRule="atLeast"/>
        <w:ind w:right="686"/>
        <w:jc w:val="right"/>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Presented by</w:t>
      </w:r>
    </w:p>
    <w:p w14:paraId="2946C58A" w14:textId="77777777" w:rsidR="00291315" w:rsidRPr="001A0801" w:rsidRDefault="00291315" w:rsidP="00291315">
      <w:pPr>
        <w:spacing w:after="0" w:line="276" w:lineRule="atLeast"/>
        <w:ind w:right="686"/>
        <w:jc w:val="right"/>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Shane Rattenbury MLA</w:t>
      </w:r>
    </w:p>
    <w:p w14:paraId="6FC38346" w14:textId="10590021" w:rsidR="003D4F19" w:rsidRDefault="00291315" w:rsidP="00F9263C">
      <w:pPr>
        <w:spacing w:after="0" w:line="276" w:lineRule="atLeast"/>
        <w:ind w:right="686"/>
        <w:jc w:val="right"/>
        <w:rPr>
          <w:rFonts w:asciiTheme="minorHAnsi" w:hAnsiTheme="minorHAnsi" w:cstheme="minorHAnsi"/>
          <w:b/>
          <w:bCs/>
          <w:sz w:val="24"/>
          <w:szCs w:val="24"/>
          <w:lang w:eastAsia="en-AU"/>
        </w:rPr>
      </w:pPr>
      <w:r w:rsidRPr="001A0801">
        <w:rPr>
          <w:rFonts w:asciiTheme="minorHAnsi" w:hAnsiTheme="minorHAnsi" w:cstheme="minorHAnsi"/>
          <w:b/>
          <w:bCs/>
          <w:sz w:val="24"/>
          <w:szCs w:val="24"/>
          <w:lang w:eastAsia="en-AU"/>
        </w:rPr>
        <w:t>Minister for Gamin</w:t>
      </w:r>
      <w:r w:rsidR="008A5EDE" w:rsidRPr="001A0801">
        <w:rPr>
          <w:rFonts w:asciiTheme="minorHAnsi" w:hAnsiTheme="minorHAnsi" w:cstheme="minorHAnsi"/>
          <w:b/>
          <w:bCs/>
          <w:sz w:val="24"/>
          <w:szCs w:val="24"/>
          <w:lang w:eastAsia="en-AU"/>
        </w:rPr>
        <w:t>g</w:t>
      </w:r>
    </w:p>
    <w:p w14:paraId="4166BDAB" w14:textId="0AFB20DF" w:rsidR="006A7EDF" w:rsidRPr="00F9263C" w:rsidRDefault="00F96EE4" w:rsidP="00F9263C">
      <w:pPr>
        <w:spacing w:after="0" w:line="276" w:lineRule="atLeast"/>
        <w:ind w:right="686"/>
        <w:jc w:val="right"/>
        <w:rPr>
          <w:rFonts w:asciiTheme="minorHAnsi" w:hAnsiTheme="minorHAnsi" w:cstheme="minorHAnsi"/>
          <w:b/>
          <w:bCs/>
          <w:sz w:val="24"/>
          <w:szCs w:val="24"/>
          <w:lang w:eastAsia="en-AU"/>
        </w:rPr>
      </w:pPr>
      <w:r>
        <w:rPr>
          <w:rFonts w:asciiTheme="minorHAnsi" w:hAnsiTheme="minorHAnsi" w:cstheme="minorHAnsi"/>
          <w:b/>
          <w:bCs/>
          <w:sz w:val="24"/>
          <w:szCs w:val="24"/>
          <w:lang w:eastAsia="en-AU"/>
        </w:rPr>
        <w:t>February</w:t>
      </w:r>
      <w:r w:rsidR="006A7EDF">
        <w:rPr>
          <w:rFonts w:asciiTheme="minorHAnsi" w:hAnsiTheme="minorHAnsi" w:cstheme="minorHAnsi"/>
          <w:b/>
          <w:bCs/>
          <w:sz w:val="24"/>
          <w:szCs w:val="24"/>
          <w:lang w:eastAsia="en-AU"/>
        </w:rPr>
        <w:t xml:space="preserve"> 202</w:t>
      </w:r>
      <w:r>
        <w:rPr>
          <w:rFonts w:asciiTheme="minorHAnsi" w:hAnsiTheme="minorHAnsi" w:cstheme="minorHAnsi"/>
          <w:b/>
          <w:bCs/>
          <w:sz w:val="24"/>
          <w:szCs w:val="24"/>
          <w:lang w:eastAsia="en-AU"/>
        </w:rPr>
        <w:t>4</w:t>
      </w:r>
    </w:p>
    <w:p w14:paraId="33993D57" w14:textId="77777777" w:rsidR="00835E8A" w:rsidRDefault="00835E8A" w:rsidP="00291315">
      <w:pPr>
        <w:spacing w:after="0" w:line="276" w:lineRule="atLeast"/>
        <w:ind w:right="686"/>
        <w:rPr>
          <w:rFonts w:asciiTheme="minorHAnsi" w:hAnsiTheme="minorHAnsi" w:cs="Calibri"/>
          <w:b/>
          <w:bCs/>
          <w:sz w:val="24"/>
          <w:szCs w:val="24"/>
          <w:u w:val="single"/>
        </w:rPr>
        <w:sectPr w:rsidR="00835E8A" w:rsidSect="004E192C">
          <w:footerReference w:type="default" r:id="rId8"/>
          <w:pgSz w:w="11906" w:h="16838"/>
          <w:pgMar w:top="1440" w:right="1440" w:bottom="1440" w:left="1440" w:header="708" w:footer="708" w:gutter="0"/>
          <w:cols w:space="708"/>
          <w:docGrid w:linePitch="360"/>
        </w:sectPr>
      </w:pPr>
    </w:p>
    <w:p w14:paraId="690432BA" w14:textId="611B0B45" w:rsidR="006A7EDF" w:rsidRDefault="00835E8A">
      <w:pPr>
        <w:spacing w:after="160" w:line="259" w:lineRule="auto"/>
        <w:rPr>
          <w:rFonts w:asciiTheme="minorHAnsi" w:hAnsiTheme="minorHAnsi" w:cs="Calibri"/>
          <w:b/>
          <w:bCs/>
          <w:sz w:val="24"/>
          <w:szCs w:val="24"/>
          <w:u w:val="single"/>
        </w:rPr>
      </w:pPr>
      <w:r>
        <w:rPr>
          <w:rFonts w:asciiTheme="minorHAnsi" w:hAnsiTheme="minorHAnsi" w:cs="Calibri"/>
          <w:b/>
          <w:bCs/>
          <w:sz w:val="24"/>
          <w:szCs w:val="24"/>
          <w:u w:val="single"/>
        </w:rPr>
        <w:lastRenderedPageBreak/>
        <w:br w:type="page"/>
      </w:r>
    </w:p>
    <w:p w14:paraId="60BA4477" w14:textId="62086C2C" w:rsidR="00835E8A" w:rsidRDefault="00835E8A" w:rsidP="00291315">
      <w:pPr>
        <w:spacing w:after="0" w:line="276" w:lineRule="atLeast"/>
        <w:ind w:right="686"/>
        <w:rPr>
          <w:rFonts w:asciiTheme="minorHAnsi" w:hAnsiTheme="minorHAnsi" w:cs="Calibri"/>
          <w:b/>
          <w:bCs/>
          <w:sz w:val="24"/>
          <w:szCs w:val="24"/>
          <w:u w:val="single"/>
        </w:rPr>
        <w:sectPr w:rsidR="00835E8A" w:rsidSect="004E192C">
          <w:footerReference w:type="default" r:id="rId9"/>
          <w:pgSz w:w="11906" w:h="16838"/>
          <w:pgMar w:top="1440" w:right="1440" w:bottom="1440" w:left="1440" w:header="708" w:footer="708" w:gutter="0"/>
          <w:cols w:space="708"/>
          <w:docGrid w:linePitch="360"/>
        </w:sectPr>
      </w:pPr>
    </w:p>
    <w:p w14:paraId="413998ED" w14:textId="5E195CFC" w:rsidR="00291315" w:rsidRPr="00291315" w:rsidRDefault="00291315" w:rsidP="00291315">
      <w:pPr>
        <w:spacing w:after="0" w:line="276" w:lineRule="atLeast"/>
        <w:ind w:right="686"/>
        <w:rPr>
          <w:rFonts w:ascii="Times New Roman" w:hAnsi="Times New Roman"/>
          <w:sz w:val="24"/>
          <w:szCs w:val="24"/>
          <w:lang w:eastAsia="en-AU"/>
        </w:rPr>
      </w:pPr>
      <w:r w:rsidRPr="00CE1FA9">
        <w:rPr>
          <w:rFonts w:asciiTheme="minorHAnsi" w:hAnsiTheme="minorHAnsi" w:cs="Calibri"/>
          <w:b/>
          <w:bCs/>
          <w:sz w:val="24"/>
          <w:szCs w:val="24"/>
          <w:u w:val="single"/>
        </w:rPr>
        <w:lastRenderedPageBreak/>
        <w:t>Overview</w:t>
      </w:r>
    </w:p>
    <w:p w14:paraId="59AC90EB" w14:textId="57409323" w:rsidR="00291315" w:rsidRDefault="00291315" w:rsidP="00291315">
      <w:pPr>
        <w:spacing w:after="0"/>
        <w:rPr>
          <w:rFonts w:asciiTheme="minorHAnsi" w:hAnsiTheme="minorHAnsi"/>
          <w:bCs/>
          <w:sz w:val="24"/>
          <w:szCs w:val="24"/>
        </w:rPr>
      </w:pPr>
      <w:r w:rsidRPr="00CE1FA9">
        <w:rPr>
          <w:rFonts w:asciiTheme="minorHAnsi" w:hAnsiTheme="minorHAnsi"/>
          <w:bCs/>
          <w:sz w:val="24"/>
          <w:szCs w:val="24"/>
        </w:rPr>
        <w:t xml:space="preserve">This </w:t>
      </w:r>
      <w:r w:rsidR="003D4F19">
        <w:rPr>
          <w:rFonts w:asciiTheme="minorHAnsi" w:hAnsiTheme="minorHAnsi"/>
          <w:bCs/>
          <w:sz w:val="24"/>
          <w:szCs w:val="24"/>
        </w:rPr>
        <w:t>s</w:t>
      </w:r>
      <w:r w:rsidRPr="00CE1FA9">
        <w:rPr>
          <w:rFonts w:asciiTheme="minorHAnsi" w:hAnsiTheme="minorHAnsi"/>
          <w:bCs/>
          <w:sz w:val="24"/>
          <w:szCs w:val="24"/>
        </w:rPr>
        <w:t xml:space="preserve">upplementary </w:t>
      </w:r>
      <w:r w:rsidR="003D4F19">
        <w:rPr>
          <w:rFonts w:asciiTheme="minorHAnsi" w:hAnsiTheme="minorHAnsi"/>
          <w:bCs/>
          <w:sz w:val="24"/>
          <w:szCs w:val="24"/>
        </w:rPr>
        <w:t>e</w:t>
      </w:r>
      <w:r w:rsidRPr="00CE1FA9">
        <w:rPr>
          <w:rFonts w:asciiTheme="minorHAnsi" w:hAnsiTheme="minorHAnsi"/>
          <w:bCs/>
          <w:sz w:val="24"/>
          <w:szCs w:val="24"/>
        </w:rPr>
        <w:t xml:space="preserve">xplanatory </w:t>
      </w:r>
      <w:r w:rsidR="003D4F19">
        <w:rPr>
          <w:rFonts w:asciiTheme="minorHAnsi" w:hAnsiTheme="minorHAnsi"/>
          <w:bCs/>
          <w:sz w:val="24"/>
          <w:szCs w:val="24"/>
        </w:rPr>
        <w:t>s</w:t>
      </w:r>
      <w:r w:rsidRPr="00CE1FA9">
        <w:rPr>
          <w:rFonts w:asciiTheme="minorHAnsi" w:hAnsiTheme="minorHAnsi"/>
          <w:bCs/>
          <w:sz w:val="24"/>
          <w:szCs w:val="24"/>
        </w:rPr>
        <w:t xml:space="preserve">tatement outlines proposed amendments to the </w:t>
      </w:r>
      <w:r w:rsidRPr="006562E5">
        <w:rPr>
          <w:rFonts w:asciiTheme="minorHAnsi" w:hAnsiTheme="minorHAnsi"/>
          <w:bCs/>
          <w:i/>
          <w:iCs/>
          <w:sz w:val="24"/>
          <w:szCs w:val="24"/>
        </w:rPr>
        <w:t>Gaming Machine Amendment Bill 202</w:t>
      </w:r>
      <w:r w:rsidR="00F96EE4">
        <w:rPr>
          <w:rFonts w:asciiTheme="minorHAnsi" w:hAnsiTheme="minorHAnsi"/>
          <w:bCs/>
          <w:i/>
          <w:iCs/>
          <w:sz w:val="24"/>
          <w:szCs w:val="24"/>
        </w:rPr>
        <w:t>3</w:t>
      </w:r>
      <w:r w:rsidRPr="006562E5">
        <w:rPr>
          <w:rFonts w:asciiTheme="minorHAnsi" w:hAnsiTheme="minorHAnsi"/>
          <w:bCs/>
          <w:i/>
          <w:iCs/>
          <w:sz w:val="24"/>
          <w:szCs w:val="24"/>
        </w:rPr>
        <w:t xml:space="preserve"> </w:t>
      </w:r>
      <w:r w:rsidRPr="00CE1FA9">
        <w:rPr>
          <w:rFonts w:asciiTheme="minorHAnsi" w:hAnsiTheme="minorHAnsi"/>
          <w:bCs/>
          <w:sz w:val="24"/>
          <w:szCs w:val="24"/>
        </w:rPr>
        <w:t xml:space="preserve">(the Bill) </w:t>
      </w:r>
      <w:r w:rsidR="006A4B2C">
        <w:rPr>
          <w:rFonts w:asciiTheme="minorHAnsi" w:hAnsiTheme="minorHAnsi"/>
          <w:bCs/>
          <w:sz w:val="24"/>
          <w:szCs w:val="24"/>
        </w:rPr>
        <w:t>as presented to the Legislative Assembly</w:t>
      </w:r>
      <w:r w:rsidR="003D4F19">
        <w:rPr>
          <w:rFonts w:asciiTheme="minorHAnsi" w:hAnsiTheme="minorHAnsi"/>
          <w:bCs/>
          <w:sz w:val="24"/>
          <w:szCs w:val="24"/>
        </w:rPr>
        <w:t>,</w:t>
      </w:r>
      <w:r w:rsidR="006A4B2C">
        <w:rPr>
          <w:rFonts w:asciiTheme="minorHAnsi" w:hAnsiTheme="minorHAnsi"/>
          <w:bCs/>
          <w:sz w:val="24"/>
          <w:szCs w:val="24"/>
        </w:rPr>
        <w:t xml:space="preserve"> </w:t>
      </w:r>
      <w:r w:rsidRPr="00CE1FA9">
        <w:rPr>
          <w:rFonts w:asciiTheme="minorHAnsi" w:hAnsiTheme="minorHAnsi"/>
          <w:bCs/>
          <w:sz w:val="24"/>
          <w:szCs w:val="24"/>
        </w:rPr>
        <w:t>to be moved by the</w:t>
      </w:r>
      <w:r>
        <w:rPr>
          <w:rFonts w:asciiTheme="minorHAnsi" w:hAnsiTheme="minorHAnsi"/>
          <w:bCs/>
          <w:sz w:val="24"/>
          <w:szCs w:val="24"/>
        </w:rPr>
        <w:t xml:space="preserve"> Minister for Gaming.</w:t>
      </w:r>
      <w:r w:rsidR="00333D44">
        <w:rPr>
          <w:rFonts w:asciiTheme="minorHAnsi" w:hAnsiTheme="minorHAnsi"/>
          <w:bCs/>
          <w:sz w:val="24"/>
          <w:szCs w:val="24"/>
        </w:rPr>
        <w:t xml:space="preserve"> </w:t>
      </w:r>
    </w:p>
    <w:p w14:paraId="24BCF21E" w14:textId="77777777" w:rsidR="006A4B2C" w:rsidRDefault="006A4B2C" w:rsidP="00291315">
      <w:pPr>
        <w:spacing w:after="0"/>
        <w:rPr>
          <w:rFonts w:asciiTheme="minorHAnsi" w:hAnsiTheme="minorHAnsi"/>
          <w:bCs/>
          <w:sz w:val="24"/>
          <w:szCs w:val="24"/>
        </w:rPr>
      </w:pPr>
    </w:p>
    <w:p w14:paraId="628DDCBA" w14:textId="6023C76A" w:rsidR="00F96EE4" w:rsidRDefault="00F96EE4" w:rsidP="00F96EE4">
      <w:pPr>
        <w:spacing w:after="0"/>
        <w:rPr>
          <w:rFonts w:asciiTheme="minorHAnsi" w:hAnsiTheme="minorHAnsi"/>
          <w:bCs/>
          <w:sz w:val="24"/>
          <w:szCs w:val="24"/>
        </w:rPr>
      </w:pPr>
      <w:r w:rsidRPr="00F96EE4">
        <w:rPr>
          <w:rFonts w:asciiTheme="minorHAnsi" w:hAnsiTheme="minorHAnsi"/>
          <w:bCs/>
          <w:sz w:val="24"/>
          <w:szCs w:val="24"/>
        </w:rPr>
        <w:t>The Government Amendment</w:t>
      </w:r>
      <w:r w:rsidR="00DD77EC">
        <w:rPr>
          <w:rFonts w:asciiTheme="minorHAnsi" w:hAnsiTheme="minorHAnsi"/>
          <w:bCs/>
          <w:sz w:val="24"/>
          <w:szCs w:val="24"/>
        </w:rPr>
        <w:t>s</w:t>
      </w:r>
      <w:r w:rsidRPr="00F96EE4">
        <w:rPr>
          <w:rFonts w:asciiTheme="minorHAnsi" w:hAnsiTheme="minorHAnsi"/>
          <w:bCs/>
          <w:sz w:val="24"/>
          <w:szCs w:val="24"/>
        </w:rPr>
        <w:t xml:space="preserve"> will address a potential </w:t>
      </w:r>
      <w:r w:rsidR="00C65A84">
        <w:rPr>
          <w:rFonts w:asciiTheme="minorHAnsi" w:hAnsiTheme="minorHAnsi"/>
          <w:bCs/>
          <w:sz w:val="24"/>
          <w:szCs w:val="24"/>
        </w:rPr>
        <w:t>gap</w:t>
      </w:r>
      <w:r w:rsidRPr="00F96EE4">
        <w:rPr>
          <w:rFonts w:asciiTheme="minorHAnsi" w:hAnsiTheme="minorHAnsi"/>
          <w:bCs/>
          <w:sz w:val="24"/>
          <w:szCs w:val="24"/>
        </w:rPr>
        <w:t xml:space="preserve"> with respect to licences and authorisation certificates for class B gaming machines. It will ensure that the </w:t>
      </w:r>
      <w:r w:rsidR="004C6BF0">
        <w:rPr>
          <w:rFonts w:asciiTheme="minorHAnsi" w:hAnsiTheme="minorHAnsi"/>
          <w:bCs/>
          <w:sz w:val="24"/>
          <w:szCs w:val="24"/>
        </w:rPr>
        <w:t xml:space="preserve">Gambling and Racing </w:t>
      </w:r>
      <w:r w:rsidRPr="00F96EE4">
        <w:rPr>
          <w:rFonts w:asciiTheme="minorHAnsi" w:hAnsiTheme="minorHAnsi"/>
          <w:bCs/>
          <w:sz w:val="24"/>
          <w:szCs w:val="24"/>
        </w:rPr>
        <w:t>Commission cannot issue authorisation certificates for class B gaming machines in Molonglo Vally and other undeveloped areas in the ACT</w:t>
      </w:r>
      <w:r w:rsidR="00C65A84">
        <w:rPr>
          <w:rFonts w:asciiTheme="minorHAnsi" w:hAnsiTheme="minorHAnsi"/>
          <w:bCs/>
          <w:sz w:val="24"/>
          <w:szCs w:val="24"/>
        </w:rPr>
        <w:t xml:space="preserve">, which could potentially occur under the current provisions of the </w:t>
      </w:r>
      <w:r w:rsidR="00C65A84">
        <w:rPr>
          <w:rFonts w:asciiTheme="minorHAnsi" w:hAnsiTheme="minorHAnsi"/>
          <w:bCs/>
          <w:i/>
          <w:iCs/>
          <w:sz w:val="24"/>
          <w:szCs w:val="24"/>
        </w:rPr>
        <w:t>Gaming Machine Act 2004</w:t>
      </w:r>
      <w:r w:rsidR="00C65A84">
        <w:rPr>
          <w:rFonts w:asciiTheme="minorHAnsi" w:hAnsiTheme="minorHAnsi"/>
          <w:bCs/>
          <w:sz w:val="24"/>
          <w:szCs w:val="24"/>
        </w:rPr>
        <w:t xml:space="preserve"> in the context of an acquisition of a business from a holder of a class B licence</w:t>
      </w:r>
      <w:r w:rsidRPr="00F96EE4">
        <w:rPr>
          <w:rFonts w:asciiTheme="minorHAnsi" w:hAnsiTheme="minorHAnsi"/>
          <w:bCs/>
          <w:sz w:val="24"/>
          <w:szCs w:val="24"/>
        </w:rPr>
        <w:t>.</w:t>
      </w:r>
      <w:r w:rsidR="00C65A84">
        <w:rPr>
          <w:rFonts w:asciiTheme="minorHAnsi" w:hAnsiTheme="minorHAnsi"/>
          <w:bCs/>
          <w:sz w:val="24"/>
          <w:szCs w:val="24"/>
        </w:rPr>
        <w:t xml:space="preserve"> The amendment aligns with the intent of the Bill to prevent authorisation certificates from being issues for gaming machines in the Molonglo Valley and other undeveloped areas.</w:t>
      </w:r>
    </w:p>
    <w:p w14:paraId="1CB05AB5" w14:textId="77777777" w:rsidR="00C65A84" w:rsidRDefault="00C65A84" w:rsidP="00F96EE4">
      <w:pPr>
        <w:spacing w:after="0"/>
        <w:rPr>
          <w:rFonts w:asciiTheme="minorHAnsi" w:hAnsiTheme="minorHAnsi"/>
          <w:bCs/>
          <w:sz w:val="24"/>
          <w:szCs w:val="24"/>
        </w:rPr>
      </w:pPr>
    </w:p>
    <w:p w14:paraId="43295EB0" w14:textId="57A60972" w:rsidR="00C65A84" w:rsidRPr="00C65A84" w:rsidRDefault="00C65A84" w:rsidP="00F96EE4">
      <w:pPr>
        <w:spacing w:after="0"/>
        <w:rPr>
          <w:rFonts w:asciiTheme="minorHAnsi" w:hAnsiTheme="minorHAnsi"/>
          <w:bCs/>
          <w:sz w:val="24"/>
          <w:szCs w:val="24"/>
        </w:rPr>
      </w:pPr>
      <w:r>
        <w:rPr>
          <w:rFonts w:asciiTheme="minorHAnsi" w:hAnsiTheme="minorHAnsi"/>
          <w:bCs/>
          <w:sz w:val="24"/>
          <w:szCs w:val="24"/>
        </w:rPr>
        <w:t>The Government Amendment</w:t>
      </w:r>
      <w:r w:rsidR="00DD77EC">
        <w:rPr>
          <w:rFonts w:asciiTheme="minorHAnsi" w:hAnsiTheme="minorHAnsi"/>
          <w:bCs/>
          <w:sz w:val="24"/>
          <w:szCs w:val="24"/>
        </w:rPr>
        <w:t>s</w:t>
      </w:r>
      <w:r>
        <w:rPr>
          <w:rFonts w:asciiTheme="minorHAnsi" w:hAnsiTheme="minorHAnsi"/>
          <w:bCs/>
          <w:sz w:val="24"/>
          <w:szCs w:val="24"/>
        </w:rPr>
        <w:t xml:space="preserve"> also makes a correction to remove reference to the repealed </w:t>
      </w:r>
      <w:r>
        <w:rPr>
          <w:rFonts w:asciiTheme="minorHAnsi" w:hAnsiTheme="minorHAnsi"/>
          <w:bCs/>
          <w:i/>
          <w:iCs/>
          <w:sz w:val="24"/>
          <w:szCs w:val="24"/>
        </w:rPr>
        <w:t>Planning and Development Act 2007</w:t>
      </w:r>
      <w:r>
        <w:rPr>
          <w:rFonts w:asciiTheme="minorHAnsi" w:hAnsiTheme="minorHAnsi"/>
          <w:bCs/>
          <w:sz w:val="24"/>
          <w:szCs w:val="24"/>
        </w:rPr>
        <w:t xml:space="preserve"> and substitutes it to refer to the </w:t>
      </w:r>
      <w:r>
        <w:rPr>
          <w:rFonts w:asciiTheme="minorHAnsi" w:hAnsiTheme="minorHAnsi"/>
          <w:bCs/>
          <w:i/>
          <w:iCs/>
          <w:sz w:val="24"/>
          <w:szCs w:val="24"/>
        </w:rPr>
        <w:t>Planning Act 2023</w:t>
      </w:r>
      <w:r>
        <w:rPr>
          <w:rFonts w:asciiTheme="minorHAnsi" w:hAnsiTheme="minorHAnsi"/>
          <w:bCs/>
          <w:sz w:val="24"/>
          <w:szCs w:val="24"/>
        </w:rPr>
        <w:t>.</w:t>
      </w:r>
    </w:p>
    <w:p w14:paraId="633A7B80" w14:textId="55A0D60F" w:rsidR="006A4B2C" w:rsidRDefault="006A4B2C" w:rsidP="00333D44">
      <w:pPr>
        <w:spacing w:after="0"/>
        <w:rPr>
          <w:rFonts w:asciiTheme="minorHAnsi" w:hAnsiTheme="minorHAnsi"/>
          <w:bCs/>
          <w:sz w:val="24"/>
          <w:szCs w:val="24"/>
        </w:rPr>
      </w:pPr>
    </w:p>
    <w:p w14:paraId="5234D97B" w14:textId="77777777" w:rsidR="006A4B2C" w:rsidRPr="006A4B2C" w:rsidRDefault="006A4B2C" w:rsidP="006A4B2C">
      <w:pPr>
        <w:spacing w:after="0"/>
        <w:rPr>
          <w:rFonts w:asciiTheme="minorHAnsi" w:hAnsiTheme="minorHAnsi"/>
          <w:bCs/>
          <w:sz w:val="24"/>
          <w:szCs w:val="24"/>
        </w:rPr>
      </w:pPr>
      <w:r w:rsidRPr="006A4B2C">
        <w:rPr>
          <w:rFonts w:asciiTheme="minorHAnsi" w:hAnsiTheme="minorHAnsi"/>
          <w:b/>
          <w:bCs/>
          <w:sz w:val="24"/>
          <w:szCs w:val="24"/>
        </w:rPr>
        <w:t>Human rights implications</w:t>
      </w:r>
    </w:p>
    <w:p w14:paraId="7DF0678D" w14:textId="7F7DEF8D" w:rsidR="004C6BF0" w:rsidRDefault="006A4B2C" w:rsidP="00291315">
      <w:pPr>
        <w:spacing w:after="0"/>
        <w:rPr>
          <w:rFonts w:asciiTheme="minorHAnsi" w:hAnsiTheme="minorHAnsi"/>
          <w:bCs/>
          <w:sz w:val="24"/>
          <w:szCs w:val="24"/>
        </w:rPr>
      </w:pPr>
      <w:r>
        <w:rPr>
          <w:rFonts w:asciiTheme="minorHAnsi" w:hAnsiTheme="minorHAnsi"/>
          <w:bCs/>
          <w:sz w:val="24"/>
          <w:szCs w:val="24"/>
        </w:rPr>
        <w:t xml:space="preserve">As discussed </w:t>
      </w:r>
      <w:r w:rsidR="00C65A84">
        <w:rPr>
          <w:rFonts w:asciiTheme="minorHAnsi" w:hAnsiTheme="minorHAnsi"/>
          <w:bCs/>
          <w:sz w:val="24"/>
          <w:szCs w:val="24"/>
        </w:rPr>
        <w:t xml:space="preserve">in </w:t>
      </w:r>
      <w:r>
        <w:rPr>
          <w:rFonts w:asciiTheme="minorHAnsi" w:hAnsiTheme="minorHAnsi"/>
          <w:bCs/>
          <w:sz w:val="24"/>
          <w:szCs w:val="24"/>
        </w:rPr>
        <w:t xml:space="preserve">the </w:t>
      </w:r>
      <w:r w:rsidR="00671D0E">
        <w:rPr>
          <w:rFonts w:asciiTheme="minorHAnsi" w:hAnsiTheme="minorHAnsi"/>
          <w:bCs/>
          <w:sz w:val="24"/>
          <w:szCs w:val="24"/>
        </w:rPr>
        <w:t xml:space="preserve">Bill’s </w:t>
      </w:r>
      <w:r w:rsidR="003D4F19">
        <w:rPr>
          <w:rFonts w:asciiTheme="minorHAnsi" w:hAnsiTheme="minorHAnsi"/>
          <w:bCs/>
          <w:sz w:val="24"/>
          <w:szCs w:val="24"/>
        </w:rPr>
        <w:t>e</w:t>
      </w:r>
      <w:r>
        <w:rPr>
          <w:rFonts w:asciiTheme="minorHAnsi" w:hAnsiTheme="minorHAnsi"/>
          <w:bCs/>
          <w:sz w:val="24"/>
          <w:szCs w:val="24"/>
        </w:rPr>
        <w:t xml:space="preserve">xplanatory </w:t>
      </w:r>
      <w:r w:rsidR="003D4F19">
        <w:rPr>
          <w:rFonts w:asciiTheme="minorHAnsi" w:hAnsiTheme="minorHAnsi"/>
          <w:bCs/>
          <w:sz w:val="24"/>
          <w:szCs w:val="24"/>
        </w:rPr>
        <w:t>s</w:t>
      </w:r>
      <w:r>
        <w:rPr>
          <w:rFonts w:asciiTheme="minorHAnsi" w:hAnsiTheme="minorHAnsi"/>
          <w:bCs/>
          <w:sz w:val="24"/>
          <w:szCs w:val="24"/>
        </w:rPr>
        <w:t>tatement</w:t>
      </w:r>
      <w:r w:rsidR="006562E5">
        <w:rPr>
          <w:rFonts w:asciiTheme="minorHAnsi" w:hAnsiTheme="minorHAnsi"/>
          <w:bCs/>
          <w:sz w:val="24"/>
          <w:szCs w:val="24"/>
        </w:rPr>
        <w:t xml:space="preserve">, </w:t>
      </w:r>
      <w:r>
        <w:rPr>
          <w:rFonts w:asciiTheme="minorHAnsi" w:hAnsiTheme="minorHAnsi"/>
          <w:bCs/>
          <w:sz w:val="24"/>
          <w:szCs w:val="24"/>
        </w:rPr>
        <w:t xml:space="preserve">the </w:t>
      </w:r>
      <w:r w:rsidR="005A298A">
        <w:rPr>
          <w:rFonts w:asciiTheme="minorHAnsi" w:hAnsiTheme="minorHAnsi"/>
          <w:bCs/>
          <w:sz w:val="24"/>
          <w:szCs w:val="24"/>
        </w:rPr>
        <w:t>Bill</w:t>
      </w:r>
      <w:r w:rsidR="003D4F19">
        <w:rPr>
          <w:rFonts w:asciiTheme="minorHAnsi" w:hAnsiTheme="minorHAnsi"/>
          <w:bCs/>
          <w:sz w:val="24"/>
          <w:szCs w:val="24"/>
        </w:rPr>
        <w:t xml:space="preserve"> </w:t>
      </w:r>
      <w:r w:rsidR="006562E5">
        <w:rPr>
          <w:rFonts w:asciiTheme="minorHAnsi" w:hAnsiTheme="minorHAnsi"/>
          <w:bCs/>
          <w:sz w:val="24"/>
          <w:szCs w:val="24"/>
        </w:rPr>
        <w:t xml:space="preserve">will </w:t>
      </w:r>
      <w:r w:rsidRPr="006A4B2C">
        <w:rPr>
          <w:rFonts w:asciiTheme="minorHAnsi" w:hAnsiTheme="minorHAnsi"/>
          <w:bCs/>
          <w:sz w:val="24"/>
          <w:szCs w:val="24"/>
        </w:rPr>
        <w:t>support</w:t>
      </w:r>
      <w:r w:rsidR="003D4F19">
        <w:rPr>
          <w:rFonts w:asciiTheme="minorHAnsi" w:hAnsiTheme="minorHAnsi"/>
          <w:bCs/>
          <w:sz w:val="24"/>
          <w:szCs w:val="24"/>
        </w:rPr>
        <w:t xml:space="preserve"> </w:t>
      </w:r>
      <w:r w:rsidR="004C6BF0" w:rsidRPr="004C6BF0">
        <w:rPr>
          <w:rFonts w:asciiTheme="minorHAnsi" w:hAnsiTheme="minorHAnsi"/>
          <w:bCs/>
          <w:sz w:val="24"/>
          <w:szCs w:val="24"/>
        </w:rPr>
        <w:t xml:space="preserve">the </w:t>
      </w:r>
      <w:r w:rsidR="004C6BF0" w:rsidRPr="004C6BF0">
        <w:rPr>
          <w:rFonts w:asciiTheme="minorHAnsi" w:hAnsiTheme="minorHAnsi"/>
          <w:bCs/>
          <w:i/>
          <w:iCs/>
          <w:sz w:val="24"/>
          <w:szCs w:val="24"/>
        </w:rPr>
        <w:t>Human Rights Act 2004</w:t>
      </w:r>
      <w:r w:rsidR="004C6BF0" w:rsidRPr="004C6BF0">
        <w:rPr>
          <w:rFonts w:asciiTheme="minorHAnsi" w:hAnsiTheme="minorHAnsi"/>
          <w:bCs/>
          <w:sz w:val="24"/>
          <w:szCs w:val="24"/>
        </w:rPr>
        <w:t xml:space="preserve">, including section 11, the Right to protection of the family and children, and </w:t>
      </w:r>
      <w:r w:rsidR="00C65A84">
        <w:rPr>
          <w:rFonts w:asciiTheme="minorHAnsi" w:hAnsiTheme="minorHAnsi"/>
          <w:bCs/>
          <w:sz w:val="24"/>
          <w:szCs w:val="24"/>
        </w:rPr>
        <w:t>s</w:t>
      </w:r>
      <w:r w:rsidR="004C6BF0" w:rsidRPr="004C6BF0">
        <w:rPr>
          <w:rFonts w:asciiTheme="minorHAnsi" w:hAnsiTheme="minorHAnsi"/>
          <w:bCs/>
          <w:sz w:val="24"/>
          <w:szCs w:val="24"/>
        </w:rPr>
        <w:t xml:space="preserve">ection 15, </w:t>
      </w:r>
      <w:r w:rsidR="00C65A84">
        <w:rPr>
          <w:rFonts w:asciiTheme="minorHAnsi" w:hAnsiTheme="minorHAnsi"/>
          <w:bCs/>
          <w:sz w:val="24"/>
          <w:szCs w:val="24"/>
        </w:rPr>
        <w:t xml:space="preserve">the </w:t>
      </w:r>
      <w:r w:rsidR="004C6BF0" w:rsidRPr="004C6BF0">
        <w:rPr>
          <w:rFonts w:asciiTheme="minorHAnsi" w:hAnsiTheme="minorHAnsi"/>
          <w:bCs/>
          <w:sz w:val="24"/>
          <w:szCs w:val="24"/>
        </w:rPr>
        <w:t>Right to peaceful assembly and freedom of association.</w:t>
      </w:r>
    </w:p>
    <w:p w14:paraId="3B01C847" w14:textId="77777777" w:rsidR="004C6BF0" w:rsidRDefault="004C6BF0" w:rsidP="00291315">
      <w:pPr>
        <w:spacing w:after="0"/>
        <w:rPr>
          <w:rFonts w:asciiTheme="minorHAnsi" w:hAnsiTheme="minorHAnsi"/>
          <w:bCs/>
          <w:sz w:val="24"/>
          <w:szCs w:val="24"/>
        </w:rPr>
      </w:pPr>
    </w:p>
    <w:p w14:paraId="18FA9779" w14:textId="77777777" w:rsidR="006F5F4C" w:rsidRDefault="00EB2373" w:rsidP="00291315">
      <w:pPr>
        <w:spacing w:after="0"/>
        <w:rPr>
          <w:rFonts w:asciiTheme="minorHAnsi" w:hAnsiTheme="minorHAnsi"/>
          <w:bCs/>
          <w:sz w:val="24"/>
          <w:szCs w:val="24"/>
        </w:rPr>
      </w:pPr>
      <w:r>
        <w:rPr>
          <w:rFonts w:asciiTheme="minorHAnsi" w:hAnsiTheme="minorHAnsi"/>
          <w:bCs/>
          <w:sz w:val="24"/>
          <w:szCs w:val="24"/>
        </w:rPr>
        <w:t xml:space="preserve">The Bill and Government Amendments </w:t>
      </w:r>
      <w:r w:rsidR="005A48E5">
        <w:rPr>
          <w:rFonts w:asciiTheme="minorHAnsi" w:hAnsiTheme="minorHAnsi"/>
          <w:bCs/>
          <w:sz w:val="24"/>
          <w:szCs w:val="24"/>
        </w:rPr>
        <w:t xml:space="preserve">may </w:t>
      </w:r>
      <w:r w:rsidR="005A48E5" w:rsidRPr="005A48E5">
        <w:rPr>
          <w:rFonts w:asciiTheme="minorHAnsi" w:hAnsiTheme="minorHAnsi"/>
          <w:bCs/>
          <w:sz w:val="24"/>
          <w:szCs w:val="24"/>
        </w:rPr>
        <w:t xml:space="preserve">limit the right to equality before the law under section 8 of the </w:t>
      </w:r>
      <w:r w:rsidR="005A48E5" w:rsidRPr="005A48E5">
        <w:rPr>
          <w:rFonts w:asciiTheme="minorHAnsi" w:hAnsiTheme="minorHAnsi"/>
          <w:bCs/>
          <w:i/>
          <w:iCs/>
          <w:sz w:val="24"/>
          <w:szCs w:val="24"/>
        </w:rPr>
        <w:t>Human Rights Act 2004</w:t>
      </w:r>
      <w:r w:rsidR="006F5F4C">
        <w:rPr>
          <w:rFonts w:asciiTheme="minorHAnsi" w:hAnsiTheme="minorHAnsi"/>
          <w:bCs/>
          <w:sz w:val="24"/>
          <w:szCs w:val="24"/>
        </w:rPr>
        <w:t xml:space="preserve">. </w:t>
      </w:r>
    </w:p>
    <w:p w14:paraId="5812F555" w14:textId="77777777" w:rsidR="006F5F4C" w:rsidRDefault="006F5F4C" w:rsidP="006F5F4C">
      <w:pPr>
        <w:spacing w:after="0"/>
        <w:rPr>
          <w:rFonts w:asciiTheme="minorHAnsi" w:hAnsiTheme="minorHAnsi"/>
          <w:bCs/>
          <w:sz w:val="24"/>
          <w:szCs w:val="24"/>
        </w:rPr>
      </w:pPr>
    </w:p>
    <w:p w14:paraId="668B2620" w14:textId="320E00E0" w:rsidR="006F5F4C" w:rsidRDefault="006F5F4C" w:rsidP="00291315">
      <w:pPr>
        <w:spacing w:after="0"/>
        <w:rPr>
          <w:rFonts w:asciiTheme="minorHAnsi" w:hAnsiTheme="minorHAnsi"/>
          <w:bCs/>
          <w:sz w:val="24"/>
          <w:szCs w:val="24"/>
        </w:rPr>
      </w:pPr>
      <w:r>
        <w:rPr>
          <w:rFonts w:asciiTheme="minorHAnsi" w:hAnsiTheme="minorHAnsi"/>
          <w:bCs/>
          <w:sz w:val="24"/>
          <w:szCs w:val="24"/>
        </w:rPr>
        <w:t>The</w:t>
      </w:r>
      <w:r w:rsidR="007C3C0C">
        <w:rPr>
          <w:rFonts w:asciiTheme="minorHAnsi" w:hAnsiTheme="minorHAnsi"/>
          <w:bCs/>
          <w:sz w:val="24"/>
          <w:szCs w:val="24"/>
        </w:rPr>
        <w:t xml:space="preserve"> objective sought to be achieved by</w:t>
      </w:r>
      <w:r>
        <w:rPr>
          <w:rFonts w:asciiTheme="minorHAnsi" w:hAnsiTheme="minorHAnsi"/>
          <w:bCs/>
          <w:sz w:val="24"/>
          <w:szCs w:val="24"/>
        </w:rPr>
        <w:t xml:space="preserve"> the Bill is to </w:t>
      </w:r>
      <w:r w:rsidR="006511A8">
        <w:rPr>
          <w:rFonts w:asciiTheme="minorHAnsi" w:hAnsiTheme="minorHAnsi"/>
          <w:bCs/>
          <w:sz w:val="24"/>
          <w:szCs w:val="24"/>
        </w:rPr>
        <w:t xml:space="preserve">minimise </w:t>
      </w:r>
      <w:r>
        <w:rPr>
          <w:rFonts w:asciiTheme="minorHAnsi" w:hAnsiTheme="minorHAnsi"/>
          <w:bCs/>
          <w:sz w:val="24"/>
          <w:szCs w:val="24"/>
        </w:rPr>
        <w:t>gambling harm in the ACT and</w:t>
      </w:r>
      <w:r w:rsidR="007C3C0C">
        <w:rPr>
          <w:rFonts w:asciiTheme="minorHAnsi" w:hAnsiTheme="minorHAnsi"/>
          <w:bCs/>
          <w:sz w:val="24"/>
          <w:szCs w:val="24"/>
        </w:rPr>
        <w:t>,</w:t>
      </w:r>
      <w:r>
        <w:rPr>
          <w:rFonts w:asciiTheme="minorHAnsi" w:hAnsiTheme="minorHAnsi"/>
          <w:bCs/>
          <w:sz w:val="24"/>
          <w:szCs w:val="24"/>
        </w:rPr>
        <w:t xml:space="preserve"> specifically</w:t>
      </w:r>
      <w:r w:rsidR="007C3C0C">
        <w:rPr>
          <w:rFonts w:asciiTheme="minorHAnsi" w:hAnsiTheme="minorHAnsi"/>
          <w:bCs/>
          <w:sz w:val="24"/>
          <w:szCs w:val="24"/>
        </w:rPr>
        <w:t>,</w:t>
      </w:r>
      <w:r w:rsidR="00671D0E">
        <w:rPr>
          <w:rFonts w:asciiTheme="minorHAnsi" w:hAnsiTheme="minorHAnsi"/>
          <w:bCs/>
          <w:sz w:val="24"/>
          <w:szCs w:val="24"/>
        </w:rPr>
        <w:t xml:space="preserve"> in</w:t>
      </w:r>
      <w:r>
        <w:rPr>
          <w:rFonts w:asciiTheme="minorHAnsi" w:hAnsiTheme="minorHAnsi"/>
          <w:bCs/>
          <w:sz w:val="24"/>
          <w:szCs w:val="24"/>
        </w:rPr>
        <w:t xml:space="preserve"> the Molonglo Valley and undeveloped areas</w:t>
      </w:r>
      <w:r w:rsidR="007C3C0C">
        <w:rPr>
          <w:rFonts w:asciiTheme="minorHAnsi" w:hAnsiTheme="minorHAnsi"/>
          <w:bCs/>
          <w:sz w:val="24"/>
          <w:szCs w:val="24"/>
        </w:rPr>
        <w:t xml:space="preserve"> in the ACT</w:t>
      </w:r>
      <w:r>
        <w:rPr>
          <w:rFonts w:asciiTheme="minorHAnsi" w:hAnsiTheme="minorHAnsi"/>
          <w:bCs/>
          <w:sz w:val="24"/>
          <w:szCs w:val="24"/>
        </w:rPr>
        <w:t xml:space="preserve">. The </w:t>
      </w:r>
      <w:r w:rsidR="007C3C0C">
        <w:rPr>
          <w:rFonts w:asciiTheme="minorHAnsi" w:hAnsiTheme="minorHAnsi"/>
          <w:bCs/>
          <w:sz w:val="24"/>
          <w:szCs w:val="24"/>
        </w:rPr>
        <w:t>effect of the Bill</w:t>
      </w:r>
      <w:r>
        <w:rPr>
          <w:rFonts w:asciiTheme="minorHAnsi" w:hAnsiTheme="minorHAnsi"/>
          <w:bCs/>
          <w:sz w:val="24"/>
          <w:szCs w:val="24"/>
        </w:rPr>
        <w:t xml:space="preserve"> limit</w:t>
      </w:r>
      <w:r w:rsidR="007C3C0C">
        <w:rPr>
          <w:rFonts w:asciiTheme="minorHAnsi" w:hAnsiTheme="minorHAnsi"/>
          <w:bCs/>
          <w:sz w:val="24"/>
          <w:szCs w:val="24"/>
        </w:rPr>
        <w:t>s</w:t>
      </w:r>
      <w:r>
        <w:rPr>
          <w:rFonts w:asciiTheme="minorHAnsi" w:hAnsiTheme="minorHAnsi"/>
          <w:bCs/>
          <w:sz w:val="24"/>
          <w:szCs w:val="24"/>
        </w:rPr>
        <w:t xml:space="preserve"> the right to equality </w:t>
      </w:r>
      <w:r w:rsidR="007C3C0C">
        <w:rPr>
          <w:rFonts w:asciiTheme="minorHAnsi" w:hAnsiTheme="minorHAnsi"/>
          <w:bCs/>
          <w:sz w:val="24"/>
          <w:szCs w:val="24"/>
        </w:rPr>
        <w:t>by</w:t>
      </w:r>
      <w:r>
        <w:rPr>
          <w:rFonts w:asciiTheme="minorHAnsi" w:hAnsiTheme="minorHAnsi"/>
          <w:bCs/>
          <w:sz w:val="24"/>
          <w:szCs w:val="24"/>
        </w:rPr>
        <w:t xml:space="preserve"> limiting </w:t>
      </w:r>
      <w:r w:rsidR="005A48E5" w:rsidRPr="005A48E5">
        <w:rPr>
          <w:rFonts w:asciiTheme="minorHAnsi" w:hAnsiTheme="minorHAnsi"/>
          <w:bCs/>
          <w:sz w:val="24"/>
          <w:szCs w:val="24"/>
        </w:rPr>
        <w:t xml:space="preserve">accessibility of </w:t>
      </w:r>
      <w:r w:rsidR="00C65A84">
        <w:rPr>
          <w:rFonts w:asciiTheme="minorHAnsi" w:hAnsiTheme="minorHAnsi"/>
          <w:bCs/>
          <w:sz w:val="24"/>
          <w:szCs w:val="24"/>
        </w:rPr>
        <w:t>gaming machines</w:t>
      </w:r>
      <w:r w:rsidR="005A48E5" w:rsidRPr="005A48E5">
        <w:rPr>
          <w:rFonts w:asciiTheme="minorHAnsi" w:hAnsiTheme="minorHAnsi"/>
          <w:bCs/>
          <w:sz w:val="24"/>
          <w:szCs w:val="24"/>
        </w:rPr>
        <w:t xml:space="preserve"> in</w:t>
      </w:r>
      <w:r w:rsidR="007C3C0C">
        <w:rPr>
          <w:rFonts w:asciiTheme="minorHAnsi" w:hAnsiTheme="minorHAnsi"/>
          <w:bCs/>
          <w:sz w:val="24"/>
          <w:szCs w:val="24"/>
        </w:rPr>
        <w:t xml:space="preserve"> those</w:t>
      </w:r>
      <w:r w:rsidR="005A48E5" w:rsidRPr="005A48E5">
        <w:rPr>
          <w:rFonts w:asciiTheme="minorHAnsi" w:hAnsiTheme="minorHAnsi"/>
          <w:bCs/>
          <w:sz w:val="24"/>
          <w:szCs w:val="24"/>
        </w:rPr>
        <w:t xml:space="preserve"> </w:t>
      </w:r>
      <w:r w:rsidR="00C65A84">
        <w:rPr>
          <w:rFonts w:asciiTheme="minorHAnsi" w:hAnsiTheme="minorHAnsi"/>
          <w:bCs/>
          <w:sz w:val="24"/>
          <w:szCs w:val="24"/>
        </w:rPr>
        <w:t>affected</w:t>
      </w:r>
      <w:r w:rsidR="005A48E5" w:rsidRPr="005A48E5">
        <w:rPr>
          <w:rFonts w:asciiTheme="minorHAnsi" w:hAnsiTheme="minorHAnsi"/>
          <w:bCs/>
          <w:sz w:val="24"/>
          <w:szCs w:val="24"/>
        </w:rPr>
        <w:t xml:space="preserve"> localities. </w:t>
      </w:r>
    </w:p>
    <w:p w14:paraId="419BEB24" w14:textId="77777777" w:rsidR="006F5F4C" w:rsidRDefault="006F5F4C" w:rsidP="00291315">
      <w:pPr>
        <w:spacing w:after="0"/>
        <w:rPr>
          <w:rFonts w:asciiTheme="minorHAnsi" w:hAnsiTheme="minorHAnsi"/>
          <w:bCs/>
          <w:sz w:val="24"/>
          <w:szCs w:val="24"/>
        </w:rPr>
      </w:pPr>
    </w:p>
    <w:p w14:paraId="1BA709C5" w14:textId="1D807E7D" w:rsidR="006F5F4C" w:rsidRDefault="006511A8" w:rsidP="00291315">
      <w:pPr>
        <w:spacing w:after="0"/>
        <w:rPr>
          <w:rFonts w:asciiTheme="minorHAnsi" w:hAnsiTheme="minorHAnsi"/>
          <w:bCs/>
          <w:sz w:val="24"/>
          <w:szCs w:val="24"/>
        </w:rPr>
      </w:pPr>
      <w:r>
        <w:rPr>
          <w:rFonts w:asciiTheme="minorHAnsi" w:hAnsiTheme="minorHAnsi"/>
          <w:bCs/>
          <w:sz w:val="24"/>
          <w:szCs w:val="24"/>
        </w:rPr>
        <w:t xml:space="preserve">Gaming machines remain a prevalent and harmful form of gambling. Gambling on gaming machines is among the highest prevalence gambling activities in the ACT and accounts for the largest share of all gambling turnover and losses. </w:t>
      </w:r>
      <w:r w:rsidRPr="006511A8">
        <w:rPr>
          <w:rFonts w:asciiTheme="minorHAnsi" w:hAnsiTheme="minorHAnsi"/>
          <w:bCs/>
          <w:sz w:val="24"/>
          <w:szCs w:val="24"/>
        </w:rPr>
        <w:t>For 2022-23, a total of $188.5 million was lost on gaming machines in the ACT.</w:t>
      </w:r>
    </w:p>
    <w:p w14:paraId="71084009" w14:textId="77777777" w:rsidR="006511A8" w:rsidRDefault="006511A8" w:rsidP="00291315">
      <w:pPr>
        <w:spacing w:after="0"/>
        <w:rPr>
          <w:rFonts w:asciiTheme="minorHAnsi" w:hAnsiTheme="minorHAnsi"/>
          <w:bCs/>
          <w:sz w:val="24"/>
          <w:szCs w:val="24"/>
        </w:rPr>
      </w:pPr>
    </w:p>
    <w:p w14:paraId="0A42FDFD" w14:textId="77777777" w:rsidR="006511A8" w:rsidRPr="006511A8" w:rsidRDefault="006511A8" w:rsidP="006511A8">
      <w:pPr>
        <w:spacing w:after="0"/>
        <w:rPr>
          <w:rFonts w:asciiTheme="minorHAnsi" w:hAnsiTheme="minorHAnsi"/>
          <w:bCs/>
          <w:sz w:val="24"/>
          <w:szCs w:val="24"/>
        </w:rPr>
      </w:pPr>
      <w:r w:rsidRPr="006511A8">
        <w:rPr>
          <w:rFonts w:asciiTheme="minorHAnsi" w:hAnsiTheme="minorHAnsi"/>
          <w:bCs/>
          <w:sz w:val="24"/>
          <w:szCs w:val="24"/>
        </w:rPr>
        <w:t>The 2019 ACT Gambling Survey identified that around one in five (19.7%) or 64,500 of ACT adult residents had used electronic gaming machines in the prior year. Of this cohort, 26 per cent reported one or more gambling harms on the Short Gambling Harm Screen, which is a validated measure of gambling harm.</w:t>
      </w:r>
      <w:r w:rsidRPr="006511A8">
        <w:rPr>
          <w:rFonts w:asciiTheme="minorHAnsi" w:hAnsiTheme="minorHAnsi"/>
          <w:bCs/>
          <w:sz w:val="24"/>
          <w:szCs w:val="24"/>
          <w:vertAlign w:val="superscript"/>
        </w:rPr>
        <w:footnoteReference w:id="1"/>
      </w:r>
    </w:p>
    <w:p w14:paraId="25515F35" w14:textId="77777777" w:rsidR="006511A8" w:rsidRDefault="006511A8" w:rsidP="00291315">
      <w:pPr>
        <w:spacing w:after="0"/>
        <w:rPr>
          <w:rFonts w:asciiTheme="minorHAnsi" w:hAnsiTheme="minorHAnsi"/>
          <w:bCs/>
          <w:sz w:val="24"/>
          <w:szCs w:val="24"/>
        </w:rPr>
      </w:pPr>
    </w:p>
    <w:p w14:paraId="0C29A325" w14:textId="10A9B475" w:rsidR="006511A8" w:rsidRDefault="006511A8" w:rsidP="00291315">
      <w:pPr>
        <w:spacing w:after="0"/>
        <w:rPr>
          <w:rFonts w:asciiTheme="minorHAnsi" w:hAnsiTheme="minorHAnsi"/>
          <w:bCs/>
          <w:sz w:val="24"/>
          <w:szCs w:val="24"/>
        </w:rPr>
      </w:pPr>
      <w:r>
        <w:rPr>
          <w:rFonts w:asciiTheme="minorHAnsi" w:hAnsiTheme="minorHAnsi"/>
          <w:bCs/>
          <w:sz w:val="24"/>
          <w:szCs w:val="24"/>
        </w:rPr>
        <w:lastRenderedPageBreak/>
        <w:t xml:space="preserve">The </w:t>
      </w:r>
      <w:r w:rsidR="007C3C0C">
        <w:rPr>
          <w:rFonts w:asciiTheme="minorHAnsi" w:hAnsiTheme="minorHAnsi"/>
          <w:bCs/>
          <w:sz w:val="24"/>
          <w:szCs w:val="24"/>
        </w:rPr>
        <w:t>effect of the Bill</w:t>
      </w:r>
      <w:r>
        <w:rPr>
          <w:rFonts w:asciiTheme="minorHAnsi" w:hAnsiTheme="minorHAnsi"/>
          <w:bCs/>
          <w:sz w:val="24"/>
          <w:szCs w:val="24"/>
        </w:rPr>
        <w:t xml:space="preserve"> </w:t>
      </w:r>
      <w:r w:rsidR="006A1D3F">
        <w:rPr>
          <w:rFonts w:asciiTheme="minorHAnsi" w:hAnsiTheme="minorHAnsi"/>
          <w:bCs/>
          <w:sz w:val="24"/>
          <w:szCs w:val="24"/>
        </w:rPr>
        <w:t xml:space="preserve">to ban electronic gaming machines in Molonglo Valley and undeveloped areas in the ACT </w:t>
      </w:r>
      <w:r w:rsidR="007C3C0C">
        <w:rPr>
          <w:rFonts w:asciiTheme="minorHAnsi" w:hAnsiTheme="minorHAnsi"/>
          <w:bCs/>
          <w:sz w:val="24"/>
          <w:szCs w:val="24"/>
        </w:rPr>
        <w:t>will contribute to</w:t>
      </w:r>
      <w:r w:rsidR="0066645C">
        <w:rPr>
          <w:rFonts w:asciiTheme="minorHAnsi" w:hAnsiTheme="minorHAnsi"/>
          <w:bCs/>
          <w:sz w:val="24"/>
          <w:szCs w:val="24"/>
        </w:rPr>
        <w:t xml:space="preserve"> achieving a reduction in </w:t>
      </w:r>
      <w:r w:rsidR="007C3C0C">
        <w:rPr>
          <w:rFonts w:asciiTheme="minorHAnsi" w:hAnsiTheme="minorHAnsi"/>
          <w:bCs/>
          <w:sz w:val="24"/>
          <w:szCs w:val="24"/>
        </w:rPr>
        <w:t xml:space="preserve">the prevalence of </w:t>
      </w:r>
      <w:r w:rsidR="0066645C">
        <w:rPr>
          <w:rFonts w:asciiTheme="minorHAnsi" w:hAnsiTheme="minorHAnsi"/>
          <w:bCs/>
          <w:sz w:val="24"/>
          <w:szCs w:val="24"/>
        </w:rPr>
        <w:t>gambling harm</w:t>
      </w:r>
      <w:r w:rsidR="007C3C0C">
        <w:rPr>
          <w:rFonts w:asciiTheme="minorHAnsi" w:hAnsiTheme="minorHAnsi"/>
          <w:bCs/>
          <w:sz w:val="24"/>
          <w:szCs w:val="24"/>
        </w:rPr>
        <w:t xml:space="preserve"> in the ACT on the premise that, as research has shown,</w:t>
      </w:r>
      <w:r w:rsidR="0066645C">
        <w:rPr>
          <w:rFonts w:asciiTheme="minorHAnsi" w:hAnsiTheme="minorHAnsi"/>
          <w:bCs/>
          <w:sz w:val="24"/>
          <w:szCs w:val="24"/>
        </w:rPr>
        <w:t xml:space="preserve"> proximity to venues with poker machines poses greater risks to experienc</w:t>
      </w:r>
      <w:r w:rsidR="001D2065">
        <w:rPr>
          <w:rFonts w:asciiTheme="minorHAnsi" w:hAnsiTheme="minorHAnsi"/>
          <w:bCs/>
          <w:sz w:val="24"/>
          <w:szCs w:val="24"/>
        </w:rPr>
        <w:t xml:space="preserve">ing </w:t>
      </w:r>
      <w:r w:rsidR="0066645C">
        <w:rPr>
          <w:rFonts w:asciiTheme="minorHAnsi" w:hAnsiTheme="minorHAnsi"/>
          <w:bCs/>
          <w:sz w:val="24"/>
          <w:szCs w:val="24"/>
        </w:rPr>
        <w:t>gambling harm.</w:t>
      </w:r>
      <w:r w:rsidR="007F742A">
        <w:rPr>
          <w:rStyle w:val="FootnoteReference"/>
          <w:rFonts w:asciiTheme="minorHAnsi" w:hAnsiTheme="minorHAnsi"/>
          <w:bCs/>
          <w:sz w:val="24"/>
          <w:szCs w:val="24"/>
        </w:rPr>
        <w:footnoteReference w:id="2"/>
      </w:r>
      <w:r w:rsidR="007F742A">
        <w:rPr>
          <w:rStyle w:val="FootnoteReference"/>
          <w:rFonts w:asciiTheme="minorHAnsi" w:hAnsiTheme="minorHAnsi"/>
          <w:bCs/>
          <w:sz w:val="24"/>
          <w:szCs w:val="24"/>
        </w:rPr>
        <w:footnoteReference w:id="3"/>
      </w:r>
      <w:r w:rsidR="0066645C">
        <w:rPr>
          <w:rFonts w:asciiTheme="minorHAnsi" w:hAnsiTheme="minorHAnsi"/>
          <w:bCs/>
          <w:sz w:val="24"/>
          <w:szCs w:val="24"/>
        </w:rPr>
        <w:t xml:space="preserve"> </w:t>
      </w:r>
    </w:p>
    <w:p w14:paraId="33262BB0" w14:textId="77777777" w:rsidR="008C3BC4" w:rsidRDefault="008C3BC4" w:rsidP="00291315">
      <w:pPr>
        <w:spacing w:after="0"/>
        <w:rPr>
          <w:rFonts w:asciiTheme="minorHAnsi" w:hAnsiTheme="minorHAnsi" w:cstheme="minorHAnsi"/>
          <w:sz w:val="24"/>
          <w:szCs w:val="24"/>
        </w:rPr>
      </w:pPr>
    </w:p>
    <w:p w14:paraId="46EE808C" w14:textId="03385798" w:rsidR="008C3BC4" w:rsidRDefault="00D67499" w:rsidP="008C3BC4">
      <w:pPr>
        <w:spacing w:after="0"/>
        <w:rPr>
          <w:rFonts w:asciiTheme="minorHAnsi" w:hAnsiTheme="minorHAnsi" w:cstheme="minorHAnsi"/>
          <w:sz w:val="24"/>
          <w:szCs w:val="24"/>
        </w:rPr>
      </w:pPr>
      <w:r>
        <w:rPr>
          <w:rFonts w:asciiTheme="minorHAnsi" w:hAnsiTheme="minorHAnsi" w:cstheme="minorHAnsi"/>
          <w:sz w:val="24"/>
          <w:szCs w:val="24"/>
        </w:rPr>
        <w:t>The</w:t>
      </w:r>
      <w:r w:rsidR="008C3BC4">
        <w:rPr>
          <w:rFonts w:asciiTheme="minorHAnsi" w:hAnsiTheme="minorHAnsi" w:cstheme="minorHAnsi"/>
          <w:sz w:val="24"/>
          <w:szCs w:val="24"/>
        </w:rPr>
        <w:t xml:space="preserve"> Explanatory Statement</w:t>
      </w:r>
      <w:r>
        <w:rPr>
          <w:rFonts w:asciiTheme="minorHAnsi" w:hAnsiTheme="minorHAnsi" w:cstheme="minorHAnsi"/>
          <w:sz w:val="24"/>
          <w:szCs w:val="24"/>
        </w:rPr>
        <w:t xml:space="preserve"> accompanying the Bill </w:t>
      </w:r>
      <w:r w:rsidR="007C3C0C">
        <w:rPr>
          <w:rFonts w:asciiTheme="minorHAnsi" w:hAnsiTheme="minorHAnsi" w:cstheme="minorHAnsi"/>
          <w:sz w:val="24"/>
          <w:szCs w:val="24"/>
        </w:rPr>
        <w:t>noted</w:t>
      </w:r>
      <w:r w:rsidR="002549E3">
        <w:rPr>
          <w:rFonts w:asciiTheme="minorHAnsi" w:hAnsiTheme="minorHAnsi" w:cstheme="minorHAnsi"/>
          <w:sz w:val="24"/>
          <w:szCs w:val="24"/>
        </w:rPr>
        <w:t xml:space="preserve"> that </w:t>
      </w:r>
      <w:r w:rsidR="008C3BC4">
        <w:rPr>
          <w:rFonts w:asciiTheme="minorHAnsi" w:hAnsiTheme="minorHAnsi" w:cstheme="minorHAnsi"/>
          <w:sz w:val="24"/>
          <w:szCs w:val="24"/>
        </w:rPr>
        <w:t xml:space="preserve">Molonglo Valley residents supported a community </w:t>
      </w:r>
      <w:r w:rsidR="002549E3">
        <w:rPr>
          <w:rFonts w:asciiTheme="minorHAnsi" w:hAnsiTheme="minorHAnsi" w:cstheme="minorHAnsi"/>
          <w:sz w:val="24"/>
          <w:szCs w:val="24"/>
        </w:rPr>
        <w:t xml:space="preserve">in the area </w:t>
      </w:r>
      <w:r w:rsidR="008C3BC4">
        <w:rPr>
          <w:rFonts w:asciiTheme="minorHAnsi" w:hAnsiTheme="minorHAnsi" w:cstheme="minorHAnsi"/>
          <w:sz w:val="24"/>
          <w:szCs w:val="24"/>
        </w:rPr>
        <w:t xml:space="preserve">without poker machines. </w:t>
      </w:r>
    </w:p>
    <w:p w14:paraId="33302327" w14:textId="46C64C75" w:rsidR="008C3BC4" w:rsidRPr="007E4C0F" w:rsidRDefault="008C3BC4" w:rsidP="00291315">
      <w:pPr>
        <w:spacing w:after="0"/>
        <w:rPr>
          <w:rFonts w:asciiTheme="minorHAnsi" w:hAnsiTheme="minorHAnsi" w:cstheme="minorHAnsi"/>
          <w:sz w:val="24"/>
          <w:szCs w:val="24"/>
        </w:rPr>
      </w:pPr>
    </w:p>
    <w:p w14:paraId="4337A3E6" w14:textId="79E23EA8" w:rsidR="00D04725" w:rsidRDefault="007E1CCA" w:rsidP="007E1CCA">
      <w:pPr>
        <w:spacing w:after="160" w:line="259" w:lineRule="auto"/>
        <w:rPr>
          <w:rFonts w:asciiTheme="minorHAnsi" w:hAnsiTheme="minorHAnsi"/>
          <w:sz w:val="24"/>
          <w:szCs w:val="24"/>
        </w:rPr>
      </w:pPr>
      <w:r w:rsidRPr="00210F02">
        <w:rPr>
          <w:rFonts w:asciiTheme="minorHAnsi" w:hAnsiTheme="minorHAnsi"/>
          <w:sz w:val="24"/>
          <w:szCs w:val="24"/>
        </w:rPr>
        <w:t xml:space="preserve">The </w:t>
      </w:r>
      <w:r>
        <w:rPr>
          <w:rFonts w:asciiTheme="minorHAnsi" w:hAnsiTheme="minorHAnsi"/>
          <w:sz w:val="24"/>
          <w:szCs w:val="24"/>
        </w:rPr>
        <w:t>Government A</w:t>
      </w:r>
      <w:r w:rsidRPr="00210F02">
        <w:rPr>
          <w:rFonts w:asciiTheme="minorHAnsi" w:hAnsiTheme="minorHAnsi"/>
          <w:sz w:val="24"/>
          <w:szCs w:val="24"/>
        </w:rPr>
        <w:t>mendment address</w:t>
      </w:r>
      <w:r w:rsidR="007C3C0C">
        <w:rPr>
          <w:rFonts w:asciiTheme="minorHAnsi" w:hAnsiTheme="minorHAnsi"/>
          <w:sz w:val="24"/>
          <w:szCs w:val="24"/>
        </w:rPr>
        <w:t>es</w:t>
      </w:r>
      <w:r w:rsidRPr="00210F02">
        <w:rPr>
          <w:rFonts w:asciiTheme="minorHAnsi" w:hAnsiTheme="minorHAnsi"/>
          <w:sz w:val="24"/>
          <w:szCs w:val="24"/>
        </w:rPr>
        <w:t xml:space="preserve"> the risk of for</w:t>
      </w:r>
      <w:r w:rsidR="007C3C0C">
        <w:rPr>
          <w:rFonts w:asciiTheme="minorHAnsi" w:hAnsiTheme="minorHAnsi"/>
          <w:sz w:val="24"/>
          <w:szCs w:val="24"/>
        </w:rPr>
        <w:t>-</w:t>
      </w:r>
      <w:r w:rsidRPr="00210F02">
        <w:rPr>
          <w:rFonts w:asciiTheme="minorHAnsi" w:hAnsiTheme="minorHAnsi"/>
          <w:sz w:val="24"/>
          <w:szCs w:val="24"/>
        </w:rPr>
        <w:t>profit</w:t>
      </w:r>
      <w:r w:rsidR="007C3C0C">
        <w:rPr>
          <w:rFonts w:asciiTheme="minorHAnsi" w:hAnsiTheme="minorHAnsi"/>
          <w:sz w:val="24"/>
          <w:szCs w:val="24"/>
        </w:rPr>
        <w:t xml:space="preserve"> </w:t>
      </w:r>
      <w:r w:rsidRPr="00210F02">
        <w:rPr>
          <w:rFonts w:asciiTheme="minorHAnsi" w:hAnsiTheme="minorHAnsi"/>
          <w:sz w:val="24"/>
          <w:szCs w:val="24"/>
        </w:rPr>
        <w:t xml:space="preserve">venues, such as hotel or pubs, of establishing a presence in the Molonglo Valley or other undeveloped areas and, in the process of acquiring a relevant business, being issued a class B licence and authorisation certificate. </w:t>
      </w:r>
      <w:r w:rsidR="007C3C0C">
        <w:rPr>
          <w:rFonts w:asciiTheme="minorHAnsi" w:hAnsiTheme="minorHAnsi"/>
          <w:sz w:val="24"/>
          <w:szCs w:val="24"/>
        </w:rPr>
        <w:t>The</w:t>
      </w:r>
      <w:r w:rsidR="00F06820">
        <w:rPr>
          <w:rFonts w:asciiTheme="minorHAnsi" w:hAnsiTheme="minorHAnsi"/>
          <w:sz w:val="24"/>
          <w:szCs w:val="24"/>
        </w:rPr>
        <w:t xml:space="preserve"> Government considers</w:t>
      </w:r>
      <w:r w:rsidR="007C3C0C">
        <w:rPr>
          <w:rFonts w:asciiTheme="minorHAnsi" w:hAnsiTheme="minorHAnsi"/>
          <w:sz w:val="24"/>
          <w:szCs w:val="24"/>
        </w:rPr>
        <w:t xml:space="preserve"> this restriction on issuing class B licences and authorisation certificates to be aligned to the intent of the Bill and to be</w:t>
      </w:r>
      <w:r w:rsidR="00F06820">
        <w:rPr>
          <w:rFonts w:asciiTheme="minorHAnsi" w:hAnsiTheme="minorHAnsi"/>
          <w:sz w:val="24"/>
          <w:szCs w:val="24"/>
        </w:rPr>
        <w:t xml:space="preserve"> proportional </w:t>
      </w:r>
      <w:r w:rsidR="007C3C0C">
        <w:rPr>
          <w:rFonts w:asciiTheme="minorHAnsi" w:hAnsiTheme="minorHAnsi"/>
          <w:sz w:val="24"/>
          <w:szCs w:val="24"/>
        </w:rPr>
        <w:t xml:space="preserve">to reasonably achieving the purpose of the Bill by minimising risks to current and future residents of affected areas experiencing gambling harm due to proximity to venues with gaming machines. </w:t>
      </w:r>
      <w:r w:rsidR="0078305A">
        <w:rPr>
          <w:rFonts w:asciiTheme="minorHAnsi" w:hAnsiTheme="minorHAnsi"/>
          <w:sz w:val="24"/>
          <w:szCs w:val="24"/>
        </w:rPr>
        <w:t xml:space="preserve">While the Bill and Government </w:t>
      </w:r>
      <w:r w:rsidR="00E03AA9">
        <w:rPr>
          <w:rFonts w:asciiTheme="minorHAnsi" w:hAnsiTheme="minorHAnsi"/>
          <w:sz w:val="24"/>
          <w:szCs w:val="24"/>
        </w:rPr>
        <w:t>A</w:t>
      </w:r>
      <w:r w:rsidR="0078305A">
        <w:rPr>
          <w:rFonts w:asciiTheme="minorHAnsi" w:hAnsiTheme="minorHAnsi"/>
          <w:sz w:val="24"/>
          <w:szCs w:val="24"/>
        </w:rPr>
        <w:t xml:space="preserve">mendment will limit the accessibility of gaming machines in the Molonglo Valley and undeveloped areas of the ACT, residents in these areas are not precluded from travelling to other parts of the ACT to use gaming machines. </w:t>
      </w:r>
    </w:p>
    <w:p w14:paraId="77BA4379" w14:textId="77777777" w:rsidR="00D04725" w:rsidRDefault="00D04725" w:rsidP="007E1CCA">
      <w:pPr>
        <w:spacing w:after="160" w:line="259" w:lineRule="auto"/>
        <w:rPr>
          <w:rFonts w:asciiTheme="minorHAnsi" w:hAnsiTheme="minorHAnsi"/>
          <w:sz w:val="24"/>
          <w:szCs w:val="24"/>
        </w:rPr>
      </w:pPr>
    </w:p>
    <w:p w14:paraId="012D8639" w14:textId="77777777" w:rsidR="007E1CCA" w:rsidRDefault="007E1CCA" w:rsidP="007E1CCA">
      <w:pPr>
        <w:spacing w:after="160" w:line="259" w:lineRule="auto"/>
        <w:rPr>
          <w:rFonts w:asciiTheme="minorHAnsi" w:hAnsiTheme="minorHAnsi"/>
          <w:sz w:val="24"/>
          <w:szCs w:val="24"/>
        </w:rPr>
      </w:pPr>
    </w:p>
    <w:p w14:paraId="1A838612" w14:textId="77777777" w:rsidR="007E1CCA" w:rsidRPr="00210F02" w:rsidRDefault="007E1CCA" w:rsidP="007E1CCA">
      <w:pPr>
        <w:spacing w:after="160" w:line="259" w:lineRule="auto"/>
        <w:rPr>
          <w:rFonts w:asciiTheme="minorHAnsi" w:hAnsiTheme="minorHAnsi"/>
          <w:i/>
          <w:iCs/>
          <w:sz w:val="24"/>
          <w:szCs w:val="24"/>
        </w:rPr>
      </w:pPr>
    </w:p>
    <w:p w14:paraId="4C18ABB9" w14:textId="77777777" w:rsidR="004C6BF0" w:rsidRDefault="004C6BF0" w:rsidP="00291315">
      <w:pPr>
        <w:spacing w:after="0"/>
        <w:rPr>
          <w:rFonts w:asciiTheme="minorHAnsi" w:hAnsiTheme="minorHAnsi"/>
          <w:bCs/>
          <w:sz w:val="24"/>
          <w:szCs w:val="24"/>
        </w:rPr>
      </w:pPr>
    </w:p>
    <w:p w14:paraId="0AE07DC6" w14:textId="77777777" w:rsidR="00210F02" w:rsidRDefault="00210F02">
      <w:pPr>
        <w:spacing w:after="160" w:line="259" w:lineRule="auto"/>
        <w:rPr>
          <w:rFonts w:asciiTheme="minorHAnsi" w:hAnsiTheme="minorHAnsi"/>
          <w:sz w:val="24"/>
          <w:szCs w:val="24"/>
        </w:rPr>
      </w:pPr>
    </w:p>
    <w:p w14:paraId="2C1759F1" w14:textId="77E0EC91" w:rsidR="00C65A84" w:rsidRPr="00F7120D" w:rsidRDefault="00C65A84">
      <w:pPr>
        <w:spacing w:after="160" w:line="259" w:lineRule="auto"/>
        <w:rPr>
          <w:rFonts w:asciiTheme="minorHAnsi" w:hAnsiTheme="minorHAnsi"/>
          <w:sz w:val="24"/>
          <w:szCs w:val="24"/>
        </w:rPr>
      </w:pPr>
      <w:r w:rsidRPr="00F7120D">
        <w:rPr>
          <w:rFonts w:asciiTheme="minorHAnsi" w:hAnsiTheme="minorHAnsi"/>
          <w:sz w:val="24"/>
          <w:szCs w:val="24"/>
        </w:rPr>
        <w:br w:type="page"/>
      </w:r>
    </w:p>
    <w:p w14:paraId="792F447C" w14:textId="744F9516" w:rsidR="00AE5067" w:rsidRDefault="006A4B2C" w:rsidP="006A4B2C">
      <w:pPr>
        <w:spacing w:after="0"/>
        <w:rPr>
          <w:rFonts w:asciiTheme="minorHAnsi" w:hAnsiTheme="minorHAnsi"/>
          <w:b/>
          <w:bCs/>
          <w:sz w:val="24"/>
          <w:szCs w:val="24"/>
        </w:rPr>
      </w:pPr>
      <w:r w:rsidRPr="006A4B2C">
        <w:rPr>
          <w:rFonts w:asciiTheme="minorHAnsi" w:hAnsiTheme="minorHAnsi"/>
          <w:b/>
          <w:bCs/>
          <w:sz w:val="24"/>
          <w:szCs w:val="24"/>
        </w:rPr>
        <w:lastRenderedPageBreak/>
        <w:t>Clause notes</w:t>
      </w:r>
    </w:p>
    <w:p w14:paraId="1EE0BF4F" w14:textId="2F180C59" w:rsidR="008A5EDE" w:rsidRDefault="008A5EDE" w:rsidP="006A4B2C">
      <w:pPr>
        <w:spacing w:after="0"/>
        <w:rPr>
          <w:rFonts w:asciiTheme="minorHAnsi" w:hAnsiTheme="minorHAnsi"/>
          <w:b/>
          <w:bCs/>
          <w:sz w:val="24"/>
          <w:szCs w:val="24"/>
        </w:rPr>
      </w:pPr>
    </w:p>
    <w:p w14:paraId="3AC0FD66" w14:textId="77777777" w:rsidR="008A5EDE" w:rsidRDefault="008A5EDE" w:rsidP="006A4B2C">
      <w:pPr>
        <w:spacing w:after="0"/>
        <w:rPr>
          <w:rFonts w:asciiTheme="minorHAnsi" w:hAnsiTheme="minorHAnsi"/>
          <w:b/>
          <w:bCs/>
          <w:sz w:val="24"/>
          <w:szCs w:val="24"/>
        </w:rPr>
      </w:pPr>
      <w:r>
        <w:rPr>
          <w:rFonts w:asciiTheme="minorHAnsi" w:hAnsiTheme="minorHAnsi"/>
          <w:b/>
          <w:bCs/>
          <w:sz w:val="24"/>
          <w:szCs w:val="24"/>
        </w:rPr>
        <w:t xml:space="preserve">1 </w:t>
      </w:r>
    </w:p>
    <w:p w14:paraId="274E6EF0" w14:textId="37652607" w:rsidR="00DF0C23" w:rsidRDefault="00DF0C23" w:rsidP="006A4B2C">
      <w:pPr>
        <w:spacing w:after="0"/>
        <w:rPr>
          <w:rFonts w:asciiTheme="minorHAnsi" w:hAnsiTheme="minorHAnsi"/>
          <w:b/>
          <w:bCs/>
          <w:sz w:val="24"/>
          <w:szCs w:val="24"/>
        </w:rPr>
      </w:pPr>
      <w:r>
        <w:rPr>
          <w:rFonts w:asciiTheme="minorHAnsi" w:hAnsiTheme="minorHAnsi"/>
          <w:b/>
          <w:bCs/>
          <w:sz w:val="24"/>
          <w:szCs w:val="24"/>
        </w:rPr>
        <w:t xml:space="preserve">Proposed new clause </w:t>
      </w:r>
      <w:proofErr w:type="gramStart"/>
      <w:r>
        <w:rPr>
          <w:rFonts w:asciiTheme="minorHAnsi" w:hAnsiTheme="minorHAnsi"/>
          <w:b/>
          <w:bCs/>
          <w:sz w:val="24"/>
          <w:szCs w:val="24"/>
        </w:rPr>
        <w:t>10A</w:t>
      </w:r>
      <w:proofErr w:type="gramEnd"/>
    </w:p>
    <w:p w14:paraId="02D39BA7" w14:textId="4488D300" w:rsidR="00DF0C23" w:rsidRDefault="00DF0C23" w:rsidP="006A4B2C">
      <w:pPr>
        <w:spacing w:after="0"/>
        <w:rPr>
          <w:rFonts w:asciiTheme="minorHAnsi" w:hAnsiTheme="minorHAnsi"/>
          <w:b/>
          <w:bCs/>
          <w:sz w:val="24"/>
          <w:szCs w:val="24"/>
        </w:rPr>
      </w:pPr>
      <w:r>
        <w:rPr>
          <w:rFonts w:asciiTheme="minorHAnsi" w:hAnsiTheme="minorHAnsi"/>
          <w:b/>
          <w:bCs/>
          <w:sz w:val="24"/>
          <w:szCs w:val="24"/>
        </w:rPr>
        <w:t>Page 3, line 18</w:t>
      </w:r>
    </w:p>
    <w:p w14:paraId="76DDB546" w14:textId="3280374A" w:rsidR="008A5EDE" w:rsidRDefault="008A5EDE" w:rsidP="006A4B2C">
      <w:pPr>
        <w:spacing w:after="0"/>
        <w:rPr>
          <w:rFonts w:asciiTheme="minorHAnsi" w:hAnsiTheme="minorHAnsi"/>
          <w:b/>
          <w:bCs/>
          <w:sz w:val="24"/>
          <w:szCs w:val="24"/>
        </w:rPr>
      </w:pPr>
    </w:p>
    <w:p w14:paraId="72D408BE" w14:textId="1B9B6722" w:rsidR="00DF0C23" w:rsidRDefault="00C65A84" w:rsidP="006A4B2C">
      <w:pPr>
        <w:spacing w:after="0"/>
        <w:rPr>
          <w:rFonts w:asciiTheme="minorHAnsi" w:hAnsiTheme="minorHAnsi"/>
          <w:sz w:val="24"/>
          <w:szCs w:val="24"/>
        </w:rPr>
      </w:pPr>
      <w:r>
        <w:rPr>
          <w:rFonts w:asciiTheme="minorHAnsi" w:hAnsiTheme="minorHAnsi"/>
          <w:sz w:val="24"/>
          <w:szCs w:val="24"/>
        </w:rPr>
        <w:t>This clause</w:t>
      </w:r>
      <w:r w:rsidR="00DF0C23">
        <w:rPr>
          <w:rFonts w:asciiTheme="minorHAnsi" w:hAnsiTheme="minorHAnsi"/>
          <w:sz w:val="24"/>
          <w:szCs w:val="24"/>
        </w:rPr>
        <w:t xml:space="preserve"> inserts new section 29 (5)</w:t>
      </w:r>
      <w:r w:rsidR="007B1DF2">
        <w:rPr>
          <w:rFonts w:asciiTheme="minorHAnsi" w:hAnsiTheme="minorHAnsi"/>
          <w:sz w:val="24"/>
          <w:szCs w:val="24"/>
        </w:rPr>
        <w:t xml:space="preserve"> Class B licence and authorisation certificate – decision on application. </w:t>
      </w:r>
      <w:r w:rsidR="00DF0C23">
        <w:rPr>
          <w:rFonts w:asciiTheme="minorHAnsi" w:hAnsiTheme="minorHAnsi"/>
          <w:sz w:val="24"/>
          <w:szCs w:val="24"/>
        </w:rPr>
        <w:t xml:space="preserve"> </w:t>
      </w:r>
    </w:p>
    <w:p w14:paraId="7FA66992" w14:textId="77777777" w:rsidR="00DF0C23" w:rsidRDefault="00DF0C23" w:rsidP="006A4B2C">
      <w:pPr>
        <w:spacing w:after="0"/>
        <w:rPr>
          <w:rFonts w:asciiTheme="minorHAnsi" w:hAnsiTheme="minorHAnsi"/>
          <w:sz w:val="24"/>
          <w:szCs w:val="24"/>
        </w:rPr>
      </w:pPr>
    </w:p>
    <w:p w14:paraId="43B72F6B" w14:textId="759835E1" w:rsidR="007B1DF2" w:rsidRDefault="00DF0C23" w:rsidP="006A4B2C">
      <w:pPr>
        <w:spacing w:after="0"/>
        <w:rPr>
          <w:rFonts w:asciiTheme="minorHAnsi" w:hAnsiTheme="minorHAnsi"/>
          <w:sz w:val="24"/>
          <w:szCs w:val="24"/>
        </w:rPr>
      </w:pPr>
      <w:r>
        <w:rPr>
          <w:rFonts w:asciiTheme="minorHAnsi" w:hAnsiTheme="minorHAnsi"/>
          <w:sz w:val="24"/>
          <w:szCs w:val="24"/>
        </w:rPr>
        <w:t xml:space="preserve">This new </w:t>
      </w:r>
      <w:r w:rsidR="00C65A84">
        <w:rPr>
          <w:rFonts w:asciiTheme="minorHAnsi" w:hAnsiTheme="minorHAnsi"/>
          <w:sz w:val="24"/>
          <w:szCs w:val="24"/>
        </w:rPr>
        <w:t>section provides that</w:t>
      </w:r>
      <w:r>
        <w:rPr>
          <w:rFonts w:asciiTheme="minorHAnsi" w:hAnsiTheme="minorHAnsi"/>
          <w:sz w:val="24"/>
          <w:szCs w:val="24"/>
        </w:rPr>
        <w:t xml:space="preserve"> the </w:t>
      </w:r>
      <w:r w:rsidR="007B1DF2">
        <w:rPr>
          <w:rFonts w:asciiTheme="minorHAnsi" w:hAnsiTheme="minorHAnsi"/>
          <w:sz w:val="24"/>
          <w:szCs w:val="24"/>
        </w:rPr>
        <w:t xml:space="preserve">commission must not issue an authorisation </w:t>
      </w:r>
      <w:r w:rsidR="007B1DF2" w:rsidRPr="007B1DF2">
        <w:rPr>
          <w:rFonts w:asciiTheme="minorHAnsi" w:hAnsiTheme="minorHAnsi"/>
          <w:sz w:val="24"/>
          <w:szCs w:val="24"/>
        </w:rPr>
        <w:t>certificate to the applicant</w:t>
      </w:r>
      <w:r w:rsidR="00C65A84">
        <w:rPr>
          <w:rFonts w:asciiTheme="minorHAnsi" w:hAnsiTheme="minorHAnsi"/>
          <w:sz w:val="24"/>
          <w:szCs w:val="24"/>
        </w:rPr>
        <w:t xml:space="preserve">, under section 28 of the </w:t>
      </w:r>
      <w:r w:rsidR="00C65A84">
        <w:rPr>
          <w:rFonts w:asciiTheme="minorHAnsi" w:hAnsiTheme="minorHAnsi"/>
          <w:i/>
          <w:iCs/>
          <w:sz w:val="24"/>
          <w:szCs w:val="24"/>
        </w:rPr>
        <w:t>Gaming Machine Act 2004</w:t>
      </w:r>
      <w:r w:rsidR="00C65A84">
        <w:rPr>
          <w:rFonts w:asciiTheme="minorHAnsi" w:hAnsiTheme="minorHAnsi"/>
          <w:sz w:val="24"/>
          <w:szCs w:val="24"/>
        </w:rPr>
        <w:t>,</w:t>
      </w:r>
      <w:r w:rsidR="007B1DF2" w:rsidRPr="007B1DF2">
        <w:rPr>
          <w:rFonts w:asciiTheme="minorHAnsi" w:hAnsiTheme="minorHAnsi"/>
          <w:sz w:val="24"/>
          <w:szCs w:val="24"/>
        </w:rPr>
        <w:t xml:space="preserve"> if the premises for which the authorisation certificate is sought are located in— </w:t>
      </w:r>
    </w:p>
    <w:p w14:paraId="352116AA" w14:textId="77777777" w:rsidR="007B1DF2" w:rsidRDefault="007B1DF2" w:rsidP="007B1DF2">
      <w:pPr>
        <w:spacing w:after="0"/>
        <w:ind w:firstLine="720"/>
        <w:rPr>
          <w:rFonts w:asciiTheme="minorHAnsi" w:hAnsiTheme="minorHAnsi"/>
          <w:sz w:val="24"/>
          <w:szCs w:val="24"/>
        </w:rPr>
      </w:pPr>
      <w:r w:rsidRPr="007B1DF2">
        <w:rPr>
          <w:rFonts w:asciiTheme="minorHAnsi" w:hAnsiTheme="minorHAnsi"/>
          <w:sz w:val="24"/>
          <w:szCs w:val="24"/>
        </w:rPr>
        <w:t xml:space="preserve">(a) Molonglo Valley; or </w:t>
      </w:r>
    </w:p>
    <w:p w14:paraId="5D0928E7" w14:textId="65A2E466" w:rsidR="007B1DF2" w:rsidRDefault="007B1DF2" w:rsidP="007B1DF2">
      <w:pPr>
        <w:spacing w:after="0"/>
        <w:ind w:firstLine="720"/>
        <w:rPr>
          <w:rFonts w:asciiTheme="minorHAnsi" w:hAnsiTheme="minorHAnsi"/>
          <w:sz w:val="24"/>
          <w:szCs w:val="24"/>
        </w:rPr>
      </w:pPr>
      <w:r w:rsidRPr="007B1DF2">
        <w:rPr>
          <w:rFonts w:asciiTheme="minorHAnsi" w:hAnsiTheme="minorHAnsi"/>
          <w:sz w:val="24"/>
          <w:szCs w:val="24"/>
        </w:rPr>
        <w:t>(b) an undeveloped area</w:t>
      </w:r>
    </w:p>
    <w:p w14:paraId="49798C50" w14:textId="5708BB4B" w:rsidR="008A5EDE" w:rsidRDefault="008A5EDE" w:rsidP="006A4B2C">
      <w:pPr>
        <w:spacing w:after="0"/>
        <w:rPr>
          <w:rFonts w:asciiTheme="minorHAnsi" w:hAnsiTheme="minorHAnsi"/>
          <w:sz w:val="24"/>
          <w:szCs w:val="24"/>
        </w:rPr>
      </w:pPr>
    </w:p>
    <w:p w14:paraId="05060B1C" w14:textId="0EE548D3" w:rsidR="008A5EDE" w:rsidRPr="008A5EDE" w:rsidRDefault="008A5EDE" w:rsidP="006A4B2C">
      <w:pPr>
        <w:spacing w:after="0"/>
        <w:rPr>
          <w:rFonts w:asciiTheme="minorHAnsi" w:hAnsiTheme="minorHAnsi"/>
          <w:b/>
          <w:bCs/>
          <w:sz w:val="24"/>
          <w:szCs w:val="24"/>
        </w:rPr>
      </w:pPr>
      <w:r w:rsidRPr="008A5EDE">
        <w:rPr>
          <w:rFonts w:asciiTheme="minorHAnsi" w:hAnsiTheme="minorHAnsi"/>
          <w:b/>
          <w:bCs/>
          <w:sz w:val="24"/>
          <w:szCs w:val="24"/>
        </w:rPr>
        <w:t>2</w:t>
      </w:r>
    </w:p>
    <w:p w14:paraId="0D27879E" w14:textId="51D8CC0C" w:rsidR="008A5EDE" w:rsidRPr="008A5EDE" w:rsidRDefault="008A5EDE" w:rsidP="006A4B2C">
      <w:pPr>
        <w:spacing w:after="0"/>
        <w:rPr>
          <w:rFonts w:asciiTheme="minorHAnsi" w:hAnsiTheme="minorHAnsi"/>
          <w:b/>
          <w:bCs/>
          <w:sz w:val="24"/>
          <w:szCs w:val="24"/>
        </w:rPr>
      </w:pPr>
      <w:r w:rsidRPr="008A5EDE">
        <w:rPr>
          <w:rFonts w:asciiTheme="minorHAnsi" w:hAnsiTheme="minorHAnsi"/>
          <w:b/>
          <w:bCs/>
          <w:sz w:val="24"/>
          <w:szCs w:val="24"/>
        </w:rPr>
        <w:t xml:space="preserve">Clause </w:t>
      </w:r>
      <w:r w:rsidR="007B1DF2">
        <w:rPr>
          <w:rFonts w:asciiTheme="minorHAnsi" w:hAnsiTheme="minorHAnsi"/>
          <w:b/>
          <w:bCs/>
          <w:sz w:val="24"/>
          <w:szCs w:val="24"/>
        </w:rPr>
        <w:t>21</w:t>
      </w:r>
      <w:r w:rsidRPr="008A5EDE">
        <w:rPr>
          <w:rFonts w:asciiTheme="minorHAnsi" w:hAnsiTheme="minorHAnsi"/>
          <w:b/>
          <w:bCs/>
          <w:sz w:val="24"/>
          <w:szCs w:val="24"/>
        </w:rPr>
        <w:t xml:space="preserve"> </w:t>
      </w:r>
    </w:p>
    <w:p w14:paraId="346ECA89" w14:textId="217E146C" w:rsidR="008A5EDE" w:rsidRPr="008A5EDE" w:rsidRDefault="008A5EDE" w:rsidP="006A4B2C">
      <w:pPr>
        <w:spacing w:after="0"/>
        <w:rPr>
          <w:rFonts w:asciiTheme="minorHAnsi" w:hAnsiTheme="minorHAnsi"/>
          <w:b/>
          <w:bCs/>
          <w:sz w:val="24"/>
          <w:szCs w:val="24"/>
        </w:rPr>
      </w:pPr>
      <w:r w:rsidRPr="008A5EDE">
        <w:rPr>
          <w:rFonts w:asciiTheme="minorHAnsi" w:hAnsiTheme="minorHAnsi"/>
          <w:b/>
          <w:bCs/>
          <w:sz w:val="24"/>
          <w:szCs w:val="24"/>
        </w:rPr>
        <w:t xml:space="preserve">Page </w:t>
      </w:r>
      <w:r w:rsidR="007B1DF2">
        <w:rPr>
          <w:rFonts w:asciiTheme="minorHAnsi" w:hAnsiTheme="minorHAnsi"/>
          <w:b/>
          <w:bCs/>
          <w:sz w:val="24"/>
          <w:szCs w:val="24"/>
        </w:rPr>
        <w:t>5</w:t>
      </w:r>
      <w:r w:rsidRPr="008A5EDE">
        <w:rPr>
          <w:rFonts w:asciiTheme="minorHAnsi" w:hAnsiTheme="minorHAnsi"/>
          <w:b/>
          <w:bCs/>
          <w:sz w:val="24"/>
          <w:szCs w:val="24"/>
        </w:rPr>
        <w:t xml:space="preserve">, line </w:t>
      </w:r>
      <w:r w:rsidR="007B1DF2">
        <w:rPr>
          <w:rFonts w:asciiTheme="minorHAnsi" w:hAnsiTheme="minorHAnsi"/>
          <w:b/>
          <w:bCs/>
          <w:sz w:val="24"/>
          <w:szCs w:val="24"/>
        </w:rPr>
        <w:t>23</w:t>
      </w:r>
    </w:p>
    <w:p w14:paraId="29AB1A7A" w14:textId="5FA8F40C" w:rsidR="008A5EDE" w:rsidRDefault="008A5EDE" w:rsidP="006A4B2C">
      <w:pPr>
        <w:spacing w:after="0"/>
        <w:rPr>
          <w:rFonts w:asciiTheme="minorHAnsi" w:hAnsiTheme="minorHAnsi"/>
          <w:sz w:val="24"/>
          <w:szCs w:val="24"/>
        </w:rPr>
      </w:pPr>
    </w:p>
    <w:p w14:paraId="0DB9E5D9" w14:textId="49E385B4" w:rsidR="007B1DF2" w:rsidRDefault="00C65A84" w:rsidP="008A5EDE">
      <w:pPr>
        <w:spacing w:after="0"/>
        <w:rPr>
          <w:rFonts w:asciiTheme="minorHAnsi" w:hAnsiTheme="minorHAnsi"/>
          <w:sz w:val="24"/>
          <w:szCs w:val="24"/>
        </w:rPr>
      </w:pPr>
      <w:r>
        <w:rPr>
          <w:rFonts w:asciiTheme="minorHAnsi" w:hAnsiTheme="minorHAnsi"/>
          <w:sz w:val="24"/>
          <w:szCs w:val="24"/>
        </w:rPr>
        <w:t>This amendment corrects the reference</w:t>
      </w:r>
      <w:r w:rsidR="007B1DF2">
        <w:rPr>
          <w:rFonts w:asciiTheme="minorHAnsi" w:hAnsiTheme="minorHAnsi"/>
          <w:sz w:val="24"/>
          <w:szCs w:val="24"/>
        </w:rPr>
        <w:t xml:space="preserve"> to</w:t>
      </w:r>
      <w:r w:rsidR="007B1DF2" w:rsidRPr="007B1DF2">
        <w:rPr>
          <w:rFonts w:asciiTheme="minorHAnsi" w:hAnsiTheme="minorHAnsi"/>
          <w:sz w:val="24"/>
          <w:szCs w:val="24"/>
        </w:rPr>
        <w:t xml:space="preserve"> the </w:t>
      </w:r>
      <w:r w:rsidR="007B1DF2">
        <w:rPr>
          <w:rFonts w:asciiTheme="minorHAnsi" w:hAnsiTheme="minorHAnsi"/>
          <w:sz w:val="24"/>
          <w:szCs w:val="24"/>
        </w:rPr>
        <w:t xml:space="preserve">repealed </w:t>
      </w:r>
      <w:r w:rsidR="007B1DF2" w:rsidRPr="007B1DF2">
        <w:rPr>
          <w:rFonts w:asciiTheme="minorHAnsi" w:hAnsiTheme="minorHAnsi"/>
          <w:i/>
          <w:iCs/>
          <w:sz w:val="24"/>
          <w:szCs w:val="24"/>
        </w:rPr>
        <w:t xml:space="preserve">Planning and Development Act </w:t>
      </w:r>
      <w:r w:rsidR="007B1DF2" w:rsidRPr="007B1DF2">
        <w:rPr>
          <w:rFonts w:asciiTheme="minorHAnsi" w:hAnsiTheme="minorHAnsi"/>
          <w:sz w:val="24"/>
          <w:szCs w:val="24"/>
        </w:rPr>
        <w:t>2007, section 234</w:t>
      </w:r>
      <w:r>
        <w:rPr>
          <w:rFonts w:asciiTheme="minorHAnsi" w:hAnsiTheme="minorHAnsi"/>
          <w:sz w:val="24"/>
          <w:szCs w:val="24"/>
        </w:rPr>
        <w:t>,</w:t>
      </w:r>
      <w:r w:rsidR="007B1DF2" w:rsidRPr="007B1DF2">
        <w:rPr>
          <w:rFonts w:asciiTheme="minorHAnsi" w:hAnsiTheme="minorHAnsi"/>
          <w:sz w:val="24"/>
          <w:szCs w:val="24"/>
        </w:rPr>
        <w:t xml:space="preserve"> and substitute</w:t>
      </w:r>
      <w:r>
        <w:rPr>
          <w:rFonts w:asciiTheme="minorHAnsi" w:hAnsiTheme="minorHAnsi"/>
          <w:sz w:val="24"/>
          <w:szCs w:val="24"/>
        </w:rPr>
        <w:t>s</w:t>
      </w:r>
      <w:r w:rsidR="007B1DF2" w:rsidRPr="007B1DF2">
        <w:rPr>
          <w:rFonts w:asciiTheme="minorHAnsi" w:hAnsiTheme="minorHAnsi"/>
          <w:sz w:val="24"/>
          <w:szCs w:val="24"/>
        </w:rPr>
        <w:t xml:space="preserve"> it with</w:t>
      </w:r>
      <w:r>
        <w:rPr>
          <w:rFonts w:asciiTheme="minorHAnsi" w:hAnsiTheme="minorHAnsi"/>
          <w:sz w:val="24"/>
          <w:szCs w:val="24"/>
        </w:rPr>
        <w:t xml:space="preserve"> the</w:t>
      </w:r>
      <w:r w:rsidR="007B1DF2" w:rsidRPr="007B1DF2">
        <w:rPr>
          <w:rFonts w:asciiTheme="minorHAnsi" w:hAnsiTheme="minorHAnsi"/>
          <w:i/>
          <w:iCs/>
          <w:sz w:val="24"/>
          <w:szCs w:val="24"/>
        </w:rPr>
        <w:t xml:space="preserve"> Planning Act 2023, </w:t>
      </w:r>
      <w:r w:rsidR="007B1DF2" w:rsidRPr="00C65A84">
        <w:rPr>
          <w:rFonts w:asciiTheme="minorHAnsi" w:hAnsiTheme="minorHAnsi"/>
          <w:sz w:val="24"/>
          <w:szCs w:val="24"/>
        </w:rPr>
        <w:t>section 256</w:t>
      </w:r>
      <w:r w:rsidR="007B1DF2" w:rsidRPr="007B1DF2">
        <w:rPr>
          <w:rFonts w:asciiTheme="minorHAnsi" w:hAnsiTheme="minorHAnsi"/>
          <w:i/>
          <w:iCs/>
          <w:sz w:val="24"/>
          <w:szCs w:val="24"/>
        </w:rPr>
        <w:t>.</w:t>
      </w:r>
    </w:p>
    <w:p w14:paraId="3D80650F" w14:textId="67827FCE" w:rsidR="00D053B3" w:rsidRPr="00D053B3" w:rsidRDefault="00D053B3" w:rsidP="007B1DF2">
      <w:pPr>
        <w:spacing w:after="0"/>
        <w:rPr>
          <w:rFonts w:asciiTheme="minorHAnsi" w:hAnsiTheme="minorHAnsi"/>
          <w:sz w:val="24"/>
          <w:szCs w:val="24"/>
        </w:rPr>
      </w:pPr>
      <w:r w:rsidRPr="00D053B3">
        <w:rPr>
          <w:rFonts w:asciiTheme="minorHAnsi" w:hAnsiTheme="minorHAnsi"/>
          <w:sz w:val="24"/>
          <w:szCs w:val="24"/>
        </w:rPr>
        <w:t xml:space="preserve"> </w:t>
      </w:r>
    </w:p>
    <w:p w14:paraId="65D34859" w14:textId="77777777" w:rsidR="008A5EDE" w:rsidRPr="006A4B2C" w:rsidRDefault="008A5EDE" w:rsidP="006A4B2C">
      <w:pPr>
        <w:spacing w:after="0"/>
        <w:rPr>
          <w:rFonts w:asciiTheme="minorHAnsi" w:hAnsiTheme="minorHAnsi"/>
          <w:b/>
          <w:bCs/>
          <w:sz w:val="24"/>
          <w:szCs w:val="24"/>
        </w:rPr>
      </w:pPr>
    </w:p>
    <w:sectPr w:rsidR="008A5EDE" w:rsidRPr="006A4B2C" w:rsidSect="004E192C">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C7F0" w14:textId="77777777" w:rsidR="00254AC4" w:rsidRDefault="00254AC4" w:rsidP="00753B39">
      <w:pPr>
        <w:spacing w:after="0" w:line="240" w:lineRule="auto"/>
      </w:pPr>
      <w:r>
        <w:separator/>
      </w:r>
    </w:p>
  </w:endnote>
  <w:endnote w:type="continuationSeparator" w:id="0">
    <w:p w14:paraId="289E1599" w14:textId="77777777" w:rsidR="00254AC4" w:rsidRDefault="00254AC4" w:rsidP="0075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821D" w14:textId="7B8FB5F1" w:rsidR="00835E8A" w:rsidRDefault="00835E8A">
    <w:pPr>
      <w:pStyle w:val="Footer"/>
      <w:jc w:val="right"/>
    </w:pPr>
  </w:p>
  <w:p w14:paraId="782CA8EA" w14:textId="529B2D76" w:rsidR="00753B39" w:rsidRPr="00731596" w:rsidRDefault="00E435BD">
    <w:pPr>
      <w:pStyle w:val="Footer"/>
      <w:jc w:val="center"/>
      <w:rPr>
        <w:rFonts w:ascii="Arial" w:hAnsi="Arial" w:cs="Arial"/>
        <w:sz w:val="14"/>
      </w:rPr>
    </w:pPr>
    <w:r w:rsidRPr="00731596">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9549" w14:textId="633A3626" w:rsidR="00835E8A" w:rsidRDefault="00835E8A">
    <w:pPr>
      <w:pStyle w:val="Footer"/>
      <w:jc w:val="right"/>
    </w:pPr>
  </w:p>
  <w:p w14:paraId="3AD306DC" w14:textId="2F39733D" w:rsidR="00835E8A" w:rsidRPr="00731596" w:rsidRDefault="00E435BD">
    <w:pPr>
      <w:pStyle w:val="Footer"/>
      <w:jc w:val="center"/>
      <w:rPr>
        <w:rFonts w:ascii="Arial" w:hAnsi="Arial" w:cs="Arial"/>
        <w:sz w:val="14"/>
      </w:rPr>
    </w:pPr>
    <w:r w:rsidRPr="0073159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065981"/>
      <w:docPartObj>
        <w:docPartGallery w:val="Page Numbers (Bottom of Page)"/>
        <w:docPartUnique/>
      </w:docPartObj>
    </w:sdtPr>
    <w:sdtEndPr>
      <w:rPr>
        <w:noProof/>
      </w:rPr>
    </w:sdtEndPr>
    <w:sdtContent>
      <w:p w14:paraId="1445E6B6" w14:textId="0152A33B" w:rsidR="00835E8A" w:rsidRDefault="00835E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E0C72D" w14:textId="4A06BEB4" w:rsidR="00835E8A" w:rsidRPr="00731596" w:rsidRDefault="00E435BD">
    <w:pPr>
      <w:pStyle w:val="Footer"/>
      <w:jc w:val="center"/>
      <w:rPr>
        <w:rFonts w:ascii="Arial" w:hAnsi="Arial" w:cs="Arial"/>
        <w:sz w:val="14"/>
      </w:rPr>
    </w:pPr>
    <w:r w:rsidRPr="0073159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A28F" w14:textId="77777777" w:rsidR="00254AC4" w:rsidRDefault="00254AC4" w:rsidP="00753B39">
      <w:pPr>
        <w:spacing w:after="0" w:line="240" w:lineRule="auto"/>
      </w:pPr>
      <w:r>
        <w:separator/>
      </w:r>
    </w:p>
  </w:footnote>
  <w:footnote w:type="continuationSeparator" w:id="0">
    <w:p w14:paraId="5A0CB081" w14:textId="77777777" w:rsidR="00254AC4" w:rsidRDefault="00254AC4" w:rsidP="00753B39">
      <w:pPr>
        <w:spacing w:after="0" w:line="240" w:lineRule="auto"/>
      </w:pPr>
      <w:r>
        <w:continuationSeparator/>
      </w:r>
    </w:p>
  </w:footnote>
  <w:footnote w:id="1">
    <w:p w14:paraId="47169320" w14:textId="77777777" w:rsidR="006511A8" w:rsidRDefault="006511A8" w:rsidP="006511A8">
      <w:pPr>
        <w:pStyle w:val="FootnoteText"/>
      </w:pPr>
      <w:r>
        <w:rPr>
          <w:rStyle w:val="FootnoteReference"/>
        </w:rPr>
        <w:footnoteRef/>
      </w:r>
      <w:r>
        <w:t xml:space="preserve"> Paterson, M., Leslie, P. &amp; Taylor M (2019) 2019 ACT Gambling Survey, ANU Centre for Gambling Research. </w:t>
      </w:r>
    </w:p>
  </w:footnote>
  <w:footnote w:id="2">
    <w:p w14:paraId="597CAD77" w14:textId="4058BAEB" w:rsidR="007F742A" w:rsidRDefault="007F742A">
      <w:pPr>
        <w:pStyle w:val="FootnoteText"/>
      </w:pPr>
      <w:r>
        <w:rPr>
          <w:rStyle w:val="FootnoteReference"/>
        </w:rPr>
        <w:footnoteRef/>
      </w:r>
      <w:r>
        <w:t xml:space="preserve"> </w:t>
      </w:r>
      <w:r w:rsidRPr="007F742A">
        <w:t>Markham, F &amp; Doran, B (2012) Too close to home? The relationships between residential distance to venue and gambling outcomes, International Gambling Studies, 12:2, 257-273.</w:t>
      </w:r>
    </w:p>
  </w:footnote>
  <w:footnote w:id="3">
    <w:p w14:paraId="1B32ACEF" w14:textId="0E45D460" w:rsidR="007F742A" w:rsidRDefault="007F742A">
      <w:pPr>
        <w:pStyle w:val="FootnoteText"/>
      </w:pPr>
      <w:r>
        <w:rPr>
          <w:rStyle w:val="FootnoteReference"/>
        </w:rPr>
        <w:footnoteRef/>
      </w:r>
      <w:r>
        <w:t xml:space="preserve"> </w:t>
      </w:r>
      <w:r w:rsidRPr="007F742A">
        <w:t>Marshall, D., McMillan, J., Niemeyer, S. &amp; Doran, B (2004) Gaming Machine Accessibility and use in Suburban Canberra: A Detailed Analysis of the Tuggeranong Valley, ANU Centre for Gambling Research.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A1B4E"/>
    <w:multiLevelType w:val="hybridMultilevel"/>
    <w:tmpl w:val="83CA3C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94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15"/>
    <w:rsid w:val="001A0801"/>
    <w:rsid w:val="001D2065"/>
    <w:rsid w:val="00200E92"/>
    <w:rsid w:val="00210F02"/>
    <w:rsid w:val="002549E3"/>
    <w:rsid w:val="00254AC4"/>
    <w:rsid w:val="002773B8"/>
    <w:rsid w:val="00291315"/>
    <w:rsid w:val="00323993"/>
    <w:rsid w:val="00333D44"/>
    <w:rsid w:val="003551B1"/>
    <w:rsid w:val="003D4F19"/>
    <w:rsid w:val="00412B8C"/>
    <w:rsid w:val="0042651B"/>
    <w:rsid w:val="004C6BF0"/>
    <w:rsid w:val="004E192C"/>
    <w:rsid w:val="00536543"/>
    <w:rsid w:val="0056121C"/>
    <w:rsid w:val="00577AAA"/>
    <w:rsid w:val="005A298A"/>
    <w:rsid w:val="005A48E5"/>
    <w:rsid w:val="005B2626"/>
    <w:rsid w:val="005D05FB"/>
    <w:rsid w:val="006511A8"/>
    <w:rsid w:val="006562E5"/>
    <w:rsid w:val="0066645C"/>
    <w:rsid w:val="00671D0E"/>
    <w:rsid w:val="00692A8C"/>
    <w:rsid w:val="006A1D3F"/>
    <w:rsid w:val="006A4B2C"/>
    <w:rsid w:val="006A7EDF"/>
    <w:rsid w:val="006F5F4C"/>
    <w:rsid w:val="00706CBE"/>
    <w:rsid w:val="00731596"/>
    <w:rsid w:val="00753B39"/>
    <w:rsid w:val="0078305A"/>
    <w:rsid w:val="007A1746"/>
    <w:rsid w:val="007B1DF2"/>
    <w:rsid w:val="007C3C0C"/>
    <w:rsid w:val="007E1CCA"/>
    <w:rsid w:val="007E4C0F"/>
    <w:rsid w:val="007F742A"/>
    <w:rsid w:val="00821B42"/>
    <w:rsid w:val="00835E8A"/>
    <w:rsid w:val="008367BF"/>
    <w:rsid w:val="008A5EDE"/>
    <w:rsid w:val="008C3BC4"/>
    <w:rsid w:val="00965D46"/>
    <w:rsid w:val="009E1B65"/>
    <w:rsid w:val="00A63C5A"/>
    <w:rsid w:val="00AD6ED8"/>
    <w:rsid w:val="00AE5067"/>
    <w:rsid w:val="00B8554F"/>
    <w:rsid w:val="00BF00B9"/>
    <w:rsid w:val="00C055B6"/>
    <w:rsid w:val="00C0754C"/>
    <w:rsid w:val="00C65A84"/>
    <w:rsid w:val="00CD4136"/>
    <w:rsid w:val="00D04725"/>
    <w:rsid w:val="00D053B3"/>
    <w:rsid w:val="00D133B0"/>
    <w:rsid w:val="00D67499"/>
    <w:rsid w:val="00DD77EC"/>
    <w:rsid w:val="00DF0C23"/>
    <w:rsid w:val="00E03AA9"/>
    <w:rsid w:val="00E435BD"/>
    <w:rsid w:val="00E703A8"/>
    <w:rsid w:val="00EB027A"/>
    <w:rsid w:val="00EB2373"/>
    <w:rsid w:val="00EB71A4"/>
    <w:rsid w:val="00F06820"/>
    <w:rsid w:val="00F57401"/>
    <w:rsid w:val="00F7120D"/>
    <w:rsid w:val="00F9263C"/>
    <w:rsid w:val="00F96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6A890"/>
  <w15:chartTrackingRefBased/>
  <w15:docId w15:val="{4099CA3A-EA9D-4D59-A3C6-737C146F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315"/>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9"/>
    <w:qFormat/>
    <w:rsid w:val="00291315"/>
    <w:pPr>
      <w:keepNext/>
      <w:spacing w:after="0" w:line="240" w:lineRule="auto"/>
      <w:jc w:val="right"/>
      <w:outlineLvl w:val="0"/>
    </w:pPr>
    <w:rPr>
      <w:rFonts w:ascii="Arial" w:hAnsi="Arial" w:cs="Arial"/>
      <w:b/>
      <w:bCs/>
      <w:sz w:val="24"/>
      <w:szCs w:val="20"/>
      <w:u w:val="single"/>
      <w:lang w:val="en-GB"/>
    </w:rPr>
  </w:style>
  <w:style w:type="paragraph" w:styleId="Heading2">
    <w:name w:val="heading 2"/>
    <w:basedOn w:val="Normal"/>
    <w:next w:val="Normal"/>
    <w:link w:val="Heading2Char"/>
    <w:uiPriority w:val="99"/>
    <w:qFormat/>
    <w:rsid w:val="00291315"/>
    <w:pPr>
      <w:keepNext/>
      <w:overflowPunct w:val="0"/>
      <w:autoSpaceDE w:val="0"/>
      <w:autoSpaceDN w:val="0"/>
      <w:adjustRightInd w:val="0"/>
      <w:spacing w:after="0" w:line="240" w:lineRule="auto"/>
      <w:textAlignment w:val="baseline"/>
      <w:outlineLvl w:val="1"/>
    </w:pPr>
    <w:rPr>
      <w:rFonts w:ascii="Times New Roman" w:hAnsi="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91315"/>
    <w:rPr>
      <w:rFonts w:ascii="Arial" w:eastAsia="Times New Roman" w:hAnsi="Arial" w:cs="Arial"/>
      <w:b/>
      <w:bCs/>
      <w:sz w:val="24"/>
      <w:szCs w:val="20"/>
      <w:u w:val="single"/>
      <w:lang w:val="en-GB"/>
    </w:rPr>
  </w:style>
  <w:style w:type="character" w:customStyle="1" w:styleId="Heading2Char">
    <w:name w:val="Heading 2 Char"/>
    <w:basedOn w:val="DefaultParagraphFont"/>
    <w:link w:val="Heading2"/>
    <w:uiPriority w:val="99"/>
    <w:rsid w:val="00291315"/>
    <w:rPr>
      <w:rFonts w:ascii="Times New Roman" w:eastAsia="Times New Roman" w:hAnsi="Times New Roman" w:cs="Times New Roman"/>
      <w:b/>
      <w:sz w:val="24"/>
      <w:szCs w:val="20"/>
      <w:lang w:val="en-US"/>
    </w:rPr>
  </w:style>
  <w:style w:type="paragraph" w:styleId="BodyText">
    <w:name w:val="Body Text"/>
    <w:basedOn w:val="Normal"/>
    <w:link w:val="BodyTextChar"/>
    <w:uiPriority w:val="99"/>
    <w:rsid w:val="00291315"/>
    <w:pPr>
      <w:overflowPunct w:val="0"/>
      <w:autoSpaceDE w:val="0"/>
      <w:autoSpaceDN w:val="0"/>
      <w:adjustRightInd w:val="0"/>
      <w:spacing w:after="0" w:line="240" w:lineRule="auto"/>
      <w:textAlignment w:val="baseline"/>
    </w:pPr>
    <w:rPr>
      <w:rFonts w:ascii="Times New Roman" w:hAnsi="Times New Roman"/>
      <w:sz w:val="20"/>
      <w:szCs w:val="20"/>
      <w:lang w:val="en-US"/>
    </w:rPr>
  </w:style>
  <w:style w:type="character" w:customStyle="1" w:styleId="BodyTextChar">
    <w:name w:val="Body Text Char"/>
    <w:basedOn w:val="DefaultParagraphFont"/>
    <w:link w:val="BodyText"/>
    <w:uiPriority w:val="99"/>
    <w:rsid w:val="00291315"/>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6A4B2C"/>
    <w:pPr>
      <w:ind w:left="720"/>
      <w:contextualSpacing/>
    </w:pPr>
  </w:style>
  <w:style w:type="paragraph" w:styleId="Header">
    <w:name w:val="header"/>
    <w:basedOn w:val="Normal"/>
    <w:link w:val="HeaderChar"/>
    <w:uiPriority w:val="99"/>
    <w:unhideWhenUsed/>
    <w:rsid w:val="00753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B39"/>
    <w:rPr>
      <w:rFonts w:ascii="Calibri" w:eastAsia="Times New Roman" w:hAnsi="Calibri" w:cs="Times New Roman"/>
    </w:rPr>
  </w:style>
  <w:style w:type="paragraph" w:styleId="Footer">
    <w:name w:val="footer"/>
    <w:basedOn w:val="Normal"/>
    <w:link w:val="FooterChar"/>
    <w:uiPriority w:val="99"/>
    <w:unhideWhenUsed/>
    <w:rsid w:val="00753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B39"/>
    <w:rPr>
      <w:rFonts w:ascii="Calibri" w:eastAsia="Times New Roman" w:hAnsi="Calibri" w:cs="Times New Roman"/>
    </w:rPr>
  </w:style>
  <w:style w:type="paragraph" w:styleId="FootnoteText">
    <w:name w:val="footnote text"/>
    <w:basedOn w:val="Normal"/>
    <w:link w:val="FootnoteTextChar"/>
    <w:uiPriority w:val="99"/>
    <w:semiHidden/>
    <w:unhideWhenUsed/>
    <w:rsid w:val="006511A8"/>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6511A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511A8"/>
    <w:rPr>
      <w:vertAlign w:val="superscript"/>
    </w:rPr>
  </w:style>
  <w:style w:type="paragraph" w:styleId="Revision">
    <w:name w:val="Revision"/>
    <w:hidden/>
    <w:uiPriority w:val="99"/>
    <w:semiHidden/>
    <w:rsid w:val="00671D0E"/>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78305A"/>
    <w:rPr>
      <w:sz w:val="16"/>
      <w:szCs w:val="16"/>
    </w:rPr>
  </w:style>
  <w:style w:type="paragraph" w:styleId="CommentText">
    <w:name w:val="annotation text"/>
    <w:basedOn w:val="Normal"/>
    <w:link w:val="CommentTextChar"/>
    <w:uiPriority w:val="99"/>
    <w:unhideWhenUsed/>
    <w:rsid w:val="0078305A"/>
    <w:pPr>
      <w:spacing w:line="240" w:lineRule="auto"/>
    </w:pPr>
    <w:rPr>
      <w:sz w:val="20"/>
      <w:szCs w:val="20"/>
    </w:rPr>
  </w:style>
  <w:style w:type="character" w:customStyle="1" w:styleId="CommentTextChar">
    <w:name w:val="Comment Text Char"/>
    <w:basedOn w:val="DefaultParagraphFont"/>
    <w:link w:val="CommentText"/>
    <w:uiPriority w:val="99"/>
    <w:rsid w:val="0078305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8305A"/>
    <w:rPr>
      <w:b/>
      <w:bCs/>
    </w:rPr>
  </w:style>
  <w:style w:type="character" w:customStyle="1" w:styleId="CommentSubjectChar">
    <w:name w:val="Comment Subject Char"/>
    <w:basedOn w:val="CommentTextChar"/>
    <w:link w:val="CommentSubject"/>
    <w:uiPriority w:val="99"/>
    <w:semiHidden/>
    <w:rsid w:val="0078305A"/>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403690">
      <w:bodyDiv w:val="1"/>
      <w:marLeft w:val="0"/>
      <w:marRight w:val="0"/>
      <w:marTop w:val="0"/>
      <w:marBottom w:val="0"/>
      <w:divBdr>
        <w:top w:val="none" w:sz="0" w:space="0" w:color="auto"/>
        <w:left w:val="none" w:sz="0" w:space="0" w:color="auto"/>
        <w:bottom w:val="none" w:sz="0" w:space="0" w:color="auto"/>
        <w:right w:val="none" w:sz="0" w:space="0" w:color="auto"/>
      </w:divBdr>
    </w:div>
    <w:div w:id="1328509799">
      <w:bodyDiv w:val="1"/>
      <w:marLeft w:val="0"/>
      <w:marRight w:val="0"/>
      <w:marTop w:val="0"/>
      <w:marBottom w:val="0"/>
      <w:divBdr>
        <w:top w:val="none" w:sz="0" w:space="0" w:color="auto"/>
        <w:left w:val="none" w:sz="0" w:space="0" w:color="auto"/>
        <w:bottom w:val="none" w:sz="0" w:space="0" w:color="auto"/>
        <w:right w:val="none" w:sz="0" w:space="0" w:color="auto"/>
      </w:divBdr>
    </w:div>
    <w:div w:id="15599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E968F-02E5-414D-B80A-9754BFBBF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733</Words>
  <Characters>3959</Characters>
  <Application>Microsoft Office Word</Application>
  <DocSecurity>0</DocSecurity>
  <Lines>131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Sparke, Megan</dc:creator>
  <cp:keywords/>
  <dc:description/>
  <cp:lastModifiedBy>Moxon, KarenL</cp:lastModifiedBy>
  <cp:revision>5</cp:revision>
  <dcterms:created xsi:type="dcterms:W3CDTF">2024-02-07T00:16:00Z</dcterms:created>
  <dcterms:modified xsi:type="dcterms:W3CDTF">2024-02-09T05:06:00Z</dcterms:modified>
</cp:coreProperties>
</file>