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6DC5E52"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6C743F">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54DBC22" w:rsidR="00741C4A" w:rsidRPr="00741C4A" w:rsidRDefault="006C743F" w:rsidP="00741C4A">
      <w:pPr>
        <w:spacing w:after="0"/>
        <w:jc w:val="center"/>
        <w:rPr>
          <w:rFonts w:ascii="Arial" w:hAnsi="Arial" w:cs="Arial"/>
          <w:b/>
          <w:bCs/>
          <w:sz w:val="24"/>
          <w:szCs w:val="24"/>
        </w:rPr>
      </w:pPr>
      <w:r>
        <w:rPr>
          <w:rFonts w:ascii="Arial" w:hAnsi="Arial" w:cs="Arial"/>
          <w:b/>
          <w:bCs/>
          <w:sz w:val="24"/>
          <w:szCs w:val="24"/>
        </w:rPr>
        <w:t>HUMAN RIGHTS (COMPLAINTS) LEGISLATION AMENDMENT BILL 2023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918D549" w:rsidR="00BB387E" w:rsidRDefault="006C743F" w:rsidP="00BB387E">
      <w:pPr>
        <w:spacing w:after="0"/>
        <w:ind w:right="686"/>
        <w:jc w:val="right"/>
        <w:rPr>
          <w:rFonts w:ascii="Arial" w:hAnsi="Arial" w:cs="Arial"/>
          <w:b/>
          <w:bCs/>
          <w:sz w:val="24"/>
          <w:szCs w:val="24"/>
        </w:rPr>
      </w:pPr>
      <w:r>
        <w:rPr>
          <w:rFonts w:ascii="Arial" w:hAnsi="Arial" w:cs="Arial"/>
          <w:b/>
          <w:bCs/>
          <w:sz w:val="24"/>
          <w:szCs w:val="24"/>
        </w:rPr>
        <w:t xml:space="preserve">Tara Cheyne </w:t>
      </w:r>
      <w:r w:rsidR="00E954A1">
        <w:rPr>
          <w:rFonts w:ascii="Arial" w:hAnsi="Arial" w:cs="Arial"/>
          <w:b/>
          <w:bCs/>
          <w:sz w:val="24"/>
          <w:szCs w:val="24"/>
        </w:rPr>
        <w:t>MLA</w:t>
      </w:r>
    </w:p>
    <w:p w14:paraId="78BB4CA0" w14:textId="3EED9C5A" w:rsidR="00BD26E3" w:rsidRPr="00BB387E" w:rsidRDefault="00BD26E3" w:rsidP="00BB387E">
      <w:pPr>
        <w:spacing w:after="0"/>
        <w:ind w:right="686"/>
        <w:jc w:val="right"/>
        <w:rPr>
          <w:rFonts w:ascii="Arial" w:hAnsi="Arial" w:cs="Arial"/>
          <w:b/>
          <w:bCs/>
          <w:sz w:val="24"/>
          <w:szCs w:val="24"/>
        </w:rPr>
      </w:pPr>
      <w:r>
        <w:rPr>
          <w:rFonts w:ascii="Arial" w:hAnsi="Arial" w:cs="Arial"/>
          <w:b/>
          <w:bCs/>
          <w:sz w:val="24"/>
          <w:szCs w:val="24"/>
        </w:rPr>
        <w:t xml:space="preserve">Minister for Human Rights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482556F" w:rsidR="00ED3B77" w:rsidRPr="00BB387E" w:rsidRDefault="006C743F" w:rsidP="008C225D">
      <w:pPr>
        <w:pStyle w:val="Heading1"/>
        <w:jc w:val="center"/>
      </w:pPr>
      <w:r>
        <w:lastRenderedPageBreak/>
        <w:t>HUMAN RIGHTS (COMPLAINTS) LEGISLATION AMENDMENT BILL 2023</w:t>
      </w:r>
    </w:p>
    <w:p w14:paraId="2612AE1F" w14:textId="77777777" w:rsidR="00834FC9" w:rsidRDefault="00834FC9" w:rsidP="007F3D56">
      <w:pPr>
        <w:spacing w:after="0"/>
        <w:contextualSpacing/>
        <w:rPr>
          <w:rFonts w:ascii="Arial" w:hAnsi="Arial" w:cs="Arial"/>
          <w:bCs/>
          <w:sz w:val="24"/>
          <w:szCs w:val="24"/>
        </w:rPr>
      </w:pPr>
    </w:p>
    <w:p w14:paraId="1C55190C" w14:textId="0F4AE1AD"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1619B9">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4F4DC375" w:rsidR="007B6A78" w:rsidRDefault="00CA6247" w:rsidP="004D0E75">
      <w:pPr>
        <w:spacing w:after="120"/>
        <w:ind w:right="-45"/>
        <w:rPr>
          <w:rFonts w:ascii="Arial" w:hAnsi="Arial" w:cs="Arial"/>
          <w:iCs/>
          <w:sz w:val="24"/>
          <w:szCs w:val="24"/>
        </w:rPr>
      </w:pPr>
      <w:r>
        <w:rPr>
          <w:rFonts w:ascii="Arial" w:hAnsi="Arial" w:cs="Arial"/>
          <w:iCs/>
          <w:sz w:val="24"/>
          <w:szCs w:val="24"/>
        </w:rPr>
        <w:t xml:space="preserve">The Human Rights (Complaints) Legislation Amendment Bill 2023 will establish </w:t>
      </w:r>
      <w:r w:rsidR="00D93735">
        <w:rPr>
          <w:rFonts w:ascii="Arial" w:hAnsi="Arial" w:cs="Arial"/>
          <w:iCs/>
          <w:sz w:val="24"/>
          <w:szCs w:val="24"/>
        </w:rPr>
        <w:t xml:space="preserve">an accessible complaints mechanism, enabling community members to make complaints about alleged breaches of </w:t>
      </w:r>
      <w:r w:rsidR="00F66FA2">
        <w:rPr>
          <w:rFonts w:ascii="Arial" w:hAnsi="Arial" w:cs="Arial"/>
          <w:iCs/>
          <w:sz w:val="24"/>
          <w:szCs w:val="24"/>
        </w:rPr>
        <w:t>human rights obligations of public authorities under the</w:t>
      </w:r>
      <w:r w:rsidR="00D93735">
        <w:rPr>
          <w:rFonts w:ascii="Arial" w:hAnsi="Arial" w:cs="Arial"/>
          <w:iCs/>
          <w:sz w:val="24"/>
          <w:szCs w:val="24"/>
        </w:rPr>
        <w:t xml:space="preserve"> </w:t>
      </w:r>
      <w:r w:rsidR="00D93735">
        <w:rPr>
          <w:rFonts w:ascii="Arial" w:hAnsi="Arial" w:cs="Arial"/>
          <w:i/>
          <w:sz w:val="24"/>
          <w:szCs w:val="24"/>
        </w:rPr>
        <w:t>Human Rights Act 2004</w:t>
      </w:r>
      <w:r w:rsidR="00D93735">
        <w:rPr>
          <w:rFonts w:ascii="Arial" w:hAnsi="Arial" w:cs="Arial"/>
          <w:iCs/>
          <w:sz w:val="24"/>
          <w:szCs w:val="24"/>
        </w:rPr>
        <w:t xml:space="preserve"> to the ACT Human Rights Commission for confidential conciliation.</w:t>
      </w:r>
    </w:p>
    <w:p w14:paraId="4F866823" w14:textId="77777777" w:rsidR="007E032D" w:rsidRDefault="00CA64FE" w:rsidP="004D0E75">
      <w:pPr>
        <w:spacing w:after="120"/>
        <w:ind w:right="-45"/>
        <w:rPr>
          <w:rFonts w:ascii="Arial" w:hAnsi="Arial" w:cs="Arial"/>
          <w:iCs/>
          <w:sz w:val="24"/>
          <w:szCs w:val="24"/>
        </w:rPr>
      </w:pPr>
      <w:r>
        <w:rPr>
          <w:rFonts w:ascii="Arial" w:hAnsi="Arial" w:cs="Arial"/>
          <w:iCs/>
          <w:sz w:val="24"/>
          <w:szCs w:val="24"/>
        </w:rPr>
        <w:t>The</w:t>
      </w:r>
      <w:r w:rsidR="00675AD9">
        <w:rPr>
          <w:rFonts w:ascii="Arial" w:hAnsi="Arial" w:cs="Arial"/>
          <w:iCs/>
          <w:sz w:val="24"/>
          <w:szCs w:val="24"/>
        </w:rPr>
        <w:t xml:space="preserve"> establishment of the new complaints mechanism</w:t>
      </w:r>
      <w:r w:rsidR="00236B49">
        <w:rPr>
          <w:rFonts w:ascii="Arial" w:hAnsi="Arial" w:cs="Arial"/>
          <w:iCs/>
          <w:sz w:val="24"/>
          <w:szCs w:val="24"/>
        </w:rPr>
        <w:t xml:space="preserve"> is part of the Government’s commitment to building and strengthening the ACT’s culture of human rights across government and the broader community.</w:t>
      </w:r>
    </w:p>
    <w:p w14:paraId="03BC0905" w14:textId="102CCC96" w:rsidR="00CA64FE" w:rsidRDefault="00EE3CCA" w:rsidP="004D0E75">
      <w:pPr>
        <w:spacing w:after="120"/>
        <w:ind w:right="-45"/>
        <w:rPr>
          <w:rFonts w:ascii="Arial" w:hAnsi="Arial" w:cs="Arial"/>
          <w:iCs/>
          <w:sz w:val="24"/>
          <w:szCs w:val="24"/>
        </w:rPr>
      </w:pPr>
      <w:r>
        <w:rPr>
          <w:rFonts w:ascii="Arial" w:hAnsi="Arial" w:cs="Arial"/>
          <w:iCs/>
          <w:sz w:val="24"/>
          <w:szCs w:val="24"/>
        </w:rPr>
        <w:t>Section 40B of the Human Rights Act creates a specific obligation for public authorities to act consistently with human r</w:t>
      </w:r>
      <w:r w:rsidR="002D31BB">
        <w:rPr>
          <w:rFonts w:ascii="Arial" w:hAnsi="Arial" w:cs="Arial"/>
          <w:iCs/>
          <w:sz w:val="24"/>
          <w:szCs w:val="24"/>
        </w:rPr>
        <w:t>ights</w:t>
      </w:r>
      <w:r w:rsidR="00F66FA2">
        <w:rPr>
          <w:rFonts w:ascii="Arial" w:hAnsi="Arial" w:cs="Arial"/>
          <w:iCs/>
          <w:sz w:val="24"/>
          <w:szCs w:val="24"/>
        </w:rPr>
        <w:t xml:space="preserve"> and to give proper consideration to relevant rights in decision making</w:t>
      </w:r>
      <w:r w:rsidR="002D31BB">
        <w:rPr>
          <w:rFonts w:ascii="Arial" w:hAnsi="Arial" w:cs="Arial"/>
          <w:iCs/>
          <w:sz w:val="24"/>
          <w:szCs w:val="24"/>
        </w:rPr>
        <w:t>.</w:t>
      </w:r>
      <w:r w:rsidR="00CA43EF">
        <w:rPr>
          <w:rFonts w:ascii="Arial" w:hAnsi="Arial" w:cs="Arial"/>
          <w:iCs/>
          <w:sz w:val="24"/>
          <w:szCs w:val="24"/>
        </w:rPr>
        <w:t xml:space="preserve"> </w:t>
      </w:r>
      <w:r w:rsidR="009C770C">
        <w:rPr>
          <w:rFonts w:ascii="Arial" w:hAnsi="Arial" w:cs="Arial"/>
          <w:iCs/>
          <w:sz w:val="24"/>
          <w:szCs w:val="24"/>
        </w:rPr>
        <w:t>The Human Rights Act was the first – and remains the only – human rights statute in Australia to include a stand-alone cause of action for a breach of human rights obligations by a public authority (s 40C)</w:t>
      </w:r>
      <w:r w:rsidR="00F66FA2">
        <w:rPr>
          <w:rFonts w:ascii="Arial" w:hAnsi="Arial" w:cs="Arial"/>
          <w:iCs/>
          <w:sz w:val="24"/>
          <w:szCs w:val="24"/>
        </w:rPr>
        <w:t>, which allows matters to be brought to the ACT Supreme Court</w:t>
      </w:r>
      <w:r w:rsidR="009C770C">
        <w:rPr>
          <w:rFonts w:ascii="Arial" w:hAnsi="Arial" w:cs="Arial"/>
          <w:iCs/>
          <w:sz w:val="24"/>
          <w:szCs w:val="24"/>
        </w:rPr>
        <w:t>.</w:t>
      </w:r>
    </w:p>
    <w:p w14:paraId="35FAB216" w14:textId="07636E19" w:rsidR="002D31BB" w:rsidRDefault="006D103F" w:rsidP="004D0E75">
      <w:pPr>
        <w:spacing w:after="120"/>
        <w:ind w:right="-45"/>
        <w:rPr>
          <w:rFonts w:ascii="Arial" w:hAnsi="Arial" w:cs="Arial"/>
          <w:iCs/>
          <w:sz w:val="24"/>
          <w:szCs w:val="24"/>
        </w:rPr>
      </w:pPr>
      <w:r>
        <w:rPr>
          <w:rFonts w:ascii="Arial" w:hAnsi="Arial" w:cs="Arial"/>
          <w:iCs/>
          <w:sz w:val="24"/>
          <w:szCs w:val="24"/>
        </w:rPr>
        <w:t xml:space="preserve">This Bill </w:t>
      </w:r>
      <w:r w:rsidR="00F66FA2">
        <w:rPr>
          <w:rFonts w:ascii="Arial" w:hAnsi="Arial" w:cs="Arial"/>
          <w:iCs/>
          <w:sz w:val="24"/>
          <w:szCs w:val="24"/>
        </w:rPr>
        <w:t>expands the avenues available for seeking redress for a breach of human rights by enabling</w:t>
      </w:r>
      <w:r w:rsidR="000555CE">
        <w:rPr>
          <w:rFonts w:ascii="Arial" w:hAnsi="Arial" w:cs="Arial"/>
          <w:iCs/>
          <w:sz w:val="24"/>
          <w:szCs w:val="24"/>
        </w:rPr>
        <w:t xml:space="preserve"> </w:t>
      </w:r>
      <w:r w:rsidR="00DF430F">
        <w:rPr>
          <w:rFonts w:ascii="Arial" w:hAnsi="Arial" w:cs="Arial"/>
          <w:iCs/>
          <w:sz w:val="24"/>
          <w:szCs w:val="24"/>
        </w:rPr>
        <w:t>community members who believe that a public authority has acted</w:t>
      </w:r>
      <w:r w:rsidR="0053407A">
        <w:rPr>
          <w:rFonts w:ascii="Arial" w:hAnsi="Arial" w:cs="Arial"/>
          <w:iCs/>
          <w:sz w:val="24"/>
          <w:szCs w:val="24"/>
        </w:rPr>
        <w:t xml:space="preserve"> in contravention of s 40B of the Human Rights Act to make a complaint to the Human Rights Commission.</w:t>
      </w:r>
    </w:p>
    <w:p w14:paraId="36F3526D" w14:textId="0C8364F7" w:rsidR="006D103F" w:rsidRDefault="006D103F" w:rsidP="004D0E75">
      <w:pPr>
        <w:spacing w:after="120"/>
        <w:ind w:right="-45"/>
        <w:rPr>
          <w:rFonts w:ascii="Arial" w:hAnsi="Arial" w:cs="Arial"/>
          <w:iCs/>
          <w:sz w:val="24"/>
          <w:szCs w:val="24"/>
        </w:rPr>
      </w:pPr>
      <w:r>
        <w:rPr>
          <w:rFonts w:ascii="Arial" w:hAnsi="Arial" w:cs="Arial"/>
          <w:iCs/>
          <w:sz w:val="24"/>
          <w:szCs w:val="24"/>
        </w:rPr>
        <w:t xml:space="preserve">Before </w:t>
      </w:r>
      <w:r w:rsidR="0053407A">
        <w:rPr>
          <w:rFonts w:ascii="Arial" w:hAnsi="Arial" w:cs="Arial"/>
          <w:iCs/>
          <w:sz w:val="24"/>
          <w:szCs w:val="24"/>
        </w:rPr>
        <w:t>doing so</w:t>
      </w:r>
      <w:r>
        <w:rPr>
          <w:rFonts w:ascii="Arial" w:hAnsi="Arial" w:cs="Arial"/>
          <w:iCs/>
          <w:sz w:val="24"/>
          <w:szCs w:val="24"/>
        </w:rPr>
        <w:t xml:space="preserve">, the complainant will need to make a complaint to </w:t>
      </w:r>
      <w:r w:rsidR="0053407A">
        <w:rPr>
          <w:rFonts w:ascii="Arial" w:hAnsi="Arial" w:cs="Arial"/>
          <w:iCs/>
          <w:sz w:val="24"/>
          <w:szCs w:val="24"/>
        </w:rPr>
        <w:t>the</w:t>
      </w:r>
      <w:r w:rsidR="00573502">
        <w:rPr>
          <w:rFonts w:ascii="Arial" w:hAnsi="Arial" w:cs="Arial"/>
          <w:iCs/>
          <w:sz w:val="24"/>
          <w:szCs w:val="24"/>
        </w:rPr>
        <w:t xml:space="preserve"> relevant</w:t>
      </w:r>
      <w:r w:rsidR="0053407A">
        <w:rPr>
          <w:rFonts w:ascii="Arial" w:hAnsi="Arial" w:cs="Arial"/>
          <w:iCs/>
          <w:sz w:val="24"/>
          <w:szCs w:val="24"/>
        </w:rPr>
        <w:t xml:space="preserve"> </w:t>
      </w:r>
      <w:r w:rsidR="00573502">
        <w:rPr>
          <w:rFonts w:ascii="Arial" w:hAnsi="Arial" w:cs="Arial"/>
          <w:iCs/>
          <w:sz w:val="24"/>
          <w:szCs w:val="24"/>
        </w:rPr>
        <w:t>public authority, Director-General or statutory office-holder</w:t>
      </w:r>
      <w:r>
        <w:rPr>
          <w:rFonts w:ascii="Arial" w:hAnsi="Arial" w:cs="Arial"/>
          <w:iCs/>
          <w:sz w:val="24"/>
          <w:szCs w:val="24"/>
        </w:rPr>
        <w:t xml:space="preserve">. </w:t>
      </w:r>
      <w:r w:rsidR="00654D8A">
        <w:rPr>
          <w:rFonts w:ascii="Arial" w:hAnsi="Arial" w:cs="Arial"/>
          <w:iCs/>
          <w:sz w:val="24"/>
          <w:szCs w:val="24"/>
        </w:rPr>
        <w:t>If the</w:t>
      </w:r>
      <w:r w:rsidR="00545F52">
        <w:rPr>
          <w:rFonts w:ascii="Arial" w:hAnsi="Arial" w:cs="Arial"/>
          <w:iCs/>
          <w:sz w:val="24"/>
          <w:szCs w:val="24"/>
        </w:rPr>
        <w:t xml:space="preserve"> person </w:t>
      </w:r>
      <w:r w:rsidR="00654D8A">
        <w:rPr>
          <w:rFonts w:ascii="Arial" w:hAnsi="Arial" w:cs="Arial"/>
          <w:iCs/>
          <w:sz w:val="24"/>
          <w:szCs w:val="24"/>
        </w:rPr>
        <w:t>do</w:t>
      </w:r>
      <w:r w:rsidR="00545F52">
        <w:rPr>
          <w:rFonts w:ascii="Arial" w:hAnsi="Arial" w:cs="Arial"/>
          <w:iCs/>
          <w:sz w:val="24"/>
          <w:szCs w:val="24"/>
        </w:rPr>
        <w:t>es</w:t>
      </w:r>
      <w:r w:rsidR="00654D8A">
        <w:rPr>
          <w:rFonts w:ascii="Arial" w:hAnsi="Arial" w:cs="Arial"/>
          <w:iCs/>
          <w:sz w:val="24"/>
          <w:szCs w:val="24"/>
        </w:rPr>
        <w:t xml:space="preserve"> not receive a response to the complaint within 45 calendar days, or receive</w:t>
      </w:r>
      <w:r w:rsidR="00ED14FE">
        <w:rPr>
          <w:rFonts w:ascii="Arial" w:hAnsi="Arial" w:cs="Arial"/>
          <w:iCs/>
          <w:sz w:val="24"/>
          <w:szCs w:val="24"/>
        </w:rPr>
        <w:t>s</w:t>
      </w:r>
      <w:r w:rsidR="00654D8A">
        <w:rPr>
          <w:rFonts w:ascii="Arial" w:hAnsi="Arial" w:cs="Arial"/>
          <w:iCs/>
          <w:sz w:val="24"/>
          <w:szCs w:val="24"/>
        </w:rPr>
        <w:t xml:space="preserve"> a response that they consider to be inadequate, they can then make a complaint to the Human Rights Commission. </w:t>
      </w:r>
      <w:r w:rsidR="00A10551">
        <w:rPr>
          <w:rFonts w:ascii="Arial" w:hAnsi="Arial" w:cs="Arial"/>
          <w:iCs/>
          <w:sz w:val="24"/>
          <w:szCs w:val="24"/>
        </w:rPr>
        <w:t>The intention</w:t>
      </w:r>
      <w:r w:rsidR="00575E92">
        <w:rPr>
          <w:rFonts w:ascii="Arial" w:hAnsi="Arial" w:cs="Arial"/>
          <w:iCs/>
          <w:sz w:val="24"/>
          <w:szCs w:val="24"/>
        </w:rPr>
        <w:t xml:space="preserve"> of this requirement is to </w:t>
      </w:r>
      <w:r w:rsidR="00672C84">
        <w:rPr>
          <w:rFonts w:ascii="Arial" w:hAnsi="Arial" w:cs="Arial"/>
          <w:iCs/>
          <w:sz w:val="24"/>
          <w:szCs w:val="24"/>
        </w:rPr>
        <w:t>provide agencies and other public authorities an opportunity to resolve issues at a local level, and strengthen existing complaints handling processes, while providing an avenue for complaints to be escalated to the Commission where they are not able to be resolve</w:t>
      </w:r>
      <w:r w:rsidR="00ED14FE">
        <w:rPr>
          <w:rFonts w:ascii="Arial" w:hAnsi="Arial" w:cs="Arial"/>
          <w:iCs/>
          <w:sz w:val="24"/>
          <w:szCs w:val="24"/>
        </w:rPr>
        <w:t>d</w:t>
      </w:r>
      <w:r w:rsidR="00672C84">
        <w:rPr>
          <w:rFonts w:ascii="Arial" w:hAnsi="Arial" w:cs="Arial"/>
          <w:iCs/>
          <w:sz w:val="24"/>
          <w:szCs w:val="24"/>
        </w:rPr>
        <w:t xml:space="preserve"> or the response is unduly delayed.</w:t>
      </w:r>
    </w:p>
    <w:p w14:paraId="3EED4FBA" w14:textId="01FBF4AA" w:rsidR="004B2231" w:rsidRDefault="00FE0D0C" w:rsidP="004D0E75">
      <w:pPr>
        <w:spacing w:after="120"/>
        <w:ind w:right="-45"/>
        <w:rPr>
          <w:rFonts w:ascii="Arial" w:hAnsi="Arial" w:cs="Arial"/>
          <w:iCs/>
          <w:sz w:val="24"/>
          <w:szCs w:val="24"/>
        </w:rPr>
      </w:pPr>
      <w:r>
        <w:rPr>
          <w:rFonts w:ascii="Arial" w:hAnsi="Arial" w:cs="Arial"/>
          <w:iCs/>
          <w:sz w:val="24"/>
          <w:szCs w:val="24"/>
        </w:rPr>
        <w:t>In exceptional circumstances</w:t>
      </w:r>
      <w:r w:rsidR="00F66FA2">
        <w:rPr>
          <w:rFonts w:ascii="Arial" w:hAnsi="Arial" w:cs="Arial"/>
          <w:iCs/>
          <w:sz w:val="24"/>
          <w:szCs w:val="24"/>
        </w:rPr>
        <w:t xml:space="preserve">, or </w:t>
      </w:r>
      <w:r>
        <w:rPr>
          <w:rFonts w:ascii="Arial" w:hAnsi="Arial" w:cs="Arial"/>
          <w:iCs/>
          <w:sz w:val="24"/>
          <w:szCs w:val="24"/>
        </w:rPr>
        <w:t xml:space="preserve">where the person makes </w:t>
      </w:r>
      <w:r w:rsidR="00936643">
        <w:rPr>
          <w:rFonts w:ascii="Arial" w:hAnsi="Arial" w:cs="Arial"/>
          <w:iCs/>
          <w:sz w:val="24"/>
          <w:szCs w:val="24"/>
        </w:rPr>
        <w:t xml:space="preserve">a concurrent </w:t>
      </w:r>
      <w:r>
        <w:rPr>
          <w:rFonts w:ascii="Arial" w:hAnsi="Arial" w:cs="Arial"/>
          <w:iCs/>
          <w:sz w:val="24"/>
          <w:szCs w:val="24"/>
        </w:rPr>
        <w:t xml:space="preserve">complaint under the </w:t>
      </w:r>
      <w:r w:rsidR="00DF5EE3">
        <w:rPr>
          <w:rFonts w:ascii="Arial" w:hAnsi="Arial" w:cs="Arial"/>
          <w:i/>
          <w:sz w:val="24"/>
          <w:szCs w:val="24"/>
        </w:rPr>
        <w:t>Human Rights Commission Act 2005</w:t>
      </w:r>
      <w:r w:rsidR="00936643">
        <w:rPr>
          <w:rFonts w:ascii="Arial" w:hAnsi="Arial" w:cs="Arial"/>
          <w:iCs/>
          <w:sz w:val="24"/>
          <w:szCs w:val="24"/>
        </w:rPr>
        <w:t xml:space="preserve"> in relation to the same act, or the same circumstances or subject matter, </w:t>
      </w:r>
      <w:r w:rsidR="00253736">
        <w:rPr>
          <w:rFonts w:ascii="Arial" w:hAnsi="Arial" w:cs="Arial"/>
          <w:iCs/>
          <w:sz w:val="24"/>
          <w:szCs w:val="24"/>
        </w:rPr>
        <w:t xml:space="preserve">the Commission </w:t>
      </w:r>
      <w:r w:rsidR="00206DE6">
        <w:rPr>
          <w:rFonts w:ascii="Arial" w:hAnsi="Arial" w:cs="Arial"/>
          <w:iCs/>
          <w:sz w:val="24"/>
          <w:szCs w:val="24"/>
        </w:rPr>
        <w:t>will be able</w:t>
      </w:r>
      <w:r w:rsidR="00253736">
        <w:rPr>
          <w:rFonts w:ascii="Arial" w:hAnsi="Arial" w:cs="Arial"/>
          <w:iCs/>
          <w:sz w:val="24"/>
          <w:szCs w:val="24"/>
        </w:rPr>
        <w:t xml:space="preserve"> accept a complaint that </w:t>
      </w:r>
      <w:r w:rsidR="00206DE6">
        <w:rPr>
          <w:rFonts w:ascii="Arial" w:hAnsi="Arial" w:cs="Arial"/>
          <w:iCs/>
          <w:sz w:val="24"/>
          <w:szCs w:val="24"/>
        </w:rPr>
        <w:t>doesn’t meet this requirement.</w:t>
      </w:r>
      <w:r w:rsidR="008B0DB0">
        <w:rPr>
          <w:rFonts w:ascii="Arial" w:hAnsi="Arial" w:cs="Arial"/>
          <w:iCs/>
          <w:sz w:val="24"/>
          <w:szCs w:val="24"/>
        </w:rPr>
        <w:t xml:space="preserve"> The exceptional circumstances provision is </w:t>
      </w:r>
      <w:r w:rsidR="00F92015">
        <w:rPr>
          <w:rFonts w:ascii="Arial" w:hAnsi="Arial" w:cs="Arial"/>
          <w:iCs/>
          <w:sz w:val="24"/>
          <w:szCs w:val="24"/>
        </w:rPr>
        <w:t>intended to capture time sensitive and other circumstances where</w:t>
      </w:r>
      <w:r w:rsidR="006E1E93">
        <w:rPr>
          <w:rFonts w:ascii="Arial" w:hAnsi="Arial" w:cs="Arial"/>
          <w:iCs/>
          <w:sz w:val="24"/>
          <w:szCs w:val="24"/>
        </w:rPr>
        <w:t xml:space="preserve"> </w:t>
      </w:r>
      <w:r w:rsidR="009B761B">
        <w:rPr>
          <w:rFonts w:ascii="Arial" w:hAnsi="Arial" w:cs="Arial"/>
          <w:iCs/>
          <w:sz w:val="24"/>
          <w:szCs w:val="24"/>
        </w:rPr>
        <w:t xml:space="preserve">it </w:t>
      </w:r>
      <w:r w:rsidR="00A56D4C">
        <w:rPr>
          <w:rFonts w:ascii="Arial" w:hAnsi="Arial" w:cs="Arial"/>
          <w:iCs/>
          <w:sz w:val="24"/>
          <w:szCs w:val="24"/>
        </w:rPr>
        <w:t>would disadvantage</w:t>
      </w:r>
      <w:r w:rsidR="00321905">
        <w:rPr>
          <w:rFonts w:ascii="Arial" w:hAnsi="Arial" w:cs="Arial"/>
          <w:iCs/>
          <w:sz w:val="24"/>
          <w:szCs w:val="24"/>
        </w:rPr>
        <w:t xml:space="preserve"> the complainant</w:t>
      </w:r>
      <w:r w:rsidR="00B94B15">
        <w:rPr>
          <w:rFonts w:ascii="Arial" w:hAnsi="Arial" w:cs="Arial"/>
          <w:iCs/>
          <w:sz w:val="24"/>
          <w:szCs w:val="24"/>
        </w:rPr>
        <w:t xml:space="preserve"> or </w:t>
      </w:r>
      <w:r w:rsidR="009119FA">
        <w:rPr>
          <w:rFonts w:ascii="Arial" w:hAnsi="Arial" w:cs="Arial"/>
          <w:iCs/>
          <w:sz w:val="24"/>
          <w:szCs w:val="24"/>
        </w:rPr>
        <w:t xml:space="preserve">render the complaint </w:t>
      </w:r>
      <w:r w:rsidR="004C62CC">
        <w:rPr>
          <w:rFonts w:ascii="Arial" w:hAnsi="Arial" w:cs="Arial"/>
          <w:iCs/>
          <w:sz w:val="24"/>
          <w:szCs w:val="24"/>
        </w:rPr>
        <w:t>ineffective</w:t>
      </w:r>
      <w:r w:rsidR="00F66FA2">
        <w:rPr>
          <w:rFonts w:ascii="Arial" w:hAnsi="Arial" w:cs="Arial"/>
          <w:iCs/>
          <w:sz w:val="24"/>
          <w:szCs w:val="24"/>
        </w:rPr>
        <w:t xml:space="preserve">, for example </w:t>
      </w:r>
      <w:r w:rsidR="00F66FA2">
        <w:rPr>
          <w:rFonts w:ascii="Arial" w:hAnsi="Arial" w:cs="Arial"/>
          <w:iCs/>
          <w:sz w:val="24"/>
          <w:szCs w:val="24"/>
        </w:rPr>
        <w:lastRenderedPageBreak/>
        <w:t xml:space="preserve">where </w:t>
      </w:r>
      <w:r w:rsidR="002B1FE7">
        <w:rPr>
          <w:rFonts w:ascii="Arial" w:hAnsi="Arial" w:cs="Arial"/>
          <w:iCs/>
          <w:sz w:val="24"/>
          <w:szCs w:val="24"/>
        </w:rPr>
        <w:t xml:space="preserve">the conduct being complained about </w:t>
      </w:r>
      <w:r w:rsidR="00C049A2">
        <w:rPr>
          <w:rFonts w:ascii="Arial" w:hAnsi="Arial" w:cs="Arial"/>
          <w:iCs/>
          <w:sz w:val="24"/>
          <w:szCs w:val="24"/>
        </w:rPr>
        <w:t xml:space="preserve">may have occurred or caused harm </w:t>
      </w:r>
      <w:r w:rsidR="00875318">
        <w:rPr>
          <w:rFonts w:ascii="Arial" w:hAnsi="Arial" w:cs="Arial"/>
          <w:iCs/>
          <w:sz w:val="24"/>
          <w:szCs w:val="24"/>
        </w:rPr>
        <w:t>by the time the 45</w:t>
      </w:r>
      <w:r w:rsidR="007F5ABD">
        <w:rPr>
          <w:rFonts w:ascii="Arial" w:hAnsi="Arial" w:cs="Arial"/>
          <w:iCs/>
          <w:sz w:val="24"/>
          <w:szCs w:val="24"/>
        </w:rPr>
        <w:t>-</w:t>
      </w:r>
      <w:r w:rsidR="00875318">
        <w:rPr>
          <w:rFonts w:ascii="Arial" w:hAnsi="Arial" w:cs="Arial"/>
          <w:iCs/>
          <w:sz w:val="24"/>
          <w:szCs w:val="24"/>
        </w:rPr>
        <w:t>day period had elapse</w:t>
      </w:r>
      <w:r w:rsidR="00D254A0">
        <w:rPr>
          <w:rFonts w:ascii="Arial" w:hAnsi="Arial" w:cs="Arial"/>
          <w:iCs/>
          <w:sz w:val="24"/>
          <w:szCs w:val="24"/>
        </w:rPr>
        <w:t>d.</w:t>
      </w:r>
    </w:p>
    <w:p w14:paraId="1D2D7817" w14:textId="39E5D2BC" w:rsidR="00033E63" w:rsidRPr="00033E63" w:rsidRDefault="00033E63" w:rsidP="004D0E75">
      <w:pPr>
        <w:spacing w:after="120"/>
        <w:ind w:right="-45"/>
        <w:rPr>
          <w:rFonts w:ascii="Arial" w:hAnsi="Arial" w:cs="Arial"/>
          <w:iCs/>
          <w:sz w:val="24"/>
          <w:szCs w:val="24"/>
        </w:rPr>
      </w:pPr>
      <w:r>
        <w:rPr>
          <w:rFonts w:ascii="Arial" w:hAnsi="Arial" w:cs="Arial"/>
          <w:iCs/>
          <w:sz w:val="24"/>
          <w:szCs w:val="24"/>
        </w:rPr>
        <w:t>The existing powers that the Commission has in relation to its complaints</w:t>
      </w:r>
      <w:r w:rsidR="00ED543F">
        <w:rPr>
          <w:rFonts w:ascii="Arial" w:hAnsi="Arial" w:cs="Arial"/>
          <w:iCs/>
          <w:sz w:val="24"/>
          <w:szCs w:val="24"/>
        </w:rPr>
        <w:t>-handling</w:t>
      </w:r>
      <w:r>
        <w:rPr>
          <w:rFonts w:ascii="Arial" w:hAnsi="Arial" w:cs="Arial"/>
          <w:iCs/>
          <w:sz w:val="24"/>
          <w:szCs w:val="24"/>
        </w:rPr>
        <w:t xml:space="preserve"> jurisdiction</w:t>
      </w:r>
      <w:r w:rsidR="00ED543F">
        <w:rPr>
          <w:rFonts w:ascii="Arial" w:hAnsi="Arial" w:cs="Arial"/>
          <w:iCs/>
          <w:sz w:val="24"/>
          <w:szCs w:val="24"/>
        </w:rPr>
        <w:t>s</w:t>
      </w:r>
      <w:r>
        <w:rPr>
          <w:rFonts w:ascii="Arial" w:hAnsi="Arial" w:cs="Arial"/>
          <w:iCs/>
          <w:sz w:val="24"/>
          <w:szCs w:val="24"/>
        </w:rPr>
        <w:t xml:space="preserve">, as set out in the Human Rights Commission Act, will apply to the new human rights complaints jurisdiction. This includes powers to compel production of information to enable it to consider the complaint, in the same way </w:t>
      </w:r>
      <w:r w:rsidR="00F66FA2">
        <w:rPr>
          <w:rFonts w:ascii="Arial" w:hAnsi="Arial" w:cs="Arial"/>
          <w:iCs/>
          <w:sz w:val="24"/>
          <w:szCs w:val="24"/>
        </w:rPr>
        <w:t>as</w:t>
      </w:r>
      <w:r>
        <w:rPr>
          <w:rFonts w:ascii="Arial" w:hAnsi="Arial" w:cs="Arial"/>
          <w:iCs/>
          <w:sz w:val="24"/>
          <w:szCs w:val="24"/>
        </w:rPr>
        <w:t xml:space="preserve"> for </w:t>
      </w:r>
      <w:r w:rsidR="00051040">
        <w:rPr>
          <w:rFonts w:ascii="Arial" w:hAnsi="Arial" w:cs="Arial"/>
          <w:iCs/>
          <w:sz w:val="24"/>
          <w:szCs w:val="24"/>
        </w:rPr>
        <w:t>other</w:t>
      </w:r>
      <w:r>
        <w:rPr>
          <w:rFonts w:ascii="Arial" w:hAnsi="Arial" w:cs="Arial"/>
          <w:iCs/>
          <w:sz w:val="24"/>
          <w:szCs w:val="24"/>
        </w:rPr>
        <w:t xml:space="preserve"> complaints, and the same protections will apply.</w:t>
      </w:r>
    </w:p>
    <w:p w14:paraId="694F87BF" w14:textId="3D987781" w:rsidR="00F645F7" w:rsidRDefault="00F645F7" w:rsidP="004D0E75">
      <w:pPr>
        <w:spacing w:after="120"/>
        <w:ind w:right="-45"/>
        <w:rPr>
          <w:rFonts w:ascii="Arial" w:hAnsi="Arial" w:cs="Arial"/>
          <w:iCs/>
          <w:sz w:val="24"/>
          <w:szCs w:val="24"/>
        </w:rPr>
      </w:pPr>
      <w:r>
        <w:rPr>
          <w:rFonts w:ascii="Arial" w:hAnsi="Arial" w:cs="Arial"/>
          <w:iCs/>
          <w:sz w:val="24"/>
          <w:szCs w:val="24"/>
        </w:rPr>
        <w:t xml:space="preserve">The Human Rights Commission will </w:t>
      </w:r>
      <w:r w:rsidR="00F90464">
        <w:rPr>
          <w:rFonts w:ascii="Arial" w:hAnsi="Arial" w:cs="Arial"/>
          <w:iCs/>
          <w:sz w:val="24"/>
          <w:szCs w:val="24"/>
        </w:rPr>
        <w:t>be able to offer confidential conciliation to attempt to resolve the complaint prior to finalisation.</w:t>
      </w:r>
    </w:p>
    <w:p w14:paraId="5639E32F" w14:textId="5C037DCC" w:rsidR="007C5CFB" w:rsidRDefault="007C5CFB" w:rsidP="004D0E75">
      <w:pPr>
        <w:spacing w:after="120"/>
        <w:ind w:right="-45"/>
        <w:rPr>
          <w:rFonts w:ascii="Arial" w:hAnsi="Arial" w:cs="Arial"/>
          <w:iCs/>
          <w:sz w:val="24"/>
          <w:szCs w:val="24"/>
        </w:rPr>
      </w:pPr>
      <w:r>
        <w:rPr>
          <w:rFonts w:ascii="Arial" w:hAnsi="Arial" w:cs="Arial"/>
          <w:iCs/>
          <w:sz w:val="24"/>
          <w:szCs w:val="24"/>
        </w:rPr>
        <w:t>Human rights complaints will be closed in the same way that other complaints are closed by the Commission, in accordance with s 80</w:t>
      </w:r>
      <w:r w:rsidR="00F66FA2">
        <w:rPr>
          <w:rFonts w:ascii="Arial" w:hAnsi="Arial" w:cs="Arial"/>
          <w:iCs/>
          <w:sz w:val="24"/>
          <w:szCs w:val="24"/>
        </w:rPr>
        <w:t xml:space="preserve"> of the</w:t>
      </w:r>
      <w:r>
        <w:rPr>
          <w:rFonts w:ascii="Arial" w:hAnsi="Arial" w:cs="Arial"/>
          <w:iCs/>
          <w:sz w:val="24"/>
          <w:szCs w:val="24"/>
        </w:rPr>
        <w:t xml:space="preserve"> Human Rights </w:t>
      </w:r>
      <w:r w:rsidR="00157B44">
        <w:rPr>
          <w:rFonts w:ascii="Arial" w:hAnsi="Arial" w:cs="Arial"/>
          <w:iCs/>
          <w:sz w:val="24"/>
          <w:szCs w:val="24"/>
        </w:rPr>
        <w:t>C</w:t>
      </w:r>
      <w:r>
        <w:rPr>
          <w:rFonts w:ascii="Arial" w:hAnsi="Arial" w:cs="Arial"/>
          <w:iCs/>
          <w:sz w:val="24"/>
          <w:szCs w:val="24"/>
        </w:rPr>
        <w:t>ommission Act.</w:t>
      </w:r>
      <w:r w:rsidR="00157B44">
        <w:rPr>
          <w:rFonts w:ascii="Arial" w:hAnsi="Arial" w:cs="Arial"/>
          <w:iCs/>
          <w:sz w:val="24"/>
          <w:szCs w:val="24"/>
        </w:rPr>
        <w:t xml:space="preserve"> In circumstances when the Commission considers the conciliation is unlikely to </w:t>
      </w:r>
      <w:r w:rsidR="00F66FA2">
        <w:rPr>
          <w:rFonts w:ascii="Arial" w:hAnsi="Arial" w:cs="Arial"/>
          <w:iCs/>
          <w:sz w:val="24"/>
          <w:szCs w:val="24"/>
        </w:rPr>
        <w:t xml:space="preserve">succeed </w:t>
      </w:r>
      <w:r w:rsidR="00157B44">
        <w:rPr>
          <w:rFonts w:ascii="Arial" w:hAnsi="Arial" w:cs="Arial"/>
          <w:iCs/>
          <w:sz w:val="24"/>
          <w:szCs w:val="24"/>
        </w:rPr>
        <w:t xml:space="preserve">(s 78 (1) (f), Human Rights Commission Act), </w:t>
      </w:r>
      <w:r w:rsidR="00694CAF">
        <w:rPr>
          <w:rFonts w:ascii="Arial" w:hAnsi="Arial" w:cs="Arial"/>
          <w:iCs/>
          <w:sz w:val="24"/>
          <w:szCs w:val="24"/>
        </w:rPr>
        <w:t xml:space="preserve">complaints will be closed in accordance with proposed new section 82D. The final report </w:t>
      </w:r>
      <w:r w:rsidR="007C2DC2">
        <w:rPr>
          <w:rFonts w:ascii="Arial" w:hAnsi="Arial" w:cs="Arial"/>
          <w:iCs/>
          <w:sz w:val="24"/>
          <w:szCs w:val="24"/>
        </w:rPr>
        <w:t>in relation to a human rights complaint may include the substance of the complaint, include actions taken to try to resolve the complaint, and recommend any action the Commission considers the person complained about should take to ensure their acts and decisions are compatible with human rights.</w:t>
      </w:r>
      <w:r w:rsidR="008E4F74">
        <w:rPr>
          <w:rFonts w:ascii="Arial" w:hAnsi="Arial" w:cs="Arial"/>
          <w:iCs/>
          <w:sz w:val="24"/>
          <w:szCs w:val="24"/>
        </w:rPr>
        <w:t xml:space="preserve"> </w:t>
      </w:r>
    </w:p>
    <w:p w14:paraId="341EE1FD" w14:textId="52BAFB99" w:rsidR="008E4F74" w:rsidRDefault="008E4F74" w:rsidP="004D0E75">
      <w:pPr>
        <w:spacing w:after="120"/>
        <w:ind w:right="-45"/>
        <w:rPr>
          <w:rFonts w:ascii="Arial" w:hAnsi="Arial" w:cs="Arial"/>
          <w:iCs/>
          <w:sz w:val="24"/>
          <w:szCs w:val="24"/>
        </w:rPr>
      </w:pPr>
      <w:r>
        <w:rPr>
          <w:rFonts w:ascii="Arial" w:hAnsi="Arial" w:cs="Arial"/>
          <w:iCs/>
          <w:sz w:val="24"/>
          <w:szCs w:val="24"/>
        </w:rPr>
        <w:t>This differs from the existing service complaints model which only enlivens powers to make recommendations where the Commission has made a finding that there has been a breach of an applicable standard. Rather than determining whether a breach of human rights has occurred, the Commission</w:t>
      </w:r>
      <w:r w:rsidR="00D03754">
        <w:rPr>
          <w:rFonts w:ascii="Arial" w:hAnsi="Arial" w:cs="Arial"/>
          <w:iCs/>
          <w:sz w:val="24"/>
          <w:szCs w:val="24"/>
        </w:rPr>
        <w:t>’s recommendations in human rights complaints final rep</w:t>
      </w:r>
      <w:r w:rsidR="00414D07">
        <w:rPr>
          <w:rFonts w:ascii="Arial" w:hAnsi="Arial" w:cs="Arial"/>
          <w:iCs/>
          <w:sz w:val="24"/>
          <w:szCs w:val="24"/>
        </w:rPr>
        <w:t>orts</w:t>
      </w:r>
      <w:r>
        <w:rPr>
          <w:rFonts w:ascii="Arial" w:hAnsi="Arial" w:cs="Arial"/>
          <w:iCs/>
          <w:sz w:val="24"/>
          <w:szCs w:val="24"/>
        </w:rPr>
        <w:t xml:space="preserve"> will focus on assisting agencies to improve </w:t>
      </w:r>
      <w:r w:rsidR="00583CAF">
        <w:rPr>
          <w:rFonts w:ascii="Arial" w:hAnsi="Arial" w:cs="Arial"/>
          <w:iCs/>
          <w:sz w:val="24"/>
          <w:szCs w:val="24"/>
        </w:rPr>
        <w:t>human rights compliance</w:t>
      </w:r>
      <w:r>
        <w:rPr>
          <w:rFonts w:ascii="Arial" w:hAnsi="Arial" w:cs="Arial"/>
          <w:iCs/>
          <w:sz w:val="24"/>
          <w:szCs w:val="24"/>
        </w:rPr>
        <w:t xml:space="preserve"> in future and may make recommendations to that end.</w:t>
      </w:r>
      <w:r w:rsidR="006C053E">
        <w:rPr>
          <w:rFonts w:ascii="Arial" w:hAnsi="Arial" w:cs="Arial"/>
          <w:iCs/>
          <w:sz w:val="24"/>
          <w:szCs w:val="24"/>
        </w:rPr>
        <w:t xml:space="preserve"> The other requirements under the Act for a final report will apply, including that the Commission must not include an adverse comment in relation to a person in the final report unless the Commission has given the person a reasonable opportunity to respond to the proposed comment (s 80 (2)) and </w:t>
      </w:r>
      <w:r w:rsidR="00C62BE2">
        <w:rPr>
          <w:rFonts w:ascii="Arial" w:hAnsi="Arial" w:cs="Arial"/>
          <w:iCs/>
          <w:sz w:val="24"/>
          <w:szCs w:val="24"/>
        </w:rPr>
        <w:t>that if a recommendation recommends that action be taken, it must state the reasonable time within which the action should be taken (s 81(3)).</w:t>
      </w:r>
    </w:p>
    <w:p w14:paraId="0F70D37D" w14:textId="123E4547" w:rsidR="00A10551" w:rsidRDefault="00C2002B" w:rsidP="00C2002B">
      <w:pPr>
        <w:rPr>
          <w:rFonts w:ascii="Arial" w:hAnsi="Arial" w:cs="Arial"/>
          <w:iCs/>
          <w:sz w:val="24"/>
          <w:szCs w:val="24"/>
        </w:rPr>
      </w:pPr>
      <w:r>
        <w:rPr>
          <w:rFonts w:ascii="Arial" w:hAnsi="Arial" w:cs="Arial"/>
          <w:iCs/>
          <w:sz w:val="24"/>
          <w:szCs w:val="24"/>
        </w:rPr>
        <w:t>Community members who make a human rights complaint to the Human Rights Commission will not be precluded from initiating a proceeding in the Supreme Court if resolution cannot be reached through conciliation. S 40C (3) of the Human Rights Act provides that legal proceedings in relation to public authority actions must be started not later than 1 year after the day (or last day) the act complained about happens unless the court orders otherwise. The Bill proposes adding a new sub-section to s 40C to make it clear that the court’s discretion to permit the commencement of proceedings after the 1-year limitation period has expired includes circumstances when a person has made a complaint to the Human Rights Commission about the act within a year and it is unreasonable in the circumstances for the period to apply to the proceeding.</w:t>
      </w:r>
    </w:p>
    <w:p w14:paraId="5F7081BE" w14:textId="777E6CC5" w:rsidR="00F66FA2" w:rsidRPr="00903044" w:rsidRDefault="00903044" w:rsidP="00C2002B">
      <w:pPr>
        <w:rPr>
          <w:rFonts w:ascii="Arial" w:hAnsi="Arial" w:cs="Arial"/>
          <w:iCs/>
          <w:sz w:val="28"/>
          <w:szCs w:val="28"/>
        </w:rPr>
      </w:pPr>
      <w:r w:rsidRPr="00903044">
        <w:rPr>
          <w:rFonts w:ascii="Arial" w:hAnsi="Arial" w:cs="Arial"/>
          <w:iCs/>
          <w:sz w:val="24"/>
          <w:szCs w:val="24"/>
        </w:rPr>
        <w:lastRenderedPageBreak/>
        <w:t>This is intended to capture circumstances where a person has sought, in good faith, to resolve their concerns by first making a complaint to the Human Rights Commission, and the limitation period has expired due to their good faith participation in the progression of the complaint under the relevant provisions of the Human Rights Commission Act. However, it would be not be unreasonable for the court to apply the limitation period to an individual’s claim in the Supreme Court if the complainant has unnecessarily delayed commencing the proceedings, not engaged constructively in conciliation, or otherwise acted vexatiously.</w:t>
      </w:r>
    </w:p>
    <w:p w14:paraId="5F0AF3B4" w14:textId="0CFDEE21" w:rsidR="001D576D" w:rsidRDefault="001D576D" w:rsidP="004D0E75">
      <w:pPr>
        <w:spacing w:after="120"/>
        <w:ind w:right="-45"/>
        <w:rPr>
          <w:rFonts w:ascii="Arial" w:hAnsi="Arial" w:cs="Arial"/>
          <w:iCs/>
          <w:sz w:val="24"/>
          <w:szCs w:val="24"/>
        </w:rPr>
      </w:pPr>
      <w:r>
        <w:rPr>
          <w:rFonts w:ascii="Arial" w:hAnsi="Arial" w:cs="Arial"/>
          <w:iCs/>
          <w:sz w:val="24"/>
          <w:szCs w:val="24"/>
        </w:rPr>
        <w:t xml:space="preserve">The Bill </w:t>
      </w:r>
      <w:r w:rsidR="00DB076B">
        <w:rPr>
          <w:rFonts w:ascii="Arial" w:hAnsi="Arial" w:cs="Arial"/>
          <w:iCs/>
          <w:sz w:val="24"/>
          <w:szCs w:val="24"/>
        </w:rPr>
        <w:t xml:space="preserve">also </w:t>
      </w:r>
      <w:r w:rsidR="00F66FA2">
        <w:rPr>
          <w:rFonts w:ascii="Arial" w:hAnsi="Arial" w:cs="Arial"/>
          <w:iCs/>
          <w:sz w:val="24"/>
          <w:szCs w:val="24"/>
        </w:rPr>
        <w:t xml:space="preserve">makes </w:t>
      </w:r>
      <w:r w:rsidR="00DB076B">
        <w:rPr>
          <w:rFonts w:ascii="Arial" w:hAnsi="Arial" w:cs="Arial"/>
          <w:iCs/>
          <w:sz w:val="24"/>
          <w:szCs w:val="24"/>
        </w:rPr>
        <w:t>additional amendments to the Human Rights Act</w:t>
      </w:r>
      <w:r w:rsidR="00853D23">
        <w:rPr>
          <w:rFonts w:ascii="Arial" w:hAnsi="Arial" w:cs="Arial"/>
          <w:iCs/>
          <w:sz w:val="24"/>
          <w:szCs w:val="24"/>
        </w:rPr>
        <w:t xml:space="preserve"> to:</w:t>
      </w:r>
    </w:p>
    <w:p w14:paraId="206A919A" w14:textId="1C6EF6C4" w:rsidR="00DB076B" w:rsidRDefault="00853D23" w:rsidP="00154B0C">
      <w:pPr>
        <w:pStyle w:val="ListParagraph"/>
        <w:numPr>
          <w:ilvl w:val="0"/>
          <w:numId w:val="4"/>
        </w:numPr>
        <w:spacing w:after="120"/>
        <w:ind w:right="-45"/>
        <w:rPr>
          <w:rFonts w:ascii="Arial" w:hAnsi="Arial" w:cs="Arial"/>
          <w:iCs/>
          <w:sz w:val="24"/>
          <w:szCs w:val="24"/>
        </w:rPr>
      </w:pPr>
      <w:r>
        <w:rPr>
          <w:rFonts w:ascii="Arial" w:hAnsi="Arial" w:cs="Arial"/>
          <w:iCs/>
          <w:sz w:val="24"/>
          <w:szCs w:val="24"/>
        </w:rPr>
        <w:t>Require that the relevant Assembly committee must report to the Legislative Assembly about human rights issues raised by subordinate legislation</w:t>
      </w:r>
      <w:r w:rsidR="008739F7">
        <w:rPr>
          <w:rFonts w:ascii="Arial" w:hAnsi="Arial" w:cs="Arial"/>
          <w:iCs/>
          <w:sz w:val="24"/>
          <w:szCs w:val="24"/>
        </w:rPr>
        <w:t xml:space="preserve">. </w:t>
      </w:r>
      <w:r w:rsidR="00E65D12">
        <w:rPr>
          <w:rFonts w:ascii="Arial" w:hAnsi="Arial" w:cs="Arial"/>
          <w:iCs/>
          <w:sz w:val="24"/>
          <w:szCs w:val="24"/>
        </w:rPr>
        <w:t>Currently this requirement only applies to bills presented to the Assembly. Broadening the Scrutiny Committee’s mandate to consider the human rights implications of subordinate legislation will improve transparency of human rights considerations in the Territory. Equivalent committees in other human rights jurisdictions (Victoria and Queensland) have a formal scrutiny mandate of this kind.</w:t>
      </w:r>
    </w:p>
    <w:p w14:paraId="775001AE" w14:textId="37E68B73" w:rsidR="00E65D12" w:rsidRDefault="0085123B" w:rsidP="00154B0C">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Remove references to </w:t>
      </w:r>
      <w:r w:rsidR="00A10551">
        <w:rPr>
          <w:rFonts w:ascii="Arial" w:hAnsi="Arial" w:cs="Arial"/>
          <w:iCs/>
          <w:sz w:val="24"/>
          <w:szCs w:val="24"/>
        </w:rPr>
        <w:t xml:space="preserve">gendered language, such as </w:t>
      </w:r>
      <w:r>
        <w:rPr>
          <w:rFonts w:ascii="Arial" w:hAnsi="Arial" w:cs="Arial"/>
          <w:iCs/>
          <w:sz w:val="24"/>
          <w:szCs w:val="24"/>
        </w:rPr>
        <w:t>‘his or her’</w:t>
      </w:r>
      <w:r w:rsidR="00ED6ED6">
        <w:rPr>
          <w:rFonts w:ascii="Arial" w:hAnsi="Arial" w:cs="Arial"/>
          <w:iCs/>
          <w:sz w:val="24"/>
          <w:szCs w:val="24"/>
        </w:rPr>
        <w:t>,</w:t>
      </w:r>
      <w:r>
        <w:rPr>
          <w:rFonts w:ascii="Arial" w:hAnsi="Arial" w:cs="Arial"/>
          <w:iCs/>
          <w:sz w:val="24"/>
          <w:szCs w:val="24"/>
        </w:rPr>
        <w:t xml:space="preserve"> in the Human Rights Act and replace with gender neutral language. These amendments will bring the ACT legislation in line with the relevant legislation in Queensland and Victoria and modern legislative drafting practice. </w:t>
      </w:r>
      <w:r w:rsidR="002228E3">
        <w:rPr>
          <w:rFonts w:ascii="Arial" w:hAnsi="Arial" w:cs="Arial"/>
          <w:iCs/>
          <w:sz w:val="24"/>
          <w:szCs w:val="24"/>
        </w:rPr>
        <w:t>The changes are not intended to change the content or nature of the rights in the Act.</w:t>
      </w:r>
    </w:p>
    <w:p w14:paraId="662AE98B" w14:textId="5142CF68" w:rsidR="00723F7A" w:rsidRDefault="002228E3" w:rsidP="00527018">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Require notice to be given to the Human Rights Commission in all </w:t>
      </w:r>
      <w:r w:rsidR="0061310E">
        <w:rPr>
          <w:rFonts w:ascii="Arial" w:hAnsi="Arial" w:cs="Arial"/>
          <w:iCs/>
          <w:sz w:val="24"/>
          <w:szCs w:val="24"/>
        </w:rPr>
        <w:t xml:space="preserve">Supreme Court </w:t>
      </w:r>
      <w:r>
        <w:rPr>
          <w:rFonts w:ascii="Arial" w:hAnsi="Arial" w:cs="Arial"/>
          <w:iCs/>
          <w:sz w:val="24"/>
          <w:szCs w:val="24"/>
        </w:rPr>
        <w:t>matters involving the application of the Human Rights Act, whether or not the Territory is a party of the proceeding.</w:t>
      </w:r>
      <w:r w:rsidR="0061310E">
        <w:rPr>
          <w:rFonts w:ascii="Arial" w:hAnsi="Arial" w:cs="Arial"/>
          <w:iCs/>
          <w:sz w:val="24"/>
          <w:szCs w:val="24"/>
        </w:rPr>
        <w:t xml:space="preserve"> Currently, notice is only required to be given to the Commission if the Territory i</w:t>
      </w:r>
      <w:r w:rsidR="00E243E1">
        <w:rPr>
          <w:rFonts w:ascii="Arial" w:hAnsi="Arial" w:cs="Arial"/>
          <w:iCs/>
          <w:sz w:val="24"/>
          <w:szCs w:val="24"/>
        </w:rPr>
        <w:t>s not a party.</w:t>
      </w:r>
    </w:p>
    <w:p w14:paraId="40B0031D" w14:textId="35438E46" w:rsidR="00527018" w:rsidRDefault="00527018" w:rsidP="00527018">
      <w:pPr>
        <w:pStyle w:val="ListParagraph"/>
        <w:numPr>
          <w:ilvl w:val="0"/>
          <w:numId w:val="4"/>
        </w:numPr>
        <w:spacing w:after="120"/>
        <w:ind w:right="-45"/>
        <w:rPr>
          <w:rFonts w:ascii="Arial" w:hAnsi="Arial" w:cs="Arial"/>
          <w:iCs/>
          <w:sz w:val="24"/>
          <w:szCs w:val="24"/>
        </w:rPr>
      </w:pPr>
      <w:r>
        <w:rPr>
          <w:rFonts w:ascii="Arial" w:hAnsi="Arial" w:cs="Arial"/>
          <w:iCs/>
          <w:sz w:val="24"/>
          <w:szCs w:val="24"/>
        </w:rPr>
        <w:t>Insert</w:t>
      </w:r>
      <w:r w:rsidR="00FE0513">
        <w:rPr>
          <w:rFonts w:ascii="Arial" w:hAnsi="Arial" w:cs="Arial"/>
          <w:iCs/>
          <w:sz w:val="24"/>
          <w:szCs w:val="24"/>
        </w:rPr>
        <w:t xml:space="preserve"> a new sub-section to</w:t>
      </w:r>
      <w:r>
        <w:rPr>
          <w:rFonts w:ascii="Arial" w:hAnsi="Arial" w:cs="Arial"/>
          <w:iCs/>
          <w:sz w:val="24"/>
          <w:szCs w:val="24"/>
        </w:rPr>
        <w:t xml:space="preserve"> section 40C </w:t>
      </w:r>
      <w:r w:rsidR="00E700B3">
        <w:rPr>
          <w:rFonts w:ascii="Arial" w:hAnsi="Arial" w:cs="Arial"/>
          <w:iCs/>
          <w:sz w:val="24"/>
          <w:szCs w:val="24"/>
        </w:rPr>
        <w:t xml:space="preserve">to specify that </w:t>
      </w:r>
      <w:r w:rsidR="00B03DAD">
        <w:rPr>
          <w:rFonts w:ascii="Arial" w:hAnsi="Arial" w:cs="Arial"/>
          <w:iCs/>
          <w:sz w:val="24"/>
          <w:szCs w:val="24"/>
        </w:rPr>
        <w:t>in</w:t>
      </w:r>
      <w:r w:rsidR="00E700B3">
        <w:rPr>
          <w:rFonts w:ascii="Arial" w:hAnsi="Arial" w:cs="Arial"/>
          <w:iCs/>
          <w:sz w:val="24"/>
          <w:szCs w:val="24"/>
        </w:rPr>
        <w:t xml:space="preserve"> a proceeding started under s 40C (2) (a)</w:t>
      </w:r>
      <w:r w:rsidR="00B03DAD">
        <w:rPr>
          <w:rFonts w:ascii="Arial" w:hAnsi="Arial" w:cs="Arial"/>
          <w:iCs/>
          <w:sz w:val="24"/>
          <w:szCs w:val="24"/>
        </w:rPr>
        <w:t xml:space="preserve"> where the public authority is a public employee, the respondent to the proceeding is the Territory, or where the public employee is a statutory office</w:t>
      </w:r>
      <w:r w:rsidR="00357DD4">
        <w:rPr>
          <w:rFonts w:ascii="Arial" w:hAnsi="Arial" w:cs="Arial"/>
          <w:iCs/>
          <w:sz w:val="24"/>
          <w:szCs w:val="24"/>
        </w:rPr>
        <w:t xml:space="preserve"> </w:t>
      </w:r>
      <w:r w:rsidR="00B03DAD">
        <w:rPr>
          <w:rFonts w:ascii="Arial" w:hAnsi="Arial" w:cs="Arial"/>
          <w:iCs/>
          <w:sz w:val="24"/>
          <w:szCs w:val="24"/>
        </w:rPr>
        <w:t>holder</w:t>
      </w:r>
      <w:r w:rsidR="000648FE">
        <w:rPr>
          <w:rFonts w:ascii="Arial" w:hAnsi="Arial" w:cs="Arial"/>
          <w:iCs/>
          <w:sz w:val="24"/>
          <w:szCs w:val="24"/>
        </w:rPr>
        <w:t>, the statutory office</w:t>
      </w:r>
      <w:r w:rsidR="006F4DA5">
        <w:rPr>
          <w:rFonts w:ascii="Arial" w:hAnsi="Arial" w:cs="Arial"/>
          <w:iCs/>
          <w:sz w:val="24"/>
          <w:szCs w:val="24"/>
        </w:rPr>
        <w:t xml:space="preserve"> </w:t>
      </w:r>
      <w:r w:rsidR="000648FE">
        <w:rPr>
          <w:rFonts w:ascii="Arial" w:hAnsi="Arial" w:cs="Arial"/>
          <w:iCs/>
          <w:sz w:val="24"/>
          <w:szCs w:val="24"/>
        </w:rPr>
        <w:t xml:space="preserve">holder. This change is intended to ensure that individual public servants who are acting in the course of their employment are not named as respondents in litigation and subjected to unnecessary distress and public scrutiny where </w:t>
      </w:r>
      <w:r w:rsidR="0093383F">
        <w:rPr>
          <w:rFonts w:ascii="Arial" w:hAnsi="Arial" w:cs="Arial"/>
          <w:iCs/>
          <w:sz w:val="24"/>
          <w:szCs w:val="24"/>
        </w:rPr>
        <w:t xml:space="preserve">they are implementing government policy and are subject to </w:t>
      </w:r>
      <w:r w:rsidR="004C6922">
        <w:rPr>
          <w:rFonts w:ascii="Arial" w:hAnsi="Arial" w:cs="Arial"/>
          <w:iCs/>
          <w:sz w:val="24"/>
          <w:szCs w:val="24"/>
        </w:rPr>
        <w:t>direction, and that responsibility and legal liability for any breach by a public employee is directed appropriately</w:t>
      </w:r>
      <w:r w:rsidR="0093383F">
        <w:rPr>
          <w:rFonts w:ascii="Arial" w:hAnsi="Arial" w:cs="Arial"/>
          <w:iCs/>
          <w:sz w:val="24"/>
          <w:szCs w:val="24"/>
        </w:rPr>
        <w:t>. The amendment is not intended to affect the public authority obligations of individual public servants under s 40B, or the ability for people to take action (under 40C) in relation to a breach of those obligations by an individual officer.</w:t>
      </w:r>
    </w:p>
    <w:p w14:paraId="40BE9DEF" w14:textId="77777777" w:rsidR="000648FE" w:rsidRPr="00527018" w:rsidRDefault="000648FE" w:rsidP="000648FE">
      <w:pPr>
        <w:pStyle w:val="ListParagraph"/>
        <w:spacing w:after="120"/>
        <w:ind w:right="-45"/>
        <w:rPr>
          <w:rFonts w:ascii="Arial" w:hAnsi="Arial" w:cs="Arial"/>
          <w:iCs/>
          <w:sz w:val="24"/>
          <w:szCs w:val="24"/>
        </w:rPr>
      </w:pPr>
    </w:p>
    <w:p w14:paraId="4DE06EA7" w14:textId="77777777" w:rsidR="002F38BD" w:rsidRDefault="002F38BD">
      <w:pPr>
        <w:spacing w:after="0" w:line="240" w:lineRule="auto"/>
        <w:rPr>
          <w:rFonts w:ascii="Arial" w:hAnsi="Arial" w:cs="Arial"/>
          <w:b/>
          <w:sz w:val="24"/>
          <w:szCs w:val="24"/>
        </w:rPr>
      </w:pPr>
      <w:r>
        <w:rPr>
          <w:rFonts w:ascii="Arial" w:hAnsi="Arial" w:cs="Arial"/>
          <w:b/>
          <w:sz w:val="24"/>
          <w:szCs w:val="24"/>
        </w:rPr>
        <w:br w:type="page"/>
      </w:r>
    </w:p>
    <w:p w14:paraId="5D5C6C0D" w14:textId="748282CA"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118DEA79" w14:textId="199CF486" w:rsidR="003A3172" w:rsidRPr="00681D9A" w:rsidRDefault="003A3172" w:rsidP="003A3172">
      <w:pPr>
        <w:rPr>
          <w:rFonts w:ascii="Arial" w:hAnsi="Arial" w:cs="Arial"/>
          <w:b/>
          <w:bCs/>
          <w:iCs/>
          <w:sz w:val="24"/>
          <w:szCs w:val="24"/>
        </w:rPr>
      </w:pPr>
      <w:r>
        <w:rPr>
          <w:rFonts w:ascii="Arial" w:hAnsi="Arial" w:cs="Arial"/>
          <w:iCs/>
          <w:sz w:val="24"/>
          <w:szCs w:val="24"/>
        </w:rPr>
        <w:t xml:space="preserve">In October 2022, the Government agreed to enable </w:t>
      </w:r>
      <w:r w:rsidR="00586C4A">
        <w:rPr>
          <w:rFonts w:ascii="Arial" w:hAnsi="Arial" w:cs="Arial"/>
          <w:iCs/>
          <w:sz w:val="24"/>
          <w:szCs w:val="24"/>
        </w:rPr>
        <w:t>a co</w:t>
      </w:r>
      <w:r>
        <w:rPr>
          <w:rFonts w:ascii="Arial" w:hAnsi="Arial" w:cs="Arial"/>
          <w:iCs/>
          <w:sz w:val="24"/>
          <w:szCs w:val="24"/>
        </w:rPr>
        <w:t>mplaint</w:t>
      </w:r>
      <w:r w:rsidR="00586C4A">
        <w:rPr>
          <w:rFonts w:ascii="Arial" w:hAnsi="Arial" w:cs="Arial"/>
          <w:iCs/>
          <w:sz w:val="24"/>
          <w:szCs w:val="24"/>
        </w:rPr>
        <w:t xml:space="preserve"> about a breach of the </w:t>
      </w:r>
      <w:r w:rsidR="00586C4A">
        <w:rPr>
          <w:rFonts w:ascii="Arial" w:hAnsi="Arial" w:cs="Arial"/>
          <w:i/>
          <w:sz w:val="24"/>
          <w:szCs w:val="24"/>
        </w:rPr>
        <w:t>Human Rights Act</w:t>
      </w:r>
      <w:r w:rsidR="00586C4A">
        <w:rPr>
          <w:rFonts w:ascii="Arial" w:hAnsi="Arial" w:cs="Arial"/>
          <w:iCs/>
          <w:sz w:val="24"/>
          <w:szCs w:val="24"/>
        </w:rPr>
        <w:t xml:space="preserve"> to be made to the </w:t>
      </w:r>
      <w:r>
        <w:rPr>
          <w:rFonts w:ascii="Arial" w:hAnsi="Arial" w:cs="Arial"/>
          <w:iCs/>
          <w:sz w:val="24"/>
          <w:szCs w:val="24"/>
        </w:rPr>
        <w:t>ACT Human Rights Commission</w:t>
      </w:r>
      <w:r w:rsidR="00586C4A">
        <w:rPr>
          <w:rFonts w:ascii="Arial" w:hAnsi="Arial" w:cs="Arial"/>
          <w:iCs/>
          <w:sz w:val="24"/>
          <w:szCs w:val="24"/>
        </w:rPr>
        <w:t xml:space="preserve"> for confidential conciliation,</w:t>
      </w:r>
      <w:r w:rsidR="00C67853">
        <w:rPr>
          <w:rFonts w:ascii="Arial" w:hAnsi="Arial" w:cs="Arial"/>
          <w:iCs/>
          <w:sz w:val="24"/>
          <w:szCs w:val="24"/>
        </w:rPr>
        <w:t xml:space="preserve"> in response </w:t>
      </w:r>
      <w:r w:rsidR="00586C4A">
        <w:rPr>
          <w:rFonts w:ascii="Arial" w:hAnsi="Arial" w:cs="Arial"/>
          <w:iCs/>
          <w:sz w:val="24"/>
          <w:szCs w:val="24"/>
        </w:rPr>
        <w:t>t</w:t>
      </w:r>
      <w:r w:rsidR="00C67853">
        <w:rPr>
          <w:rFonts w:ascii="Arial" w:hAnsi="Arial" w:cs="Arial"/>
          <w:iCs/>
          <w:sz w:val="24"/>
          <w:szCs w:val="24"/>
        </w:rPr>
        <w:t xml:space="preserve">o the Standing Committee on Justice and Community Safety report into </w:t>
      </w:r>
      <w:r w:rsidR="00F40434">
        <w:rPr>
          <w:rFonts w:ascii="Arial" w:hAnsi="Arial" w:cs="Arial"/>
          <w:iCs/>
          <w:sz w:val="24"/>
          <w:szCs w:val="24"/>
        </w:rPr>
        <w:t>the Inquiry into Petition 32-21 (No Rights Without Remedy).</w:t>
      </w:r>
    </w:p>
    <w:p w14:paraId="6D412E2A" w14:textId="05CB764E" w:rsidR="00977FFE" w:rsidRDefault="00457819" w:rsidP="00414921">
      <w:pPr>
        <w:rPr>
          <w:rFonts w:ascii="Arial" w:hAnsi="Arial" w:cs="Arial"/>
          <w:iCs/>
          <w:sz w:val="24"/>
          <w:szCs w:val="24"/>
        </w:rPr>
      </w:pPr>
      <w:r w:rsidRPr="00457819">
        <w:rPr>
          <w:rFonts w:ascii="Arial" w:hAnsi="Arial" w:cs="Arial"/>
          <w:iCs/>
          <w:sz w:val="24"/>
          <w:szCs w:val="24"/>
        </w:rPr>
        <w:t>Petition 32-21 (</w:t>
      </w:r>
      <w:r w:rsidR="00977FFE" w:rsidRPr="00457819">
        <w:rPr>
          <w:rFonts w:ascii="Arial" w:hAnsi="Arial" w:cs="Arial"/>
          <w:iCs/>
          <w:sz w:val="24"/>
          <w:szCs w:val="24"/>
        </w:rPr>
        <w:t>No Rights Without Remedy</w:t>
      </w:r>
      <w:r w:rsidRPr="00457819">
        <w:rPr>
          <w:rFonts w:ascii="Arial" w:hAnsi="Arial" w:cs="Arial"/>
          <w:iCs/>
          <w:sz w:val="24"/>
          <w:szCs w:val="24"/>
        </w:rPr>
        <w:t>)</w:t>
      </w:r>
      <w:r w:rsidR="003A3172">
        <w:rPr>
          <w:rFonts w:ascii="Arial" w:hAnsi="Arial" w:cs="Arial"/>
          <w:iCs/>
          <w:sz w:val="24"/>
          <w:szCs w:val="24"/>
        </w:rPr>
        <w:t xml:space="preserve">, raised concerns about a lack of an accessible mechanism for ACT residents to enforce their rights under the </w:t>
      </w:r>
      <w:r w:rsidR="003A3172">
        <w:rPr>
          <w:rFonts w:ascii="Arial" w:hAnsi="Arial" w:cs="Arial"/>
          <w:i/>
          <w:sz w:val="24"/>
          <w:szCs w:val="24"/>
        </w:rPr>
        <w:t>Human Rights Act 2004</w:t>
      </w:r>
      <w:r w:rsidR="003A3172">
        <w:rPr>
          <w:rFonts w:ascii="Arial" w:hAnsi="Arial" w:cs="Arial"/>
          <w:iCs/>
          <w:sz w:val="24"/>
          <w:szCs w:val="24"/>
        </w:rPr>
        <w:t>,</w:t>
      </w:r>
      <w:r>
        <w:rPr>
          <w:rFonts w:ascii="Arial" w:hAnsi="Arial" w:cs="Arial"/>
          <w:iCs/>
          <w:sz w:val="24"/>
          <w:szCs w:val="24"/>
        </w:rPr>
        <w:t xml:space="preserve"> was signed by over 500 signatories and lodged in the Legislative Assembly in November 2021.</w:t>
      </w:r>
      <w:r w:rsidR="003A3172">
        <w:rPr>
          <w:rFonts w:ascii="Arial" w:hAnsi="Arial" w:cs="Arial"/>
          <w:iCs/>
          <w:sz w:val="24"/>
          <w:szCs w:val="24"/>
        </w:rPr>
        <w:t xml:space="preserve"> The </w:t>
      </w:r>
      <w:r w:rsidR="007D7A3B">
        <w:rPr>
          <w:rFonts w:ascii="Arial" w:hAnsi="Arial" w:cs="Arial"/>
          <w:iCs/>
          <w:sz w:val="24"/>
          <w:szCs w:val="24"/>
        </w:rPr>
        <w:t xml:space="preserve">2022 </w:t>
      </w:r>
      <w:r w:rsidR="00E761B5" w:rsidRPr="00457819">
        <w:rPr>
          <w:rFonts w:ascii="Arial" w:hAnsi="Arial" w:cs="Arial"/>
          <w:iCs/>
          <w:sz w:val="24"/>
          <w:szCs w:val="24"/>
        </w:rPr>
        <w:t>Standing Committee on Justice and Community Safety</w:t>
      </w:r>
      <w:r w:rsidR="00E761B5">
        <w:rPr>
          <w:rFonts w:ascii="Arial" w:hAnsi="Arial" w:cs="Arial"/>
          <w:iCs/>
          <w:sz w:val="24"/>
          <w:szCs w:val="24"/>
        </w:rPr>
        <w:t xml:space="preserve"> </w:t>
      </w:r>
      <w:r w:rsidR="00EF7489">
        <w:rPr>
          <w:rFonts w:ascii="Arial" w:hAnsi="Arial" w:cs="Arial"/>
          <w:iCs/>
          <w:sz w:val="24"/>
          <w:szCs w:val="24"/>
        </w:rPr>
        <w:t>inquiry</w:t>
      </w:r>
      <w:r w:rsidR="003A3172">
        <w:rPr>
          <w:rFonts w:ascii="Arial" w:hAnsi="Arial" w:cs="Arial"/>
          <w:iCs/>
          <w:sz w:val="24"/>
          <w:szCs w:val="24"/>
        </w:rPr>
        <w:t xml:space="preserve"> into the petition</w:t>
      </w:r>
      <w:r w:rsidR="00EF7489">
        <w:rPr>
          <w:rFonts w:ascii="Arial" w:hAnsi="Arial" w:cs="Arial"/>
          <w:iCs/>
          <w:sz w:val="24"/>
          <w:szCs w:val="24"/>
        </w:rPr>
        <w:t xml:space="preserve"> received 27 submissions </w:t>
      </w:r>
      <w:r w:rsidR="005D753D">
        <w:rPr>
          <w:rFonts w:ascii="Arial" w:hAnsi="Arial" w:cs="Arial"/>
          <w:iCs/>
          <w:sz w:val="24"/>
          <w:szCs w:val="24"/>
        </w:rPr>
        <w:t>including from community and legal organi</w:t>
      </w:r>
      <w:r w:rsidR="00A21F71">
        <w:rPr>
          <w:rFonts w:ascii="Arial" w:hAnsi="Arial" w:cs="Arial"/>
          <w:iCs/>
          <w:sz w:val="24"/>
          <w:szCs w:val="24"/>
        </w:rPr>
        <w:t>sations</w:t>
      </w:r>
      <w:r w:rsidR="003A3172">
        <w:rPr>
          <w:rFonts w:ascii="Arial" w:hAnsi="Arial" w:cs="Arial"/>
          <w:iCs/>
          <w:sz w:val="24"/>
          <w:szCs w:val="24"/>
        </w:rPr>
        <w:t>.</w:t>
      </w:r>
    </w:p>
    <w:p w14:paraId="5747F203" w14:textId="044B22DE" w:rsidR="003B557E" w:rsidRDefault="005947A1" w:rsidP="00414921">
      <w:pPr>
        <w:rPr>
          <w:rFonts w:ascii="Arial" w:hAnsi="Arial" w:cs="Arial"/>
          <w:iCs/>
          <w:sz w:val="24"/>
          <w:szCs w:val="24"/>
        </w:rPr>
      </w:pPr>
      <w:r>
        <w:rPr>
          <w:rFonts w:ascii="Arial" w:hAnsi="Arial" w:cs="Arial"/>
          <w:iCs/>
          <w:sz w:val="24"/>
          <w:szCs w:val="24"/>
        </w:rPr>
        <w:t>In 2023, t</w:t>
      </w:r>
      <w:r w:rsidR="003B557E">
        <w:rPr>
          <w:rFonts w:ascii="Arial" w:hAnsi="Arial" w:cs="Arial"/>
          <w:iCs/>
          <w:sz w:val="24"/>
          <w:szCs w:val="24"/>
        </w:rPr>
        <w:t>he Justice and Community Safety Directorate engaged further</w:t>
      </w:r>
      <w:r w:rsidR="007D7A3B">
        <w:rPr>
          <w:rFonts w:ascii="Arial" w:hAnsi="Arial" w:cs="Arial"/>
          <w:iCs/>
          <w:sz w:val="24"/>
          <w:szCs w:val="24"/>
        </w:rPr>
        <w:t xml:space="preserve"> </w:t>
      </w:r>
      <w:r w:rsidR="003B557E">
        <w:rPr>
          <w:rFonts w:ascii="Arial" w:hAnsi="Arial" w:cs="Arial"/>
          <w:iCs/>
          <w:sz w:val="24"/>
          <w:szCs w:val="24"/>
        </w:rPr>
        <w:t>with key stakeholders who made submissions to the inquiry to inform the development of this Bill.</w:t>
      </w:r>
    </w:p>
    <w:p w14:paraId="1A2BA5E1" w14:textId="6E3769AB" w:rsidR="00790FE4" w:rsidRDefault="00503AAB" w:rsidP="008C22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108456F5" w14:textId="7A1846A1" w:rsidR="00705638" w:rsidRDefault="00A853F7" w:rsidP="00414921">
      <w:pPr>
        <w:rPr>
          <w:rFonts w:ascii="Arial" w:hAnsi="Arial" w:cs="Arial"/>
          <w:iCs/>
          <w:sz w:val="24"/>
          <w:szCs w:val="24"/>
        </w:rPr>
      </w:pPr>
      <w:r>
        <w:rPr>
          <w:rFonts w:ascii="Arial" w:hAnsi="Arial" w:cs="Arial"/>
          <w:iCs/>
          <w:sz w:val="24"/>
          <w:szCs w:val="24"/>
        </w:rPr>
        <w:t xml:space="preserve">The Human Rights (Complaints) Legislation Amendment Bill 2023 </w:t>
      </w:r>
      <w:r w:rsidR="00705638">
        <w:rPr>
          <w:rFonts w:ascii="Arial" w:hAnsi="Arial" w:cs="Arial"/>
          <w:iCs/>
          <w:sz w:val="24"/>
          <w:szCs w:val="24"/>
        </w:rPr>
        <w:t xml:space="preserve">promotes all of the rights in the Human Rights Act by providing a more accessible mechanism for resolution of breaches of those rights by public authorities. </w:t>
      </w:r>
    </w:p>
    <w:p w14:paraId="04E73D86" w14:textId="481B2810" w:rsidR="003B3A43" w:rsidRDefault="00705638" w:rsidP="00414921">
      <w:pPr>
        <w:rPr>
          <w:rFonts w:ascii="Arial" w:hAnsi="Arial" w:cs="Arial"/>
          <w:iCs/>
          <w:sz w:val="24"/>
          <w:szCs w:val="24"/>
        </w:rPr>
      </w:pPr>
      <w:r>
        <w:rPr>
          <w:rFonts w:ascii="Arial" w:hAnsi="Arial" w:cs="Arial"/>
          <w:iCs/>
          <w:sz w:val="24"/>
          <w:szCs w:val="24"/>
        </w:rPr>
        <w:t xml:space="preserve">The Bill specifically </w:t>
      </w:r>
      <w:r w:rsidR="00A853F7">
        <w:rPr>
          <w:rFonts w:ascii="Arial" w:hAnsi="Arial" w:cs="Arial"/>
          <w:iCs/>
          <w:sz w:val="24"/>
          <w:szCs w:val="24"/>
        </w:rPr>
        <w:t>engages the following rights:</w:t>
      </w:r>
    </w:p>
    <w:p w14:paraId="2873D7F9" w14:textId="01A00A44" w:rsidR="00A853F7" w:rsidRDefault="00A853F7" w:rsidP="00A853F7">
      <w:pPr>
        <w:pStyle w:val="ListParagraph"/>
        <w:numPr>
          <w:ilvl w:val="0"/>
          <w:numId w:val="6"/>
        </w:numPr>
        <w:rPr>
          <w:rFonts w:ascii="Arial" w:hAnsi="Arial" w:cs="Arial"/>
          <w:iCs/>
          <w:sz w:val="24"/>
          <w:szCs w:val="24"/>
        </w:rPr>
      </w:pPr>
      <w:r>
        <w:rPr>
          <w:rFonts w:ascii="Arial" w:hAnsi="Arial" w:cs="Arial"/>
          <w:iCs/>
          <w:sz w:val="24"/>
          <w:szCs w:val="24"/>
        </w:rPr>
        <w:t>Right to equality (promote</w:t>
      </w:r>
      <w:r w:rsidR="005176BF">
        <w:rPr>
          <w:rFonts w:ascii="Arial" w:hAnsi="Arial" w:cs="Arial"/>
          <w:iCs/>
          <w:sz w:val="24"/>
          <w:szCs w:val="24"/>
        </w:rPr>
        <w:t>d</w:t>
      </w:r>
      <w:r>
        <w:rPr>
          <w:rFonts w:ascii="Arial" w:hAnsi="Arial" w:cs="Arial"/>
          <w:iCs/>
          <w:sz w:val="24"/>
          <w:szCs w:val="24"/>
        </w:rPr>
        <w:t>)</w:t>
      </w:r>
    </w:p>
    <w:p w14:paraId="44FA41D5" w14:textId="2FF6AA75" w:rsidR="00A853F7" w:rsidRDefault="00A853F7" w:rsidP="00A853F7">
      <w:pPr>
        <w:pStyle w:val="ListParagraph"/>
        <w:numPr>
          <w:ilvl w:val="0"/>
          <w:numId w:val="6"/>
        </w:numPr>
        <w:rPr>
          <w:rFonts w:ascii="Arial" w:hAnsi="Arial" w:cs="Arial"/>
          <w:iCs/>
          <w:sz w:val="24"/>
          <w:szCs w:val="24"/>
        </w:rPr>
      </w:pPr>
      <w:r>
        <w:rPr>
          <w:rFonts w:ascii="Arial" w:hAnsi="Arial" w:cs="Arial"/>
          <w:iCs/>
          <w:sz w:val="24"/>
          <w:szCs w:val="24"/>
        </w:rPr>
        <w:t>Right to privacy and reputation (promote</w:t>
      </w:r>
      <w:r w:rsidR="005176BF">
        <w:rPr>
          <w:rFonts w:ascii="Arial" w:hAnsi="Arial" w:cs="Arial"/>
          <w:iCs/>
          <w:sz w:val="24"/>
          <w:szCs w:val="24"/>
        </w:rPr>
        <w:t>d</w:t>
      </w:r>
      <w:r>
        <w:rPr>
          <w:rFonts w:ascii="Arial" w:hAnsi="Arial" w:cs="Arial"/>
          <w:iCs/>
          <w:sz w:val="24"/>
          <w:szCs w:val="24"/>
        </w:rPr>
        <w:t xml:space="preserve"> and limit</w:t>
      </w:r>
      <w:r w:rsidR="005176BF">
        <w:rPr>
          <w:rFonts w:ascii="Arial" w:hAnsi="Arial" w:cs="Arial"/>
          <w:iCs/>
          <w:sz w:val="24"/>
          <w:szCs w:val="24"/>
        </w:rPr>
        <w:t>ed</w:t>
      </w:r>
      <w:r>
        <w:rPr>
          <w:rFonts w:ascii="Arial" w:hAnsi="Arial" w:cs="Arial"/>
          <w:iCs/>
          <w:sz w:val="24"/>
          <w:szCs w:val="24"/>
        </w:rPr>
        <w:t>)</w:t>
      </w:r>
    </w:p>
    <w:p w14:paraId="5B291568" w14:textId="77777777" w:rsidR="00A853F7" w:rsidRPr="00A853F7" w:rsidRDefault="00A853F7" w:rsidP="00A853F7">
      <w:pPr>
        <w:rPr>
          <w:rFonts w:ascii="Arial" w:hAnsi="Arial" w:cs="Arial"/>
          <w:iCs/>
          <w:sz w:val="24"/>
          <w:szCs w:val="24"/>
        </w:rPr>
      </w:pP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36BD317F" w14:textId="7B5CAAC2" w:rsidR="0004521E" w:rsidRDefault="000E1BA9" w:rsidP="00414921">
      <w:pPr>
        <w:rPr>
          <w:rFonts w:ascii="Arial" w:hAnsi="Arial" w:cs="Arial"/>
          <w:iCs/>
          <w:sz w:val="24"/>
          <w:szCs w:val="24"/>
        </w:rPr>
      </w:pPr>
      <w:r>
        <w:rPr>
          <w:rFonts w:ascii="Arial" w:hAnsi="Arial" w:cs="Arial"/>
          <w:iCs/>
          <w:sz w:val="24"/>
          <w:szCs w:val="24"/>
        </w:rPr>
        <w:t>The Human Rights (Complaints) Legislation Amendment Bill 2023</w:t>
      </w:r>
      <w:r w:rsidR="0004521E">
        <w:rPr>
          <w:rFonts w:ascii="Arial" w:hAnsi="Arial" w:cs="Arial"/>
          <w:iCs/>
          <w:sz w:val="24"/>
          <w:szCs w:val="24"/>
        </w:rPr>
        <w:t xml:space="preserve"> promotes the rights in the </w:t>
      </w:r>
      <w:r w:rsidR="0004521E">
        <w:rPr>
          <w:rFonts w:ascii="Arial" w:hAnsi="Arial" w:cs="Arial"/>
          <w:i/>
          <w:sz w:val="24"/>
          <w:szCs w:val="24"/>
        </w:rPr>
        <w:t>Human Rights Act 2004</w:t>
      </w:r>
      <w:r w:rsidR="0004521E">
        <w:rPr>
          <w:rFonts w:ascii="Arial" w:hAnsi="Arial" w:cs="Arial"/>
          <w:iCs/>
          <w:sz w:val="24"/>
          <w:szCs w:val="24"/>
        </w:rPr>
        <w:t xml:space="preserve"> by </w:t>
      </w:r>
      <w:r w:rsidR="002A3942">
        <w:rPr>
          <w:rFonts w:ascii="Arial" w:hAnsi="Arial" w:cs="Arial"/>
          <w:iCs/>
          <w:sz w:val="24"/>
          <w:szCs w:val="24"/>
        </w:rPr>
        <w:t xml:space="preserve">establishing an accessible pathway to resolve complaints and access </w:t>
      </w:r>
      <w:r w:rsidR="002E79AE">
        <w:rPr>
          <w:rFonts w:ascii="Arial" w:hAnsi="Arial" w:cs="Arial"/>
          <w:iCs/>
          <w:sz w:val="24"/>
          <w:szCs w:val="24"/>
        </w:rPr>
        <w:t>an effective remedy for human rights breaches by public authorities.</w:t>
      </w:r>
    </w:p>
    <w:p w14:paraId="63B82E99" w14:textId="0DC9961D" w:rsidR="0004521E" w:rsidRDefault="0004521E" w:rsidP="00414921">
      <w:pPr>
        <w:rPr>
          <w:rFonts w:ascii="Arial" w:hAnsi="Arial" w:cs="Arial"/>
          <w:iCs/>
          <w:sz w:val="24"/>
          <w:szCs w:val="24"/>
        </w:rPr>
      </w:pPr>
      <w:r>
        <w:rPr>
          <w:rFonts w:ascii="Arial" w:hAnsi="Arial" w:cs="Arial"/>
          <w:iCs/>
          <w:sz w:val="24"/>
          <w:szCs w:val="24"/>
        </w:rPr>
        <w:t>Article 2</w:t>
      </w:r>
      <w:r w:rsidR="00B34D1D">
        <w:rPr>
          <w:rFonts w:ascii="Arial" w:hAnsi="Arial" w:cs="Arial"/>
          <w:iCs/>
          <w:sz w:val="24"/>
          <w:szCs w:val="24"/>
        </w:rPr>
        <w:t xml:space="preserve"> </w:t>
      </w:r>
      <w:r>
        <w:rPr>
          <w:rFonts w:ascii="Arial" w:hAnsi="Arial" w:cs="Arial"/>
          <w:iCs/>
          <w:sz w:val="24"/>
          <w:szCs w:val="24"/>
        </w:rPr>
        <w:t>(3) of the International Covenant on Civil and Political Rights</w:t>
      </w:r>
      <w:r w:rsidR="002F40AE">
        <w:rPr>
          <w:rFonts w:ascii="Arial" w:hAnsi="Arial" w:cs="Arial"/>
          <w:iCs/>
          <w:sz w:val="24"/>
          <w:szCs w:val="24"/>
        </w:rPr>
        <w:t xml:space="preserve"> requires State Parties to ensure that any person whose rights or freedoms are violated </w:t>
      </w:r>
      <w:r w:rsidR="0037133C">
        <w:rPr>
          <w:rFonts w:ascii="Arial" w:hAnsi="Arial" w:cs="Arial"/>
          <w:iCs/>
          <w:sz w:val="24"/>
          <w:szCs w:val="24"/>
        </w:rPr>
        <w:t>has</w:t>
      </w:r>
      <w:r w:rsidR="002F40AE">
        <w:rPr>
          <w:rFonts w:ascii="Arial" w:hAnsi="Arial" w:cs="Arial"/>
          <w:iCs/>
          <w:sz w:val="24"/>
          <w:szCs w:val="24"/>
        </w:rPr>
        <w:t xml:space="preserve"> an effective remedy, </w:t>
      </w:r>
    </w:p>
    <w:p w14:paraId="44A30EB0" w14:textId="28188D7A" w:rsidR="00513917" w:rsidRDefault="002A3942" w:rsidP="00414921">
      <w:pPr>
        <w:rPr>
          <w:rFonts w:ascii="Arial" w:hAnsi="Arial" w:cs="Arial"/>
          <w:iCs/>
          <w:sz w:val="24"/>
          <w:szCs w:val="24"/>
        </w:rPr>
      </w:pPr>
      <w:r>
        <w:rPr>
          <w:rFonts w:ascii="Arial" w:hAnsi="Arial" w:cs="Arial"/>
          <w:iCs/>
          <w:sz w:val="24"/>
          <w:szCs w:val="24"/>
        </w:rPr>
        <w:t xml:space="preserve">Currently, </w:t>
      </w:r>
      <w:r w:rsidR="009632B5">
        <w:rPr>
          <w:rFonts w:ascii="Arial" w:hAnsi="Arial" w:cs="Arial"/>
          <w:iCs/>
          <w:sz w:val="24"/>
          <w:szCs w:val="24"/>
        </w:rPr>
        <w:t xml:space="preserve">the only direct cause of action for alleged </w:t>
      </w:r>
      <w:r w:rsidR="000506F5">
        <w:rPr>
          <w:rFonts w:ascii="Arial" w:hAnsi="Arial" w:cs="Arial"/>
          <w:iCs/>
          <w:sz w:val="24"/>
          <w:szCs w:val="24"/>
        </w:rPr>
        <w:t>breaches of human rights by public authorities</w:t>
      </w:r>
      <w:r w:rsidR="009632B5">
        <w:rPr>
          <w:rFonts w:ascii="Arial" w:hAnsi="Arial" w:cs="Arial"/>
          <w:iCs/>
          <w:sz w:val="24"/>
          <w:szCs w:val="24"/>
        </w:rPr>
        <w:t xml:space="preserve"> in the ACT is through the Supreme Court under section 40C of the Human Rights Act, although human rights breaches can be raised in the context of other proceedings</w:t>
      </w:r>
      <w:r w:rsidR="000506F5">
        <w:rPr>
          <w:rFonts w:ascii="Arial" w:hAnsi="Arial" w:cs="Arial"/>
          <w:iCs/>
          <w:sz w:val="24"/>
          <w:szCs w:val="24"/>
        </w:rPr>
        <w:t xml:space="preserve">. </w:t>
      </w:r>
      <w:r w:rsidR="00513917">
        <w:rPr>
          <w:rFonts w:ascii="Arial" w:hAnsi="Arial" w:cs="Arial"/>
          <w:iCs/>
          <w:sz w:val="24"/>
          <w:szCs w:val="24"/>
        </w:rPr>
        <w:t xml:space="preserve">While the Supreme Court is an important and appropriate jurisdiction for the formal determination of human rights claims against public </w:t>
      </w:r>
      <w:r w:rsidR="00513917">
        <w:rPr>
          <w:rFonts w:ascii="Arial" w:hAnsi="Arial" w:cs="Arial"/>
          <w:iCs/>
          <w:sz w:val="24"/>
          <w:szCs w:val="24"/>
        </w:rPr>
        <w:lastRenderedPageBreak/>
        <w:t>authorities, it is not a pathway that is easily accessible for most Canberrans who have concerns about breaches of their human rights.</w:t>
      </w:r>
    </w:p>
    <w:p w14:paraId="11CDBF9B" w14:textId="4334335B" w:rsidR="00154B0C" w:rsidRDefault="000506F5" w:rsidP="00414921">
      <w:pPr>
        <w:rPr>
          <w:rFonts w:ascii="Arial" w:hAnsi="Arial" w:cs="Arial"/>
          <w:iCs/>
          <w:sz w:val="24"/>
          <w:szCs w:val="24"/>
        </w:rPr>
      </w:pPr>
      <w:r>
        <w:rPr>
          <w:rFonts w:ascii="Arial" w:hAnsi="Arial" w:cs="Arial"/>
          <w:iCs/>
          <w:sz w:val="24"/>
          <w:szCs w:val="24"/>
        </w:rPr>
        <w:t>The Bill</w:t>
      </w:r>
      <w:r w:rsidR="009632B5">
        <w:rPr>
          <w:rFonts w:ascii="Arial" w:hAnsi="Arial" w:cs="Arial"/>
          <w:iCs/>
          <w:sz w:val="24"/>
          <w:szCs w:val="24"/>
        </w:rPr>
        <w:t xml:space="preserve"> will enable complaints to be considered and conciliated by the ACT Human Rights Commission</w:t>
      </w:r>
      <w:r w:rsidR="00A73468">
        <w:rPr>
          <w:rFonts w:ascii="Arial" w:hAnsi="Arial" w:cs="Arial"/>
          <w:iCs/>
          <w:sz w:val="24"/>
          <w:szCs w:val="24"/>
        </w:rPr>
        <w:t>, which will create a more accessible pathway for people affected by breaches of their human rights by public authorities, allowing them to raise their concerns and have these issues resolved in a timely and effective way.</w:t>
      </w:r>
    </w:p>
    <w:p w14:paraId="15EA5F6D" w14:textId="12BC0D24" w:rsidR="004B6048" w:rsidRDefault="004B6048" w:rsidP="00414921">
      <w:pPr>
        <w:rPr>
          <w:rFonts w:ascii="Arial" w:hAnsi="Arial" w:cs="Arial"/>
          <w:iCs/>
          <w:sz w:val="24"/>
          <w:szCs w:val="24"/>
        </w:rPr>
      </w:pPr>
      <w:r>
        <w:rPr>
          <w:rFonts w:ascii="Arial" w:hAnsi="Arial" w:cs="Arial"/>
          <w:iCs/>
          <w:sz w:val="24"/>
          <w:szCs w:val="24"/>
        </w:rPr>
        <w:t xml:space="preserve">Community members who make a human rights complaint to the Human Rights Commission will not be precluded from initiating a proceeding in the Supreme Court if resolution cannot be reached through conciliation, subject to </w:t>
      </w:r>
      <w:r w:rsidR="00FB0307">
        <w:rPr>
          <w:rFonts w:ascii="Arial" w:hAnsi="Arial" w:cs="Arial"/>
          <w:iCs/>
          <w:sz w:val="24"/>
          <w:szCs w:val="24"/>
        </w:rPr>
        <w:t>the limitation period in s 40C (3) of the Human Rights Act.</w:t>
      </w:r>
    </w:p>
    <w:p w14:paraId="2D36493A" w14:textId="2C471FBD" w:rsidR="00154B0C" w:rsidRDefault="00154B0C" w:rsidP="00BF44E1">
      <w:pPr>
        <w:keepNext/>
        <w:rPr>
          <w:rFonts w:ascii="Arial" w:hAnsi="Arial" w:cs="Arial"/>
          <w:iCs/>
          <w:sz w:val="24"/>
          <w:szCs w:val="24"/>
        </w:rPr>
      </w:pPr>
      <w:r>
        <w:rPr>
          <w:rFonts w:ascii="Arial" w:hAnsi="Arial" w:cs="Arial"/>
          <w:iCs/>
          <w:sz w:val="24"/>
          <w:szCs w:val="24"/>
        </w:rPr>
        <w:t>The Bill also promotes:</w:t>
      </w:r>
    </w:p>
    <w:p w14:paraId="7B549ECF" w14:textId="24B8D779" w:rsidR="00154B0C" w:rsidRDefault="00154B0C" w:rsidP="00BF44E1">
      <w:pPr>
        <w:pStyle w:val="ListParagraph"/>
        <w:keepNext/>
        <w:numPr>
          <w:ilvl w:val="0"/>
          <w:numId w:val="5"/>
        </w:numPr>
        <w:rPr>
          <w:rFonts w:ascii="Arial" w:hAnsi="Arial" w:cs="Arial"/>
          <w:iCs/>
          <w:sz w:val="24"/>
          <w:szCs w:val="24"/>
        </w:rPr>
      </w:pPr>
      <w:r>
        <w:rPr>
          <w:rFonts w:ascii="Arial" w:hAnsi="Arial" w:cs="Arial"/>
          <w:iCs/>
          <w:sz w:val="24"/>
          <w:szCs w:val="24"/>
        </w:rPr>
        <w:t xml:space="preserve">The right to equality – by </w:t>
      </w:r>
      <w:r w:rsidR="00A57664">
        <w:rPr>
          <w:rFonts w:ascii="Arial" w:hAnsi="Arial" w:cs="Arial"/>
          <w:iCs/>
          <w:sz w:val="24"/>
          <w:szCs w:val="24"/>
        </w:rPr>
        <w:t xml:space="preserve">removing gendered language from the </w:t>
      </w:r>
      <w:r w:rsidR="006E420C">
        <w:rPr>
          <w:rFonts w:ascii="Arial" w:hAnsi="Arial" w:cs="Arial"/>
          <w:i/>
          <w:sz w:val="24"/>
          <w:szCs w:val="24"/>
        </w:rPr>
        <w:t>Human Rights Act</w:t>
      </w:r>
      <w:r w:rsidR="006E420C">
        <w:rPr>
          <w:rFonts w:ascii="Arial" w:hAnsi="Arial" w:cs="Arial"/>
          <w:iCs/>
          <w:sz w:val="24"/>
          <w:szCs w:val="24"/>
        </w:rPr>
        <w:t xml:space="preserve"> in line with modern drafting practice, while not </w:t>
      </w:r>
      <w:r w:rsidR="00517C5B">
        <w:rPr>
          <w:rFonts w:ascii="Arial" w:hAnsi="Arial" w:cs="Arial"/>
          <w:iCs/>
          <w:sz w:val="24"/>
          <w:szCs w:val="24"/>
        </w:rPr>
        <w:t>changing the content or nature of the rights in the Act.</w:t>
      </w:r>
      <w:r w:rsidR="00517C5B">
        <w:rPr>
          <w:rFonts w:ascii="Arial" w:hAnsi="Arial" w:cs="Arial"/>
          <w:iCs/>
          <w:sz w:val="24"/>
          <w:szCs w:val="24"/>
        </w:rPr>
        <w:br/>
      </w:r>
    </w:p>
    <w:p w14:paraId="246347D5" w14:textId="72C3C890" w:rsidR="00792F24" w:rsidRDefault="00792F24" w:rsidP="00154B0C">
      <w:pPr>
        <w:pStyle w:val="ListParagraph"/>
        <w:numPr>
          <w:ilvl w:val="0"/>
          <w:numId w:val="5"/>
        </w:numPr>
        <w:rPr>
          <w:rFonts w:ascii="Arial" w:hAnsi="Arial" w:cs="Arial"/>
          <w:iCs/>
          <w:sz w:val="24"/>
          <w:szCs w:val="24"/>
        </w:rPr>
      </w:pPr>
      <w:r>
        <w:rPr>
          <w:rFonts w:ascii="Arial" w:hAnsi="Arial" w:cs="Arial"/>
          <w:iCs/>
          <w:sz w:val="24"/>
          <w:szCs w:val="24"/>
        </w:rPr>
        <w:t xml:space="preserve">The right to privacy </w:t>
      </w:r>
      <w:r w:rsidR="00E23912">
        <w:rPr>
          <w:rFonts w:ascii="Arial" w:hAnsi="Arial" w:cs="Arial"/>
          <w:iCs/>
          <w:sz w:val="24"/>
          <w:szCs w:val="24"/>
        </w:rPr>
        <w:t xml:space="preserve">and reputation </w:t>
      </w:r>
      <w:r w:rsidR="008529D9">
        <w:rPr>
          <w:rFonts w:ascii="Arial" w:hAnsi="Arial" w:cs="Arial"/>
          <w:iCs/>
          <w:sz w:val="24"/>
          <w:szCs w:val="24"/>
        </w:rPr>
        <w:t>–</w:t>
      </w:r>
      <w:r w:rsidR="00E23912">
        <w:rPr>
          <w:rFonts w:ascii="Arial" w:hAnsi="Arial" w:cs="Arial"/>
          <w:iCs/>
          <w:sz w:val="24"/>
          <w:szCs w:val="24"/>
        </w:rPr>
        <w:t xml:space="preserve"> </w:t>
      </w:r>
      <w:r w:rsidR="00BE19B2">
        <w:rPr>
          <w:rFonts w:ascii="Arial" w:hAnsi="Arial" w:cs="Arial"/>
          <w:iCs/>
          <w:sz w:val="24"/>
          <w:szCs w:val="24"/>
        </w:rPr>
        <w:t xml:space="preserve">by amending s 40C of the Human Rights Act to specify that </w:t>
      </w:r>
      <w:r w:rsidR="00745205">
        <w:rPr>
          <w:rFonts w:ascii="Arial" w:hAnsi="Arial" w:cs="Arial"/>
          <w:iCs/>
          <w:sz w:val="24"/>
          <w:szCs w:val="24"/>
        </w:rPr>
        <w:t xml:space="preserve">in Supreme Court proceedings under that provision, if the public authority who is claimed to have acted in contravention of their obligations under the Act is a public employee, the respondent to a proceeding will be the Territory or in the case of statutory office-holders, the statutory office-holder. This amendment will prevent the naming of individual public servants as parties in human rights litigation which can cause distress. It will not affect the </w:t>
      </w:r>
      <w:r w:rsidR="009428FE">
        <w:rPr>
          <w:rFonts w:ascii="Arial" w:hAnsi="Arial" w:cs="Arial"/>
          <w:iCs/>
          <w:sz w:val="24"/>
          <w:szCs w:val="24"/>
        </w:rPr>
        <w:t xml:space="preserve">ability for </w:t>
      </w:r>
      <w:r w:rsidR="00AB1A4F">
        <w:rPr>
          <w:rFonts w:ascii="Arial" w:hAnsi="Arial" w:cs="Arial"/>
          <w:iCs/>
          <w:sz w:val="24"/>
          <w:szCs w:val="24"/>
        </w:rPr>
        <w:t>proceedings to be brought in relation to the actions of individual public employees.</w:t>
      </w:r>
    </w:p>
    <w:p w14:paraId="6E41DB7C" w14:textId="77777777" w:rsidR="00154B0C" w:rsidRPr="00154B0C" w:rsidRDefault="00154B0C" w:rsidP="00154B0C">
      <w:pPr>
        <w:rPr>
          <w:rFonts w:ascii="Arial" w:hAnsi="Arial" w:cs="Arial"/>
          <w:iCs/>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C3B0F88" w14:textId="6C8BE0D6" w:rsidR="00BC3EF0" w:rsidRPr="00AF3B49" w:rsidRDefault="00AF3B49" w:rsidP="00414921">
      <w:pPr>
        <w:rPr>
          <w:rFonts w:ascii="Arial" w:hAnsi="Arial" w:cs="Arial"/>
          <w:b/>
          <w:bCs/>
          <w:iCs/>
          <w:sz w:val="24"/>
          <w:szCs w:val="24"/>
          <w:u w:val="single"/>
        </w:rPr>
      </w:pPr>
      <w:r>
        <w:rPr>
          <w:rFonts w:ascii="Arial" w:hAnsi="Arial" w:cs="Arial"/>
          <w:iCs/>
          <w:sz w:val="24"/>
          <w:szCs w:val="24"/>
          <w:u w:val="single"/>
        </w:rPr>
        <w:t>Right to privacy and reputation</w:t>
      </w:r>
    </w:p>
    <w:p w14:paraId="05BFF737" w14:textId="46E1933D" w:rsidR="00376166" w:rsidRPr="00414921" w:rsidRDefault="007C565D" w:rsidP="00154B0C">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sidR="00440C11">
        <w:rPr>
          <w:rFonts w:ascii="Arial" w:hAnsi="Arial" w:cs="Arial"/>
          <w:b/>
          <w:bCs/>
          <w:i/>
          <w:sz w:val="24"/>
          <w:szCs w:val="24"/>
        </w:rPr>
        <w:t xml:space="preserve">s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23A4CE47" w14:textId="7DF6D60E" w:rsidR="00023B23" w:rsidRPr="00A9704D" w:rsidRDefault="00AF3B49" w:rsidP="00A9704D">
      <w:pPr>
        <w:pStyle w:val="ListParagraph"/>
        <w:ind w:left="360"/>
        <w:rPr>
          <w:rFonts w:ascii="Arial" w:hAnsi="Arial" w:cs="Arial"/>
          <w:iCs/>
          <w:sz w:val="24"/>
          <w:szCs w:val="24"/>
        </w:rPr>
      </w:pPr>
      <w:r>
        <w:rPr>
          <w:rFonts w:ascii="Arial" w:hAnsi="Arial" w:cs="Arial"/>
          <w:iCs/>
          <w:sz w:val="24"/>
          <w:szCs w:val="24"/>
        </w:rPr>
        <w:t>Section 12 of the Human Rights Act protects individuals from unlawful and arbitrary interference with privacy, family, home or correspondence.</w:t>
      </w:r>
      <w:r w:rsidR="004D2EFE" w:rsidRPr="004D2EFE">
        <w:rPr>
          <w:rFonts w:ascii="Arial" w:hAnsi="Arial" w:cs="Arial"/>
          <w:iCs/>
          <w:sz w:val="24"/>
          <w:szCs w:val="24"/>
        </w:rPr>
        <w:t xml:space="preserve"> </w:t>
      </w:r>
      <w:r w:rsidR="004D2EFE">
        <w:rPr>
          <w:rFonts w:ascii="Arial" w:hAnsi="Arial" w:cs="Arial"/>
          <w:iCs/>
          <w:sz w:val="24"/>
          <w:szCs w:val="24"/>
        </w:rPr>
        <w:t xml:space="preserve">Limitations on the right to privacy must be lawful and must not be arbitrary. </w:t>
      </w:r>
    </w:p>
    <w:p w14:paraId="265F2C1E" w14:textId="3B7C6B2E" w:rsidR="00AF3B49" w:rsidRDefault="00AF3B49" w:rsidP="00376166">
      <w:pPr>
        <w:pStyle w:val="ListParagraph"/>
        <w:ind w:left="360"/>
        <w:rPr>
          <w:rFonts w:ascii="Arial" w:hAnsi="Arial" w:cs="Arial"/>
          <w:iCs/>
          <w:sz w:val="24"/>
          <w:szCs w:val="24"/>
        </w:rPr>
      </w:pPr>
    </w:p>
    <w:p w14:paraId="04DCC0D3" w14:textId="023FDFE1" w:rsidR="00A63DE2" w:rsidRDefault="00A63DE2" w:rsidP="00376166">
      <w:pPr>
        <w:pStyle w:val="ListParagraph"/>
        <w:ind w:left="360"/>
        <w:rPr>
          <w:rFonts w:ascii="Arial" w:hAnsi="Arial" w:cs="Arial"/>
          <w:iCs/>
          <w:sz w:val="24"/>
          <w:szCs w:val="24"/>
        </w:rPr>
      </w:pPr>
      <w:r>
        <w:rPr>
          <w:rFonts w:ascii="Arial" w:hAnsi="Arial" w:cs="Arial"/>
          <w:iCs/>
          <w:sz w:val="24"/>
          <w:szCs w:val="24"/>
        </w:rPr>
        <w:t xml:space="preserve">The Human Rights Commission currently has functions and powers </w:t>
      </w:r>
      <w:r w:rsidR="00040B9E">
        <w:rPr>
          <w:rFonts w:ascii="Arial" w:hAnsi="Arial" w:cs="Arial"/>
          <w:iCs/>
          <w:sz w:val="24"/>
          <w:szCs w:val="24"/>
        </w:rPr>
        <w:t xml:space="preserve">under the </w:t>
      </w:r>
      <w:r w:rsidR="00040B9E">
        <w:rPr>
          <w:rFonts w:ascii="Arial" w:hAnsi="Arial" w:cs="Arial"/>
          <w:i/>
          <w:sz w:val="24"/>
          <w:szCs w:val="24"/>
        </w:rPr>
        <w:t>Human Rights Commission Act 2005</w:t>
      </w:r>
      <w:r w:rsidR="00040B9E">
        <w:rPr>
          <w:rFonts w:ascii="Arial" w:hAnsi="Arial" w:cs="Arial"/>
          <w:iCs/>
          <w:sz w:val="24"/>
          <w:szCs w:val="24"/>
        </w:rPr>
        <w:t xml:space="preserve"> </w:t>
      </w:r>
      <w:r>
        <w:rPr>
          <w:rFonts w:ascii="Arial" w:hAnsi="Arial" w:cs="Arial"/>
          <w:iCs/>
          <w:sz w:val="24"/>
          <w:szCs w:val="24"/>
        </w:rPr>
        <w:t>in relation to complaints made by community members about a broad range of services, including health services, services for children and young people, services for older people and services for people with disability.</w:t>
      </w:r>
    </w:p>
    <w:p w14:paraId="16BE2C71" w14:textId="77777777" w:rsidR="00A63DE2" w:rsidRDefault="00A63DE2" w:rsidP="00376166">
      <w:pPr>
        <w:pStyle w:val="ListParagraph"/>
        <w:ind w:left="360"/>
        <w:rPr>
          <w:rFonts w:ascii="Arial" w:hAnsi="Arial" w:cs="Arial"/>
          <w:iCs/>
          <w:sz w:val="24"/>
          <w:szCs w:val="24"/>
        </w:rPr>
      </w:pPr>
    </w:p>
    <w:p w14:paraId="782489DC" w14:textId="197174A8" w:rsidR="00494063" w:rsidRPr="000304B9" w:rsidRDefault="00AF3B49" w:rsidP="000304B9">
      <w:pPr>
        <w:pStyle w:val="ListParagraph"/>
        <w:ind w:left="360"/>
        <w:rPr>
          <w:rFonts w:ascii="Arial" w:hAnsi="Arial" w:cs="Arial"/>
          <w:iCs/>
          <w:sz w:val="24"/>
          <w:szCs w:val="24"/>
        </w:rPr>
      </w:pPr>
      <w:r>
        <w:rPr>
          <w:rFonts w:ascii="Arial" w:hAnsi="Arial" w:cs="Arial"/>
          <w:iCs/>
          <w:sz w:val="24"/>
          <w:szCs w:val="24"/>
        </w:rPr>
        <w:t xml:space="preserve">The </w:t>
      </w:r>
      <w:r w:rsidR="000F2540">
        <w:rPr>
          <w:rFonts w:ascii="Arial" w:hAnsi="Arial" w:cs="Arial"/>
          <w:iCs/>
          <w:sz w:val="24"/>
          <w:szCs w:val="24"/>
        </w:rPr>
        <w:t xml:space="preserve">Human Rights (Complaints) Legislation Amendment Bill 2023 will </w:t>
      </w:r>
      <w:r w:rsidR="006A0CE8">
        <w:rPr>
          <w:rFonts w:ascii="Arial" w:hAnsi="Arial" w:cs="Arial"/>
          <w:iCs/>
          <w:sz w:val="24"/>
          <w:szCs w:val="24"/>
        </w:rPr>
        <w:t xml:space="preserve">create a new complaints jurisdiction </w:t>
      </w:r>
      <w:r w:rsidR="00E23CE3">
        <w:rPr>
          <w:rFonts w:ascii="Arial" w:hAnsi="Arial" w:cs="Arial"/>
          <w:iCs/>
          <w:sz w:val="24"/>
          <w:szCs w:val="24"/>
        </w:rPr>
        <w:t>extending the Commission’s existing complaints handling functions and powers to the new complaints jurisdiction</w:t>
      </w:r>
      <w:r w:rsidR="00932FB0">
        <w:rPr>
          <w:rFonts w:ascii="Arial" w:hAnsi="Arial" w:cs="Arial"/>
          <w:iCs/>
          <w:sz w:val="24"/>
          <w:szCs w:val="24"/>
        </w:rPr>
        <w:t xml:space="preserve">, some of which </w:t>
      </w:r>
      <w:r w:rsidR="00517750">
        <w:rPr>
          <w:rFonts w:ascii="Arial" w:hAnsi="Arial" w:cs="Arial"/>
          <w:iCs/>
          <w:sz w:val="24"/>
          <w:szCs w:val="24"/>
        </w:rPr>
        <w:t>may limit</w:t>
      </w:r>
      <w:r w:rsidR="00932FB0">
        <w:rPr>
          <w:rFonts w:ascii="Arial" w:hAnsi="Arial" w:cs="Arial"/>
          <w:iCs/>
          <w:sz w:val="24"/>
          <w:szCs w:val="24"/>
        </w:rPr>
        <w:t xml:space="preserve"> the right to privacy</w:t>
      </w:r>
      <w:r w:rsidR="00E23CE3">
        <w:rPr>
          <w:rFonts w:ascii="Arial" w:hAnsi="Arial" w:cs="Arial"/>
          <w:iCs/>
          <w:sz w:val="24"/>
          <w:szCs w:val="24"/>
        </w:rPr>
        <w:t xml:space="preserve">. </w:t>
      </w:r>
      <w:r w:rsidR="004A0DCE">
        <w:rPr>
          <w:rFonts w:ascii="Arial" w:hAnsi="Arial" w:cs="Arial"/>
          <w:iCs/>
          <w:sz w:val="24"/>
          <w:szCs w:val="24"/>
        </w:rPr>
        <w:t>This includes</w:t>
      </w:r>
      <w:r w:rsidR="004534F3">
        <w:rPr>
          <w:rFonts w:ascii="Arial" w:hAnsi="Arial" w:cs="Arial"/>
          <w:iCs/>
          <w:sz w:val="24"/>
          <w:szCs w:val="24"/>
        </w:rPr>
        <w:t xml:space="preserve"> the power</w:t>
      </w:r>
      <w:r w:rsidR="00AD552E">
        <w:rPr>
          <w:rFonts w:ascii="Arial" w:hAnsi="Arial" w:cs="Arial"/>
          <w:iCs/>
          <w:sz w:val="24"/>
          <w:szCs w:val="24"/>
        </w:rPr>
        <w:t xml:space="preserve"> to ask for information, </w:t>
      </w:r>
      <w:r w:rsidR="00AD552E">
        <w:rPr>
          <w:rFonts w:ascii="Arial" w:hAnsi="Arial" w:cs="Arial"/>
          <w:iCs/>
          <w:sz w:val="24"/>
          <w:szCs w:val="24"/>
        </w:rPr>
        <w:lastRenderedPageBreak/>
        <w:t>documents and other things (s 73, Human Rights Commission Act) and requiring attendance (s 74, Human Rights Commission Act</w:t>
      </w:r>
      <w:r w:rsidR="00FB233E">
        <w:rPr>
          <w:rFonts w:ascii="Arial" w:hAnsi="Arial" w:cs="Arial"/>
          <w:iCs/>
          <w:sz w:val="24"/>
          <w:szCs w:val="24"/>
        </w:rPr>
        <w:t>)</w:t>
      </w:r>
      <w:r w:rsidR="00482431">
        <w:rPr>
          <w:rFonts w:ascii="Arial" w:hAnsi="Arial" w:cs="Arial"/>
          <w:iCs/>
          <w:sz w:val="24"/>
          <w:szCs w:val="24"/>
        </w:rPr>
        <w:t>.</w:t>
      </w:r>
    </w:p>
    <w:p w14:paraId="667B79F7" w14:textId="6E9E39A2" w:rsidR="006555E3" w:rsidRDefault="006555E3" w:rsidP="00376166">
      <w:pPr>
        <w:pStyle w:val="ListParagraph"/>
        <w:ind w:left="360"/>
        <w:rPr>
          <w:rFonts w:ascii="Arial" w:hAnsi="Arial" w:cs="Arial"/>
          <w:i/>
          <w:color w:val="FF0000"/>
          <w:sz w:val="24"/>
          <w:szCs w:val="24"/>
        </w:rPr>
      </w:pPr>
    </w:p>
    <w:p w14:paraId="4C31D8E5" w14:textId="572CFC04" w:rsidR="007C565D" w:rsidRPr="00414921" w:rsidRDefault="007C565D" w:rsidP="0043265C">
      <w:pPr>
        <w:pStyle w:val="ListParagraph"/>
        <w:keepNext/>
        <w:numPr>
          <w:ilvl w:val="0"/>
          <w:numId w:val="3"/>
        </w:numPr>
        <w:ind w:left="357"/>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66D48279" w14:textId="77777777" w:rsidR="007C565D" w:rsidRDefault="007C565D" w:rsidP="0043265C">
      <w:pPr>
        <w:pStyle w:val="ListParagraph"/>
        <w:keepNext/>
        <w:ind w:left="357"/>
        <w:rPr>
          <w:rFonts w:ascii="Arial" w:hAnsi="Arial" w:cs="Arial"/>
          <w:i/>
          <w:color w:val="FF0000"/>
          <w:sz w:val="24"/>
          <w:szCs w:val="24"/>
        </w:rPr>
      </w:pPr>
    </w:p>
    <w:p w14:paraId="0298A4C6" w14:textId="4092F82B" w:rsidR="007C565D" w:rsidRPr="00494063" w:rsidRDefault="001E77F3" w:rsidP="0043265C">
      <w:pPr>
        <w:pStyle w:val="ListParagraph"/>
        <w:keepNext/>
        <w:ind w:left="357"/>
        <w:rPr>
          <w:rFonts w:ascii="Arial" w:hAnsi="Arial" w:cs="Arial"/>
          <w:iCs/>
          <w:sz w:val="24"/>
          <w:szCs w:val="24"/>
        </w:rPr>
      </w:pPr>
      <w:r>
        <w:rPr>
          <w:rFonts w:ascii="Arial" w:hAnsi="Arial" w:cs="Arial"/>
          <w:iCs/>
          <w:sz w:val="24"/>
          <w:szCs w:val="24"/>
        </w:rPr>
        <w:t xml:space="preserve">The </w:t>
      </w:r>
      <w:r w:rsidR="00574433">
        <w:rPr>
          <w:rFonts w:ascii="Arial" w:hAnsi="Arial" w:cs="Arial"/>
          <w:iCs/>
          <w:sz w:val="24"/>
          <w:szCs w:val="24"/>
        </w:rPr>
        <w:t>legitimate purpose is to</w:t>
      </w:r>
      <w:r w:rsidR="00374E9C">
        <w:rPr>
          <w:rFonts w:ascii="Arial" w:hAnsi="Arial" w:cs="Arial"/>
          <w:iCs/>
          <w:sz w:val="24"/>
          <w:szCs w:val="24"/>
        </w:rPr>
        <w:t xml:space="preserve"> </w:t>
      </w:r>
      <w:r w:rsidR="00574433">
        <w:rPr>
          <w:rFonts w:ascii="Arial" w:hAnsi="Arial" w:cs="Arial"/>
          <w:iCs/>
          <w:sz w:val="24"/>
          <w:szCs w:val="24"/>
        </w:rPr>
        <w:t>establish an accessible complaints mechanism</w:t>
      </w:r>
      <w:r w:rsidR="005D29BF">
        <w:rPr>
          <w:rFonts w:ascii="Arial" w:hAnsi="Arial" w:cs="Arial"/>
          <w:iCs/>
          <w:sz w:val="24"/>
          <w:szCs w:val="24"/>
        </w:rPr>
        <w:t xml:space="preserve"> for </w:t>
      </w:r>
      <w:r w:rsidR="003D44C9">
        <w:rPr>
          <w:rFonts w:ascii="Arial" w:hAnsi="Arial" w:cs="Arial"/>
          <w:iCs/>
          <w:sz w:val="24"/>
          <w:szCs w:val="24"/>
        </w:rPr>
        <w:t>people affected by breaches of their human rights by public authorities and have these issues resolved in a timely and effective way.</w:t>
      </w:r>
    </w:p>
    <w:p w14:paraId="2239E25C" w14:textId="77777777" w:rsidR="007C565D" w:rsidRPr="007C565D" w:rsidRDefault="007C565D" w:rsidP="00414921">
      <w:pPr>
        <w:pStyle w:val="ListParagraph"/>
        <w:ind w:left="360"/>
        <w:rPr>
          <w:rFonts w:ascii="Arial" w:hAnsi="Arial" w:cs="Arial"/>
          <w:i/>
          <w:color w:val="FF0000"/>
          <w:sz w:val="24"/>
          <w:szCs w:val="24"/>
        </w:rPr>
      </w:pPr>
    </w:p>
    <w:p w14:paraId="28129201" w14:textId="73CD0EB9" w:rsidR="007C565D" w:rsidRPr="00414921" w:rsidRDefault="00376166" w:rsidP="00154B0C">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4C51CABB" w14:textId="77777777" w:rsidR="007C565D" w:rsidRDefault="007C565D" w:rsidP="007C565D">
      <w:pPr>
        <w:pStyle w:val="ListParagraph"/>
        <w:ind w:left="360"/>
        <w:rPr>
          <w:rFonts w:ascii="Arial" w:hAnsi="Arial" w:cs="Arial"/>
          <w:i/>
          <w:color w:val="FF0000"/>
          <w:sz w:val="24"/>
          <w:szCs w:val="24"/>
        </w:rPr>
      </w:pPr>
    </w:p>
    <w:p w14:paraId="2B178401" w14:textId="4160EF26" w:rsidR="00023878" w:rsidRDefault="00685CC8" w:rsidP="003427D2">
      <w:pPr>
        <w:pStyle w:val="ListParagraph"/>
        <w:ind w:left="360"/>
        <w:rPr>
          <w:rFonts w:ascii="Arial" w:hAnsi="Arial" w:cs="Arial"/>
          <w:iCs/>
          <w:sz w:val="24"/>
          <w:szCs w:val="24"/>
        </w:rPr>
      </w:pPr>
      <w:r>
        <w:rPr>
          <w:rFonts w:ascii="Arial" w:hAnsi="Arial" w:cs="Arial"/>
          <w:iCs/>
          <w:sz w:val="24"/>
          <w:szCs w:val="24"/>
        </w:rPr>
        <w:t>The Human Rights Commission plays an important role in promoting and upholding human rights in the ACT through community education, advice to government, and their complaints-handling jurisdiction.</w:t>
      </w:r>
      <w:r w:rsidR="003427D2">
        <w:rPr>
          <w:rFonts w:ascii="Arial" w:hAnsi="Arial" w:cs="Arial"/>
          <w:iCs/>
          <w:sz w:val="24"/>
          <w:szCs w:val="24"/>
        </w:rPr>
        <w:t xml:space="preserve"> </w:t>
      </w:r>
      <w:r w:rsidR="002C5702" w:rsidRPr="003427D2">
        <w:rPr>
          <w:rFonts w:ascii="Arial" w:hAnsi="Arial" w:cs="Arial"/>
          <w:iCs/>
          <w:sz w:val="24"/>
          <w:szCs w:val="24"/>
        </w:rPr>
        <w:t>Currently, human rights issues may be raised indirectly via the Commission’s existing complaints handling jurisdiction which covers a wide range of services.</w:t>
      </w:r>
    </w:p>
    <w:p w14:paraId="66E4DF31" w14:textId="77777777" w:rsidR="003427D2" w:rsidRDefault="003427D2" w:rsidP="003427D2">
      <w:pPr>
        <w:pStyle w:val="ListParagraph"/>
        <w:ind w:left="360"/>
        <w:rPr>
          <w:rFonts w:ascii="Arial" w:hAnsi="Arial" w:cs="Arial"/>
          <w:iCs/>
          <w:sz w:val="24"/>
          <w:szCs w:val="24"/>
        </w:rPr>
      </w:pPr>
    </w:p>
    <w:p w14:paraId="78F32E73" w14:textId="682A8E2C" w:rsidR="003427D2" w:rsidRPr="003427D2" w:rsidRDefault="003427D2" w:rsidP="003427D2">
      <w:pPr>
        <w:pStyle w:val="ListParagraph"/>
        <w:ind w:left="360"/>
        <w:rPr>
          <w:rFonts w:ascii="Arial" w:hAnsi="Arial" w:cs="Arial"/>
          <w:iCs/>
          <w:sz w:val="24"/>
          <w:szCs w:val="24"/>
        </w:rPr>
      </w:pPr>
      <w:r>
        <w:rPr>
          <w:rFonts w:ascii="Arial" w:hAnsi="Arial" w:cs="Arial"/>
          <w:iCs/>
          <w:sz w:val="24"/>
          <w:szCs w:val="24"/>
        </w:rPr>
        <w:t xml:space="preserve">Because of its expertise and role in the ACT, it is appropriate for the Human Rights Commission to </w:t>
      </w:r>
      <w:r w:rsidR="00A547E5">
        <w:rPr>
          <w:rFonts w:ascii="Arial" w:hAnsi="Arial" w:cs="Arial"/>
          <w:iCs/>
          <w:sz w:val="24"/>
          <w:szCs w:val="24"/>
        </w:rPr>
        <w:t xml:space="preserve">have an expanded </w:t>
      </w:r>
      <w:r w:rsidR="00DC56CB">
        <w:rPr>
          <w:rFonts w:ascii="Arial" w:hAnsi="Arial" w:cs="Arial"/>
          <w:iCs/>
          <w:sz w:val="24"/>
          <w:szCs w:val="24"/>
        </w:rPr>
        <w:t xml:space="preserve">complaints handling </w:t>
      </w:r>
      <w:r w:rsidR="00A547E5">
        <w:rPr>
          <w:rFonts w:ascii="Arial" w:hAnsi="Arial" w:cs="Arial"/>
          <w:iCs/>
          <w:sz w:val="24"/>
          <w:szCs w:val="24"/>
        </w:rPr>
        <w:t>function</w:t>
      </w:r>
      <w:r w:rsidR="00DC56CB">
        <w:rPr>
          <w:rFonts w:ascii="Arial" w:hAnsi="Arial" w:cs="Arial"/>
          <w:iCs/>
          <w:sz w:val="24"/>
          <w:szCs w:val="24"/>
        </w:rPr>
        <w:t xml:space="preserve"> in relation to complaints about alleged breaches of s 40B of the Human Rights Act</w:t>
      </w:r>
      <w:r w:rsidR="0021751B">
        <w:rPr>
          <w:rFonts w:ascii="Arial" w:hAnsi="Arial" w:cs="Arial"/>
          <w:iCs/>
          <w:sz w:val="24"/>
          <w:szCs w:val="24"/>
        </w:rPr>
        <w:t>, and for the Commission’s existing powers to extend to the new complaints jurisdiction.</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1CBAD747" w:rsidR="007D660F" w:rsidRDefault="007C565D" w:rsidP="00431668">
      <w:pPr>
        <w:pStyle w:val="ListParagraph"/>
        <w:keepNext/>
        <w:numPr>
          <w:ilvl w:val="0"/>
          <w:numId w:val="3"/>
        </w:numPr>
        <w:ind w:left="357"/>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5D362703" w14:textId="77777777" w:rsidR="006555E3" w:rsidRPr="00414921" w:rsidRDefault="006555E3" w:rsidP="00431668">
      <w:pPr>
        <w:pStyle w:val="ListParagraph"/>
        <w:keepNext/>
        <w:ind w:left="357"/>
        <w:rPr>
          <w:rFonts w:ascii="Arial" w:hAnsi="Arial" w:cs="Arial"/>
          <w:b/>
          <w:bCs/>
          <w:i/>
          <w:sz w:val="24"/>
          <w:szCs w:val="24"/>
        </w:rPr>
      </w:pPr>
    </w:p>
    <w:p w14:paraId="605CD83E" w14:textId="3E9AE22F" w:rsidR="00674074" w:rsidRDefault="00C96410" w:rsidP="00431668">
      <w:pPr>
        <w:pStyle w:val="ListParagraph"/>
        <w:keepNext/>
        <w:ind w:left="357"/>
        <w:rPr>
          <w:rFonts w:ascii="Arial" w:hAnsi="Arial" w:cs="Arial"/>
          <w:iCs/>
          <w:sz w:val="24"/>
          <w:szCs w:val="24"/>
        </w:rPr>
      </w:pPr>
      <w:r>
        <w:rPr>
          <w:rFonts w:ascii="Arial" w:hAnsi="Arial" w:cs="Arial"/>
          <w:iCs/>
          <w:sz w:val="24"/>
          <w:szCs w:val="24"/>
        </w:rPr>
        <w:t xml:space="preserve">Expanding the complaints jurisdiction of the Human Rights Commission to consider complaints about a breach of the Human Rights Act by a public authority and facilitate confidential conciliation has considerable community support, is an identified need, and </w:t>
      </w:r>
      <w:r w:rsidR="0015684F">
        <w:rPr>
          <w:rFonts w:ascii="Arial" w:hAnsi="Arial" w:cs="Arial"/>
          <w:iCs/>
          <w:sz w:val="24"/>
          <w:szCs w:val="24"/>
        </w:rPr>
        <w:t xml:space="preserve">will </w:t>
      </w:r>
      <w:r>
        <w:rPr>
          <w:rFonts w:ascii="Arial" w:hAnsi="Arial" w:cs="Arial"/>
          <w:iCs/>
          <w:sz w:val="24"/>
          <w:szCs w:val="24"/>
        </w:rPr>
        <w:t>provide benefit to the ACT community.</w:t>
      </w:r>
    </w:p>
    <w:p w14:paraId="56E3EA88" w14:textId="77777777" w:rsidR="00705638" w:rsidRDefault="00705638" w:rsidP="00431668">
      <w:pPr>
        <w:pStyle w:val="ListParagraph"/>
        <w:keepNext/>
        <w:ind w:left="357"/>
        <w:rPr>
          <w:rFonts w:ascii="Arial" w:hAnsi="Arial" w:cs="Arial"/>
          <w:iCs/>
          <w:sz w:val="24"/>
          <w:szCs w:val="24"/>
        </w:rPr>
      </w:pPr>
    </w:p>
    <w:p w14:paraId="2E92AF09" w14:textId="0341FD00" w:rsidR="00BF16E9" w:rsidRDefault="00BF16E9" w:rsidP="00414921">
      <w:pPr>
        <w:pStyle w:val="ListParagraph"/>
        <w:ind w:left="360"/>
        <w:rPr>
          <w:rFonts w:ascii="Arial" w:hAnsi="Arial" w:cs="Arial"/>
          <w:iCs/>
          <w:sz w:val="24"/>
          <w:szCs w:val="24"/>
        </w:rPr>
      </w:pPr>
      <w:r>
        <w:rPr>
          <w:rFonts w:ascii="Arial" w:hAnsi="Arial" w:cs="Arial"/>
          <w:iCs/>
          <w:sz w:val="24"/>
          <w:szCs w:val="24"/>
        </w:rPr>
        <w:t xml:space="preserve">The limitations on the right to privacy </w:t>
      </w:r>
      <w:r w:rsidR="00B408D3">
        <w:rPr>
          <w:rFonts w:ascii="Arial" w:hAnsi="Arial" w:cs="Arial"/>
          <w:iCs/>
          <w:sz w:val="24"/>
          <w:szCs w:val="24"/>
        </w:rPr>
        <w:t>in sections 73 and 74 of the Human Ri</w:t>
      </w:r>
      <w:r w:rsidR="004233A1">
        <w:rPr>
          <w:rFonts w:ascii="Arial" w:hAnsi="Arial" w:cs="Arial"/>
          <w:iCs/>
          <w:sz w:val="24"/>
          <w:szCs w:val="24"/>
        </w:rPr>
        <w:t>ght</w:t>
      </w:r>
      <w:r w:rsidR="00B408D3">
        <w:rPr>
          <w:rFonts w:ascii="Arial" w:hAnsi="Arial" w:cs="Arial"/>
          <w:iCs/>
          <w:sz w:val="24"/>
          <w:szCs w:val="24"/>
        </w:rPr>
        <w:t xml:space="preserve">s Commission </w:t>
      </w:r>
      <w:r w:rsidR="00EF585E">
        <w:rPr>
          <w:rFonts w:ascii="Arial" w:hAnsi="Arial" w:cs="Arial"/>
          <w:iCs/>
          <w:sz w:val="24"/>
          <w:szCs w:val="24"/>
        </w:rPr>
        <w:t>A</w:t>
      </w:r>
      <w:r w:rsidR="00B408D3">
        <w:rPr>
          <w:rFonts w:ascii="Arial" w:hAnsi="Arial" w:cs="Arial"/>
          <w:iCs/>
          <w:sz w:val="24"/>
          <w:szCs w:val="24"/>
        </w:rPr>
        <w:t xml:space="preserve">ct, which will </w:t>
      </w:r>
      <w:r w:rsidR="004233A1">
        <w:rPr>
          <w:rFonts w:ascii="Arial" w:hAnsi="Arial" w:cs="Arial"/>
          <w:iCs/>
          <w:sz w:val="24"/>
          <w:szCs w:val="24"/>
        </w:rPr>
        <w:t xml:space="preserve">be expanded to apply to the new human rights complaints jurisdiction, </w:t>
      </w:r>
      <w:r>
        <w:rPr>
          <w:rFonts w:ascii="Arial" w:hAnsi="Arial" w:cs="Arial"/>
          <w:iCs/>
          <w:sz w:val="24"/>
          <w:szCs w:val="24"/>
        </w:rPr>
        <w:t xml:space="preserve">are </w:t>
      </w:r>
      <w:r w:rsidR="00B408D3">
        <w:rPr>
          <w:rFonts w:ascii="Arial" w:hAnsi="Arial" w:cs="Arial"/>
          <w:iCs/>
          <w:sz w:val="24"/>
          <w:szCs w:val="24"/>
        </w:rPr>
        <w:t xml:space="preserve">restricted to </w:t>
      </w:r>
      <w:r w:rsidR="004233A1">
        <w:rPr>
          <w:rFonts w:ascii="Arial" w:hAnsi="Arial" w:cs="Arial"/>
          <w:iCs/>
          <w:sz w:val="24"/>
          <w:szCs w:val="24"/>
        </w:rPr>
        <w:t xml:space="preserve">circumstances </w:t>
      </w:r>
      <w:r w:rsidR="00B408D3">
        <w:rPr>
          <w:rFonts w:ascii="Arial" w:hAnsi="Arial" w:cs="Arial"/>
          <w:iCs/>
          <w:sz w:val="24"/>
          <w:szCs w:val="24"/>
        </w:rPr>
        <w:t>that the Commission</w:t>
      </w:r>
      <w:r w:rsidR="004233A1">
        <w:rPr>
          <w:rFonts w:ascii="Arial" w:hAnsi="Arial" w:cs="Arial"/>
          <w:iCs/>
          <w:sz w:val="24"/>
          <w:szCs w:val="24"/>
        </w:rPr>
        <w:t xml:space="preserve"> believes, on reasonable grounds, someone can provide </w:t>
      </w:r>
      <w:r w:rsidR="00FF72CC">
        <w:rPr>
          <w:rFonts w:ascii="Arial" w:hAnsi="Arial" w:cs="Arial"/>
          <w:iCs/>
          <w:sz w:val="24"/>
          <w:szCs w:val="24"/>
        </w:rPr>
        <w:t>information relevant to a consideration in relation to a c</w:t>
      </w:r>
      <w:r w:rsidR="00CA62D6">
        <w:rPr>
          <w:rFonts w:ascii="Arial" w:hAnsi="Arial" w:cs="Arial"/>
          <w:iCs/>
          <w:sz w:val="24"/>
          <w:szCs w:val="24"/>
        </w:rPr>
        <w:t>omplaint.</w:t>
      </w:r>
      <w:r w:rsidR="00E21B43">
        <w:rPr>
          <w:rFonts w:ascii="Arial" w:hAnsi="Arial" w:cs="Arial"/>
          <w:iCs/>
          <w:sz w:val="24"/>
          <w:szCs w:val="24"/>
        </w:rPr>
        <w:t xml:space="preserve"> This is reasonable to ensure the Commission can undertake its statutory duty to </w:t>
      </w:r>
      <w:r w:rsidR="00EF585E">
        <w:rPr>
          <w:rFonts w:ascii="Arial" w:hAnsi="Arial" w:cs="Arial"/>
          <w:iCs/>
          <w:sz w:val="24"/>
          <w:szCs w:val="24"/>
        </w:rPr>
        <w:t>encourage the resolution of complaints made under the Act, and assisting in their resolution, by providing an independent, fair and accessible process for resolving the complaints (section 14 (1) (a), Human Rights Commission Act).</w:t>
      </w:r>
    </w:p>
    <w:p w14:paraId="554FE9A3" w14:textId="77777777" w:rsidR="00FB233E" w:rsidRDefault="00FB233E" w:rsidP="00414921">
      <w:pPr>
        <w:pStyle w:val="ListParagraph"/>
        <w:ind w:left="360"/>
        <w:rPr>
          <w:rFonts w:ascii="Arial" w:hAnsi="Arial" w:cs="Arial"/>
          <w:iCs/>
          <w:sz w:val="24"/>
          <w:szCs w:val="24"/>
        </w:rPr>
      </w:pPr>
    </w:p>
    <w:p w14:paraId="54144DAB" w14:textId="336A6FE5" w:rsidR="00FB233E" w:rsidRPr="00C96410" w:rsidRDefault="00144A74" w:rsidP="00414921">
      <w:pPr>
        <w:pStyle w:val="ListParagraph"/>
        <w:ind w:left="360"/>
        <w:rPr>
          <w:rFonts w:ascii="Arial" w:hAnsi="Arial" w:cs="Arial"/>
          <w:iCs/>
          <w:sz w:val="24"/>
          <w:szCs w:val="24"/>
        </w:rPr>
      </w:pPr>
      <w:r>
        <w:rPr>
          <w:rFonts w:ascii="Arial" w:hAnsi="Arial" w:cs="Arial"/>
          <w:iCs/>
          <w:sz w:val="24"/>
          <w:szCs w:val="24"/>
        </w:rPr>
        <w:t>Further, t</w:t>
      </w:r>
      <w:r w:rsidR="00FB233E">
        <w:rPr>
          <w:rFonts w:ascii="Arial" w:hAnsi="Arial" w:cs="Arial"/>
          <w:iCs/>
          <w:sz w:val="24"/>
          <w:szCs w:val="24"/>
        </w:rPr>
        <w:t xml:space="preserve">he </w:t>
      </w:r>
      <w:r w:rsidR="00E0630E">
        <w:rPr>
          <w:rFonts w:ascii="Arial" w:hAnsi="Arial" w:cs="Arial"/>
          <w:iCs/>
          <w:sz w:val="24"/>
          <w:szCs w:val="24"/>
        </w:rPr>
        <w:t>existing protections in the Human Rights Commission Act will apply to the new complaints jurisdiction, including the s 75 privileges against self-incrimination and exposure to civil penalty</w:t>
      </w:r>
      <w:r w:rsidR="00A301DA">
        <w:rPr>
          <w:rFonts w:ascii="Arial" w:hAnsi="Arial" w:cs="Arial"/>
          <w:iCs/>
          <w:sz w:val="24"/>
          <w:szCs w:val="24"/>
        </w:rPr>
        <w:t xml:space="preserve"> and the s 100A protection from liability for honestly and without recklessness making a complaint, making of a statement, or the giving of a document or information as required under the law.</w:t>
      </w:r>
      <w:r w:rsidR="000228B5">
        <w:rPr>
          <w:rFonts w:ascii="Arial" w:hAnsi="Arial" w:cs="Arial"/>
          <w:iCs/>
          <w:sz w:val="24"/>
          <w:szCs w:val="24"/>
        </w:rPr>
        <w:t xml:space="preserve"> These are important safeguards</w:t>
      </w:r>
      <w:r w:rsidR="003C17E1">
        <w:rPr>
          <w:rFonts w:ascii="Arial" w:hAnsi="Arial" w:cs="Arial"/>
          <w:iCs/>
          <w:sz w:val="24"/>
          <w:szCs w:val="24"/>
        </w:rPr>
        <w:t xml:space="preserve"> for any limitations on the right to privacy.</w:t>
      </w:r>
    </w:p>
    <w:p w14:paraId="04F50CE4" w14:textId="57ABFD10" w:rsidR="00774277" w:rsidRPr="00C96410" w:rsidRDefault="00774277">
      <w:pPr>
        <w:spacing w:after="0" w:line="240" w:lineRule="auto"/>
        <w:rPr>
          <w:rFonts w:asciiTheme="minorHAnsi" w:eastAsiaTheme="majorEastAsia" w:hAnsiTheme="minorHAnsi" w:cs="Arial"/>
          <w:iCs/>
          <w:sz w:val="28"/>
          <w:szCs w:val="28"/>
          <w:lang w:eastAsia="en-AU"/>
        </w:rPr>
      </w:pPr>
      <w:bookmarkStart w:id="0" w:name="OLE_LINK1"/>
      <w:r w:rsidRPr="00C96410">
        <w:rPr>
          <w:rFonts w:asciiTheme="minorHAnsi" w:hAnsiTheme="minorHAnsi" w:cs="Arial"/>
          <w:b/>
          <w:iCs/>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70662E5A" w:rsidR="00E574DD" w:rsidRPr="00943C7F" w:rsidRDefault="001F1C90"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HUMAN RIGHTS (COMPLAINTS) LEGISLATION AMENDMENT BILL 2023</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546F263"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8771D1">
        <w:rPr>
          <w:rFonts w:asciiTheme="minorHAnsi" w:hAnsiTheme="minorHAnsi"/>
          <w:b/>
        </w:rPr>
        <w:t>Human Rights (Complaints) Legislation Amendment Bill 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1F1C90">
        <w:rPr>
          <w:rFonts w:asciiTheme="minorHAnsi" w:hAnsiTheme="minorHAnsi"/>
          <w:b/>
        </w:rPr>
        <w:t xml:space="preserve"> </w:t>
      </w:r>
      <w:r w:rsidRPr="001F1C90">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446D7C5A" w14:textId="0FCEE64D" w:rsidR="00B26276" w:rsidRDefault="00B26276" w:rsidP="00B26276">
      <w:pPr>
        <w:pStyle w:val="Heading3"/>
      </w:pPr>
      <w:r>
        <w:t>Part 1</w:t>
      </w:r>
      <w:r>
        <w:tab/>
      </w:r>
      <w:r>
        <w:tab/>
        <w:t>Preliminary</w:t>
      </w:r>
    </w:p>
    <w:p w14:paraId="0E2E8CBE" w14:textId="51FA4AC0" w:rsidR="00E76504" w:rsidRPr="00E76504" w:rsidRDefault="00B26276" w:rsidP="00E76504">
      <w:r>
        <w:rPr>
          <w:sz w:val="24"/>
          <w:szCs w:val="24"/>
        </w:rPr>
        <w:t xml:space="preserve">Part 1 comprises clause </w:t>
      </w:r>
      <w:r w:rsidR="00FD50E8">
        <w:rPr>
          <w:sz w:val="24"/>
          <w:szCs w:val="24"/>
        </w:rPr>
        <w:t xml:space="preserve">1 to 3 </w:t>
      </w:r>
      <w:r>
        <w:rPr>
          <w:sz w:val="24"/>
          <w:szCs w:val="24"/>
        </w:rPr>
        <w:t>dealing with formal matters including</w:t>
      </w:r>
      <w:r w:rsidR="001C4BAB">
        <w:rPr>
          <w:sz w:val="24"/>
          <w:szCs w:val="24"/>
        </w:rPr>
        <w:t xml:space="preserve"> name of the Act,</w:t>
      </w:r>
      <w:r>
        <w:rPr>
          <w:sz w:val="24"/>
          <w:szCs w:val="24"/>
        </w:rPr>
        <w:t xml:space="preserve"> commencement and </w:t>
      </w:r>
      <w:r w:rsidR="0087766B">
        <w:rPr>
          <w:sz w:val="24"/>
          <w:szCs w:val="24"/>
        </w:rPr>
        <w:t xml:space="preserve">outlining the </w:t>
      </w:r>
      <w:r w:rsidR="001C4BAB">
        <w:rPr>
          <w:sz w:val="24"/>
          <w:szCs w:val="24"/>
        </w:rPr>
        <w:t>legislation amended.</w:t>
      </w:r>
    </w:p>
    <w:p w14:paraId="27FB735B" w14:textId="77777777" w:rsidR="00C61B07" w:rsidRDefault="00C61B07" w:rsidP="00C65E0C">
      <w:pPr>
        <w:pStyle w:val="Heading3"/>
      </w:pPr>
      <w:r w:rsidRPr="00ED3B77">
        <w:t>Clause 1</w:t>
      </w:r>
      <w:r w:rsidRPr="00ED3B77">
        <w:tab/>
        <w:t>Name of Act</w:t>
      </w:r>
    </w:p>
    <w:p w14:paraId="21FA5F2F" w14:textId="625EF79B" w:rsidR="00211687" w:rsidRPr="007C65EE" w:rsidRDefault="00211687" w:rsidP="00211687">
      <w:r w:rsidRPr="00211687">
        <w:rPr>
          <w:sz w:val="24"/>
          <w:szCs w:val="24"/>
        </w:rPr>
        <w:t>This clause</w:t>
      </w:r>
      <w:r>
        <w:rPr>
          <w:sz w:val="24"/>
          <w:szCs w:val="24"/>
        </w:rPr>
        <w:t xml:space="preserve"> provides that the name of the Act is</w:t>
      </w:r>
      <w:r w:rsidR="007C65EE">
        <w:rPr>
          <w:sz w:val="24"/>
          <w:szCs w:val="24"/>
        </w:rPr>
        <w:t xml:space="preserve"> the </w:t>
      </w:r>
      <w:r w:rsidR="007C65EE">
        <w:rPr>
          <w:i/>
          <w:iCs/>
          <w:sz w:val="24"/>
          <w:szCs w:val="24"/>
        </w:rPr>
        <w:t>Human Rights (Complaints) Legislation Amendment Act 2023</w:t>
      </w:r>
      <w:r w:rsidR="007C65EE">
        <w:rPr>
          <w:sz w:val="24"/>
          <w:szCs w:val="24"/>
        </w:rPr>
        <w:t>.</w:t>
      </w:r>
    </w:p>
    <w:p w14:paraId="341827EE" w14:textId="77777777" w:rsidR="00C61B07" w:rsidRDefault="00C61B07" w:rsidP="008C225D">
      <w:pPr>
        <w:pStyle w:val="Heading3"/>
      </w:pPr>
      <w:r w:rsidRPr="00ED3B77">
        <w:t>Clause 2</w:t>
      </w:r>
      <w:r w:rsidRPr="00ED3B77">
        <w:tab/>
        <w:t>Commencement</w:t>
      </w:r>
    </w:p>
    <w:p w14:paraId="4C77D404" w14:textId="4BF88F70" w:rsidR="00211687" w:rsidRPr="00211687" w:rsidRDefault="00211687" w:rsidP="00211687">
      <w:r>
        <w:rPr>
          <w:sz w:val="24"/>
          <w:szCs w:val="24"/>
        </w:rPr>
        <w:t xml:space="preserve">This clause provides for the commencement </w:t>
      </w:r>
      <w:r w:rsidR="007C65EE">
        <w:rPr>
          <w:sz w:val="24"/>
          <w:szCs w:val="24"/>
        </w:rPr>
        <w:t xml:space="preserve">of sections </w:t>
      </w:r>
      <w:r w:rsidR="00B371E9">
        <w:rPr>
          <w:sz w:val="24"/>
          <w:szCs w:val="24"/>
        </w:rPr>
        <w:t>3</w:t>
      </w:r>
      <w:r w:rsidR="00AC3B21">
        <w:rPr>
          <w:sz w:val="24"/>
          <w:szCs w:val="24"/>
        </w:rPr>
        <w:t xml:space="preserve"> to </w:t>
      </w:r>
      <w:r w:rsidR="00B371E9">
        <w:rPr>
          <w:sz w:val="24"/>
          <w:szCs w:val="24"/>
        </w:rPr>
        <w:t>7,</w:t>
      </w:r>
      <w:r w:rsidR="007C65EE">
        <w:rPr>
          <w:sz w:val="24"/>
          <w:szCs w:val="24"/>
        </w:rPr>
        <w:t xml:space="preserve"> 9 and schedule 1 on the day after this Act’s notification day. The remaining provisions of the Act commence on a day fixed by the Minister by written notice.</w:t>
      </w:r>
    </w:p>
    <w:p w14:paraId="03E3F0B8" w14:textId="77777777" w:rsidR="00C61B07" w:rsidRPr="00ED3B77" w:rsidRDefault="00C61B07" w:rsidP="008C225D">
      <w:pPr>
        <w:pStyle w:val="Heading3"/>
        <w:rPr>
          <w:b w:val="0"/>
        </w:rPr>
      </w:pPr>
      <w:r w:rsidRPr="00ED3B77">
        <w:t>Clause 3</w:t>
      </w:r>
      <w:r w:rsidRPr="00ED3B77">
        <w:tab/>
        <w:t>Legislation amended</w:t>
      </w:r>
    </w:p>
    <w:p w14:paraId="6A04EC0E" w14:textId="594C9B24" w:rsidR="00211687" w:rsidRPr="00E7049C" w:rsidRDefault="00211687" w:rsidP="00211687">
      <w:r w:rsidRPr="00211687">
        <w:rPr>
          <w:sz w:val="24"/>
          <w:szCs w:val="24"/>
        </w:rPr>
        <w:t>This clause</w:t>
      </w:r>
      <w:r>
        <w:rPr>
          <w:sz w:val="24"/>
          <w:szCs w:val="24"/>
        </w:rPr>
        <w:t xml:space="preserve"> provides </w:t>
      </w:r>
      <w:r w:rsidR="000635B4">
        <w:rPr>
          <w:sz w:val="24"/>
          <w:szCs w:val="24"/>
        </w:rPr>
        <w:t xml:space="preserve">that the Bill amends the </w:t>
      </w:r>
      <w:r w:rsidR="000635B4">
        <w:rPr>
          <w:i/>
          <w:iCs/>
          <w:sz w:val="24"/>
          <w:szCs w:val="24"/>
        </w:rPr>
        <w:t>H</w:t>
      </w:r>
      <w:r w:rsidR="00E7049C">
        <w:rPr>
          <w:i/>
          <w:iCs/>
          <w:sz w:val="24"/>
          <w:szCs w:val="24"/>
        </w:rPr>
        <w:t>uman Rights Act 2004</w:t>
      </w:r>
      <w:r w:rsidR="00E7049C">
        <w:rPr>
          <w:sz w:val="24"/>
          <w:szCs w:val="24"/>
        </w:rPr>
        <w:t xml:space="preserve"> and the </w:t>
      </w:r>
      <w:r w:rsidR="00E7049C">
        <w:rPr>
          <w:i/>
          <w:iCs/>
          <w:sz w:val="24"/>
          <w:szCs w:val="24"/>
        </w:rPr>
        <w:t>Human Rights Commission Act 2005</w:t>
      </w:r>
      <w:r w:rsidR="00E7049C">
        <w:rPr>
          <w:sz w:val="24"/>
          <w:szCs w:val="24"/>
        </w:rPr>
        <w:t>.</w:t>
      </w:r>
    </w:p>
    <w:p w14:paraId="5C747662" w14:textId="76D39BEB" w:rsidR="0028218C" w:rsidRDefault="00411F3B" w:rsidP="0028218C">
      <w:pPr>
        <w:pStyle w:val="Heading3"/>
      </w:pPr>
      <w:r>
        <w:t xml:space="preserve">Part </w:t>
      </w:r>
      <w:r w:rsidR="00075395">
        <w:t xml:space="preserve">2 </w:t>
      </w:r>
      <w:r w:rsidR="0028218C" w:rsidRPr="00ED3B77">
        <w:tab/>
      </w:r>
      <w:r>
        <w:t>Human Rights Act 2004</w:t>
      </w:r>
    </w:p>
    <w:p w14:paraId="57D87CEF" w14:textId="5AD7A54E" w:rsidR="009D4B9D" w:rsidRPr="009D4B9D" w:rsidRDefault="009D4B9D" w:rsidP="009D4B9D">
      <w:r>
        <w:rPr>
          <w:sz w:val="24"/>
          <w:szCs w:val="24"/>
        </w:rPr>
        <w:t xml:space="preserve">Part 2 comprises clauses </w:t>
      </w:r>
      <w:r w:rsidR="00CA6E26">
        <w:rPr>
          <w:sz w:val="24"/>
          <w:szCs w:val="24"/>
        </w:rPr>
        <w:t xml:space="preserve">4 </w:t>
      </w:r>
      <w:r>
        <w:rPr>
          <w:sz w:val="24"/>
          <w:szCs w:val="24"/>
        </w:rPr>
        <w:t xml:space="preserve">to </w:t>
      </w:r>
      <w:r w:rsidR="00CA6E26">
        <w:rPr>
          <w:sz w:val="24"/>
          <w:szCs w:val="24"/>
        </w:rPr>
        <w:t>10</w:t>
      </w:r>
      <w:r>
        <w:rPr>
          <w:sz w:val="24"/>
          <w:szCs w:val="24"/>
        </w:rPr>
        <w:t xml:space="preserve"> dealing with amendments to the </w:t>
      </w:r>
      <w:r w:rsidRPr="0097540A">
        <w:rPr>
          <w:i/>
          <w:iCs/>
          <w:sz w:val="24"/>
          <w:szCs w:val="24"/>
        </w:rPr>
        <w:t xml:space="preserve">Human Rights </w:t>
      </w:r>
      <w:r>
        <w:rPr>
          <w:i/>
          <w:iCs/>
          <w:sz w:val="24"/>
          <w:szCs w:val="24"/>
        </w:rPr>
        <w:t>Act 2004</w:t>
      </w:r>
      <w:r>
        <w:rPr>
          <w:sz w:val="24"/>
          <w:szCs w:val="24"/>
        </w:rPr>
        <w:t>.</w:t>
      </w:r>
    </w:p>
    <w:p w14:paraId="2975CF88" w14:textId="26D1DE00" w:rsidR="0028218C" w:rsidRDefault="0028218C" w:rsidP="0028218C">
      <w:pPr>
        <w:pStyle w:val="Heading3"/>
      </w:pPr>
      <w:r w:rsidRPr="00ED3B77">
        <w:t xml:space="preserve">Clause </w:t>
      </w:r>
      <w:r w:rsidR="005C7603">
        <w:t>4</w:t>
      </w:r>
      <w:r w:rsidRPr="00ED3B77">
        <w:tab/>
        <w:t>N</w:t>
      </w:r>
      <w:r w:rsidR="00794955">
        <w:t>otice to Attorney-General and commission</w:t>
      </w:r>
      <w:r w:rsidR="00794955">
        <w:br/>
      </w:r>
      <w:r w:rsidR="00794955">
        <w:tab/>
      </w:r>
      <w:r w:rsidR="00794955">
        <w:tab/>
        <w:t>Section 34 (1) and (2)</w:t>
      </w:r>
    </w:p>
    <w:p w14:paraId="27A75DC3" w14:textId="2E29EC0F" w:rsidR="0028218C" w:rsidRPr="00AB6816" w:rsidRDefault="00AB6816" w:rsidP="0028218C">
      <w:r>
        <w:rPr>
          <w:sz w:val="24"/>
          <w:szCs w:val="24"/>
        </w:rPr>
        <w:t xml:space="preserve">This section sets out requirements for notice to the Attorney-General and Human Rights Commission in circumstances where a question arises in a proceeding in the Supreme Court the involves the application of the </w:t>
      </w:r>
      <w:r>
        <w:rPr>
          <w:i/>
          <w:iCs/>
          <w:sz w:val="24"/>
          <w:szCs w:val="24"/>
        </w:rPr>
        <w:t>Human Rights Act</w:t>
      </w:r>
      <w:r>
        <w:rPr>
          <w:sz w:val="24"/>
          <w:szCs w:val="24"/>
        </w:rPr>
        <w:t>, or the Supreme Court is considering making a declaration of incompatibility in a proceeding.</w:t>
      </w:r>
    </w:p>
    <w:p w14:paraId="5AC4D502" w14:textId="76796FEA" w:rsidR="0028218C" w:rsidRDefault="0028218C" w:rsidP="0028218C">
      <w:pPr>
        <w:pStyle w:val="Heading3"/>
      </w:pPr>
      <w:r w:rsidRPr="00ED3B77">
        <w:t xml:space="preserve">Clause </w:t>
      </w:r>
      <w:r w:rsidR="005C7603">
        <w:t>5</w:t>
      </w:r>
      <w:r w:rsidRPr="00ED3B77">
        <w:tab/>
      </w:r>
      <w:r w:rsidR="00794955">
        <w:t>Section 34 (3) (a)</w:t>
      </w:r>
    </w:p>
    <w:p w14:paraId="4C2C9F64" w14:textId="5BE1F5D5" w:rsidR="0028218C" w:rsidRPr="00211687" w:rsidRDefault="0028218C" w:rsidP="0028218C">
      <w:r w:rsidRPr="00211687">
        <w:rPr>
          <w:sz w:val="24"/>
          <w:szCs w:val="24"/>
        </w:rPr>
        <w:t>This clause</w:t>
      </w:r>
      <w:r>
        <w:rPr>
          <w:sz w:val="24"/>
          <w:szCs w:val="24"/>
        </w:rPr>
        <w:t xml:space="preserve"> </w:t>
      </w:r>
      <w:r w:rsidR="00E446F2">
        <w:rPr>
          <w:sz w:val="24"/>
          <w:szCs w:val="24"/>
        </w:rPr>
        <w:t>amends section 34 (3) (a) of the Act to</w:t>
      </w:r>
      <w:r w:rsidR="00C93EF2">
        <w:rPr>
          <w:sz w:val="24"/>
          <w:szCs w:val="24"/>
        </w:rPr>
        <w:t xml:space="preserve"> provide</w:t>
      </w:r>
      <w:r w:rsidR="00E446F2">
        <w:rPr>
          <w:sz w:val="24"/>
          <w:szCs w:val="24"/>
        </w:rPr>
        <w:t xml:space="preserve"> that the Supreme Court may direct a party to give notice to the proceeding to the commission and, if required, the Attorney-General.</w:t>
      </w:r>
    </w:p>
    <w:p w14:paraId="66EBAE38" w14:textId="113C057B" w:rsidR="0028218C" w:rsidRDefault="0028218C" w:rsidP="0028218C">
      <w:pPr>
        <w:pStyle w:val="Heading3"/>
      </w:pPr>
      <w:r w:rsidRPr="00ED3B77">
        <w:t xml:space="preserve">Clause </w:t>
      </w:r>
      <w:r w:rsidR="005C7603">
        <w:t>6</w:t>
      </w:r>
      <w:r w:rsidRPr="00ED3B77">
        <w:tab/>
      </w:r>
      <w:r w:rsidR="000176C8">
        <w:t>Section 38 heading</w:t>
      </w:r>
    </w:p>
    <w:p w14:paraId="7A8793F3" w14:textId="279F9B7D" w:rsidR="0028218C" w:rsidRPr="00211687" w:rsidRDefault="0028218C" w:rsidP="0028218C">
      <w:r w:rsidRPr="00211687">
        <w:rPr>
          <w:sz w:val="24"/>
          <w:szCs w:val="24"/>
        </w:rPr>
        <w:t>This clause</w:t>
      </w:r>
      <w:r>
        <w:rPr>
          <w:sz w:val="24"/>
          <w:szCs w:val="24"/>
        </w:rPr>
        <w:t xml:space="preserve"> </w:t>
      </w:r>
      <w:r w:rsidR="00C93EF2">
        <w:rPr>
          <w:sz w:val="24"/>
          <w:szCs w:val="24"/>
        </w:rPr>
        <w:t>amends the heading of section 38 of the Act to read ‘Consideration of legislation by relevant Assembly committee’.</w:t>
      </w:r>
    </w:p>
    <w:p w14:paraId="3E43C9EA" w14:textId="226B3D0A" w:rsidR="0028218C" w:rsidRDefault="0028218C" w:rsidP="0028218C">
      <w:pPr>
        <w:pStyle w:val="Heading3"/>
      </w:pPr>
      <w:r w:rsidRPr="00ED3B77">
        <w:lastRenderedPageBreak/>
        <w:t xml:space="preserve">Clause </w:t>
      </w:r>
      <w:r w:rsidR="005C7603">
        <w:t>7</w:t>
      </w:r>
      <w:r w:rsidRPr="00ED3B77">
        <w:tab/>
      </w:r>
      <w:r w:rsidR="000176C8">
        <w:t>Section 38 (1)</w:t>
      </w:r>
    </w:p>
    <w:p w14:paraId="585D3B81" w14:textId="77777777" w:rsidR="00C93EF2" w:rsidRPr="00211687" w:rsidRDefault="00C93EF2" w:rsidP="00C93EF2">
      <w:r w:rsidRPr="00211687">
        <w:rPr>
          <w:sz w:val="24"/>
          <w:szCs w:val="24"/>
        </w:rPr>
        <w:t>This clause</w:t>
      </w:r>
      <w:r>
        <w:rPr>
          <w:sz w:val="24"/>
          <w:szCs w:val="24"/>
        </w:rPr>
        <w:t xml:space="preserve"> amends section 38 of the Act to require the relevant Assembly committee to report to the Legislative Assembly about human rights issues raised by subordinate laws, in addition to bills, presented to the Assembly.</w:t>
      </w:r>
    </w:p>
    <w:p w14:paraId="7ABECE3B" w14:textId="5B4DA83D" w:rsidR="0028218C" w:rsidRDefault="0028218C" w:rsidP="0028218C">
      <w:pPr>
        <w:pStyle w:val="Heading3"/>
      </w:pPr>
      <w:r w:rsidRPr="00ED3B77">
        <w:t xml:space="preserve">Clause </w:t>
      </w:r>
      <w:r w:rsidR="005C7603">
        <w:t>8</w:t>
      </w:r>
      <w:r w:rsidR="000176C8">
        <w:tab/>
        <w:t>Public authorities must act consistently with human rights</w:t>
      </w:r>
      <w:r w:rsidR="000176C8">
        <w:br/>
      </w:r>
      <w:r w:rsidR="000176C8">
        <w:tab/>
      </w:r>
      <w:r w:rsidR="000176C8">
        <w:tab/>
        <w:t>Section 40B (1), new note</w:t>
      </w:r>
    </w:p>
    <w:p w14:paraId="04FA9A4F" w14:textId="00D981DD" w:rsidR="0028218C" w:rsidRPr="0068141D" w:rsidRDefault="0028218C" w:rsidP="0028218C">
      <w:r w:rsidRPr="00211687">
        <w:rPr>
          <w:sz w:val="24"/>
          <w:szCs w:val="24"/>
        </w:rPr>
        <w:t>This clause</w:t>
      </w:r>
      <w:r>
        <w:rPr>
          <w:sz w:val="24"/>
          <w:szCs w:val="24"/>
        </w:rPr>
        <w:t xml:space="preserve"> </w:t>
      </w:r>
      <w:r w:rsidR="0068141D">
        <w:rPr>
          <w:sz w:val="24"/>
          <w:szCs w:val="24"/>
        </w:rPr>
        <w:t>inserts a new note to s</w:t>
      </w:r>
      <w:r w:rsidR="008D0AEF">
        <w:rPr>
          <w:sz w:val="24"/>
          <w:szCs w:val="24"/>
        </w:rPr>
        <w:t>ection</w:t>
      </w:r>
      <w:r w:rsidR="0068141D">
        <w:rPr>
          <w:sz w:val="24"/>
          <w:szCs w:val="24"/>
        </w:rPr>
        <w:t xml:space="preserve"> 40B (1), stating that a person who is or would be aggrieved by an act by a public authority they believe to be in contravention of </w:t>
      </w:r>
      <w:r w:rsidR="00B223BE">
        <w:rPr>
          <w:sz w:val="24"/>
          <w:szCs w:val="24"/>
        </w:rPr>
        <w:t>this section</w:t>
      </w:r>
      <w:r w:rsidR="0068141D">
        <w:rPr>
          <w:sz w:val="24"/>
          <w:szCs w:val="24"/>
        </w:rPr>
        <w:t xml:space="preserve"> may make a human rights complaint about the public authority to the commission under the </w:t>
      </w:r>
      <w:r w:rsidR="0068141D">
        <w:rPr>
          <w:i/>
          <w:iCs/>
          <w:sz w:val="24"/>
          <w:szCs w:val="24"/>
        </w:rPr>
        <w:t>Human Rights Commission Act 2005</w:t>
      </w:r>
      <w:r w:rsidR="00B223BE">
        <w:rPr>
          <w:sz w:val="24"/>
          <w:szCs w:val="24"/>
        </w:rPr>
        <w:t>, section 41D.</w:t>
      </w:r>
    </w:p>
    <w:p w14:paraId="1CFE7955" w14:textId="6E0AFBBF" w:rsidR="0028218C" w:rsidRDefault="0028218C" w:rsidP="0028218C">
      <w:pPr>
        <w:pStyle w:val="Heading3"/>
      </w:pPr>
      <w:r w:rsidRPr="00ED3B77">
        <w:t xml:space="preserve">Clause </w:t>
      </w:r>
      <w:r w:rsidR="005C7603">
        <w:t>9</w:t>
      </w:r>
      <w:r w:rsidRPr="00ED3B77">
        <w:tab/>
      </w:r>
      <w:r w:rsidR="005A580D">
        <w:t>Legal proceedings in relation to public authority actions</w:t>
      </w:r>
      <w:r w:rsidR="005A580D">
        <w:br/>
      </w:r>
      <w:r w:rsidR="005A580D">
        <w:tab/>
      </w:r>
      <w:r w:rsidR="005A580D">
        <w:tab/>
        <w:t>New section 40C (</w:t>
      </w:r>
      <w:r w:rsidR="005C7603">
        <w:t>3A)</w:t>
      </w:r>
    </w:p>
    <w:p w14:paraId="4D1FDB3D" w14:textId="66941CE4" w:rsidR="00A85226" w:rsidRPr="00A85226" w:rsidRDefault="0028218C" w:rsidP="00B7010C">
      <w:pPr>
        <w:rPr>
          <w:rFonts w:asciiTheme="minorHAnsi" w:hAnsiTheme="minorHAnsi" w:cstheme="minorHAnsi"/>
          <w:sz w:val="24"/>
          <w:szCs w:val="24"/>
        </w:rPr>
      </w:pPr>
      <w:r w:rsidRPr="00A85226">
        <w:rPr>
          <w:rFonts w:asciiTheme="minorHAnsi" w:hAnsiTheme="minorHAnsi" w:cstheme="minorHAnsi"/>
          <w:sz w:val="24"/>
          <w:szCs w:val="24"/>
        </w:rPr>
        <w:t>This clause</w:t>
      </w:r>
      <w:r w:rsidR="00B7010C" w:rsidRPr="00A85226">
        <w:rPr>
          <w:rFonts w:asciiTheme="minorHAnsi" w:hAnsiTheme="minorHAnsi" w:cstheme="minorHAnsi"/>
          <w:sz w:val="24"/>
          <w:szCs w:val="24"/>
        </w:rPr>
        <w:t xml:space="preserve"> </w:t>
      </w:r>
      <w:r w:rsidR="00A85226" w:rsidRPr="00A85226">
        <w:rPr>
          <w:rFonts w:asciiTheme="minorHAnsi" w:hAnsiTheme="minorHAnsi" w:cstheme="minorHAnsi"/>
          <w:sz w:val="24"/>
          <w:szCs w:val="24"/>
        </w:rPr>
        <w:t xml:space="preserve">inserts a new subsection to s 40C </w:t>
      </w:r>
      <w:r w:rsidR="00A85226" w:rsidRPr="00A85226">
        <w:rPr>
          <w:rFonts w:asciiTheme="minorHAnsi" w:hAnsiTheme="minorHAnsi" w:cstheme="minorHAnsi"/>
          <w:iCs/>
          <w:sz w:val="24"/>
          <w:szCs w:val="24"/>
        </w:rPr>
        <w:t xml:space="preserve">specifying </w:t>
      </w:r>
      <w:r w:rsidR="00A85226">
        <w:rPr>
          <w:rFonts w:asciiTheme="minorHAnsi" w:hAnsiTheme="minorHAnsi" w:cstheme="minorHAnsi"/>
          <w:iCs/>
          <w:sz w:val="24"/>
          <w:szCs w:val="24"/>
        </w:rPr>
        <w:t xml:space="preserve">who the respondent to a proceeding </w:t>
      </w:r>
      <w:r w:rsidR="00A85226" w:rsidRPr="00A85226">
        <w:rPr>
          <w:rFonts w:asciiTheme="minorHAnsi" w:hAnsiTheme="minorHAnsi" w:cstheme="minorHAnsi"/>
          <w:iCs/>
          <w:sz w:val="24"/>
          <w:szCs w:val="24"/>
        </w:rPr>
        <w:t>started under s</w:t>
      </w:r>
      <w:r w:rsidR="008D0AEF">
        <w:rPr>
          <w:rFonts w:asciiTheme="minorHAnsi" w:hAnsiTheme="minorHAnsi" w:cstheme="minorHAnsi"/>
          <w:iCs/>
          <w:sz w:val="24"/>
          <w:szCs w:val="24"/>
        </w:rPr>
        <w:t>ection</w:t>
      </w:r>
      <w:r w:rsidR="00A85226" w:rsidRPr="00A85226">
        <w:rPr>
          <w:rFonts w:asciiTheme="minorHAnsi" w:hAnsiTheme="minorHAnsi" w:cstheme="minorHAnsi"/>
          <w:iCs/>
          <w:sz w:val="24"/>
          <w:szCs w:val="24"/>
        </w:rPr>
        <w:t xml:space="preserve"> 40C (2) (a) </w:t>
      </w:r>
      <w:r w:rsidR="00A85226">
        <w:rPr>
          <w:rFonts w:asciiTheme="minorHAnsi" w:hAnsiTheme="minorHAnsi" w:cstheme="minorHAnsi"/>
          <w:iCs/>
          <w:sz w:val="24"/>
          <w:szCs w:val="24"/>
        </w:rPr>
        <w:t>is. W</w:t>
      </w:r>
      <w:r w:rsidR="00A85226" w:rsidRPr="00A85226">
        <w:rPr>
          <w:rFonts w:asciiTheme="minorHAnsi" w:hAnsiTheme="minorHAnsi" w:cstheme="minorHAnsi"/>
          <w:iCs/>
          <w:sz w:val="24"/>
          <w:szCs w:val="24"/>
        </w:rPr>
        <w:t>here the public authority</w:t>
      </w:r>
      <w:r w:rsidR="00A85226">
        <w:rPr>
          <w:rFonts w:asciiTheme="minorHAnsi" w:hAnsiTheme="minorHAnsi" w:cstheme="minorHAnsi"/>
          <w:iCs/>
          <w:sz w:val="24"/>
          <w:szCs w:val="24"/>
        </w:rPr>
        <w:t xml:space="preserve"> is a public authority mentioned in s</w:t>
      </w:r>
      <w:r w:rsidR="008D0AEF">
        <w:rPr>
          <w:rFonts w:asciiTheme="minorHAnsi" w:hAnsiTheme="minorHAnsi" w:cstheme="minorHAnsi"/>
          <w:iCs/>
          <w:sz w:val="24"/>
          <w:szCs w:val="24"/>
        </w:rPr>
        <w:t>ection</w:t>
      </w:r>
      <w:r w:rsidR="00A85226">
        <w:rPr>
          <w:rFonts w:asciiTheme="minorHAnsi" w:hAnsiTheme="minorHAnsi" w:cstheme="minorHAnsi"/>
          <w:iCs/>
          <w:sz w:val="24"/>
          <w:szCs w:val="24"/>
        </w:rPr>
        <w:t xml:space="preserve"> 40 (1) (a) to (e) or (g), the respondent to a proceeding is a public authority; if the public authority is a public employee who is a statutory office-holder, the respondent is the statutory office-holder; if the public authority is any other public employee, the respondent is the Territory; and if the public authority is an entity for whom a declaration is in force under section 40D, the respondent is the entity.</w:t>
      </w:r>
    </w:p>
    <w:p w14:paraId="55D56D27" w14:textId="701AF479" w:rsidR="005C7603" w:rsidRDefault="005C7603" w:rsidP="005C7603">
      <w:pPr>
        <w:pStyle w:val="Heading3"/>
      </w:pPr>
      <w:r w:rsidRPr="00ED3B77">
        <w:t xml:space="preserve">Clause </w:t>
      </w:r>
      <w:r>
        <w:t>10</w:t>
      </w:r>
      <w:r w:rsidRPr="00ED3B77">
        <w:tab/>
      </w:r>
      <w:r w:rsidR="006F4C83">
        <w:t>New section 40C (3A)</w:t>
      </w:r>
    </w:p>
    <w:p w14:paraId="0BC060EE" w14:textId="6838331A" w:rsidR="00B7010C" w:rsidRPr="0005594C" w:rsidRDefault="005C7603" w:rsidP="00B7010C">
      <w:pPr>
        <w:rPr>
          <w:sz w:val="24"/>
          <w:szCs w:val="24"/>
        </w:rPr>
      </w:pPr>
      <w:r w:rsidRPr="00211687">
        <w:rPr>
          <w:sz w:val="24"/>
          <w:szCs w:val="24"/>
        </w:rPr>
        <w:t>This clause</w:t>
      </w:r>
      <w:r>
        <w:rPr>
          <w:sz w:val="24"/>
          <w:szCs w:val="24"/>
        </w:rPr>
        <w:t xml:space="preserve"> </w:t>
      </w:r>
      <w:r w:rsidR="00B7010C">
        <w:rPr>
          <w:sz w:val="24"/>
          <w:szCs w:val="24"/>
        </w:rPr>
        <w:t xml:space="preserve">inserts a new </w:t>
      </w:r>
      <w:r w:rsidR="00A85226">
        <w:rPr>
          <w:sz w:val="24"/>
          <w:szCs w:val="24"/>
        </w:rPr>
        <w:t>subsection</w:t>
      </w:r>
      <w:r w:rsidR="00B7010C">
        <w:rPr>
          <w:sz w:val="24"/>
          <w:szCs w:val="24"/>
        </w:rPr>
        <w:t xml:space="preserve"> to s 40C outlining that without limiting subsection (3), the court may order that a proceeding under subsection (2) (a) be started after the period stated in subsection (3) if the person making the claim has made a human rights complaint to the commission under the </w:t>
      </w:r>
      <w:r w:rsidR="00B7010C">
        <w:rPr>
          <w:i/>
          <w:iCs/>
          <w:sz w:val="24"/>
          <w:szCs w:val="24"/>
        </w:rPr>
        <w:t>Human Rights Commission Act 2005</w:t>
      </w:r>
      <w:r w:rsidR="00B7010C">
        <w:rPr>
          <w:sz w:val="24"/>
          <w:szCs w:val="24"/>
        </w:rPr>
        <w:t xml:space="preserve"> about the act within the period stated in subsection (3); and it is unreasonable in the circumstances for the period to apply to the proceeding.</w:t>
      </w:r>
    </w:p>
    <w:p w14:paraId="418992E7" w14:textId="444163A7" w:rsidR="005C7603" w:rsidRPr="00A85226" w:rsidRDefault="00B7010C" w:rsidP="0028218C">
      <w:pPr>
        <w:rPr>
          <w:rFonts w:asciiTheme="minorHAnsi" w:hAnsiTheme="minorHAnsi" w:cstheme="minorHAnsi"/>
          <w:iCs/>
          <w:sz w:val="28"/>
          <w:szCs w:val="28"/>
        </w:rPr>
      </w:pPr>
      <w:r w:rsidRPr="0005594C">
        <w:rPr>
          <w:rFonts w:asciiTheme="minorHAnsi" w:hAnsiTheme="minorHAnsi" w:cstheme="minorHAnsi"/>
          <w:iCs/>
          <w:sz w:val="24"/>
          <w:szCs w:val="24"/>
        </w:rPr>
        <w:t>This is intended to capture circumstances where a person has sought, in good faith, to resolve their concerns by first making a complaint to the Human Rights Commission, and the limitation period has expired due to their good faith participation in the progression of the complaint under the relevant provisions of the Human Rights Commission Act. However, it would be not be unreasonable for the court to apply the limitation period to an individual’s claim in the Supreme Court if the complainant has unnecessarily delayed commencing the proceedings, not engaged constructively in conciliation, or otherwise acted vexatiously.</w:t>
      </w:r>
    </w:p>
    <w:p w14:paraId="07BD7D80" w14:textId="2CB2FCE2" w:rsidR="00075395" w:rsidRDefault="00075395" w:rsidP="00075395">
      <w:pPr>
        <w:pStyle w:val="Heading3"/>
      </w:pPr>
      <w:r>
        <w:t xml:space="preserve">Part </w:t>
      </w:r>
      <w:r w:rsidR="005C7603">
        <w:t xml:space="preserve">3 </w:t>
      </w:r>
      <w:r w:rsidRPr="00ED3B77">
        <w:tab/>
      </w:r>
      <w:r>
        <w:t>Human Rights Commission Act 2005</w:t>
      </w:r>
    </w:p>
    <w:p w14:paraId="0B844A01" w14:textId="26EECED3" w:rsidR="00075395" w:rsidRPr="00211687" w:rsidRDefault="00075395" w:rsidP="00075395">
      <w:r>
        <w:rPr>
          <w:sz w:val="24"/>
          <w:szCs w:val="24"/>
        </w:rPr>
        <w:t xml:space="preserve">Part 2 comprises clauses </w:t>
      </w:r>
      <w:r w:rsidR="001421E6">
        <w:rPr>
          <w:sz w:val="24"/>
          <w:szCs w:val="24"/>
        </w:rPr>
        <w:t>11</w:t>
      </w:r>
      <w:r>
        <w:rPr>
          <w:sz w:val="24"/>
          <w:szCs w:val="24"/>
        </w:rPr>
        <w:t xml:space="preserve"> to </w:t>
      </w:r>
      <w:r w:rsidR="00E23DB4">
        <w:rPr>
          <w:sz w:val="24"/>
          <w:szCs w:val="24"/>
        </w:rPr>
        <w:t>2</w:t>
      </w:r>
      <w:r w:rsidR="00522BD5">
        <w:rPr>
          <w:sz w:val="24"/>
          <w:szCs w:val="24"/>
        </w:rPr>
        <w:t>4</w:t>
      </w:r>
      <w:r w:rsidR="001421E6">
        <w:rPr>
          <w:sz w:val="24"/>
          <w:szCs w:val="24"/>
        </w:rPr>
        <w:t xml:space="preserve"> </w:t>
      </w:r>
      <w:r>
        <w:rPr>
          <w:sz w:val="24"/>
          <w:szCs w:val="24"/>
        </w:rPr>
        <w:t xml:space="preserve">dealing with amendments to the </w:t>
      </w:r>
      <w:r w:rsidRPr="0097540A">
        <w:rPr>
          <w:i/>
          <w:iCs/>
          <w:sz w:val="24"/>
          <w:szCs w:val="24"/>
        </w:rPr>
        <w:t>Human Rights Commission Act 2005</w:t>
      </w:r>
      <w:r>
        <w:rPr>
          <w:sz w:val="24"/>
          <w:szCs w:val="24"/>
        </w:rPr>
        <w:t>.</w:t>
      </w:r>
    </w:p>
    <w:p w14:paraId="6D17CC2C" w14:textId="18D642B5" w:rsidR="00075395" w:rsidRDefault="00075395" w:rsidP="00075395">
      <w:pPr>
        <w:pStyle w:val="Heading3"/>
      </w:pPr>
      <w:r w:rsidRPr="00ED3B77">
        <w:lastRenderedPageBreak/>
        <w:t xml:space="preserve">Clause </w:t>
      </w:r>
      <w:r w:rsidR="001421E6">
        <w:t>11</w:t>
      </w:r>
      <w:r w:rsidRPr="00ED3B77">
        <w:tab/>
      </w:r>
      <w:r>
        <w:t>Main objects of Act</w:t>
      </w:r>
      <w:r>
        <w:br/>
      </w:r>
      <w:r>
        <w:tab/>
      </w:r>
      <w:r>
        <w:tab/>
        <w:t>Section 6 (2) (j)</w:t>
      </w:r>
    </w:p>
    <w:p w14:paraId="45009C96" w14:textId="77777777" w:rsidR="00075395" w:rsidRPr="00211687" w:rsidRDefault="00075395" w:rsidP="00075395">
      <w:r>
        <w:rPr>
          <w:sz w:val="24"/>
          <w:szCs w:val="24"/>
        </w:rPr>
        <w:t>This clause inserts human rights complaints to the main objects of the Act.</w:t>
      </w:r>
    </w:p>
    <w:p w14:paraId="4383EFD9" w14:textId="357CA606" w:rsidR="00075395" w:rsidRPr="00082F96" w:rsidRDefault="00075395" w:rsidP="00075395">
      <w:pPr>
        <w:pStyle w:val="Heading3"/>
      </w:pPr>
      <w:r w:rsidRPr="00ED3B77">
        <w:t xml:space="preserve">Clause </w:t>
      </w:r>
      <w:r w:rsidR="001421E6">
        <w:t>12</w:t>
      </w:r>
      <w:r w:rsidRPr="00ED3B77">
        <w:tab/>
      </w:r>
      <w:r>
        <w:t>Disability and community services commissioner’s functions</w:t>
      </w:r>
      <w:r>
        <w:br/>
      </w:r>
      <w:r>
        <w:tab/>
      </w:r>
      <w:r>
        <w:tab/>
      </w:r>
      <w:r w:rsidR="00970999">
        <w:t>New s</w:t>
      </w:r>
      <w:r>
        <w:t>ection 21 (1) (c)</w:t>
      </w:r>
      <w:r w:rsidR="00970999">
        <w:t xml:space="preserve"> (vii)</w:t>
      </w:r>
    </w:p>
    <w:p w14:paraId="37952B01" w14:textId="5F3E0CAD" w:rsidR="00075395" w:rsidRDefault="006B6885" w:rsidP="00075395">
      <w:pPr>
        <w:rPr>
          <w:sz w:val="24"/>
          <w:szCs w:val="24"/>
        </w:rPr>
      </w:pPr>
      <w:r>
        <w:rPr>
          <w:sz w:val="24"/>
          <w:szCs w:val="24"/>
        </w:rPr>
        <w:t>This clause adds dealing with a human rights complaint to the disability and community services commissioner’s functions</w:t>
      </w:r>
      <w:r w:rsidR="007A098C">
        <w:rPr>
          <w:sz w:val="24"/>
          <w:szCs w:val="24"/>
        </w:rPr>
        <w:t>.</w:t>
      </w:r>
    </w:p>
    <w:p w14:paraId="3B319813" w14:textId="1325E069" w:rsidR="001421E6" w:rsidRPr="00082F96" w:rsidRDefault="001421E6" w:rsidP="001421E6">
      <w:pPr>
        <w:pStyle w:val="Heading3"/>
      </w:pPr>
      <w:r w:rsidRPr="00ED3B77">
        <w:t xml:space="preserve">Clause </w:t>
      </w:r>
      <w:r>
        <w:t>13</w:t>
      </w:r>
      <w:r w:rsidRPr="00ED3B77">
        <w:tab/>
      </w:r>
      <w:r>
        <w:t>New section 41D</w:t>
      </w:r>
    </w:p>
    <w:p w14:paraId="19891684" w14:textId="68A493F9" w:rsidR="001421E6" w:rsidRDefault="001421E6" w:rsidP="00075395">
      <w:pPr>
        <w:rPr>
          <w:sz w:val="24"/>
          <w:szCs w:val="24"/>
        </w:rPr>
      </w:pPr>
      <w:r w:rsidRPr="00211687">
        <w:rPr>
          <w:sz w:val="24"/>
          <w:szCs w:val="24"/>
        </w:rPr>
        <w:t>This clause</w:t>
      </w:r>
      <w:r>
        <w:rPr>
          <w:sz w:val="24"/>
          <w:szCs w:val="24"/>
        </w:rPr>
        <w:t xml:space="preserve"> </w:t>
      </w:r>
      <w:r w:rsidR="00FF7EAD">
        <w:rPr>
          <w:sz w:val="24"/>
          <w:szCs w:val="24"/>
        </w:rPr>
        <w:t>adds a new section 41D to the Act setting out the requirements for a human rights complaint.</w:t>
      </w:r>
    </w:p>
    <w:p w14:paraId="0CCD9ABE" w14:textId="010DD9E9" w:rsidR="00FF7EAD" w:rsidRDefault="00FF7EAD" w:rsidP="00075395">
      <w:pPr>
        <w:rPr>
          <w:sz w:val="24"/>
          <w:szCs w:val="24"/>
        </w:rPr>
      </w:pPr>
      <w:r>
        <w:rPr>
          <w:sz w:val="24"/>
          <w:szCs w:val="24"/>
        </w:rPr>
        <w:t xml:space="preserve">A person may complain to the commission about a public authority if the person believes the public authority has acted in contravention of the </w:t>
      </w:r>
      <w:r>
        <w:rPr>
          <w:i/>
          <w:iCs/>
          <w:sz w:val="24"/>
          <w:szCs w:val="24"/>
        </w:rPr>
        <w:t>Human Rights Act 2004</w:t>
      </w:r>
      <w:r>
        <w:rPr>
          <w:sz w:val="24"/>
          <w:szCs w:val="24"/>
        </w:rPr>
        <w:t xml:space="preserve">, section 40B. </w:t>
      </w:r>
    </w:p>
    <w:p w14:paraId="0B6D5F0B" w14:textId="43167DF4" w:rsidR="00746183" w:rsidRDefault="00746183" w:rsidP="00075395">
      <w:pPr>
        <w:rPr>
          <w:sz w:val="24"/>
          <w:szCs w:val="24"/>
        </w:rPr>
      </w:pPr>
      <w:r>
        <w:rPr>
          <w:sz w:val="24"/>
          <w:szCs w:val="24"/>
        </w:rPr>
        <w:t>However, a person must not make a human rights complaint unless they have made a complaint to the relevant person (</w:t>
      </w:r>
      <w:r w:rsidR="00975054">
        <w:rPr>
          <w:sz w:val="24"/>
          <w:szCs w:val="24"/>
        </w:rPr>
        <w:t>the person complained about as if the complaint is a human rights complaint)</w:t>
      </w:r>
      <w:r>
        <w:rPr>
          <w:sz w:val="24"/>
          <w:szCs w:val="24"/>
        </w:rPr>
        <w:t xml:space="preserve"> about the contravention claimed; and either has not received a response to the complaint within 45 days after making the complaint, or has received a response they consider to be inadequate.</w:t>
      </w:r>
    </w:p>
    <w:p w14:paraId="2A2C0405" w14:textId="3E6C6FAD" w:rsidR="00746183" w:rsidRPr="0005684B" w:rsidRDefault="0005684B" w:rsidP="0005684B">
      <w:pPr>
        <w:spacing w:after="120"/>
        <w:ind w:right="-45"/>
        <w:rPr>
          <w:rFonts w:asciiTheme="minorHAnsi" w:hAnsiTheme="minorHAnsi" w:cstheme="minorHAnsi"/>
          <w:iCs/>
          <w:sz w:val="24"/>
          <w:szCs w:val="24"/>
        </w:rPr>
      </w:pPr>
      <w:r>
        <w:rPr>
          <w:rFonts w:asciiTheme="minorHAnsi" w:hAnsiTheme="minorHAnsi" w:cstheme="minorHAnsi"/>
          <w:iCs/>
          <w:sz w:val="24"/>
          <w:szCs w:val="24"/>
        </w:rPr>
        <w:t>T</w:t>
      </w:r>
      <w:r w:rsidRPr="00DE5EA3">
        <w:rPr>
          <w:rFonts w:asciiTheme="minorHAnsi" w:hAnsiTheme="minorHAnsi" w:cstheme="minorHAnsi"/>
          <w:iCs/>
          <w:sz w:val="24"/>
          <w:szCs w:val="24"/>
        </w:rPr>
        <w:t>he Commission will be able accept a complaint that doesn’t meet this requirement</w:t>
      </w:r>
      <w:r w:rsidR="00746183" w:rsidRPr="00DE5EA3">
        <w:rPr>
          <w:rFonts w:asciiTheme="minorHAnsi" w:hAnsiTheme="minorHAnsi" w:cstheme="minorHAnsi"/>
          <w:iCs/>
          <w:sz w:val="24"/>
          <w:szCs w:val="24"/>
        </w:rPr>
        <w:t xml:space="preserve"> where the person makes a concurrent complaint under the </w:t>
      </w:r>
      <w:r w:rsidR="00746183" w:rsidRPr="00DE5EA3">
        <w:rPr>
          <w:rFonts w:asciiTheme="minorHAnsi" w:hAnsiTheme="minorHAnsi" w:cstheme="minorHAnsi"/>
          <w:i/>
          <w:sz w:val="24"/>
          <w:szCs w:val="24"/>
        </w:rPr>
        <w:t>Human Rights Commission Act 2005</w:t>
      </w:r>
      <w:r w:rsidR="00746183" w:rsidRPr="00DE5EA3">
        <w:rPr>
          <w:rFonts w:asciiTheme="minorHAnsi" w:hAnsiTheme="minorHAnsi" w:cstheme="minorHAnsi"/>
          <w:iCs/>
          <w:sz w:val="24"/>
          <w:szCs w:val="24"/>
        </w:rPr>
        <w:t xml:space="preserve"> in relation to the same act, or the same circumstances or subject </w:t>
      </w:r>
      <w:r w:rsidRPr="00DE5EA3">
        <w:rPr>
          <w:rFonts w:asciiTheme="minorHAnsi" w:hAnsiTheme="minorHAnsi" w:cstheme="minorHAnsi"/>
          <w:iCs/>
          <w:sz w:val="24"/>
          <w:szCs w:val="24"/>
        </w:rPr>
        <w:t>matter</w:t>
      </w:r>
      <w:r>
        <w:rPr>
          <w:rFonts w:asciiTheme="minorHAnsi" w:hAnsiTheme="minorHAnsi" w:cstheme="minorHAnsi"/>
          <w:iCs/>
          <w:sz w:val="24"/>
          <w:szCs w:val="24"/>
        </w:rPr>
        <w:t>, or in</w:t>
      </w:r>
      <w:r w:rsidRPr="00DE5EA3">
        <w:rPr>
          <w:rFonts w:asciiTheme="minorHAnsi" w:hAnsiTheme="minorHAnsi" w:cstheme="minorHAnsi"/>
          <w:iCs/>
          <w:sz w:val="24"/>
          <w:szCs w:val="24"/>
        </w:rPr>
        <w:t xml:space="preserve"> exceptional circumstances</w:t>
      </w:r>
      <w:r w:rsidR="00746183" w:rsidRPr="00DE5EA3">
        <w:rPr>
          <w:rFonts w:asciiTheme="minorHAnsi" w:hAnsiTheme="minorHAnsi" w:cstheme="minorHAnsi"/>
          <w:iCs/>
          <w:sz w:val="24"/>
          <w:szCs w:val="24"/>
        </w:rPr>
        <w:t>. The exceptional circumstances provision is intended to capture time sensitive and other circumstances where it would disadvantage the complainant or render the complaint ineffective, for example where the conduct being complained about may have occurred or caused harm by the time the 45-day period had elapsed.</w:t>
      </w:r>
    </w:p>
    <w:p w14:paraId="709F90AA" w14:textId="68C1E7E4" w:rsidR="00075395" w:rsidRDefault="00075395" w:rsidP="00075395">
      <w:pPr>
        <w:pStyle w:val="Heading3"/>
      </w:pPr>
      <w:r w:rsidRPr="00ED3B77">
        <w:t>Clause</w:t>
      </w:r>
      <w:r>
        <w:t xml:space="preserve"> </w:t>
      </w:r>
      <w:r w:rsidR="00A47FA0">
        <w:t>14</w:t>
      </w:r>
      <w:r>
        <w:tab/>
        <w:t>What complaints may be made under this Act?</w:t>
      </w:r>
      <w:r>
        <w:br/>
      </w:r>
      <w:r>
        <w:tab/>
      </w:r>
      <w:r>
        <w:tab/>
      </w:r>
      <w:r w:rsidR="0099118C">
        <w:t xml:space="preserve">New section </w:t>
      </w:r>
      <w:r>
        <w:t>42 (1)</w:t>
      </w:r>
      <w:r w:rsidR="0099118C">
        <w:t xml:space="preserve"> (da)</w:t>
      </w:r>
    </w:p>
    <w:p w14:paraId="347DB8A7" w14:textId="381343C1" w:rsidR="00075395" w:rsidRPr="00211687" w:rsidRDefault="00075395" w:rsidP="00075395">
      <w:r w:rsidRPr="00211687">
        <w:rPr>
          <w:sz w:val="24"/>
          <w:szCs w:val="24"/>
        </w:rPr>
        <w:t>This clause</w:t>
      </w:r>
      <w:r>
        <w:rPr>
          <w:sz w:val="24"/>
          <w:szCs w:val="24"/>
        </w:rPr>
        <w:t xml:space="preserve"> </w:t>
      </w:r>
      <w:r w:rsidR="00325A6C">
        <w:rPr>
          <w:sz w:val="24"/>
          <w:szCs w:val="24"/>
        </w:rPr>
        <w:t>adds human rights complaints as complaints that can be made under the Act.</w:t>
      </w:r>
    </w:p>
    <w:p w14:paraId="5621B1EA" w14:textId="417EC0CC" w:rsidR="00075395" w:rsidRDefault="00075395" w:rsidP="00075395">
      <w:pPr>
        <w:pStyle w:val="Heading3"/>
      </w:pPr>
      <w:r w:rsidRPr="00ED3B77">
        <w:t xml:space="preserve">Clause </w:t>
      </w:r>
      <w:r w:rsidR="00A47FA0">
        <w:t>15</w:t>
      </w:r>
      <w:r w:rsidRPr="00ED3B77">
        <w:tab/>
      </w:r>
      <w:r>
        <w:t>Who may make a complaint under this Act?</w:t>
      </w:r>
      <w:r>
        <w:br/>
      </w:r>
      <w:r>
        <w:tab/>
      </w:r>
      <w:r>
        <w:tab/>
      </w:r>
      <w:r w:rsidR="00A261C3">
        <w:t>New s</w:t>
      </w:r>
      <w:r>
        <w:t>ection 43</w:t>
      </w:r>
      <w:r w:rsidR="00A261C3">
        <w:t xml:space="preserve"> (1A)</w:t>
      </w:r>
    </w:p>
    <w:p w14:paraId="65B33047" w14:textId="7371D305" w:rsidR="00075395" w:rsidRPr="00233BC1" w:rsidRDefault="00075395" w:rsidP="00075395">
      <w:r w:rsidRPr="00211687">
        <w:rPr>
          <w:sz w:val="24"/>
          <w:szCs w:val="24"/>
        </w:rPr>
        <w:t>This clause</w:t>
      </w:r>
      <w:r>
        <w:rPr>
          <w:sz w:val="24"/>
          <w:szCs w:val="24"/>
        </w:rPr>
        <w:t xml:space="preserve"> </w:t>
      </w:r>
      <w:r w:rsidR="00883054">
        <w:rPr>
          <w:sz w:val="24"/>
          <w:szCs w:val="24"/>
        </w:rPr>
        <w:t>specifies that for a human rights complaint, an aggrieved person includes a person who would be aggrieved by the act.</w:t>
      </w:r>
      <w:r w:rsidR="00233BC1">
        <w:rPr>
          <w:sz w:val="24"/>
          <w:szCs w:val="24"/>
        </w:rPr>
        <w:t xml:space="preserve"> This is intended to capture the same group of people w</w:t>
      </w:r>
      <w:r w:rsidR="00723A8C">
        <w:rPr>
          <w:sz w:val="24"/>
          <w:szCs w:val="24"/>
        </w:rPr>
        <w:t>ho</w:t>
      </w:r>
      <w:r w:rsidR="00233BC1">
        <w:rPr>
          <w:sz w:val="24"/>
          <w:szCs w:val="24"/>
        </w:rPr>
        <w:t xml:space="preserve"> could make a complaint under s</w:t>
      </w:r>
      <w:r w:rsidR="001B31AB">
        <w:rPr>
          <w:sz w:val="24"/>
          <w:szCs w:val="24"/>
        </w:rPr>
        <w:t>ection</w:t>
      </w:r>
      <w:r w:rsidR="00233BC1">
        <w:rPr>
          <w:sz w:val="24"/>
          <w:szCs w:val="24"/>
        </w:rPr>
        <w:t xml:space="preserve"> 40C (1) of the </w:t>
      </w:r>
      <w:r w:rsidR="00233BC1">
        <w:rPr>
          <w:i/>
          <w:iCs/>
          <w:sz w:val="24"/>
          <w:szCs w:val="24"/>
        </w:rPr>
        <w:t>Human Rights Act 2004</w:t>
      </w:r>
      <w:r w:rsidR="00233BC1">
        <w:rPr>
          <w:sz w:val="24"/>
          <w:szCs w:val="24"/>
        </w:rPr>
        <w:t>.</w:t>
      </w:r>
    </w:p>
    <w:p w14:paraId="264FFE91" w14:textId="3FF60EBE" w:rsidR="00075395" w:rsidRDefault="00075395" w:rsidP="00075395">
      <w:pPr>
        <w:pStyle w:val="Heading3"/>
      </w:pPr>
      <w:r w:rsidRPr="00ED3B77">
        <w:lastRenderedPageBreak/>
        <w:t xml:space="preserve">Clause </w:t>
      </w:r>
      <w:r w:rsidR="00A47FA0">
        <w:t>16</w:t>
      </w:r>
      <w:r w:rsidRPr="00ED3B77">
        <w:tab/>
      </w:r>
      <w:r w:rsidR="00A47FA0">
        <w:t>Final report</w:t>
      </w:r>
      <w:r w:rsidR="00A47FA0">
        <w:br/>
      </w:r>
      <w:r w:rsidR="00A47FA0">
        <w:tab/>
      </w:r>
      <w:r w:rsidR="00A47FA0">
        <w:tab/>
        <w:t>Section 81, new note</w:t>
      </w:r>
    </w:p>
    <w:p w14:paraId="65E5D44B" w14:textId="198FCD84" w:rsidR="00075395" w:rsidRPr="00211687" w:rsidRDefault="00075395" w:rsidP="00075395">
      <w:r w:rsidRPr="00211687">
        <w:rPr>
          <w:sz w:val="24"/>
          <w:szCs w:val="24"/>
        </w:rPr>
        <w:t xml:space="preserve">This </w:t>
      </w:r>
      <w:r w:rsidR="001B31AB">
        <w:rPr>
          <w:sz w:val="24"/>
          <w:szCs w:val="24"/>
        </w:rPr>
        <w:t>clause adds a new note to section 81</w:t>
      </w:r>
      <w:r w:rsidR="00533564">
        <w:rPr>
          <w:sz w:val="24"/>
          <w:szCs w:val="24"/>
        </w:rPr>
        <w:t xml:space="preserve"> stating that for final reports in relation to human rights complaints that are closed because the commission considers that conciliation is unlikely to succeed in resolving the complaint – see section 82D.</w:t>
      </w:r>
    </w:p>
    <w:p w14:paraId="3D0E365C" w14:textId="7F787415" w:rsidR="00075395" w:rsidRDefault="00075395" w:rsidP="00075395">
      <w:pPr>
        <w:pStyle w:val="Heading3"/>
      </w:pPr>
      <w:r w:rsidRPr="00ED3B77">
        <w:t>Clause 1</w:t>
      </w:r>
      <w:r w:rsidR="00AE73BE">
        <w:t>7</w:t>
      </w:r>
      <w:r w:rsidRPr="00ED3B77">
        <w:tab/>
      </w:r>
      <w:r>
        <w:t>New section 8</w:t>
      </w:r>
      <w:r w:rsidR="00AE73BE">
        <w:t>2D</w:t>
      </w:r>
    </w:p>
    <w:p w14:paraId="65483D96" w14:textId="45953EFD" w:rsidR="00075395" w:rsidRDefault="00075395" w:rsidP="00075395">
      <w:pPr>
        <w:rPr>
          <w:sz w:val="24"/>
          <w:szCs w:val="24"/>
        </w:rPr>
      </w:pPr>
      <w:r w:rsidRPr="00211687">
        <w:rPr>
          <w:sz w:val="24"/>
          <w:szCs w:val="24"/>
        </w:rPr>
        <w:t>This clause</w:t>
      </w:r>
      <w:r>
        <w:rPr>
          <w:sz w:val="24"/>
          <w:szCs w:val="24"/>
        </w:rPr>
        <w:t xml:space="preserve"> </w:t>
      </w:r>
      <w:r w:rsidR="00BA43D5">
        <w:rPr>
          <w:sz w:val="24"/>
          <w:szCs w:val="24"/>
        </w:rPr>
        <w:t>adds a new section 82D to the Act which sets out requirements for closing human rights complaints if conciliation is unlikely to succeed (that is, section 78 (1) (f) applies).</w:t>
      </w:r>
    </w:p>
    <w:p w14:paraId="099E3D77" w14:textId="7BCB7412" w:rsidR="00557B12" w:rsidRPr="00F01CA9" w:rsidRDefault="00F01CA9" w:rsidP="00075395">
      <w:pPr>
        <w:rPr>
          <w:sz w:val="24"/>
          <w:szCs w:val="24"/>
        </w:rPr>
      </w:pPr>
      <w:r>
        <w:rPr>
          <w:sz w:val="24"/>
          <w:szCs w:val="24"/>
        </w:rPr>
        <w:t xml:space="preserve">The clause sets out, in these circumstances, what the final report in relation to a human rights complaint may include, that a recommendation need not be limited to matters raised by the complaint being closed, if a recommendation recommends that action be taken it must state the reasonable time within which the action should be taken, and the final report is not admissible in a proceeding under the </w:t>
      </w:r>
      <w:r>
        <w:rPr>
          <w:i/>
          <w:iCs/>
          <w:sz w:val="24"/>
          <w:szCs w:val="24"/>
        </w:rPr>
        <w:t>Human Rights Act 2004</w:t>
      </w:r>
      <w:r>
        <w:rPr>
          <w:sz w:val="24"/>
          <w:szCs w:val="24"/>
        </w:rPr>
        <w:t>, section 40C unless the complainant and the person complained about agree.</w:t>
      </w:r>
    </w:p>
    <w:p w14:paraId="4802A6FF" w14:textId="49AC4A47" w:rsidR="00347867" w:rsidRDefault="00347867" w:rsidP="00075395">
      <w:pPr>
        <w:rPr>
          <w:sz w:val="24"/>
          <w:szCs w:val="24"/>
        </w:rPr>
      </w:pPr>
      <w:r>
        <w:rPr>
          <w:sz w:val="24"/>
          <w:szCs w:val="24"/>
        </w:rPr>
        <w:t>This section is additional to the other requirements of the Act for a final report.</w:t>
      </w:r>
    </w:p>
    <w:p w14:paraId="31946248" w14:textId="4F1B205C" w:rsidR="00492582" w:rsidRPr="00492582" w:rsidRDefault="00492582" w:rsidP="00492582">
      <w:pPr>
        <w:pStyle w:val="Heading3"/>
      </w:pPr>
      <w:r w:rsidRPr="00ED3B77">
        <w:t>Clause 1</w:t>
      </w:r>
      <w:r>
        <w:t>8</w:t>
      </w:r>
      <w:r w:rsidRPr="00ED3B77">
        <w:tab/>
      </w:r>
      <w:r>
        <w:t>Third-party reports</w:t>
      </w:r>
      <w:r>
        <w:br/>
      </w:r>
      <w:r>
        <w:tab/>
      </w:r>
      <w:r>
        <w:tab/>
        <w:t>New section 83 (2A)</w:t>
      </w:r>
    </w:p>
    <w:p w14:paraId="02FB461D" w14:textId="59AD5389" w:rsidR="00492582" w:rsidRDefault="003B1476" w:rsidP="003B1476">
      <w:r w:rsidRPr="00211687">
        <w:rPr>
          <w:sz w:val="24"/>
          <w:szCs w:val="24"/>
        </w:rPr>
        <w:t>This clause</w:t>
      </w:r>
      <w:r>
        <w:rPr>
          <w:sz w:val="24"/>
          <w:szCs w:val="24"/>
        </w:rPr>
        <w:t xml:space="preserve"> adds a new sub-section to section 83 setting out that a third-party report given by the commission in considering a human rights complaint may recommend any action the commission considers the third party should take to ensure their acts and decisions are compatible with human rights.</w:t>
      </w:r>
    </w:p>
    <w:p w14:paraId="103AD35E" w14:textId="0987C550" w:rsidR="00AE73BE" w:rsidRDefault="00AE73BE" w:rsidP="00AE73BE">
      <w:pPr>
        <w:pStyle w:val="Heading3"/>
      </w:pPr>
      <w:r w:rsidRPr="00ED3B77">
        <w:t>Clause 1</w:t>
      </w:r>
      <w:r w:rsidR="003737C8">
        <w:t>9</w:t>
      </w:r>
      <w:r w:rsidRPr="00ED3B77">
        <w:tab/>
      </w:r>
      <w:r>
        <w:t>New section 86A</w:t>
      </w:r>
    </w:p>
    <w:p w14:paraId="0AF9122C" w14:textId="3A812632" w:rsidR="00AE73BE" w:rsidRDefault="00AE73BE" w:rsidP="00075395">
      <w:pPr>
        <w:rPr>
          <w:sz w:val="24"/>
          <w:szCs w:val="24"/>
        </w:rPr>
      </w:pPr>
      <w:r w:rsidRPr="00211687">
        <w:rPr>
          <w:sz w:val="24"/>
          <w:szCs w:val="24"/>
        </w:rPr>
        <w:t>This clause</w:t>
      </w:r>
      <w:r>
        <w:rPr>
          <w:sz w:val="24"/>
          <w:szCs w:val="24"/>
        </w:rPr>
        <w:t xml:space="preserve"> </w:t>
      </w:r>
      <w:r w:rsidR="00D355C4">
        <w:rPr>
          <w:sz w:val="24"/>
          <w:szCs w:val="24"/>
        </w:rPr>
        <w:t>inserts a new section 86A regarding publication of information in relation to human rights complaints.</w:t>
      </w:r>
    </w:p>
    <w:p w14:paraId="1F6F9F5A" w14:textId="3A77D9A8" w:rsidR="00075395" w:rsidRDefault="00D355C4" w:rsidP="00EE7170">
      <w:pPr>
        <w:rPr>
          <w:sz w:val="24"/>
          <w:szCs w:val="24"/>
        </w:rPr>
      </w:pPr>
      <w:r>
        <w:rPr>
          <w:sz w:val="24"/>
          <w:szCs w:val="24"/>
        </w:rPr>
        <w:t>The commission may publish information about a human rights complaint that the commission has closed. The provision sets out what may be included in the publication and requires that the publication must not include personal information about an individual unless the information has been previously published or the individual consents to the information being published.</w:t>
      </w:r>
    </w:p>
    <w:p w14:paraId="22E5D19B" w14:textId="30355AC8" w:rsidR="002F1395" w:rsidRPr="00145361" w:rsidRDefault="00A331CA" w:rsidP="00EE7170">
      <w:pPr>
        <w:rPr>
          <w:sz w:val="24"/>
          <w:szCs w:val="24"/>
        </w:rPr>
      </w:pPr>
      <w:bookmarkStart w:id="1" w:name="_Hlk144118068"/>
      <w:r w:rsidRPr="00145361">
        <w:rPr>
          <w:sz w:val="24"/>
          <w:szCs w:val="24"/>
        </w:rPr>
        <w:t>It is not intended that this power be able to be relied on to publish information relating to a non-complying entity without complying with the requirements set out in section 86</w:t>
      </w:r>
      <w:r w:rsidR="00F25B13" w:rsidRPr="00145361">
        <w:rPr>
          <w:sz w:val="24"/>
          <w:szCs w:val="24"/>
        </w:rPr>
        <w:t>,</w:t>
      </w:r>
      <w:r w:rsidRPr="00145361">
        <w:rPr>
          <w:sz w:val="24"/>
          <w:szCs w:val="24"/>
        </w:rPr>
        <w:t xml:space="preserve"> nor that this </w:t>
      </w:r>
      <w:r w:rsidR="002F1395" w:rsidRPr="00145361">
        <w:rPr>
          <w:sz w:val="24"/>
          <w:szCs w:val="24"/>
        </w:rPr>
        <w:t xml:space="preserve">section allow </w:t>
      </w:r>
      <w:r w:rsidR="004D455C" w:rsidRPr="00145361">
        <w:rPr>
          <w:sz w:val="24"/>
          <w:szCs w:val="24"/>
        </w:rPr>
        <w:t>publication of any information provided in confidence during conciliation.</w:t>
      </w:r>
    </w:p>
    <w:bookmarkEnd w:id="1"/>
    <w:p w14:paraId="10307FFA" w14:textId="3F6E6004" w:rsidR="00075395" w:rsidRDefault="00075395" w:rsidP="00075395">
      <w:pPr>
        <w:pStyle w:val="Heading3"/>
      </w:pPr>
      <w:r w:rsidRPr="00ED3B77">
        <w:lastRenderedPageBreak/>
        <w:t xml:space="preserve">Clause </w:t>
      </w:r>
      <w:r w:rsidR="00A43C96">
        <w:t>20</w:t>
      </w:r>
      <w:r w:rsidRPr="00ED3B77">
        <w:tab/>
        <w:t>N</w:t>
      </w:r>
      <w:r>
        <w:t>ew part 8</w:t>
      </w:r>
    </w:p>
    <w:p w14:paraId="2FAA5251" w14:textId="23A3D201" w:rsidR="00075395" w:rsidRDefault="00075395" w:rsidP="00075395">
      <w:pPr>
        <w:rPr>
          <w:sz w:val="24"/>
          <w:szCs w:val="24"/>
        </w:rPr>
      </w:pPr>
      <w:r w:rsidRPr="00211687">
        <w:rPr>
          <w:sz w:val="24"/>
          <w:szCs w:val="24"/>
        </w:rPr>
        <w:t>This clause</w:t>
      </w:r>
      <w:r>
        <w:rPr>
          <w:sz w:val="24"/>
          <w:szCs w:val="24"/>
        </w:rPr>
        <w:t xml:space="preserve"> </w:t>
      </w:r>
      <w:r w:rsidR="00E15C56">
        <w:rPr>
          <w:sz w:val="24"/>
          <w:szCs w:val="24"/>
        </w:rPr>
        <w:t xml:space="preserve">inserts a new part 8 setting out transitional provisions for the </w:t>
      </w:r>
      <w:r w:rsidR="00E15C56" w:rsidRPr="00E15C56">
        <w:rPr>
          <w:i/>
          <w:iCs/>
          <w:sz w:val="24"/>
          <w:szCs w:val="24"/>
        </w:rPr>
        <w:t>Human Rights (Complaints) Legislation Amendment Act 2023</w:t>
      </w:r>
      <w:r w:rsidR="00BC167D">
        <w:rPr>
          <w:sz w:val="24"/>
          <w:szCs w:val="24"/>
        </w:rPr>
        <w:t>.</w:t>
      </w:r>
    </w:p>
    <w:p w14:paraId="5EBC3765" w14:textId="08D2B702" w:rsidR="00B6465D" w:rsidRDefault="00B6465D" w:rsidP="00075395">
      <w:pPr>
        <w:rPr>
          <w:sz w:val="24"/>
          <w:szCs w:val="24"/>
        </w:rPr>
      </w:pPr>
      <w:r>
        <w:rPr>
          <w:sz w:val="24"/>
          <w:szCs w:val="24"/>
        </w:rPr>
        <w:t xml:space="preserve">If a person believes that a public authority has acted in contravention of the </w:t>
      </w:r>
      <w:r>
        <w:rPr>
          <w:i/>
          <w:iCs/>
          <w:sz w:val="24"/>
          <w:szCs w:val="24"/>
        </w:rPr>
        <w:t>Human Rights Act 2004</w:t>
      </w:r>
      <w:r>
        <w:rPr>
          <w:sz w:val="24"/>
          <w:szCs w:val="24"/>
        </w:rPr>
        <w:t>, section 40B before the commencement day, and the person is or would be aggrieved by the act, they may make a human rights complaint about the public authority on or after the commencement day.</w:t>
      </w:r>
    </w:p>
    <w:p w14:paraId="16C37510" w14:textId="0BC74342" w:rsidR="00B6465D" w:rsidRPr="00B6465D" w:rsidRDefault="00B6465D" w:rsidP="00075395">
      <w:r>
        <w:rPr>
          <w:sz w:val="24"/>
          <w:szCs w:val="24"/>
        </w:rPr>
        <w:t xml:space="preserve">Part 8 expires 2 years after the day the </w:t>
      </w:r>
      <w:r>
        <w:rPr>
          <w:i/>
          <w:iCs/>
          <w:sz w:val="24"/>
          <w:szCs w:val="24"/>
        </w:rPr>
        <w:t>Human Rights (Complaints) Legislation Amendment Act 2023</w:t>
      </w:r>
      <w:r>
        <w:rPr>
          <w:sz w:val="24"/>
          <w:szCs w:val="24"/>
        </w:rPr>
        <w:t xml:space="preserve">, section </w:t>
      </w:r>
      <w:r w:rsidR="00E2411D">
        <w:rPr>
          <w:sz w:val="24"/>
          <w:szCs w:val="24"/>
        </w:rPr>
        <w:t>13</w:t>
      </w:r>
      <w:r>
        <w:rPr>
          <w:sz w:val="24"/>
          <w:szCs w:val="24"/>
        </w:rPr>
        <w:t xml:space="preserve"> commences.</w:t>
      </w:r>
    </w:p>
    <w:p w14:paraId="4C0DB5BA" w14:textId="6A9D40E2" w:rsidR="006B2993" w:rsidRPr="00774F4E" w:rsidRDefault="006B2993" w:rsidP="006B2993">
      <w:pPr>
        <w:pStyle w:val="Heading3"/>
        <w:rPr>
          <w:i/>
          <w:iCs/>
        </w:rPr>
      </w:pPr>
      <w:r w:rsidRPr="00ED3B77">
        <w:t xml:space="preserve">Clause </w:t>
      </w:r>
      <w:r>
        <w:t>21</w:t>
      </w:r>
      <w:r w:rsidRPr="00ED3B77">
        <w:tab/>
      </w:r>
      <w:r>
        <w:t xml:space="preserve">Dictionary, definition of </w:t>
      </w:r>
      <w:r>
        <w:rPr>
          <w:i/>
          <w:iCs/>
        </w:rPr>
        <w:t>act</w:t>
      </w:r>
    </w:p>
    <w:p w14:paraId="45018918" w14:textId="3A6868EE" w:rsidR="006B2993" w:rsidRDefault="006B2993" w:rsidP="006B2993">
      <w:pPr>
        <w:rPr>
          <w:sz w:val="24"/>
          <w:szCs w:val="24"/>
        </w:rPr>
      </w:pPr>
      <w:r>
        <w:rPr>
          <w:sz w:val="24"/>
          <w:szCs w:val="24"/>
        </w:rPr>
        <w:t xml:space="preserve">This clause substitutes the dictionary definition of </w:t>
      </w:r>
      <w:r>
        <w:rPr>
          <w:i/>
          <w:iCs/>
          <w:sz w:val="24"/>
          <w:szCs w:val="24"/>
        </w:rPr>
        <w:t>act</w:t>
      </w:r>
      <w:r w:rsidR="008D1477">
        <w:rPr>
          <w:sz w:val="24"/>
          <w:szCs w:val="24"/>
        </w:rPr>
        <w:t xml:space="preserve"> to</w:t>
      </w:r>
      <w:r>
        <w:rPr>
          <w:sz w:val="24"/>
          <w:szCs w:val="24"/>
        </w:rPr>
        <w:t xml:space="preserve"> include</w:t>
      </w:r>
      <w:r w:rsidR="008D1477">
        <w:rPr>
          <w:sz w:val="24"/>
          <w:szCs w:val="24"/>
        </w:rPr>
        <w:t xml:space="preserve"> omission and for a human rights complaint includes</w:t>
      </w:r>
      <w:r>
        <w:rPr>
          <w:sz w:val="24"/>
          <w:szCs w:val="24"/>
        </w:rPr>
        <w:t xml:space="preserve"> a proposal to act.</w:t>
      </w:r>
    </w:p>
    <w:p w14:paraId="39A185AB" w14:textId="6985C4FC" w:rsidR="008C0734" w:rsidRPr="009C00BF" w:rsidRDefault="008C0734" w:rsidP="008C0734">
      <w:pPr>
        <w:pStyle w:val="Heading3"/>
      </w:pPr>
      <w:r w:rsidRPr="00ED3B77">
        <w:t xml:space="preserve">Clause </w:t>
      </w:r>
      <w:r>
        <w:t>22</w:t>
      </w:r>
      <w:r w:rsidRPr="00ED3B77">
        <w:tab/>
      </w:r>
      <w:r>
        <w:t xml:space="preserve">Dictionary, new </w:t>
      </w:r>
      <w:r w:rsidR="003A3645">
        <w:t xml:space="preserve">definition </w:t>
      </w:r>
      <w:r w:rsidR="009C00BF">
        <w:t xml:space="preserve">of </w:t>
      </w:r>
      <w:r w:rsidR="009C00BF">
        <w:rPr>
          <w:i/>
          <w:iCs/>
        </w:rPr>
        <w:t>human rights complaint</w:t>
      </w:r>
    </w:p>
    <w:p w14:paraId="528E56B7" w14:textId="28AB82DE" w:rsidR="008C0734" w:rsidRPr="00217EB0" w:rsidRDefault="008C0734" w:rsidP="006B2993">
      <w:r w:rsidRPr="00211687">
        <w:rPr>
          <w:sz w:val="24"/>
          <w:szCs w:val="24"/>
        </w:rPr>
        <w:t>This clause</w:t>
      </w:r>
      <w:r>
        <w:rPr>
          <w:sz w:val="24"/>
          <w:szCs w:val="24"/>
        </w:rPr>
        <w:t xml:space="preserve"> inserts new definitions for </w:t>
      </w:r>
      <w:r>
        <w:rPr>
          <w:i/>
          <w:iCs/>
          <w:sz w:val="24"/>
          <w:szCs w:val="24"/>
        </w:rPr>
        <w:t>human rights complaint</w:t>
      </w:r>
      <w:r>
        <w:rPr>
          <w:sz w:val="24"/>
          <w:szCs w:val="24"/>
        </w:rPr>
        <w:t xml:space="preserve"> into the dictionary of the Act.</w:t>
      </w:r>
    </w:p>
    <w:p w14:paraId="3424C59E" w14:textId="462B1709" w:rsidR="00075395" w:rsidRPr="002A2EF5" w:rsidRDefault="00075395" w:rsidP="00B85B5B">
      <w:pPr>
        <w:pStyle w:val="Heading3"/>
        <w:ind w:left="1440" w:hanging="1440"/>
      </w:pPr>
      <w:r w:rsidRPr="00ED3B77">
        <w:t xml:space="preserve">Clause </w:t>
      </w:r>
      <w:r w:rsidR="00B85B5B">
        <w:t>2</w:t>
      </w:r>
      <w:r w:rsidR="008C0734">
        <w:t>3</w:t>
      </w:r>
      <w:r w:rsidRPr="00ED3B77">
        <w:tab/>
      </w:r>
      <w:r>
        <w:t xml:space="preserve">Dictionary, definition of </w:t>
      </w:r>
      <w:r>
        <w:rPr>
          <w:i/>
          <w:iCs/>
        </w:rPr>
        <w:t>person complained about</w:t>
      </w:r>
      <w:r>
        <w:t>, new paragraph (d)</w:t>
      </w:r>
    </w:p>
    <w:p w14:paraId="0FEB60E5" w14:textId="5F66E510" w:rsidR="00E75915" w:rsidRDefault="00486617" w:rsidP="00075395">
      <w:pPr>
        <w:rPr>
          <w:sz w:val="24"/>
          <w:szCs w:val="24"/>
        </w:rPr>
      </w:pPr>
      <w:r>
        <w:rPr>
          <w:sz w:val="24"/>
          <w:szCs w:val="24"/>
        </w:rPr>
        <w:t xml:space="preserve">This clause inserts a new paragraph to the dictionary definition of </w:t>
      </w:r>
      <w:r>
        <w:rPr>
          <w:i/>
          <w:iCs/>
          <w:sz w:val="24"/>
          <w:szCs w:val="24"/>
        </w:rPr>
        <w:t>person complained about</w:t>
      </w:r>
      <w:r>
        <w:rPr>
          <w:sz w:val="24"/>
          <w:szCs w:val="24"/>
        </w:rPr>
        <w:t xml:space="preserve"> </w:t>
      </w:r>
      <w:r w:rsidR="00E732C8">
        <w:rPr>
          <w:sz w:val="24"/>
          <w:szCs w:val="24"/>
        </w:rPr>
        <w:t xml:space="preserve">setting out the meaning of this term in the Act </w:t>
      </w:r>
      <w:r>
        <w:rPr>
          <w:sz w:val="24"/>
          <w:szCs w:val="24"/>
        </w:rPr>
        <w:t>in relation to a human rights complaint.</w:t>
      </w:r>
    </w:p>
    <w:p w14:paraId="70C43BB8" w14:textId="029F8AE8" w:rsidR="003A3645" w:rsidRPr="003A3645" w:rsidRDefault="003A3645" w:rsidP="003A3645">
      <w:pPr>
        <w:pStyle w:val="Heading3"/>
        <w:rPr>
          <w:i/>
          <w:iCs/>
        </w:rPr>
      </w:pPr>
      <w:r w:rsidRPr="00ED3B77">
        <w:t xml:space="preserve">Clause </w:t>
      </w:r>
      <w:r>
        <w:t>2</w:t>
      </w:r>
      <w:r w:rsidR="007867D5">
        <w:t>4</w:t>
      </w:r>
      <w:r w:rsidRPr="00ED3B77">
        <w:tab/>
      </w:r>
      <w:r>
        <w:t xml:space="preserve">Dictionary, new definition of </w:t>
      </w:r>
      <w:r>
        <w:rPr>
          <w:i/>
          <w:iCs/>
        </w:rPr>
        <w:t>public authority</w:t>
      </w:r>
    </w:p>
    <w:p w14:paraId="096E8A81" w14:textId="43146F6B" w:rsidR="003A3645" w:rsidRPr="003A3645" w:rsidRDefault="003A3645" w:rsidP="00075395">
      <w:r w:rsidRPr="00211687">
        <w:rPr>
          <w:sz w:val="24"/>
          <w:szCs w:val="24"/>
        </w:rPr>
        <w:t>This clause</w:t>
      </w:r>
      <w:r>
        <w:rPr>
          <w:sz w:val="24"/>
          <w:szCs w:val="24"/>
        </w:rPr>
        <w:t xml:space="preserve"> inserts new definitions for </w:t>
      </w:r>
      <w:r w:rsidR="003A59B4">
        <w:rPr>
          <w:i/>
          <w:iCs/>
          <w:sz w:val="24"/>
          <w:szCs w:val="24"/>
        </w:rPr>
        <w:t>public authority</w:t>
      </w:r>
      <w:r>
        <w:rPr>
          <w:sz w:val="24"/>
          <w:szCs w:val="24"/>
        </w:rPr>
        <w:t xml:space="preserve"> into the dictionary of the Ac</w:t>
      </w:r>
      <w:r w:rsidR="001B5486">
        <w:rPr>
          <w:sz w:val="24"/>
          <w:szCs w:val="24"/>
        </w:rPr>
        <w:t>t.</w:t>
      </w:r>
    </w:p>
    <w:p w14:paraId="23708D5D" w14:textId="34753298" w:rsidR="0028218C" w:rsidRDefault="000D5F89" w:rsidP="0028218C">
      <w:pPr>
        <w:pStyle w:val="Heading3"/>
      </w:pPr>
      <w:r>
        <w:t>Schedule 1</w:t>
      </w:r>
      <w:r>
        <w:tab/>
        <w:t>Human Rights Act 2004 – Technical amendments</w:t>
      </w:r>
    </w:p>
    <w:p w14:paraId="084DD26B" w14:textId="3E24C1CA" w:rsidR="0028218C" w:rsidRDefault="008245C3" w:rsidP="0028218C">
      <w:pPr>
        <w:pStyle w:val="Heading3"/>
      </w:pPr>
      <w:r>
        <w:t>[1.1]</w:t>
      </w:r>
      <w:r w:rsidR="0028218C" w:rsidRPr="00ED3B77">
        <w:tab/>
      </w:r>
      <w:r>
        <w:t>Section</w:t>
      </w:r>
      <w:r w:rsidR="00920C67">
        <w:t>s</w:t>
      </w:r>
      <w:r>
        <w:t xml:space="preserve"> 8</w:t>
      </w:r>
      <w:r w:rsidR="00920C67">
        <w:t xml:space="preserve"> and 10 to 14</w:t>
      </w:r>
    </w:p>
    <w:p w14:paraId="2C8E0839" w14:textId="490416B0" w:rsidR="0028218C" w:rsidRDefault="0028218C" w:rsidP="0028218C">
      <w:pPr>
        <w:rPr>
          <w:sz w:val="24"/>
          <w:szCs w:val="24"/>
        </w:rPr>
      </w:pPr>
      <w:r w:rsidRPr="00211687">
        <w:rPr>
          <w:sz w:val="24"/>
          <w:szCs w:val="24"/>
        </w:rPr>
        <w:t>This clause</w:t>
      </w:r>
      <w:r>
        <w:rPr>
          <w:sz w:val="24"/>
          <w:szCs w:val="24"/>
        </w:rPr>
        <w:t xml:space="preserve"> </w:t>
      </w:r>
      <w:r w:rsidR="00595053">
        <w:rPr>
          <w:sz w:val="24"/>
          <w:szCs w:val="24"/>
        </w:rPr>
        <w:t xml:space="preserve">makes </w:t>
      </w:r>
      <w:r w:rsidR="00F873B0">
        <w:rPr>
          <w:sz w:val="24"/>
          <w:szCs w:val="24"/>
        </w:rPr>
        <w:t>t</w:t>
      </w:r>
      <w:r w:rsidR="00595053">
        <w:rPr>
          <w:sz w:val="24"/>
          <w:szCs w:val="24"/>
        </w:rPr>
        <w:t>echnical amendment</w:t>
      </w:r>
      <w:r w:rsidR="00F873B0">
        <w:rPr>
          <w:sz w:val="24"/>
          <w:szCs w:val="24"/>
        </w:rPr>
        <w:t>s</w:t>
      </w:r>
      <w:r w:rsidR="00595053">
        <w:rPr>
          <w:sz w:val="24"/>
          <w:szCs w:val="24"/>
        </w:rPr>
        <w:t xml:space="preserve"> </w:t>
      </w:r>
      <w:r w:rsidR="00492E6B">
        <w:rPr>
          <w:sz w:val="24"/>
          <w:szCs w:val="24"/>
        </w:rPr>
        <w:t>in line with current legislative drafting practice</w:t>
      </w:r>
      <w:r w:rsidR="00840A17">
        <w:rPr>
          <w:sz w:val="24"/>
          <w:szCs w:val="24"/>
        </w:rPr>
        <w:t xml:space="preserve"> with reference to gender</w:t>
      </w:r>
      <w:r w:rsidR="00492E6B">
        <w:rPr>
          <w:sz w:val="24"/>
          <w:szCs w:val="24"/>
        </w:rPr>
        <w:t xml:space="preserve"> </w:t>
      </w:r>
      <w:r w:rsidR="00595053">
        <w:rPr>
          <w:sz w:val="24"/>
          <w:szCs w:val="24"/>
        </w:rPr>
        <w:t xml:space="preserve">to </w:t>
      </w:r>
      <w:r w:rsidR="00A463FA">
        <w:rPr>
          <w:sz w:val="24"/>
          <w:szCs w:val="24"/>
        </w:rPr>
        <w:t xml:space="preserve">omit ‘his or her’ and </w:t>
      </w:r>
      <w:r w:rsidR="00595053">
        <w:rPr>
          <w:sz w:val="24"/>
          <w:szCs w:val="24"/>
        </w:rPr>
        <w:t>substitute ‘their’</w:t>
      </w:r>
      <w:r w:rsidR="00AB5EA0">
        <w:rPr>
          <w:sz w:val="24"/>
          <w:szCs w:val="24"/>
        </w:rPr>
        <w:t>.</w:t>
      </w:r>
    </w:p>
    <w:p w14:paraId="118ABFCF" w14:textId="274EC74A" w:rsidR="00B76027" w:rsidRDefault="00B76027" w:rsidP="00B76027">
      <w:pPr>
        <w:pStyle w:val="Heading3"/>
      </w:pPr>
      <w:r>
        <w:t>[1.</w:t>
      </w:r>
      <w:r w:rsidR="00DB7926">
        <w:t>2</w:t>
      </w:r>
      <w:r>
        <w:t>]</w:t>
      </w:r>
      <w:r w:rsidRPr="00ED3B77">
        <w:tab/>
      </w:r>
      <w:r>
        <w:t>Section</w:t>
      </w:r>
      <w:r w:rsidR="00274649">
        <w:t>s</w:t>
      </w:r>
      <w:r>
        <w:t xml:space="preserve"> </w:t>
      </w:r>
      <w:r w:rsidR="00DB7926">
        <w:t>16 (2)</w:t>
      </w:r>
      <w:r w:rsidR="00274649">
        <w:t xml:space="preserve"> and 18 (3)</w:t>
      </w:r>
    </w:p>
    <w:p w14:paraId="7B6EB867" w14:textId="2B9288DF" w:rsidR="00595053" w:rsidRDefault="00595053" w:rsidP="00595053">
      <w:pPr>
        <w:rPr>
          <w:sz w:val="24"/>
          <w:szCs w:val="24"/>
        </w:rPr>
      </w:pPr>
      <w:r w:rsidRPr="00211687">
        <w:rPr>
          <w:sz w:val="24"/>
          <w:szCs w:val="24"/>
        </w:rPr>
        <w:t>This clause</w:t>
      </w:r>
      <w:r>
        <w:rPr>
          <w:sz w:val="24"/>
          <w:szCs w:val="24"/>
        </w:rPr>
        <w:t xml:space="preserve"> makes technical amendment</w:t>
      </w:r>
      <w:r w:rsidR="004F573D">
        <w:rPr>
          <w:sz w:val="24"/>
          <w:szCs w:val="24"/>
        </w:rPr>
        <w:t>s</w:t>
      </w:r>
      <w:r w:rsidR="00492E6B">
        <w:rPr>
          <w:sz w:val="24"/>
          <w:szCs w:val="24"/>
        </w:rPr>
        <w:t xml:space="preserve"> in line with current legislative drafting practice</w:t>
      </w:r>
      <w:r>
        <w:rPr>
          <w:sz w:val="24"/>
          <w:szCs w:val="24"/>
        </w:rPr>
        <w:t xml:space="preserve"> </w:t>
      </w:r>
      <w:r w:rsidR="00840A17">
        <w:rPr>
          <w:sz w:val="24"/>
          <w:szCs w:val="24"/>
        </w:rPr>
        <w:t xml:space="preserve">with reference to gender </w:t>
      </w:r>
      <w:r>
        <w:rPr>
          <w:sz w:val="24"/>
          <w:szCs w:val="24"/>
        </w:rPr>
        <w:t xml:space="preserve">to </w:t>
      </w:r>
      <w:r w:rsidR="00A463FA">
        <w:rPr>
          <w:sz w:val="24"/>
          <w:szCs w:val="24"/>
        </w:rPr>
        <w:t xml:space="preserve">omit ‘him or her’ and </w:t>
      </w:r>
      <w:r>
        <w:rPr>
          <w:sz w:val="24"/>
          <w:szCs w:val="24"/>
        </w:rPr>
        <w:t>substitute ‘them’</w:t>
      </w:r>
      <w:r w:rsidR="00880135">
        <w:rPr>
          <w:sz w:val="24"/>
          <w:szCs w:val="24"/>
        </w:rPr>
        <w:t>.</w:t>
      </w:r>
    </w:p>
    <w:p w14:paraId="77F642CE" w14:textId="6A26AE02" w:rsidR="00B76027" w:rsidRDefault="00B76027" w:rsidP="00B76027">
      <w:pPr>
        <w:pStyle w:val="Heading3"/>
      </w:pPr>
      <w:r>
        <w:t>[1.</w:t>
      </w:r>
      <w:r w:rsidR="008B0DCF">
        <w:t>3</w:t>
      </w:r>
      <w:r>
        <w:t>]</w:t>
      </w:r>
      <w:r w:rsidRPr="00ED3B77">
        <w:tab/>
      </w:r>
      <w:r w:rsidR="00B269C5">
        <w:t>Section 18 (5)</w:t>
      </w:r>
    </w:p>
    <w:p w14:paraId="19CE1223" w14:textId="402AB0DF" w:rsidR="00595053" w:rsidRDefault="00595053" w:rsidP="00595053">
      <w:pPr>
        <w:rPr>
          <w:sz w:val="24"/>
          <w:szCs w:val="24"/>
        </w:rPr>
      </w:pPr>
      <w:r w:rsidRPr="00211687">
        <w:rPr>
          <w:sz w:val="24"/>
          <w:szCs w:val="24"/>
        </w:rPr>
        <w:t>This clause</w:t>
      </w:r>
      <w:r>
        <w:rPr>
          <w:sz w:val="24"/>
          <w:szCs w:val="24"/>
        </w:rPr>
        <w:t xml:space="preserve"> makes a technical amendment</w:t>
      </w:r>
      <w:r w:rsidR="00492E6B">
        <w:rPr>
          <w:sz w:val="24"/>
          <w:szCs w:val="24"/>
        </w:rPr>
        <w:t xml:space="preserve"> in line with current legislative drafting practice</w:t>
      </w:r>
      <w:r w:rsidR="00840A17">
        <w:rPr>
          <w:sz w:val="24"/>
          <w:szCs w:val="24"/>
        </w:rPr>
        <w:t xml:space="preserve"> with reference to gender</w:t>
      </w:r>
      <w:r>
        <w:rPr>
          <w:sz w:val="24"/>
          <w:szCs w:val="24"/>
        </w:rPr>
        <w:t xml:space="preserve"> to </w:t>
      </w:r>
      <w:r w:rsidR="00C9645E">
        <w:rPr>
          <w:sz w:val="24"/>
          <w:szCs w:val="24"/>
        </w:rPr>
        <w:t xml:space="preserve">omit ‘his or her’ and </w:t>
      </w:r>
      <w:r>
        <w:rPr>
          <w:sz w:val="24"/>
          <w:szCs w:val="24"/>
        </w:rPr>
        <w:t>substitute ‘their</w:t>
      </w:r>
      <w:r w:rsidR="008B0DCF">
        <w:rPr>
          <w:sz w:val="24"/>
          <w:szCs w:val="24"/>
        </w:rPr>
        <w:t>’.</w:t>
      </w:r>
    </w:p>
    <w:p w14:paraId="377D2537" w14:textId="79DBF992" w:rsidR="00B76027" w:rsidRDefault="00B76027" w:rsidP="00B76027">
      <w:pPr>
        <w:pStyle w:val="Heading3"/>
      </w:pPr>
      <w:r>
        <w:lastRenderedPageBreak/>
        <w:t>[1.</w:t>
      </w:r>
      <w:r w:rsidR="00BE6D02">
        <w:t>4</w:t>
      </w:r>
      <w:r>
        <w:t>]</w:t>
      </w:r>
      <w:r w:rsidRPr="00ED3B77">
        <w:tab/>
      </w:r>
      <w:r>
        <w:t>Section</w:t>
      </w:r>
      <w:r w:rsidR="00B269C5">
        <w:t xml:space="preserve"> 22 (2) (a)</w:t>
      </w:r>
      <w:r w:rsidR="00BE6D02">
        <w:t xml:space="preserve"> to (i)</w:t>
      </w:r>
    </w:p>
    <w:p w14:paraId="119A8004" w14:textId="3F293705" w:rsidR="00595053" w:rsidRDefault="00595053" w:rsidP="00595053">
      <w:pPr>
        <w:rPr>
          <w:sz w:val="24"/>
          <w:szCs w:val="24"/>
        </w:rPr>
      </w:pPr>
      <w:r w:rsidRPr="00211687">
        <w:rPr>
          <w:sz w:val="24"/>
          <w:szCs w:val="24"/>
        </w:rPr>
        <w:t>This clause</w:t>
      </w:r>
      <w:r>
        <w:rPr>
          <w:sz w:val="24"/>
          <w:szCs w:val="24"/>
        </w:rPr>
        <w:t xml:space="preserve"> makes technical amendment</w:t>
      </w:r>
      <w:r w:rsidR="00C61E61">
        <w:rPr>
          <w:sz w:val="24"/>
          <w:szCs w:val="24"/>
        </w:rPr>
        <w:t>s</w:t>
      </w:r>
      <w:r>
        <w:rPr>
          <w:sz w:val="24"/>
          <w:szCs w:val="24"/>
        </w:rPr>
        <w:t xml:space="preserve"> </w:t>
      </w:r>
      <w:r w:rsidR="00492E6B">
        <w:rPr>
          <w:sz w:val="24"/>
          <w:szCs w:val="24"/>
        </w:rPr>
        <w:t>in line with current legislative drafting practice</w:t>
      </w:r>
      <w:r w:rsidR="00840A17">
        <w:rPr>
          <w:sz w:val="24"/>
          <w:szCs w:val="24"/>
        </w:rPr>
        <w:t xml:space="preserve"> with reference to gender</w:t>
      </w:r>
      <w:r w:rsidR="00D67875">
        <w:rPr>
          <w:sz w:val="24"/>
          <w:szCs w:val="24"/>
        </w:rPr>
        <w:t>.</w:t>
      </w:r>
    </w:p>
    <w:p w14:paraId="5F362D02" w14:textId="03D52D70" w:rsidR="004228D6" w:rsidRDefault="004228D6" w:rsidP="004228D6">
      <w:pPr>
        <w:pStyle w:val="Heading3"/>
      </w:pPr>
      <w:r>
        <w:t>[1.</w:t>
      </w:r>
      <w:r w:rsidR="004A3FCD">
        <w:t>5</w:t>
      </w:r>
      <w:r>
        <w:t>]</w:t>
      </w:r>
      <w:r w:rsidRPr="00ED3B77">
        <w:tab/>
      </w:r>
      <w:r>
        <w:t>Section 23 (1) (c)</w:t>
      </w:r>
    </w:p>
    <w:p w14:paraId="13FBD999" w14:textId="7997E829" w:rsidR="00B365BD" w:rsidRDefault="00B365BD" w:rsidP="00B365BD">
      <w:pPr>
        <w:rPr>
          <w:sz w:val="24"/>
          <w:szCs w:val="24"/>
        </w:rPr>
      </w:pPr>
      <w:r w:rsidRPr="00211687">
        <w:rPr>
          <w:sz w:val="24"/>
          <w:szCs w:val="24"/>
        </w:rPr>
        <w:t>This clause</w:t>
      </w:r>
      <w:r>
        <w:rPr>
          <w:sz w:val="24"/>
          <w:szCs w:val="24"/>
        </w:rPr>
        <w:t xml:space="preserve"> makes a technical amendment in line with current legislative drafting practice</w:t>
      </w:r>
      <w:r w:rsidR="00840A17">
        <w:rPr>
          <w:sz w:val="24"/>
          <w:szCs w:val="24"/>
        </w:rPr>
        <w:t xml:space="preserve"> with reference to gender</w:t>
      </w:r>
      <w:r>
        <w:rPr>
          <w:sz w:val="24"/>
          <w:szCs w:val="24"/>
        </w:rPr>
        <w:t xml:space="preserve"> to omit ‘h</w:t>
      </w:r>
      <w:r w:rsidR="009E3718">
        <w:rPr>
          <w:sz w:val="24"/>
          <w:szCs w:val="24"/>
        </w:rPr>
        <w:t>e</w:t>
      </w:r>
      <w:r>
        <w:rPr>
          <w:sz w:val="24"/>
          <w:szCs w:val="24"/>
        </w:rPr>
        <w:t xml:space="preserve"> or </w:t>
      </w:r>
      <w:r w:rsidR="009E3718">
        <w:rPr>
          <w:sz w:val="24"/>
          <w:szCs w:val="24"/>
        </w:rPr>
        <w:t>she is</w:t>
      </w:r>
      <w:r>
        <w:rPr>
          <w:sz w:val="24"/>
          <w:szCs w:val="24"/>
        </w:rPr>
        <w:t>’ and substitute ‘the</w:t>
      </w:r>
      <w:r w:rsidR="009E3718">
        <w:rPr>
          <w:sz w:val="24"/>
          <w:szCs w:val="24"/>
        </w:rPr>
        <w:t>y are</w:t>
      </w:r>
      <w:r>
        <w:rPr>
          <w:sz w:val="24"/>
          <w:szCs w:val="24"/>
        </w:rPr>
        <w:t>’</w:t>
      </w:r>
      <w:r w:rsidR="004A3FCD">
        <w:rPr>
          <w:sz w:val="24"/>
          <w:szCs w:val="24"/>
        </w:rPr>
        <w:t>.</w:t>
      </w:r>
    </w:p>
    <w:p w14:paraId="06C92518" w14:textId="6DADA93D" w:rsidR="008776D2" w:rsidRDefault="008776D2" w:rsidP="008776D2">
      <w:pPr>
        <w:pStyle w:val="Heading3"/>
      </w:pPr>
      <w:r>
        <w:t>[1.</w:t>
      </w:r>
      <w:r w:rsidR="008E7EBF">
        <w:t>6</w:t>
      </w:r>
      <w:r>
        <w:t>]</w:t>
      </w:r>
      <w:r w:rsidRPr="00ED3B77">
        <w:tab/>
      </w:r>
      <w:r>
        <w:t>Section 24</w:t>
      </w:r>
    </w:p>
    <w:p w14:paraId="3FD77CCD" w14:textId="431CD135" w:rsidR="00B365BD" w:rsidRDefault="00B365BD" w:rsidP="00B365BD">
      <w:pPr>
        <w:rPr>
          <w:sz w:val="24"/>
          <w:szCs w:val="24"/>
        </w:rPr>
      </w:pPr>
      <w:r w:rsidRPr="00211687">
        <w:rPr>
          <w:sz w:val="24"/>
          <w:szCs w:val="24"/>
        </w:rPr>
        <w:t>This clause</w:t>
      </w:r>
      <w:r>
        <w:rPr>
          <w:sz w:val="24"/>
          <w:szCs w:val="24"/>
        </w:rPr>
        <w:t xml:space="preserve"> makes a technical amendment in line with current legislative drafting practice </w:t>
      </w:r>
      <w:r w:rsidR="00840A17">
        <w:rPr>
          <w:sz w:val="24"/>
          <w:szCs w:val="24"/>
        </w:rPr>
        <w:t xml:space="preserve">with reference to gender </w:t>
      </w:r>
      <w:r>
        <w:rPr>
          <w:sz w:val="24"/>
          <w:szCs w:val="24"/>
        </w:rPr>
        <w:t>to omit ‘</w:t>
      </w:r>
      <w:r w:rsidR="009E3718">
        <w:rPr>
          <w:sz w:val="24"/>
          <w:szCs w:val="24"/>
        </w:rPr>
        <w:t xml:space="preserve">he or she </w:t>
      </w:r>
      <w:proofErr w:type="spellStart"/>
      <w:r w:rsidR="009E3718">
        <w:rPr>
          <w:sz w:val="24"/>
          <w:szCs w:val="24"/>
        </w:rPr>
        <w:t>has’</w:t>
      </w:r>
      <w:proofErr w:type="spellEnd"/>
      <w:r>
        <w:rPr>
          <w:sz w:val="24"/>
          <w:szCs w:val="24"/>
        </w:rPr>
        <w:t xml:space="preserve"> and substitute ‘t</w:t>
      </w:r>
      <w:r w:rsidR="009E3718">
        <w:rPr>
          <w:sz w:val="24"/>
          <w:szCs w:val="24"/>
        </w:rPr>
        <w:t>hey have</w:t>
      </w:r>
      <w:r>
        <w:rPr>
          <w:sz w:val="24"/>
          <w:szCs w:val="24"/>
        </w:rPr>
        <w:t>’</w:t>
      </w:r>
      <w:r w:rsidR="008E7EBF">
        <w:rPr>
          <w:sz w:val="24"/>
          <w:szCs w:val="24"/>
        </w:rPr>
        <w:t>.</w:t>
      </w:r>
    </w:p>
    <w:p w14:paraId="547A2803" w14:textId="2BA95B69" w:rsidR="008776D2" w:rsidRDefault="008776D2" w:rsidP="008776D2">
      <w:pPr>
        <w:pStyle w:val="Heading3"/>
      </w:pPr>
      <w:r>
        <w:t>[1.</w:t>
      </w:r>
      <w:r w:rsidR="00460805">
        <w:t>7</w:t>
      </w:r>
      <w:r>
        <w:t>]</w:t>
      </w:r>
      <w:r w:rsidRPr="00ED3B77">
        <w:tab/>
      </w:r>
      <w:r>
        <w:t>Section 25 (2)</w:t>
      </w:r>
    </w:p>
    <w:p w14:paraId="48DBA37B" w14:textId="630E908B" w:rsidR="00B365BD" w:rsidRDefault="00B365BD" w:rsidP="00B365BD">
      <w:pPr>
        <w:rPr>
          <w:sz w:val="24"/>
          <w:szCs w:val="24"/>
        </w:rPr>
      </w:pPr>
      <w:r w:rsidRPr="00211687">
        <w:rPr>
          <w:sz w:val="24"/>
          <w:szCs w:val="24"/>
        </w:rPr>
        <w:t>This clause</w:t>
      </w:r>
      <w:r>
        <w:rPr>
          <w:sz w:val="24"/>
          <w:szCs w:val="24"/>
        </w:rPr>
        <w:t xml:space="preserve"> makes a technical amendment in line with current legislative drafting practice </w:t>
      </w:r>
      <w:r w:rsidR="00840A17">
        <w:rPr>
          <w:sz w:val="24"/>
          <w:szCs w:val="24"/>
        </w:rPr>
        <w:t xml:space="preserve">with reference to gender </w:t>
      </w:r>
      <w:r>
        <w:rPr>
          <w:sz w:val="24"/>
          <w:szCs w:val="24"/>
        </w:rPr>
        <w:t>to omit ‘</w:t>
      </w:r>
      <w:r w:rsidR="00425EE2">
        <w:rPr>
          <w:sz w:val="24"/>
          <w:szCs w:val="24"/>
        </w:rPr>
        <w:t>he or she benefits’</w:t>
      </w:r>
      <w:r>
        <w:rPr>
          <w:sz w:val="24"/>
          <w:szCs w:val="24"/>
        </w:rPr>
        <w:t xml:space="preserve"> and substitute ‘the</w:t>
      </w:r>
      <w:r w:rsidR="00425EE2">
        <w:rPr>
          <w:sz w:val="24"/>
          <w:szCs w:val="24"/>
        </w:rPr>
        <w:t>y benefit</w:t>
      </w:r>
      <w:r>
        <w:rPr>
          <w:sz w:val="24"/>
          <w:szCs w:val="24"/>
        </w:rPr>
        <w:t>’</w:t>
      </w:r>
      <w:r w:rsidR="00460805">
        <w:rPr>
          <w:sz w:val="24"/>
          <w:szCs w:val="24"/>
        </w:rPr>
        <w:t>.</w:t>
      </w:r>
    </w:p>
    <w:p w14:paraId="467EC073" w14:textId="5F30AC0B" w:rsidR="008776D2" w:rsidRDefault="008776D2" w:rsidP="008776D2">
      <w:pPr>
        <w:pStyle w:val="Heading3"/>
      </w:pPr>
      <w:r>
        <w:t>[1.</w:t>
      </w:r>
      <w:r w:rsidR="006844DD">
        <w:t>8</w:t>
      </w:r>
      <w:r>
        <w:t>]</w:t>
      </w:r>
      <w:r w:rsidRPr="00ED3B77">
        <w:tab/>
      </w:r>
      <w:r>
        <w:t>Section 27 (1)</w:t>
      </w:r>
      <w:r w:rsidR="00B03927">
        <w:t xml:space="preserve"> and 27A (1)</w:t>
      </w:r>
    </w:p>
    <w:p w14:paraId="32A53403" w14:textId="518F33C9" w:rsidR="008776D2" w:rsidRPr="006844DD" w:rsidRDefault="00B365BD" w:rsidP="004228D6">
      <w:pPr>
        <w:rPr>
          <w:sz w:val="24"/>
          <w:szCs w:val="24"/>
        </w:rPr>
      </w:pPr>
      <w:r w:rsidRPr="00211687">
        <w:rPr>
          <w:sz w:val="24"/>
          <w:szCs w:val="24"/>
        </w:rPr>
        <w:t>This clause</w:t>
      </w:r>
      <w:r>
        <w:rPr>
          <w:sz w:val="24"/>
          <w:szCs w:val="24"/>
        </w:rPr>
        <w:t xml:space="preserve"> makes technical amendment</w:t>
      </w:r>
      <w:r w:rsidR="00A66DB0">
        <w:rPr>
          <w:sz w:val="24"/>
          <w:szCs w:val="24"/>
        </w:rPr>
        <w:t>s</w:t>
      </w:r>
      <w:r>
        <w:rPr>
          <w:sz w:val="24"/>
          <w:szCs w:val="24"/>
        </w:rPr>
        <w:t xml:space="preserve"> in line with current legislative drafting practice</w:t>
      </w:r>
      <w:r w:rsidR="00840A17">
        <w:rPr>
          <w:sz w:val="24"/>
          <w:szCs w:val="24"/>
        </w:rPr>
        <w:t xml:space="preserve"> with reference to gender</w:t>
      </w:r>
      <w:r w:rsidR="00A66DB0">
        <w:rPr>
          <w:sz w:val="24"/>
          <w:szCs w:val="24"/>
        </w:rPr>
        <w:t>.</w:t>
      </w:r>
    </w:p>
    <w:p w14:paraId="0138575C" w14:textId="77777777" w:rsidR="004228D6" w:rsidRPr="00211687" w:rsidRDefault="004228D6" w:rsidP="00B76027"/>
    <w:p w14:paraId="6A8BD582" w14:textId="77777777" w:rsidR="00B76027" w:rsidRPr="00211687" w:rsidRDefault="00B76027" w:rsidP="0028218C"/>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731B" w14:textId="77777777" w:rsidR="003663A5" w:rsidRDefault="003663A5">
      <w:pPr>
        <w:spacing w:after="0" w:line="240" w:lineRule="auto"/>
      </w:pPr>
      <w:r>
        <w:separator/>
      </w:r>
    </w:p>
  </w:endnote>
  <w:endnote w:type="continuationSeparator" w:id="0">
    <w:p w14:paraId="4F1C1823" w14:textId="77777777" w:rsidR="003663A5" w:rsidRDefault="003663A5">
      <w:pPr>
        <w:spacing w:after="0" w:line="240" w:lineRule="auto"/>
      </w:pPr>
      <w:r>
        <w:continuationSeparator/>
      </w:r>
    </w:p>
  </w:endnote>
  <w:endnote w:type="continuationNotice" w:id="1">
    <w:p w14:paraId="631728BD" w14:textId="77777777" w:rsidR="003663A5" w:rsidRDefault="00366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8682" w14:textId="77777777" w:rsidR="005637D5" w:rsidRDefault="00563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A069" w14:textId="783CDCF1" w:rsidR="005637D5" w:rsidRPr="005637D5" w:rsidRDefault="005637D5" w:rsidP="005637D5">
    <w:pPr>
      <w:pStyle w:val="Footer"/>
      <w:jc w:val="center"/>
      <w:rPr>
        <w:rFonts w:cs="Arial"/>
        <w:sz w:val="14"/>
      </w:rPr>
    </w:pPr>
    <w:r w:rsidRPr="005637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CE57766"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A228E3A" w14:textId="6AB6F872" w:rsidR="005637D5" w:rsidRPr="005637D5" w:rsidRDefault="005637D5" w:rsidP="005637D5">
    <w:pPr>
      <w:pStyle w:val="Footer"/>
      <w:spacing w:before="60" w:line="240" w:lineRule="auto"/>
      <w:jc w:val="center"/>
      <w:rPr>
        <w:rFonts w:cs="Arial"/>
        <w:sz w:val="14"/>
      </w:rPr>
    </w:pPr>
    <w:r w:rsidRPr="005637D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1F5130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1E872D3" w14:textId="0D89DCBA" w:rsidR="005637D5" w:rsidRPr="005637D5" w:rsidRDefault="005637D5" w:rsidP="005637D5">
    <w:pPr>
      <w:pStyle w:val="Footer"/>
      <w:jc w:val="center"/>
      <w:rPr>
        <w:rFonts w:cs="Arial"/>
        <w:sz w:val="14"/>
      </w:rPr>
    </w:pPr>
    <w:r w:rsidRPr="005637D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96E" w14:textId="77777777" w:rsidR="003663A5" w:rsidRDefault="003663A5">
      <w:pPr>
        <w:spacing w:after="0" w:line="240" w:lineRule="auto"/>
      </w:pPr>
      <w:r>
        <w:separator/>
      </w:r>
    </w:p>
  </w:footnote>
  <w:footnote w:type="continuationSeparator" w:id="0">
    <w:p w14:paraId="2DAD760C" w14:textId="77777777" w:rsidR="003663A5" w:rsidRDefault="003663A5">
      <w:pPr>
        <w:spacing w:after="0" w:line="240" w:lineRule="auto"/>
      </w:pPr>
      <w:r>
        <w:continuationSeparator/>
      </w:r>
    </w:p>
  </w:footnote>
  <w:footnote w:type="continuationNotice" w:id="1">
    <w:p w14:paraId="1229B7E9" w14:textId="77777777" w:rsidR="003663A5" w:rsidRDefault="00366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4B22" w14:textId="77777777" w:rsidR="005637D5" w:rsidRDefault="00563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ABE5" w14:textId="18CE82D1" w:rsidR="00BD26E3" w:rsidRPr="00BD26E3" w:rsidRDefault="00BD26E3" w:rsidP="00BD26E3">
    <w:pPr>
      <w:pStyle w:val="Header"/>
      <w:jc w:val="center"/>
      <w:rPr>
        <w:rFonts w:ascii="Arial" w:hAnsi="Arial" w:cs="Arial"/>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0756" w14:textId="77777777" w:rsidR="00BD26E3" w:rsidRDefault="00BD26E3" w:rsidP="00BD26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F7287A"/>
    <w:multiLevelType w:val="hybridMultilevel"/>
    <w:tmpl w:val="126E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93547C"/>
    <w:multiLevelType w:val="hybridMultilevel"/>
    <w:tmpl w:val="B93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7EDE678A"/>
    <w:multiLevelType w:val="hybridMultilevel"/>
    <w:tmpl w:val="AE7C7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2817864">
    <w:abstractNumId w:val="3"/>
  </w:num>
  <w:num w:numId="2" w16cid:durableId="1901403800">
    <w:abstractNumId w:val="4"/>
  </w:num>
  <w:num w:numId="3" w16cid:durableId="206648356">
    <w:abstractNumId w:val="0"/>
  </w:num>
  <w:num w:numId="4" w16cid:durableId="1834374719">
    <w:abstractNumId w:val="5"/>
  </w:num>
  <w:num w:numId="5" w16cid:durableId="959647174">
    <w:abstractNumId w:val="1"/>
  </w:num>
  <w:num w:numId="6" w16cid:durableId="5400478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DEF"/>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6C8"/>
    <w:rsid w:val="00017B43"/>
    <w:rsid w:val="00017E9E"/>
    <w:rsid w:val="00017F39"/>
    <w:rsid w:val="00020A0B"/>
    <w:rsid w:val="00020FD5"/>
    <w:rsid w:val="000227DF"/>
    <w:rsid w:val="000228B5"/>
    <w:rsid w:val="00022F73"/>
    <w:rsid w:val="00022FF4"/>
    <w:rsid w:val="000235BB"/>
    <w:rsid w:val="00023878"/>
    <w:rsid w:val="00023B23"/>
    <w:rsid w:val="00024137"/>
    <w:rsid w:val="00024DD6"/>
    <w:rsid w:val="000273A7"/>
    <w:rsid w:val="000274AB"/>
    <w:rsid w:val="000276C7"/>
    <w:rsid w:val="000300CB"/>
    <w:rsid w:val="00030373"/>
    <w:rsid w:val="000304B9"/>
    <w:rsid w:val="00030D9D"/>
    <w:rsid w:val="00032126"/>
    <w:rsid w:val="0003311C"/>
    <w:rsid w:val="00033386"/>
    <w:rsid w:val="00033631"/>
    <w:rsid w:val="00033ABA"/>
    <w:rsid w:val="00033E63"/>
    <w:rsid w:val="0003416C"/>
    <w:rsid w:val="00034929"/>
    <w:rsid w:val="000357F8"/>
    <w:rsid w:val="00036405"/>
    <w:rsid w:val="00036697"/>
    <w:rsid w:val="00036A5F"/>
    <w:rsid w:val="00036D89"/>
    <w:rsid w:val="00037CE7"/>
    <w:rsid w:val="0004029C"/>
    <w:rsid w:val="00040382"/>
    <w:rsid w:val="00040B9E"/>
    <w:rsid w:val="00040CF4"/>
    <w:rsid w:val="00041643"/>
    <w:rsid w:val="00041F36"/>
    <w:rsid w:val="00041FDD"/>
    <w:rsid w:val="000420D8"/>
    <w:rsid w:val="0004219D"/>
    <w:rsid w:val="00042214"/>
    <w:rsid w:val="000426C2"/>
    <w:rsid w:val="00042847"/>
    <w:rsid w:val="00042C2E"/>
    <w:rsid w:val="00043A31"/>
    <w:rsid w:val="0004521E"/>
    <w:rsid w:val="000457F3"/>
    <w:rsid w:val="00045897"/>
    <w:rsid w:val="00045C05"/>
    <w:rsid w:val="00045FC1"/>
    <w:rsid w:val="00046070"/>
    <w:rsid w:val="0004697F"/>
    <w:rsid w:val="00046E05"/>
    <w:rsid w:val="00047D5D"/>
    <w:rsid w:val="00050021"/>
    <w:rsid w:val="0005013E"/>
    <w:rsid w:val="000503A9"/>
    <w:rsid w:val="000506F5"/>
    <w:rsid w:val="00050B04"/>
    <w:rsid w:val="00051040"/>
    <w:rsid w:val="00051B48"/>
    <w:rsid w:val="000520A6"/>
    <w:rsid w:val="0005382B"/>
    <w:rsid w:val="00054677"/>
    <w:rsid w:val="0005467E"/>
    <w:rsid w:val="000554D5"/>
    <w:rsid w:val="000555CE"/>
    <w:rsid w:val="000557CF"/>
    <w:rsid w:val="0005594C"/>
    <w:rsid w:val="0005684B"/>
    <w:rsid w:val="00057734"/>
    <w:rsid w:val="000577EC"/>
    <w:rsid w:val="00057D1D"/>
    <w:rsid w:val="0006013C"/>
    <w:rsid w:val="0006082A"/>
    <w:rsid w:val="000609C7"/>
    <w:rsid w:val="00060A08"/>
    <w:rsid w:val="00060F09"/>
    <w:rsid w:val="00061144"/>
    <w:rsid w:val="000613C2"/>
    <w:rsid w:val="0006244A"/>
    <w:rsid w:val="00062540"/>
    <w:rsid w:val="00062620"/>
    <w:rsid w:val="00062AA8"/>
    <w:rsid w:val="00062CA5"/>
    <w:rsid w:val="00062EF2"/>
    <w:rsid w:val="000633C1"/>
    <w:rsid w:val="0006351F"/>
    <w:rsid w:val="000635B4"/>
    <w:rsid w:val="00063AF2"/>
    <w:rsid w:val="00063DB0"/>
    <w:rsid w:val="000648FE"/>
    <w:rsid w:val="00064BEC"/>
    <w:rsid w:val="0006545C"/>
    <w:rsid w:val="00065468"/>
    <w:rsid w:val="00066031"/>
    <w:rsid w:val="00066731"/>
    <w:rsid w:val="0006694B"/>
    <w:rsid w:val="00066C61"/>
    <w:rsid w:val="00067CD2"/>
    <w:rsid w:val="00067E87"/>
    <w:rsid w:val="00070095"/>
    <w:rsid w:val="00071883"/>
    <w:rsid w:val="00072D58"/>
    <w:rsid w:val="00072EA8"/>
    <w:rsid w:val="00073490"/>
    <w:rsid w:val="0007375C"/>
    <w:rsid w:val="00073760"/>
    <w:rsid w:val="00073A1C"/>
    <w:rsid w:val="00074ACD"/>
    <w:rsid w:val="00075395"/>
    <w:rsid w:val="00076249"/>
    <w:rsid w:val="000762EC"/>
    <w:rsid w:val="00076783"/>
    <w:rsid w:val="00077549"/>
    <w:rsid w:val="00077D2E"/>
    <w:rsid w:val="00081B40"/>
    <w:rsid w:val="00081E18"/>
    <w:rsid w:val="00082F96"/>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A1B"/>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75A"/>
    <w:rsid w:val="000C7F39"/>
    <w:rsid w:val="000D066D"/>
    <w:rsid w:val="000D1393"/>
    <w:rsid w:val="000D16F4"/>
    <w:rsid w:val="000D2C67"/>
    <w:rsid w:val="000D3095"/>
    <w:rsid w:val="000D3C11"/>
    <w:rsid w:val="000D3C24"/>
    <w:rsid w:val="000D4F31"/>
    <w:rsid w:val="000D5345"/>
    <w:rsid w:val="000D53DB"/>
    <w:rsid w:val="000D5F89"/>
    <w:rsid w:val="000D6034"/>
    <w:rsid w:val="000D652C"/>
    <w:rsid w:val="000D6905"/>
    <w:rsid w:val="000D703B"/>
    <w:rsid w:val="000D758B"/>
    <w:rsid w:val="000E0B99"/>
    <w:rsid w:val="000E0C67"/>
    <w:rsid w:val="000E15C9"/>
    <w:rsid w:val="000E1A96"/>
    <w:rsid w:val="000E1BA9"/>
    <w:rsid w:val="000E1D21"/>
    <w:rsid w:val="000E29A4"/>
    <w:rsid w:val="000E368C"/>
    <w:rsid w:val="000E3C40"/>
    <w:rsid w:val="000E43D7"/>
    <w:rsid w:val="000E47FE"/>
    <w:rsid w:val="000E4BD4"/>
    <w:rsid w:val="000E508E"/>
    <w:rsid w:val="000E6447"/>
    <w:rsid w:val="000E661D"/>
    <w:rsid w:val="000E6FF4"/>
    <w:rsid w:val="000F060C"/>
    <w:rsid w:val="000F1D43"/>
    <w:rsid w:val="000F21F2"/>
    <w:rsid w:val="000F2540"/>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112"/>
    <w:rsid w:val="00101503"/>
    <w:rsid w:val="00101E88"/>
    <w:rsid w:val="00101FC6"/>
    <w:rsid w:val="001034CA"/>
    <w:rsid w:val="00103E77"/>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054"/>
    <w:rsid w:val="00114280"/>
    <w:rsid w:val="001144E0"/>
    <w:rsid w:val="00115FCF"/>
    <w:rsid w:val="00116274"/>
    <w:rsid w:val="0011672E"/>
    <w:rsid w:val="0011691E"/>
    <w:rsid w:val="00116C36"/>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05"/>
    <w:rsid w:val="001370BD"/>
    <w:rsid w:val="00137192"/>
    <w:rsid w:val="00137741"/>
    <w:rsid w:val="00137DC9"/>
    <w:rsid w:val="0014031C"/>
    <w:rsid w:val="001404FF"/>
    <w:rsid w:val="00141A37"/>
    <w:rsid w:val="001421E6"/>
    <w:rsid w:val="00142808"/>
    <w:rsid w:val="00143701"/>
    <w:rsid w:val="00143E5B"/>
    <w:rsid w:val="00143E6D"/>
    <w:rsid w:val="00144447"/>
    <w:rsid w:val="0014457E"/>
    <w:rsid w:val="00144A74"/>
    <w:rsid w:val="00145361"/>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4B0C"/>
    <w:rsid w:val="001564B6"/>
    <w:rsid w:val="0015684F"/>
    <w:rsid w:val="001577A9"/>
    <w:rsid w:val="00157B44"/>
    <w:rsid w:val="0016098D"/>
    <w:rsid w:val="001609F9"/>
    <w:rsid w:val="00160B3A"/>
    <w:rsid w:val="0016184C"/>
    <w:rsid w:val="001619B9"/>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5988"/>
    <w:rsid w:val="00186CF6"/>
    <w:rsid w:val="00190048"/>
    <w:rsid w:val="001909E6"/>
    <w:rsid w:val="0019122A"/>
    <w:rsid w:val="0019177A"/>
    <w:rsid w:val="00191B79"/>
    <w:rsid w:val="00191DB6"/>
    <w:rsid w:val="00192203"/>
    <w:rsid w:val="0019295E"/>
    <w:rsid w:val="0019375C"/>
    <w:rsid w:val="00193BA2"/>
    <w:rsid w:val="00193FCD"/>
    <w:rsid w:val="00194153"/>
    <w:rsid w:val="0019444B"/>
    <w:rsid w:val="00194D63"/>
    <w:rsid w:val="0019677F"/>
    <w:rsid w:val="00197548"/>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1AB"/>
    <w:rsid w:val="001B3BEB"/>
    <w:rsid w:val="001B5233"/>
    <w:rsid w:val="001B5486"/>
    <w:rsid w:val="001B6376"/>
    <w:rsid w:val="001B69AD"/>
    <w:rsid w:val="001B6AFA"/>
    <w:rsid w:val="001B6B07"/>
    <w:rsid w:val="001B7090"/>
    <w:rsid w:val="001B7472"/>
    <w:rsid w:val="001B760A"/>
    <w:rsid w:val="001B7731"/>
    <w:rsid w:val="001C0F8B"/>
    <w:rsid w:val="001C1D17"/>
    <w:rsid w:val="001C1DB2"/>
    <w:rsid w:val="001C1E66"/>
    <w:rsid w:val="001C1F12"/>
    <w:rsid w:val="001C3D42"/>
    <w:rsid w:val="001C42EE"/>
    <w:rsid w:val="001C43BB"/>
    <w:rsid w:val="001C49B8"/>
    <w:rsid w:val="001C4B20"/>
    <w:rsid w:val="001C4BAB"/>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76D"/>
    <w:rsid w:val="001D5852"/>
    <w:rsid w:val="001D5E8F"/>
    <w:rsid w:val="001D60F6"/>
    <w:rsid w:val="001D6F31"/>
    <w:rsid w:val="001E0CAE"/>
    <w:rsid w:val="001E110E"/>
    <w:rsid w:val="001E1617"/>
    <w:rsid w:val="001E25FA"/>
    <w:rsid w:val="001E26F3"/>
    <w:rsid w:val="001E2952"/>
    <w:rsid w:val="001E29CB"/>
    <w:rsid w:val="001E2B5B"/>
    <w:rsid w:val="001E2DED"/>
    <w:rsid w:val="001E33FE"/>
    <w:rsid w:val="001E4B99"/>
    <w:rsid w:val="001E4E14"/>
    <w:rsid w:val="001E5C8B"/>
    <w:rsid w:val="001E63B6"/>
    <w:rsid w:val="001E6CFF"/>
    <w:rsid w:val="001E73E0"/>
    <w:rsid w:val="001E77F3"/>
    <w:rsid w:val="001E7D5F"/>
    <w:rsid w:val="001F07E2"/>
    <w:rsid w:val="001F08AB"/>
    <w:rsid w:val="001F08B5"/>
    <w:rsid w:val="001F0EAF"/>
    <w:rsid w:val="001F1BD5"/>
    <w:rsid w:val="001F1C90"/>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6DE6"/>
    <w:rsid w:val="002079B0"/>
    <w:rsid w:val="00207ECF"/>
    <w:rsid w:val="00210051"/>
    <w:rsid w:val="002107F3"/>
    <w:rsid w:val="00210D30"/>
    <w:rsid w:val="00210D7A"/>
    <w:rsid w:val="0021142F"/>
    <w:rsid w:val="00211687"/>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51B"/>
    <w:rsid w:val="00217EB0"/>
    <w:rsid w:val="002200C2"/>
    <w:rsid w:val="002208F0"/>
    <w:rsid w:val="00221BFA"/>
    <w:rsid w:val="002220FE"/>
    <w:rsid w:val="0022225E"/>
    <w:rsid w:val="002222B7"/>
    <w:rsid w:val="002225F9"/>
    <w:rsid w:val="002228E3"/>
    <w:rsid w:val="00222E7B"/>
    <w:rsid w:val="00223187"/>
    <w:rsid w:val="00223360"/>
    <w:rsid w:val="00223FAE"/>
    <w:rsid w:val="00224320"/>
    <w:rsid w:val="002250E9"/>
    <w:rsid w:val="0022586C"/>
    <w:rsid w:val="00225E8D"/>
    <w:rsid w:val="00230C82"/>
    <w:rsid w:val="00230F6B"/>
    <w:rsid w:val="00231962"/>
    <w:rsid w:val="00232952"/>
    <w:rsid w:val="00232D47"/>
    <w:rsid w:val="00233BC1"/>
    <w:rsid w:val="00233EF5"/>
    <w:rsid w:val="002345BD"/>
    <w:rsid w:val="00234C11"/>
    <w:rsid w:val="00234D9D"/>
    <w:rsid w:val="00236041"/>
    <w:rsid w:val="00236190"/>
    <w:rsid w:val="00236543"/>
    <w:rsid w:val="00236B49"/>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736"/>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649"/>
    <w:rsid w:val="00274F51"/>
    <w:rsid w:val="0027734B"/>
    <w:rsid w:val="002774DB"/>
    <w:rsid w:val="00277A64"/>
    <w:rsid w:val="00277CA0"/>
    <w:rsid w:val="0028000F"/>
    <w:rsid w:val="00280425"/>
    <w:rsid w:val="0028089A"/>
    <w:rsid w:val="00280C5C"/>
    <w:rsid w:val="00281563"/>
    <w:rsid w:val="0028217C"/>
    <w:rsid w:val="0028218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18D"/>
    <w:rsid w:val="00292395"/>
    <w:rsid w:val="00292E2A"/>
    <w:rsid w:val="00295448"/>
    <w:rsid w:val="00295802"/>
    <w:rsid w:val="0029592E"/>
    <w:rsid w:val="00296566"/>
    <w:rsid w:val="0029681B"/>
    <w:rsid w:val="002974AE"/>
    <w:rsid w:val="00297A3D"/>
    <w:rsid w:val="002A0ADA"/>
    <w:rsid w:val="002A11EA"/>
    <w:rsid w:val="002A1375"/>
    <w:rsid w:val="002A1957"/>
    <w:rsid w:val="002A1CEE"/>
    <w:rsid w:val="002A203B"/>
    <w:rsid w:val="002A2EF5"/>
    <w:rsid w:val="002A32E0"/>
    <w:rsid w:val="002A35FE"/>
    <w:rsid w:val="002A3942"/>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1FE7"/>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02"/>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1BB"/>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E79AE"/>
    <w:rsid w:val="002F0708"/>
    <w:rsid w:val="002F1395"/>
    <w:rsid w:val="002F1433"/>
    <w:rsid w:val="002F14AF"/>
    <w:rsid w:val="002F167D"/>
    <w:rsid w:val="002F1FD8"/>
    <w:rsid w:val="002F222A"/>
    <w:rsid w:val="002F24AA"/>
    <w:rsid w:val="002F29D1"/>
    <w:rsid w:val="002F2BC9"/>
    <w:rsid w:val="002F327A"/>
    <w:rsid w:val="002F38BD"/>
    <w:rsid w:val="002F3E0E"/>
    <w:rsid w:val="002F40A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F14"/>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680"/>
    <w:rsid w:val="00321905"/>
    <w:rsid w:val="00321B8E"/>
    <w:rsid w:val="00322606"/>
    <w:rsid w:val="00322A3D"/>
    <w:rsid w:val="00322A80"/>
    <w:rsid w:val="0032386E"/>
    <w:rsid w:val="00323BA3"/>
    <w:rsid w:val="00323D51"/>
    <w:rsid w:val="0032491B"/>
    <w:rsid w:val="00325A6C"/>
    <w:rsid w:val="0032636F"/>
    <w:rsid w:val="003263C6"/>
    <w:rsid w:val="00326971"/>
    <w:rsid w:val="00326CA7"/>
    <w:rsid w:val="00327702"/>
    <w:rsid w:val="00327BA9"/>
    <w:rsid w:val="00327BEA"/>
    <w:rsid w:val="00330611"/>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29F"/>
    <w:rsid w:val="00336924"/>
    <w:rsid w:val="0033716E"/>
    <w:rsid w:val="00337637"/>
    <w:rsid w:val="00337D14"/>
    <w:rsid w:val="0034077A"/>
    <w:rsid w:val="0034082A"/>
    <w:rsid w:val="00341D6E"/>
    <w:rsid w:val="0034205F"/>
    <w:rsid w:val="003423BA"/>
    <w:rsid w:val="003427D2"/>
    <w:rsid w:val="0034280B"/>
    <w:rsid w:val="00342C36"/>
    <w:rsid w:val="00343008"/>
    <w:rsid w:val="003430AD"/>
    <w:rsid w:val="00343402"/>
    <w:rsid w:val="003447CE"/>
    <w:rsid w:val="00344CA5"/>
    <w:rsid w:val="0034506A"/>
    <w:rsid w:val="003455C9"/>
    <w:rsid w:val="00345B11"/>
    <w:rsid w:val="00346013"/>
    <w:rsid w:val="003461C3"/>
    <w:rsid w:val="00346546"/>
    <w:rsid w:val="00347867"/>
    <w:rsid w:val="00347947"/>
    <w:rsid w:val="0035009B"/>
    <w:rsid w:val="00350F62"/>
    <w:rsid w:val="00351071"/>
    <w:rsid w:val="003514AE"/>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57DD4"/>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3A5"/>
    <w:rsid w:val="00366ED8"/>
    <w:rsid w:val="00367061"/>
    <w:rsid w:val="0036776D"/>
    <w:rsid w:val="00367C46"/>
    <w:rsid w:val="00367E81"/>
    <w:rsid w:val="00370C00"/>
    <w:rsid w:val="00370D36"/>
    <w:rsid w:val="0037133C"/>
    <w:rsid w:val="003713CE"/>
    <w:rsid w:val="00371A18"/>
    <w:rsid w:val="00371C4D"/>
    <w:rsid w:val="00372C2D"/>
    <w:rsid w:val="003731AA"/>
    <w:rsid w:val="00373697"/>
    <w:rsid w:val="003737C8"/>
    <w:rsid w:val="003739E6"/>
    <w:rsid w:val="00374E13"/>
    <w:rsid w:val="00374E9C"/>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172"/>
    <w:rsid w:val="003A3645"/>
    <w:rsid w:val="003A371E"/>
    <w:rsid w:val="003A3CAD"/>
    <w:rsid w:val="003A59B4"/>
    <w:rsid w:val="003A5B5A"/>
    <w:rsid w:val="003A5C68"/>
    <w:rsid w:val="003A631F"/>
    <w:rsid w:val="003A6448"/>
    <w:rsid w:val="003A6D12"/>
    <w:rsid w:val="003A7637"/>
    <w:rsid w:val="003B074C"/>
    <w:rsid w:val="003B13BC"/>
    <w:rsid w:val="003B1449"/>
    <w:rsid w:val="003B1476"/>
    <w:rsid w:val="003B1869"/>
    <w:rsid w:val="003B1D23"/>
    <w:rsid w:val="003B2E0F"/>
    <w:rsid w:val="003B31FE"/>
    <w:rsid w:val="003B32A3"/>
    <w:rsid w:val="003B3A43"/>
    <w:rsid w:val="003B3BF4"/>
    <w:rsid w:val="003B409E"/>
    <w:rsid w:val="003B43CC"/>
    <w:rsid w:val="003B491D"/>
    <w:rsid w:val="003B509F"/>
    <w:rsid w:val="003B51E1"/>
    <w:rsid w:val="003B5572"/>
    <w:rsid w:val="003B557E"/>
    <w:rsid w:val="003B55B1"/>
    <w:rsid w:val="003B621B"/>
    <w:rsid w:val="003B62F7"/>
    <w:rsid w:val="003B6911"/>
    <w:rsid w:val="003B709B"/>
    <w:rsid w:val="003B71CF"/>
    <w:rsid w:val="003B739A"/>
    <w:rsid w:val="003B7A31"/>
    <w:rsid w:val="003B7C4B"/>
    <w:rsid w:val="003C103C"/>
    <w:rsid w:val="003C1726"/>
    <w:rsid w:val="003C17E1"/>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C6D"/>
    <w:rsid w:val="003D0D12"/>
    <w:rsid w:val="003D15A0"/>
    <w:rsid w:val="003D18C1"/>
    <w:rsid w:val="003D219D"/>
    <w:rsid w:val="003D247B"/>
    <w:rsid w:val="003D2BBF"/>
    <w:rsid w:val="003D32D8"/>
    <w:rsid w:val="003D396E"/>
    <w:rsid w:val="003D44C9"/>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3F7E2A"/>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F3B"/>
    <w:rsid w:val="004126F8"/>
    <w:rsid w:val="004131EB"/>
    <w:rsid w:val="004135D5"/>
    <w:rsid w:val="00414534"/>
    <w:rsid w:val="00414921"/>
    <w:rsid w:val="004149E8"/>
    <w:rsid w:val="00414BA9"/>
    <w:rsid w:val="00414D07"/>
    <w:rsid w:val="00414DDB"/>
    <w:rsid w:val="00415778"/>
    <w:rsid w:val="00415E50"/>
    <w:rsid w:val="00415FCD"/>
    <w:rsid w:val="004160E4"/>
    <w:rsid w:val="00416E4C"/>
    <w:rsid w:val="004179C5"/>
    <w:rsid w:val="00417E0B"/>
    <w:rsid w:val="00420D14"/>
    <w:rsid w:val="00421708"/>
    <w:rsid w:val="004222C1"/>
    <w:rsid w:val="004228D6"/>
    <w:rsid w:val="004229E2"/>
    <w:rsid w:val="00422DEA"/>
    <w:rsid w:val="004233A1"/>
    <w:rsid w:val="004240EE"/>
    <w:rsid w:val="0042486F"/>
    <w:rsid w:val="00424FBB"/>
    <w:rsid w:val="00425A3E"/>
    <w:rsid w:val="00425A8C"/>
    <w:rsid w:val="00425EE2"/>
    <w:rsid w:val="00426776"/>
    <w:rsid w:val="004269D7"/>
    <w:rsid w:val="00426E87"/>
    <w:rsid w:val="00427CCB"/>
    <w:rsid w:val="00430308"/>
    <w:rsid w:val="00431668"/>
    <w:rsid w:val="00431900"/>
    <w:rsid w:val="0043265C"/>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4F3"/>
    <w:rsid w:val="00453F08"/>
    <w:rsid w:val="00454089"/>
    <w:rsid w:val="00454BB4"/>
    <w:rsid w:val="004557D1"/>
    <w:rsid w:val="00455964"/>
    <w:rsid w:val="00455CCD"/>
    <w:rsid w:val="00456704"/>
    <w:rsid w:val="00456CDA"/>
    <w:rsid w:val="004575FD"/>
    <w:rsid w:val="00457819"/>
    <w:rsid w:val="00457BAA"/>
    <w:rsid w:val="004604F5"/>
    <w:rsid w:val="0046080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CB3"/>
    <w:rsid w:val="00476EF9"/>
    <w:rsid w:val="0048014F"/>
    <w:rsid w:val="00480D6F"/>
    <w:rsid w:val="00480EFF"/>
    <w:rsid w:val="00481171"/>
    <w:rsid w:val="00481293"/>
    <w:rsid w:val="00481649"/>
    <w:rsid w:val="00481880"/>
    <w:rsid w:val="00481C17"/>
    <w:rsid w:val="00482431"/>
    <w:rsid w:val="004831AE"/>
    <w:rsid w:val="004835B5"/>
    <w:rsid w:val="00484F56"/>
    <w:rsid w:val="00485097"/>
    <w:rsid w:val="004851EE"/>
    <w:rsid w:val="00485A1F"/>
    <w:rsid w:val="00485BC5"/>
    <w:rsid w:val="00486475"/>
    <w:rsid w:val="00486617"/>
    <w:rsid w:val="004867FE"/>
    <w:rsid w:val="00487C9D"/>
    <w:rsid w:val="00490008"/>
    <w:rsid w:val="004906E1"/>
    <w:rsid w:val="004907A7"/>
    <w:rsid w:val="00490E97"/>
    <w:rsid w:val="00491025"/>
    <w:rsid w:val="004915F2"/>
    <w:rsid w:val="004923C1"/>
    <w:rsid w:val="004924EE"/>
    <w:rsid w:val="0049256E"/>
    <w:rsid w:val="00492582"/>
    <w:rsid w:val="00492827"/>
    <w:rsid w:val="00492B0A"/>
    <w:rsid w:val="00492CF8"/>
    <w:rsid w:val="00492E6B"/>
    <w:rsid w:val="00492EA6"/>
    <w:rsid w:val="0049372E"/>
    <w:rsid w:val="00493E31"/>
    <w:rsid w:val="00494063"/>
    <w:rsid w:val="00494942"/>
    <w:rsid w:val="00494EE0"/>
    <w:rsid w:val="00495789"/>
    <w:rsid w:val="00495891"/>
    <w:rsid w:val="004959A0"/>
    <w:rsid w:val="00496A4D"/>
    <w:rsid w:val="00496CB4"/>
    <w:rsid w:val="00496D87"/>
    <w:rsid w:val="004977DC"/>
    <w:rsid w:val="004A044B"/>
    <w:rsid w:val="004A06DC"/>
    <w:rsid w:val="004A0DCE"/>
    <w:rsid w:val="004A0ED7"/>
    <w:rsid w:val="004A1685"/>
    <w:rsid w:val="004A19DA"/>
    <w:rsid w:val="004A26C3"/>
    <w:rsid w:val="004A3521"/>
    <w:rsid w:val="004A3E34"/>
    <w:rsid w:val="004A3E84"/>
    <w:rsid w:val="004A3FCD"/>
    <w:rsid w:val="004A4234"/>
    <w:rsid w:val="004A4696"/>
    <w:rsid w:val="004A472F"/>
    <w:rsid w:val="004A5FE9"/>
    <w:rsid w:val="004A6217"/>
    <w:rsid w:val="004A6A4A"/>
    <w:rsid w:val="004A6B0B"/>
    <w:rsid w:val="004B0EEE"/>
    <w:rsid w:val="004B15B5"/>
    <w:rsid w:val="004B174C"/>
    <w:rsid w:val="004B2186"/>
    <w:rsid w:val="004B2231"/>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048"/>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2CC"/>
    <w:rsid w:val="004C67C1"/>
    <w:rsid w:val="004C6922"/>
    <w:rsid w:val="004C7068"/>
    <w:rsid w:val="004D08C1"/>
    <w:rsid w:val="004D0E75"/>
    <w:rsid w:val="004D1162"/>
    <w:rsid w:val="004D1192"/>
    <w:rsid w:val="004D1224"/>
    <w:rsid w:val="004D1AD6"/>
    <w:rsid w:val="004D1E7C"/>
    <w:rsid w:val="004D1F05"/>
    <w:rsid w:val="004D2268"/>
    <w:rsid w:val="004D24EA"/>
    <w:rsid w:val="004D2BF1"/>
    <w:rsid w:val="004D2EFE"/>
    <w:rsid w:val="004D32FD"/>
    <w:rsid w:val="004D3939"/>
    <w:rsid w:val="004D3B6C"/>
    <w:rsid w:val="004D40A6"/>
    <w:rsid w:val="004D455C"/>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001"/>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573D"/>
    <w:rsid w:val="004F624A"/>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917"/>
    <w:rsid w:val="00513ABE"/>
    <w:rsid w:val="00513E23"/>
    <w:rsid w:val="005144C8"/>
    <w:rsid w:val="00514F66"/>
    <w:rsid w:val="00515073"/>
    <w:rsid w:val="00515A86"/>
    <w:rsid w:val="005162FA"/>
    <w:rsid w:val="005171AF"/>
    <w:rsid w:val="005176BF"/>
    <w:rsid w:val="00517750"/>
    <w:rsid w:val="00517AF5"/>
    <w:rsid w:val="00517C5B"/>
    <w:rsid w:val="00520326"/>
    <w:rsid w:val="00520A71"/>
    <w:rsid w:val="00520B41"/>
    <w:rsid w:val="00520CFB"/>
    <w:rsid w:val="0052127F"/>
    <w:rsid w:val="00521595"/>
    <w:rsid w:val="00522BD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018"/>
    <w:rsid w:val="00527C0E"/>
    <w:rsid w:val="00530F6B"/>
    <w:rsid w:val="00532056"/>
    <w:rsid w:val="0053277B"/>
    <w:rsid w:val="00532BA2"/>
    <w:rsid w:val="00532EC8"/>
    <w:rsid w:val="00533564"/>
    <w:rsid w:val="0053407A"/>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F52"/>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B12"/>
    <w:rsid w:val="00557CAC"/>
    <w:rsid w:val="0056007E"/>
    <w:rsid w:val="0056027E"/>
    <w:rsid w:val="005607CD"/>
    <w:rsid w:val="00560959"/>
    <w:rsid w:val="0056160E"/>
    <w:rsid w:val="00561A1A"/>
    <w:rsid w:val="00562216"/>
    <w:rsid w:val="00562402"/>
    <w:rsid w:val="005626C8"/>
    <w:rsid w:val="005637D5"/>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C75"/>
    <w:rsid w:val="00572FA3"/>
    <w:rsid w:val="00573502"/>
    <w:rsid w:val="005736BC"/>
    <w:rsid w:val="0057382D"/>
    <w:rsid w:val="00574433"/>
    <w:rsid w:val="005748C8"/>
    <w:rsid w:val="00574972"/>
    <w:rsid w:val="00574A1A"/>
    <w:rsid w:val="00574FFB"/>
    <w:rsid w:val="0057588B"/>
    <w:rsid w:val="005759E3"/>
    <w:rsid w:val="00575D66"/>
    <w:rsid w:val="00575E92"/>
    <w:rsid w:val="00575FC7"/>
    <w:rsid w:val="005766AC"/>
    <w:rsid w:val="005772AA"/>
    <w:rsid w:val="00577F77"/>
    <w:rsid w:val="005805C1"/>
    <w:rsid w:val="0058170A"/>
    <w:rsid w:val="00582246"/>
    <w:rsid w:val="0058269D"/>
    <w:rsid w:val="00582D0F"/>
    <w:rsid w:val="005834C4"/>
    <w:rsid w:val="00583CAF"/>
    <w:rsid w:val="00584942"/>
    <w:rsid w:val="00585947"/>
    <w:rsid w:val="005865E5"/>
    <w:rsid w:val="00586606"/>
    <w:rsid w:val="005866CC"/>
    <w:rsid w:val="0058680E"/>
    <w:rsid w:val="00586C4A"/>
    <w:rsid w:val="005878DD"/>
    <w:rsid w:val="00587BF0"/>
    <w:rsid w:val="005909D2"/>
    <w:rsid w:val="00590C62"/>
    <w:rsid w:val="00591318"/>
    <w:rsid w:val="00591E3D"/>
    <w:rsid w:val="00592A04"/>
    <w:rsid w:val="00592A2B"/>
    <w:rsid w:val="005930D9"/>
    <w:rsid w:val="00593116"/>
    <w:rsid w:val="005939FB"/>
    <w:rsid w:val="00593BE4"/>
    <w:rsid w:val="00593BFB"/>
    <w:rsid w:val="0059437B"/>
    <w:rsid w:val="0059445F"/>
    <w:rsid w:val="005946AB"/>
    <w:rsid w:val="005947A1"/>
    <w:rsid w:val="005947AF"/>
    <w:rsid w:val="00595053"/>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1F0A"/>
    <w:rsid w:val="005A257F"/>
    <w:rsid w:val="005A2794"/>
    <w:rsid w:val="005A2C69"/>
    <w:rsid w:val="005A2CA7"/>
    <w:rsid w:val="005A2FF0"/>
    <w:rsid w:val="005A35BE"/>
    <w:rsid w:val="005A3E76"/>
    <w:rsid w:val="005A471D"/>
    <w:rsid w:val="005A4765"/>
    <w:rsid w:val="005A4A4A"/>
    <w:rsid w:val="005A4D8E"/>
    <w:rsid w:val="005A51AE"/>
    <w:rsid w:val="005A580D"/>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08D0"/>
    <w:rsid w:val="005C13CA"/>
    <w:rsid w:val="005C18A0"/>
    <w:rsid w:val="005C3491"/>
    <w:rsid w:val="005C36E0"/>
    <w:rsid w:val="005C43F0"/>
    <w:rsid w:val="005C579A"/>
    <w:rsid w:val="005C5EB2"/>
    <w:rsid w:val="005C67DC"/>
    <w:rsid w:val="005C6966"/>
    <w:rsid w:val="005C6B99"/>
    <w:rsid w:val="005C723B"/>
    <w:rsid w:val="005C7603"/>
    <w:rsid w:val="005C775D"/>
    <w:rsid w:val="005C7924"/>
    <w:rsid w:val="005C7B6E"/>
    <w:rsid w:val="005D0332"/>
    <w:rsid w:val="005D058B"/>
    <w:rsid w:val="005D05DB"/>
    <w:rsid w:val="005D0A41"/>
    <w:rsid w:val="005D0EDD"/>
    <w:rsid w:val="005D121D"/>
    <w:rsid w:val="005D1616"/>
    <w:rsid w:val="005D1754"/>
    <w:rsid w:val="005D230C"/>
    <w:rsid w:val="005D29BF"/>
    <w:rsid w:val="005D3570"/>
    <w:rsid w:val="005D3E51"/>
    <w:rsid w:val="005D405C"/>
    <w:rsid w:val="005D513C"/>
    <w:rsid w:val="005D591E"/>
    <w:rsid w:val="005D5BFA"/>
    <w:rsid w:val="005D6672"/>
    <w:rsid w:val="005D686D"/>
    <w:rsid w:val="005D6B90"/>
    <w:rsid w:val="005D753D"/>
    <w:rsid w:val="005D7819"/>
    <w:rsid w:val="005D79BE"/>
    <w:rsid w:val="005D7ECA"/>
    <w:rsid w:val="005E09A7"/>
    <w:rsid w:val="005E0B8D"/>
    <w:rsid w:val="005E209D"/>
    <w:rsid w:val="005E2196"/>
    <w:rsid w:val="005E3E13"/>
    <w:rsid w:val="005E41D4"/>
    <w:rsid w:val="005E4415"/>
    <w:rsid w:val="005E4C63"/>
    <w:rsid w:val="005E5BCB"/>
    <w:rsid w:val="005E61C9"/>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6B31"/>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4B0"/>
    <w:rsid w:val="00607A9E"/>
    <w:rsid w:val="00607ADD"/>
    <w:rsid w:val="00607C67"/>
    <w:rsid w:val="006116AE"/>
    <w:rsid w:val="0061310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A48"/>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D8A"/>
    <w:rsid w:val="00655279"/>
    <w:rsid w:val="006555E3"/>
    <w:rsid w:val="00655874"/>
    <w:rsid w:val="006560A9"/>
    <w:rsid w:val="006566FF"/>
    <w:rsid w:val="00657271"/>
    <w:rsid w:val="00660596"/>
    <w:rsid w:val="00660EB1"/>
    <w:rsid w:val="00661098"/>
    <w:rsid w:val="006611D4"/>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2C84"/>
    <w:rsid w:val="0067305E"/>
    <w:rsid w:val="006739F7"/>
    <w:rsid w:val="00673DA9"/>
    <w:rsid w:val="00674074"/>
    <w:rsid w:val="00674703"/>
    <w:rsid w:val="00674CC3"/>
    <w:rsid w:val="00675754"/>
    <w:rsid w:val="00675AD9"/>
    <w:rsid w:val="0067665D"/>
    <w:rsid w:val="00676836"/>
    <w:rsid w:val="00676F9A"/>
    <w:rsid w:val="00677385"/>
    <w:rsid w:val="006774F3"/>
    <w:rsid w:val="00677558"/>
    <w:rsid w:val="0068019C"/>
    <w:rsid w:val="00681143"/>
    <w:rsid w:val="0068141D"/>
    <w:rsid w:val="00681520"/>
    <w:rsid w:val="00681D9A"/>
    <w:rsid w:val="00682BC2"/>
    <w:rsid w:val="00683C94"/>
    <w:rsid w:val="006844DD"/>
    <w:rsid w:val="00684943"/>
    <w:rsid w:val="00685640"/>
    <w:rsid w:val="00685794"/>
    <w:rsid w:val="00685878"/>
    <w:rsid w:val="00685C33"/>
    <w:rsid w:val="00685CC8"/>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4CAF"/>
    <w:rsid w:val="006955CC"/>
    <w:rsid w:val="0069696D"/>
    <w:rsid w:val="00696A9C"/>
    <w:rsid w:val="006974E5"/>
    <w:rsid w:val="00697825"/>
    <w:rsid w:val="006979ED"/>
    <w:rsid w:val="00697AE0"/>
    <w:rsid w:val="006A0765"/>
    <w:rsid w:val="006A07E6"/>
    <w:rsid w:val="006A0CE8"/>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2993"/>
    <w:rsid w:val="006B3751"/>
    <w:rsid w:val="006B3C87"/>
    <w:rsid w:val="006B4237"/>
    <w:rsid w:val="006B4296"/>
    <w:rsid w:val="006B5051"/>
    <w:rsid w:val="006B5124"/>
    <w:rsid w:val="006B523E"/>
    <w:rsid w:val="006B5571"/>
    <w:rsid w:val="006B6885"/>
    <w:rsid w:val="006B6D43"/>
    <w:rsid w:val="006B7358"/>
    <w:rsid w:val="006B772D"/>
    <w:rsid w:val="006B7797"/>
    <w:rsid w:val="006B7A2D"/>
    <w:rsid w:val="006C022B"/>
    <w:rsid w:val="006C0386"/>
    <w:rsid w:val="006C053E"/>
    <w:rsid w:val="006C0AEC"/>
    <w:rsid w:val="006C0D0C"/>
    <w:rsid w:val="006C0D5A"/>
    <w:rsid w:val="006C1F5F"/>
    <w:rsid w:val="006C2A39"/>
    <w:rsid w:val="006C387C"/>
    <w:rsid w:val="006C46F2"/>
    <w:rsid w:val="006C5843"/>
    <w:rsid w:val="006C584A"/>
    <w:rsid w:val="006C5B67"/>
    <w:rsid w:val="006C5CFC"/>
    <w:rsid w:val="006C5D20"/>
    <w:rsid w:val="006C64E5"/>
    <w:rsid w:val="006C673F"/>
    <w:rsid w:val="006C6BB7"/>
    <w:rsid w:val="006C743F"/>
    <w:rsid w:val="006C778C"/>
    <w:rsid w:val="006C7E56"/>
    <w:rsid w:val="006D02A4"/>
    <w:rsid w:val="006D103F"/>
    <w:rsid w:val="006D1202"/>
    <w:rsid w:val="006D1515"/>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1E93"/>
    <w:rsid w:val="006E25AB"/>
    <w:rsid w:val="006E2B03"/>
    <w:rsid w:val="006E2C3E"/>
    <w:rsid w:val="006E3269"/>
    <w:rsid w:val="006E34B6"/>
    <w:rsid w:val="006E36E8"/>
    <w:rsid w:val="006E3AC1"/>
    <w:rsid w:val="006E420C"/>
    <w:rsid w:val="006E444E"/>
    <w:rsid w:val="006E58A4"/>
    <w:rsid w:val="006E6256"/>
    <w:rsid w:val="006E69F3"/>
    <w:rsid w:val="006E6A6F"/>
    <w:rsid w:val="006E6C4A"/>
    <w:rsid w:val="006E7344"/>
    <w:rsid w:val="006E74DA"/>
    <w:rsid w:val="006E7B71"/>
    <w:rsid w:val="006E7EE1"/>
    <w:rsid w:val="006F1312"/>
    <w:rsid w:val="006F1776"/>
    <w:rsid w:val="006F1C8B"/>
    <w:rsid w:val="006F1E27"/>
    <w:rsid w:val="006F1F52"/>
    <w:rsid w:val="006F21D8"/>
    <w:rsid w:val="006F2DB5"/>
    <w:rsid w:val="006F2E92"/>
    <w:rsid w:val="006F35F0"/>
    <w:rsid w:val="006F3CBF"/>
    <w:rsid w:val="006F4802"/>
    <w:rsid w:val="006F4C83"/>
    <w:rsid w:val="006F4DA5"/>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638"/>
    <w:rsid w:val="00706C0F"/>
    <w:rsid w:val="00707F42"/>
    <w:rsid w:val="0071020C"/>
    <w:rsid w:val="00710817"/>
    <w:rsid w:val="00710F42"/>
    <w:rsid w:val="00711353"/>
    <w:rsid w:val="0071288E"/>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2798"/>
    <w:rsid w:val="007237B9"/>
    <w:rsid w:val="00723963"/>
    <w:rsid w:val="00723A8C"/>
    <w:rsid w:val="00723DC8"/>
    <w:rsid w:val="00723F7A"/>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05"/>
    <w:rsid w:val="0074529F"/>
    <w:rsid w:val="0074546A"/>
    <w:rsid w:val="00745BA5"/>
    <w:rsid w:val="00745D47"/>
    <w:rsid w:val="00745D7C"/>
    <w:rsid w:val="00746183"/>
    <w:rsid w:val="007468E1"/>
    <w:rsid w:val="007476AD"/>
    <w:rsid w:val="007502DA"/>
    <w:rsid w:val="00750D67"/>
    <w:rsid w:val="00750F0E"/>
    <w:rsid w:val="00751210"/>
    <w:rsid w:val="007518C6"/>
    <w:rsid w:val="00752C3A"/>
    <w:rsid w:val="007532DA"/>
    <w:rsid w:val="007541BC"/>
    <w:rsid w:val="00754626"/>
    <w:rsid w:val="007549AC"/>
    <w:rsid w:val="00755808"/>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4F4E"/>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67D5"/>
    <w:rsid w:val="007876DD"/>
    <w:rsid w:val="00787FC9"/>
    <w:rsid w:val="00790FE4"/>
    <w:rsid w:val="00792803"/>
    <w:rsid w:val="00792D72"/>
    <w:rsid w:val="00792F24"/>
    <w:rsid w:val="0079332F"/>
    <w:rsid w:val="00793669"/>
    <w:rsid w:val="007936A0"/>
    <w:rsid w:val="0079391E"/>
    <w:rsid w:val="00794955"/>
    <w:rsid w:val="00795BF3"/>
    <w:rsid w:val="00795D93"/>
    <w:rsid w:val="00795F29"/>
    <w:rsid w:val="00796B78"/>
    <w:rsid w:val="00797C23"/>
    <w:rsid w:val="00797C9F"/>
    <w:rsid w:val="007A08C5"/>
    <w:rsid w:val="007A098C"/>
    <w:rsid w:val="007A0A16"/>
    <w:rsid w:val="007A0AFE"/>
    <w:rsid w:val="007A185D"/>
    <w:rsid w:val="007A1C3D"/>
    <w:rsid w:val="007A21DF"/>
    <w:rsid w:val="007A28F1"/>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C2"/>
    <w:rsid w:val="007C3C4B"/>
    <w:rsid w:val="007C42CE"/>
    <w:rsid w:val="007C44D3"/>
    <w:rsid w:val="007C4E6A"/>
    <w:rsid w:val="007C5010"/>
    <w:rsid w:val="007C5346"/>
    <w:rsid w:val="007C565D"/>
    <w:rsid w:val="007C5CFB"/>
    <w:rsid w:val="007C5DE1"/>
    <w:rsid w:val="007C6169"/>
    <w:rsid w:val="007C62F2"/>
    <w:rsid w:val="007C63B4"/>
    <w:rsid w:val="007C65EE"/>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A3B"/>
    <w:rsid w:val="007D7C91"/>
    <w:rsid w:val="007E001F"/>
    <w:rsid w:val="007E032D"/>
    <w:rsid w:val="007E0608"/>
    <w:rsid w:val="007E099B"/>
    <w:rsid w:val="007E0D2A"/>
    <w:rsid w:val="007E2928"/>
    <w:rsid w:val="007E2D4C"/>
    <w:rsid w:val="007E2E79"/>
    <w:rsid w:val="007E390F"/>
    <w:rsid w:val="007E3E1B"/>
    <w:rsid w:val="007E4A89"/>
    <w:rsid w:val="007E4D62"/>
    <w:rsid w:val="007E55B4"/>
    <w:rsid w:val="007E5659"/>
    <w:rsid w:val="007E56A8"/>
    <w:rsid w:val="007E56CB"/>
    <w:rsid w:val="007E6072"/>
    <w:rsid w:val="007E60B2"/>
    <w:rsid w:val="007E6388"/>
    <w:rsid w:val="007E6A68"/>
    <w:rsid w:val="007E7361"/>
    <w:rsid w:val="007F00BC"/>
    <w:rsid w:val="007F01FC"/>
    <w:rsid w:val="007F07CB"/>
    <w:rsid w:val="007F09A5"/>
    <w:rsid w:val="007F0F97"/>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ABD"/>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913"/>
    <w:rsid w:val="00820F19"/>
    <w:rsid w:val="008210DB"/>
    <w:rsid w:val="00821208"/>
    <w:rsid w:val="008212BF"/>
    <w:rsid w:val="00821873"/>
    <w:rsid w:val="00821BE4"/>
    <w:rsid w:val="008222EE"/>
    <w:rsid w:val="00822823"/>
    <w:rsid w:val="00823827"/>
    <w:rsid w:val="00823B52"/>
    <w:rsid w:val="008245C3"/>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A17"/>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23B"/>
    <w:rsid w:val="00851A3D"/>
    <w:rsid w:val="00851B3B"/>
    <w:rsid w:val="00851BBA"/>
    <w:rsid w:val="0085209F"/>
    <w:rsid w:val="00852760"/>
    <w:rsid w:val="008529D9"/>
    <w:rsid w:val="0085385B"/>
    <w:rsid w:val="00853D23"/>
    <w:rsid w:val="00853D3F"/>
    <w:rsid w:val="00853FD5"/>
    <w:rsid w:val="00854068"/>
    <w:rsid w:val="008553B2"/>
    <w:rsid w:val="00855524"/>
    <w:rsid w:val="00855DD2"/>
    <w:rsid w:val="00855DD5"/>
    <w:rsid w:val="00855FBB"/>
    <w:rsid w:val="00856368"/>
    <w:rsid w:val="0085694C"/>
    <w:rsid w:val="008569BC"/>
    <w:rsid w:val="00856B9D"/>
    <w:rsid w:val="00857459"/>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1A6"/>
    <w:rsid w:val="008679F0"/>
    <w:rsid w:val="00870AE1"/>
    <w:rsid w:val="00870E5C"/>
    <w:rsid w:val="00871823"/>
    <w:rsid w:val="00871C70"/>
    <w:rsid w:val="00871DF3"/>
    <w:rsid w:val="0087218E"/>
    <w:rsid w:val="00872760"/>
    <w:rsid w:val="008731D8"/>
    <w:rsid w:val="008731EA"/>
    <w:rsid w:val="00873310"/>
    <w:rsid w:val="008733CC"/>
    <w:rsid w:val="008735A6"/>
    <w:rsid w:val="008739F7"/>
    <w:rsid w:val="00875318"/>
    <w:rsid w:val="00876729"/>
    <w:rsid w:val="00876FED"/>
    <w:rsid w:val="008771D1"/>
    <w:rsid w:val="008772BE"/>
    <w:rsid w:val="0087766B"/>
    <w:rsid w:val="008776D2"/>
    <w:rsid w:val="00877741"/>
    <w:rsid w:val="008777AD"/>
    <w:rsid w:val="008778BA"/>
    <w:rsid w:val="00877C4B"/>
    <w:rsid w:val="00880135"/>
    <w:rsid w:val="00880367"/>
    <w:rsid w:val="00880607"/>
    <w:rsid w:val="00880621"/>
    <w:rsid w:val="00880767"/>
    <w:rsid w:val="00880A62"/>
    <w:rsid w:val="00880B70"/>
    <w:rsid w:val="00880F99"/>
    <w:rsid w:val="008822AA"/>
    <w:rsid w:val="00883054"/>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0DB0"/>
    <w:rsid w:val="008B0DCF"/>
    <w:rsid w:val="008B12A4"/>
    <w:rsid w:val="008B1350"/>
    <w:rsid w:val="008B18FC"/>
    <w:rsid w:val="008B2868"/>
    <w:rsid w:val="008B3B9E"/>
    <w:rsid w:val="008B3E84"/>
    <w:rsid w:val="008B5054"/>
    <w:rsid w:val="008B5AC8"/>
    <w:rsid w:val="008B5AE9"/>
    <w:rsid w:val="008B6AEB"/>
    <w:rsid w:val="008B7265"/>
    <w:rsid w:val="008B79FB"/>
    <w:rsid w:val="008C0734"/>
    <w:rsid w:val="008C0BB3"/>
    <w:rsid w:val="008C14D6"/>
    <w:rsid w:val="008C1DC2"/>
    <w:rsid w:val="008C225D"/>
    <w:rsid w:val="008C2C28"/>
    <w:rsid w:val="008C2D23"/>
    <w:rsid w:val="008C2FC1"/>
    <w:rsid w:val="008C380B"/>
    <w:rsid w:val="008C3B92"/>
    <w:rsid w:val="008C439C"/>
    <w:rsid w:val="008C43E3"/>
    <w:rsid w:val="008C5355"/>
    <w:rsid w:val="008C5A45"/>
    <w:rsid w:val="008C5ADD"/>
    <w:rsid w:val="008C6DE5"/>
    <w:rsid w:val="008C7431"/>
    <w:rsid w:val="008C76C4"/>
    <w:rsid w:val="008C7840"/>
    <w:rsid w:val="008C7CB3"/>
    <w:rsid w:val="008D07F6"/>
    <w:rsid w:val="008D0AEF"/>
    <w:rsid w:val="008D1477"/>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D7A7B"/>
    <w:rsid w:val="008E05CC"/>
    <w:rsid w:val="008E07D2"/>
    <w:rsid w:val="008E0EB5"/>
    <w:rsid w:val="008E1CA9"/>
    <w:rsid w:val="008E2751"/>
    <w:rsid w:val="008E3A20"/>
    <w:rsid w:val="008E4208"/>
    <w:rsid w:val="008E4F74"/>
    <w:rsid w:val="008E5289"/>
    <w:rsid w:val="008E5BFA"/>
    <w:rsid w:val="008E5C62"/>
    <w:rsid w:val="008E60CE"/>
    <w:rsid w:val="008E659F"/>
    <w:rsid w:val="008E6DEB"/>
    <w:rsid w:val="008E6FE2"/>
    <w:rsid w:val="008E71AD"/>
    <w:rsid w:val="008E783E"/>
    <w:rsid w:val="008E79A2"/>
    <w:rsid w:val="008E7EBF"/>
    <w:rsid w:val="008F04B9"/>
    <w:rsid w:val="008F1017"/>
    <w:rsid w:val="008F163E"/>
    <w:rsid w:val="008F1D26"/>
    <w:rsid w:val="008F3F04"/>
    <w:rsid w:val="008F4176"/>
    <w:rsid w:val="008F464D"/>
    <w:rsid w:val="008F6E12"/>
    <w:rsid w:val="008F6E89"/>
    <w:rsid w:val="008F7F74"/>
    <w:rsid w:val="009008B1"/>
    <w:rsid w:val="00900EA4"/>
    <w:rsid w:val="009028C1"/>
    <w:rsid w:val="00903044"/>
    <w:rsid w:val="00903D67"/>
    <w:rsid w:val="00903D85"/>
    <w:rsid w:val="00903F2A"/>
    <w:rsid w:val="00904319"/>
    <w:rsid w:val="00906221"/>
    <w:rsid w:val="00906793"/>
    <w:rsid w:val="00906922"/>
    <w:rsid w:val="00907043"/>
    <w:rsid w:val="0090760B"/>
    <w:rsid w:val="00907962"/>
    <w:rsid w:val="009106BC"/>
    <w:rsid w:val="009119FA"/>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0C67"/>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FB0"/>
    <w:rsid w:val="00933059"/>
    <w:rsid w:val="0093383F"/>
    <w:rsid w:val="009338D2"/>
    <w:rsid w:val="00934A55"/>
    <w:rsid w:val="00934A74"/>
    <w:rsid w:val="00935B0E"/>
    <w:rsid w:val="00936643"/>
    <w:rsid w:val="0093668E"/>
    <w:rsid w:val="009366E7"/>
    <w:rsid w:val="00936D8A"/>
    <w:rsid w:val="00937334"/>
    <w:rsid w:val="0093774B"/>
    <w:rsid w:val="00937954"/>
    <w:rsid w:val="00940192"/>
    <w:rsid w:val="009407D6"/>
    <w:rsid w:val="00940A6A"/>
    <w:rsid w:val="0094179E"/>
    <w:rsid w:val="00941CEC"/>
    <w:rsid w:val="00942057"/>
    <w:rsid w:val="00942182"/>
    <w:rsid w:val="009428FE"/>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2B5"/>
    <w:rsid w:val="00963FAF"/>
    <w:rsid w:val="0096463A"/>
    <w:rsid w:val="0096471F"/>
    <w:rsid w:val="009647FF"/>
    <w:rsid w:val="009650F2"/>
    <w:rsid w:val="00965440"/>
    <w:rsid w:val="00965653"/>
    <w:rsid w:val="00965CED"/>
    <w:rsid w:val="00965E48"/>
    <w:rsid w:val="0096715B"/>
    <w:rsid w:val="00967E48"/>
    <w:rsid w:val="00967E64"/>
    <w:rsid w:val="009705AB"/>
    <w:rsid w:val="00970999"/>
    <w:rsid w:val="00970CAB"/>
    <w:rsid w:val="00971117"/>
    <w:rsid w:val="00972323"/>
    <w:rsid w:val="00972717"/>
    <w:rsid w:val="009738AF"/>
    <w:rsid w:val="009738ED"/>
    <w:rsid w:val="00973D12"/>
    <w:rsid w:val="00973E97"/>
    <w:rsid w:val="009745A5"/>
    <w:rsid w:val="00974ED5"/>
    <w:rsid w:val="00975054"/>
    <w:rsid w:val="009750C0"/>
    <w:rsid w:val="0097540A"/>
    <w:rsid w:val="009759FA"/>
    <w:rsid w:val="00975B07"/>
    <w:rsid w:val="00977225"/>
    <w:rsid w:val="00977603"/>
    <w:rsid w:val="00977A65"/>
    <w:rsid w:val="00977FFE"/>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87A3F"/>
    <w:rsid w:val="00990313"/>
    <w:rsid w:val="009906DF"/>
    <w:rsid w:val="00990A07"/>
    <w:rsid w:val="009910C5"/>
    <w:rsid w:val="0099118C"/>
    <w:rsid w:val="009913C6"/>
    <w:rsid w:val="009914B4"/>
    <w:rsid w:val="009918F7"/>
    <w:rsid w:val="00991C59"/>
    <w:rsid w:val="00992149"/>
    <w:rsid w:val="009921C5"/>
    <w:rsid w:val="00992C69"/>
    <w:rsid w:val="00993A0E"/>
    <w:rsid w:val="00994710"/>
    <w:rsid w:val="00994A76"/>
    <w:rsid w:val="00994D36"/>
    <w:rsid w:val="00994DC7"/>
    <w:rsid w:val="00994E7F"/>
    <w:rsid w:val="00996329"/>
    <w:rsid w:val="0099670B"/>
    <w:rsid w:val="0099693C"/>
    <w:rsid w:val="00996E02"/>
    <w:rsid w:val="00997333"/>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61B"/>
    <w:rsid w:val="009B77C5"/>
    <w:rsid w:val="009C00BF"/>
    <w:rsid w:val="009C0A29"/>
    <w:rsid w:val="009C16AA"/>
    <w:rsid w:val="009C16AE"/>
    <w:rsid w:val="009C172D"/>
    <w:rsid w:val="009C17EC"/>
    <w:rsid w:val="009C199D"/>
    <w:rsid w:val="009C1D4F"/>
    <w:rsid w:val="009C1F0B"/>
    <w:rsid w:val="009C2427"/>
    <w:rsid w:val="009C31F9"/>
    <w:rsid w:val="009C39FB"/>
    <w:rsid w:val="009C3A1D"/>
    <w:rsid w:val="009C3AA2"/>
    <w:rsid w:val="009C44C7"/>
    <w:rsid w:val="009C458F"/>
    <w:rsid w:val="009C5C21"/>
    <w:rsid w:val="009C6375"/>
    <w:rsid w:val="009C6628"/>
    <w:rsid w:val="009C7452"/>
    <w:rsid w:val="009C770C"/>
    <w:rsid w:val="009C77D7"/>
    <w:rsid w:val="009C7BF4"/>
    <w:rsid w:val="009C7F92"/>
    <w:rsid w:val="009D16AE"/>
    <w:rsid w:val="009D1E62"/>
    <w:rsid w:val="009D2705"/>
    <w:rsid w:val="009D27B4"/>
    <w:rsid w:val="009D2DE7"/>
    <w:rsid w:val="009D3260"/>
    <w:rsid w:val="009D45AA"/>
    <w:rsid w:val="009D4B9D"/>
    <w:rsid w:val="009D4D95"/>
    <w:rsid w:val="009D56B8"/>
    <w:rsid w:val="009D5AF0"/>
    <w:rsid w:val="009D5D2A"/>
    <w:rsid w:val="009D5E55"/>
    <w:rsid w:val="009D5E8C"/>
    <w:rsid w:val="009D66C9"/>
    <w:rsid w:val="009D6B47"/>
    <w:rsid w:val="009D70B9"/>
    <w:rsid w:val="009D73BF"/>
    <w:rsid w:val="009D764B"/>
    <w:rsid w:val="009D7C0C"/>
    <w:rsid w:val="009E1222"/>
    <w:rsid w:val="009E157A"/>
    <w:rsid w:val="009E1F2D"/>
    <w:rsid w:val="009E226B"/>
    <w:rsid w:val="009E2DD1"/>
    <w:rsid w:val="009E335D"/>
    <w:rsid w:val="009E3718"/>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551"/>
    <w:rsid w:val="00A107FC"/>
    <w:rsid w:val="00A11C0E"/>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F71"/>
    <w:rsid w:val="00A227A1"/>
    <w:rsid w:val="00A22988"/>
    <w:rsid w:val="00A22C8D"/>
    <w:rsid w:val="00A2422B"/>
    <w:rsid w:val="00A24E3A"/>
    <w:rsid w:val="00A252C4"/>
    <w:rsid w:val="00A261C3"/>
    <w:rsid w:val="00A261E1"/>
    <w:rsid w:val="00A27067"/>
    <w:rsid w:val="00A27140"/>
    <w:rsid w:val="00A279BB"/>
    <w:rsid w:val="00A27C2B"/>
    <w:rsid w:val="00A27CF5"/>
    <w:rsid w:val="00A301DA"/>
    <w:rsid w:val="00A30701"/>
    <w:rsid w:val="00A317CB"/>
    <w:rsid w:val="00A31920"/>
    <w:rsid w:val="00A331CA"/>
    <w:rsid w:val="00A3351D"/>
    <w:rsid w:val="00A3369C"/>
    <w:rsid w:val="00A34349"/>
    <w:rsid w:val="00A34D05"/>
    <w:rsid w:val="00A35123"/>
    <w:rsid w:val="00A35FB1"/>
    <w:rsid w:val="00A35FBE"/>
    <w:rsid w:val="00A361B5"/>
    <w:rsid w:val="00A36C76"/>
    <w:rsid w:val="00A37301"/>
    <w:rsid w:val="00A379C2"/>
    <w:rsid w:val="00A379F2"/>
    <w:rsid w:val="00A37B55"/>
    <w:rsid w:val="00A37BB1"/>
    <w:rsid w:val="00A37E03"/>
    <w:rsid w:val="00A410D6"/>
    <w:rsid w:val="00A41666"/>
    <w:rsid w:val="00A41CFB"/>
    <w:rsid w:val="00A42C29"/>
    <w:rsid w:val="00A43655"/>
    <w:rsid w:val="00A43B7A"/>
    <w:rsid w:val="00A43C96"/>
    <w:rsid w:val="00A4473C"/>
    <w:rsid w:val="00A463FA"/>
    <w:rsid w:val="00A47FA0"/>
    <w:rsid w:val="00A500A0"/>
    <w:rsid w:val="00A50657"/>
    <w:rsid w:val="00A5148E"/>
    <w:rsid w:val="00A51A61"/>
    <w:rsid w:val="00A51DFF"/>
    <w:rsid w:val="00A5201D"/>
    <w:rsid w:val="00A5315D"/>
    <w:rsid w:val="00A53181"/>
    <w:rsid w:val="00A531C3"/>
    <w:rsid w:val="00A53B94"/>
    <w:rsid w:val="00A53C3D"/>
    <w:rsid w:val="00A53E77"/>
    <w:rsid w:val="00A540C6"/>
    <w:rsid w:val="00A547E5"/>
    <w:rsid w:val="00A54CF5"/>
    <w:rsid w:val="00A551B1"/>
    <w:rsid w:val="00A56101"/>
    <w:rsid w:val="00A56D4C"/>
    <w:rsid w:val="00A5717D"/>
    <w:rsid w:val="00A57523"/>
    <w:rsid w:val="00A57664"/>
    <w:rsid w:val="00A61221"/>
    <w:rsid w:val="00A613DE"/>
    <w:rsid w:val="00A61585"/>
    <w:rsid w:val="00A61699"/>
    <w:rsid w:val="00A61C62"/>
    <w:rsid w:val="00A62A35"/>
    <w:rsid w:val="00A6333C"/>
    <w:rsid w:val="00A63D59"/>
    <w:rsid w:val="00A63DE2"/>
    <w:rsid w:val="00A63F13"/>
    <w:rsid w:val="00A65D70"/>
    <w:rsid w:val="00A66AE3"/>
    <w:rsid w:val="00A66DB0"/>
    <w:rsid w:val="00A70069"/>
    <w:rsid w:val="00A701DA"/>
    <w:rsid w:val="00A70600"/>
    <w:rsid w:val="00A70A02"/>
    <w:rsid w:val="00A70D26"/>
    <w:rsid w:val="00A72444"/>
    <w:rsid w:val="00A724DF"/>
    <w:rsid w:val="00A729F1"/>
    <w:rsid w:val="00A72B2B"/>
    <w:rsid w:val="00A73468"/>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226"/>
    <w:rsid w:val="00A853F7"/>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3A9A"/>
    <w:rsid w:val="00A942E6"/>
    <w:rsid w:val="00A94502"/>
    <w:rsid w:val="00A94CFA"/>
    <w:rsid w:val="00A95605"/>
    <w:rsid w:val="00A968DE"/>
    <w:rsid w:val="00A96FBF"/>
    <w:rsid w:val="00A9704D"/>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537"/>
    <w:rsid w:val="00AB1A4F"/>
    <w:rsid w:val="00AB25F3"/>
    <w:rsid w:val="00AB4AEF"/>
    <w:rsid w:val="00AB5504"/>
    <w:rsid w:val="00AB5A28"/>
    <w:rsid w:val="00AB5EA0"/>
    <w:rsid w:val="00AB632F"/>
    <w:rsid w:val="00AB65A5"/>
    <w:rsid w:val="00AB6816"/>
    <w:rsid w:val="00AB69BC"/>
    <w:rsid w:val="00AB700A"/>
    <w:rsid w:val="00AB7116"/>
    <w:rsid w:val="00AC0556"/>
    <w:rsid w:val="00AC0749"/>
    <w:rsid w:val="00AC1332"/>
    <w:rsid w:val="00AC34DD"/>
    <w:rsid w:val="00AC3B21"/>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2E"/>
    <w:rsid w:val="00AD557B"/>
    <w:rsid w:val="00AD56C0"/>
    <w:rsid w:val="00AD574A"/>
    <w:rsid w:val="00AD7416"/>
    <w:rsid w:val="00AD7640"/>
    <w:rsid w:val="00AD76C6"/>
    <w:rsid w:val="00AD7817"/>
    <w:rsid w:val="00AD7E28"/>
    <w:rsid w:val="00AE10F5"/>
    <w:rsid w:val="00AE1450"/>
    <w:rsid w:val="00AE180A"/>
    <w:rsid w:val="00AE1DB7"/>
    <w:rsid w:val="00AE2050"/>
    <w:rsid w:val="00AE4728"/>
    <w:rsid w:val="00AE57B4"/>
    <w:rsid w:val="00AE6CA7"/>
    <w:rsid w:val="00AE73BE"/>
    <w:rsid w:val="00AF031C"/>
    <w:rsid w:val="00AF045B"/>
    <w:rsid w:val="00AF05AA"/>
    <w:rsid w:val="00AF06C7"/>
    <w:rsid w:val="00AF1041"/>
    <w:rsid w:val="00AF137B"/>
    <w:rsid w:val="00AF1543"/>
    <w:rsid w:val="00AF1C18"/>
    <w:rsid w:val="00AF211E"/>
    <w:rsid w:val="00AF2AA9"/>
    <w:rsid w:val="00AF2D52"/>
    <w:rsid w:val="00AF34F6"/>
    <w:rsid w:val="00AF3625"/>
    <w:rsid w:val="00AF3B49"/>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927"/>
    <w:rsid w:val="00B03D7F"/>
    <w:rsid w:val="00B03DAD"/>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405"/>
    <w:rsid w:val="00B20B5E"/>
    <w:rsid w:val="00B21A71"/>
    <w:rsid w:val="00B21E45"/>
    <w:rsid w:val="00B21F9A"/>
    <w:rsid w:val="00B2214A"/>
    <w:rsid w:val="00B223BE"/>
    <w:rsid w:val="00B23781"/>
    <w:rsid w:val="00B25570"/>
    <w:rsid w:val="00B25A3E"/>
    <w:rsid w:val="00B26276"/>
    <w:rsid w:val="00B26973"/>
    <w:rsid w:val="00B269C5"/>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D1D"/>
    <w:rsid w:val="00B34E38"/>
    <w:rsid w:val="00B35CCE"/>
    <w:rsid w:val="00B35D33"/>
    <w:rsid w:val="00B35F67"/>
    <w:rsid w:val="00B36222"/>
    <w:rsid w:val="00B365BD"/>
    <w:rsid w:val="00B36B3A"/>
    <w:rsid w:val="00B371E9"/>
    <w:rsid w:val="00B37786"/>
    <w:rsid w:val="00B37FB4"/>
    <w:rsid w:val="00B40111"/>
    <w:rsid w:val="00B40149"/>
    <w:rsid w:val="00B407F1"/>
    <w:rsid w:val="00B408D3"/>
    <w:rsid w:val="00B409DA"/>
    <w:rsid w:val="00B4147F"/>
    <w:rsid w:val="00B41991"/>
    <w:rsid w:val="00B41B37"/>
    <w:rsid w:val="00B41FA8"/>
    <w:rsid w:val="00B424FB"/>
    <w:rsid w:val="00B43C09"/>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A68"/>
    <w:rsid w:val="00B62D98"/>
    <w:rsid w:val="00B633EE"/>
    <w:rsid w:val="00B63A06"/>
    <w:rsid w:val="00B63B16"/>
    <w:rsid w:val="00B64166"/>
    <w:rsid w:val="00B6465D"/>
    <w:rsid w:val="00B649C8"/>
    <w:rsid w:val="00B64C8A"/>
    <w:rsid w:val="00B7010C"/>
    <w:rsid w:val="00B712FD"/>
    <w:rsid w:val="00B7202E"/>
    <w:rsid w:val="00B72054"/>
    <w:rsid w:val="00B725CF"/>
    <w:rsid w:val="00B7267B"/>
    <w:rsid w:val="00B72862"/>
    <w:rsid w:val="00B73CDF"/>
    <w:rsid w:val="00B74B19"/>
    <w:rsid w:val="00B74B23"/>
    <w:rsid w:val="00B76027"/>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B5B"/>
    <w:rsid w:val="00B85C1B"/>
    <w:rsid w:val="00B8633D"/>
    <w:rsid w:val="00B86E49"/>
    <w:rsid w:val="00B86F1B"/>
    <w:rsid w:val="00B8719A"/>
    <w:rsid w:val="00B9006A"/>
    <w:rsid w:val="00B901C2"/>
    <w:rsid w:val="00B90909"/>
    <w:rsid w:val="00B90D92"/>
    <w:rsid w:val="00B91332"/>
    <w:rsid w:val="00B92184"/>
    <w:rsid w:val="00B92411"/>
    <w:rsid w:val="00B93224"/>
    <w:rsid w:val="00B94B15"/>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3D5"/>
    <w:rsid w:val="00BA5CE4"/>
    <w:rsid w:val="00BA5FC1"/>
    <w:rsid w:val="00BA67D8"/>
    <w:rsid w:val="00BA6E00"/>
    <w:rsid w:val="00BA79A0"/>
    <w:rsid w:val="00BB0006"/>
    <w:rsid w:val="00BB0222"/>
    <w:rsid w:val="00BB04D1"/>
    <w:rsid w:val="00BB0627"/>
    <w:rsid w:val="00BB1447"/>
    <w:rsid w:val="00BB1A5D"/>
    <w:rsid w:val="00BB2279"/>
    <w:rsid w:val="00BB28E7"/>
    <w:rsid w:val="00BB2F9F"/>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167D"/>
    <w:rsid w:val="00BC217E"/>
    <w:rsid w:val="00BC22D0"/>
    <w:rsid w:val="00BC28C4"/>
    <w:rsid w:val="00BC345E"/>
    <w:rsid w:val="00BC3542"/>
    <w:rsid w:val="00BC3ADE"/>
    <w:rsid w:val="00BC3EF0"/>
    <w:rsid w:val="00BC4929"/>
    <w:rsid w:val="00BC4CF8"/>
    <w:rsid w:val="00BC508B"/>
    <w:rsid w:val="00BC5224"/>
    <w:rsid w:val="00BC53CF"/>
    <w:rsid w:val="00BC5699"/>
    <w:rsid w:val="00BC5FFC"/>
    <w:rsid w:val="00BC6D7C"/>
    <w:rsid w:val="00BC74B5"/>
    <w:rsid w:val="00BC74B8"/>
    <w:rsid w:val="00BC79D8"/>
    <w:rsid w:val="00BD0014"/>
    <w:rsid w:val="00BD034F"/>
    <w:rsid w:val="00BD0965"/>
    <w:rsid w:val="00BD0B6D"/>
    <w:rsid w:val="00BD0CE7"/>
    <w:rsid w:val="00BD0E68"/>
    <w:rsid w:val="00BD1B5E"/>
    <w:rsid w:val="00BD1E51"/>
    <w:rsid w:val="00BD22D9"/>
    <w:rsid w:val="00BD26E3"/>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9B2"/>
    <w:rsid w:val="00BE2372"/>
    <w:rsid w:val="00BE268F"/>
    <w:rsid w:val="00BE3E6C"/>
    <w:rsid w:val="00BE4168"/>
    <w:rsid w:val="00BE455B"/>
    <w:rsid w:val="00BE4AF1"/>
    <w:rsid w:val="00BE4B47"/>
    <w:rsid w:val="00BE5D4F"/>
    <w:rsid w:val="00BE640F"/>
    <w:rsid w:val="00BE6D02"/>
    <w:rsid w:val="00BF0070"/>
    <w:rsid w:val="00BF012E"/>
    <w:rsid w:val="00BF01C7"/>
    <w:rsid w:val="00BF107D"/>
    <w:rsid w:val="00BF122D"/>
    <w:rsid w:val="00BF141D"/>
    <w:rsid w:val="00BF1684"/>
    <w:rsid w:val="00BF16E9"/>
    <w:rsid w:val="00BF3094"/>
    <w:rsid w:val="00BF31F0"/>
    <w:rsid w:val="00BF3E82"/>
    <w:rsid w:val="00BF3F4C"/>
    <w:rsid w:val="00BF44E1"/>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9A2"/>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6EB6"/>
    <w:rsid w:val="00C17179"/>
    <w:rsid w:val="00C1732B"/>
    <w:rsid w:val="00C17422"/>
    <w:rsid w:val="00C17C56"/>
    <w:rsid w:val="00C17D82"/>
    <w:rsid w:val="00C2002B"/>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005"/>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1E61"/>
    <w:rsid w:val="00C623C4"/>
    <w:rsid w:val="00C62BE2"/>
    <w:rsid w:val="00C62D24"/>
    <w:rsid w:val="00C645C1"/>
    <w:rsid w:val="00C649C5"/>
    <w:rsid w:val="00C656BF"/>
    <w:rsid w:val="00C65D88"/>
    <w:rsid w:val="00C65E0C"/>
    <w:rsid w:val="00C6685B"/>
    <w:rsid w:val="00C668C9"/>
    <w:rsid w:val="00C66D38"/>
    <w:rsid w:val="00C673A7"/>
    <w:rsid w:val="00C6783F"/>
    <w:rsid w:val="00C67853"/>
    <w:rsid w:val="00C704CA"/>
    <w:rsid w:val="00C70B4D"/>
    <w:rsid w:val="00C71911"/>
    <w:rsid w:val="00C723D2"/>
    <w:rsid w:val="00C73140"/>
    <w:rsid w:val="00C73855"/>
    <w:rsid w:val="00C73ABE"/>
    <w:rsid w:val="00C74260"/>
    <w:rsid w:val="00C74263"/>
    <w:rsid w:val="00C74367"/>
    <w:rsid w:val="00C746EF"/>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3EF2"/>
    <w:rsid w:val="00C943E1"/>
    <w:rsid w:val="00C9524F"/>
    <w:rsid w:val="00C96410"/>
    <w:rsid w:val="00C9645E"/>
    <w:rsid w:val="00C964AD"/>
    <w:rsid w:val="00C971AF"/>
    <w:rsid w:val="00C97827"/>
    <w:rsid w:val="00C97964"/>
    <w:rsid w:val="00C97C71"/>
    <w:rsid w:val="00CA06D3"/>
    <w:rsid w:val="00CA0C22"/>
    <w:rsid w:val="00CA0D1A"/>
    <w:rsid w:val="00CA0D96"/>
    <w:rsid w:val="00CA1316"/>
    <w:rsid w:val="00CA21B4"/>
    <w:rsid w:val="00CA2CF8"/>
    <w:rsid w:val="00CA2D30"/>
    <w:rsid w:val="00CA2D7D"/>
    <w:rsid w:val="00CA4367"/>
    <w:rsid w:val="00CA43EF"/>
    <w:rsid w:val="00CA48F1"/>
    <w:rsid w:val="00CA4D8F"/>
    <w:rsid w:val="00CA4E70"/>
    <w:rsid w:val="00CA5371"/>
    <w:rsid w:val="00CA5B43"/>
    <w:rsid w:val="00CA5CD2"/>
    <w:rsid w:val="00CA6247"/>
    <w:rsid w:val="00CA62D6"/>
    <w:rsid w:val="00CA64FE"/>
    <w:rsid w:val="00CA6606"/>
    <w:rsid w:val="00CA6E2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50F"/>
    <w:rsid w:val="00CE4672"/>
    <w:rsid w:val="00CE5C18"/>
    <w:rsid w:val="00CE6764"/>
    <w:rsid w:val="00CE6E16"/>
    <w:rsid w:val="00CE6E37"/>
    <w:rsid w:val="00CE7AA9"/>
    <w:rsid w:val="00CE7DAE"/>
    <w:rsid w:val="00CF03C3"/>
    <w:rsid w:val="00CF0686"/>
    <w:rsid w:val="00CF0C55"/>
    <w:rsid w:val="00CF14A1"/>
    <w:rsid w:val="00CF170A"/>
    <w:rsid w:val="00CF1970"/>
    <w:rsid w:val="00CF1DE7"/>
    <w:rsid w:val="00CF225D"/>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754"/>
    <w:rsid w:val="00D03A9D"/>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4AB0"/>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4A0"/>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5C4"/>
    <w:rsid w:val="00D361D5"/>
    <w:rsid w:val="00D36A79"/>
    <w:rsid w:val="00D3776B"/>
    <w:rsid w:val="00D37DC0"/>
    <w:rsid w:val="00D4031A"/>
    <w:rsid w:val="00D4082B"/>
    <w:rsid w:val="00D408B4"/>
    <w:rsid w:val="00D40C31"/>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2535"/>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875"/>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35"/>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76B"/>
    <w:rsid w:val="00DB0A2D"/>
    <w:rsid w:val="00DB1712"/>
    <w:rsid w:val="00DB1750"/>
    <w:rsid w:val="00DB1893"/>
    <w:rsid w:val="00DB194D"/>
    <w:rsid w:val="00DB200D"/>
    <w:rsid w:val="00DB3268"/>
    <w:rsid w:val="00DB3517"/>
    <w:rsid w:val="00DB36C4"/>
    <w:rsid w:val="00DB3D37"/>
    <w:rsid w:val="00DB3ED8"/>
    <w:rsid w:val="00DB3F45"/>
    <w:rsid w:val="00DB412A"/>
    <w:rsid w:val="00DB42FA"/>
    <w:rsid w:val="00DB450C"/>
    <w:rsid w:val="00DB4806"/>
    <w:rsid w:val="00DB4E5B"/>
    <w:rsid w:val="00DB5819"/>
    <w:rsid w:val="00DB5A12"/>
    <w:rsid w:val="00DB6E48"/>
    <w:rsid w:val="00DB7926"/>
    <w:rsid w:val="00DC090E"/>
    <w:rsid w:val="00DC0A9B"/>
    <w:rsid w:val="00DC1018"/>
    <w:rsid w:val="00DC10F1"/>
    <w:rsid w:val="00DC19E9"/>
    <w:rsid w:val="00DC2A89"/>
    <w:rsid w:val="00DC2F09"/>
    <w:rsid w:val="00DC30B4"/>
    <w:rsid w:val="00DC33F3"/>
    <w:rsid w:val="00DC39C3"/>
    <w:rsid w:val="00DC3B2B"/>
    <w:rsid w:val="00DC4179"/>
    <w:rsid w:val="00DC4290"/>
    <w:rsid w:val="00DC531C"/>
    <w:rsid w:val="00DC5577"/>
    <w:rsid w:val="00DC56CB"/>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0E8D"/>
    <w:rsid w:val="00DE1814"/>
    <w:rsid w:val="00DE1C1F"/>
    <w:rsid w:val="00DE2756"/>
    <w:rsid w:val="00DE27B7"/>
    <w:rsid w:val="00DE32CE"/>
    <w:rsid w:val="00DE32F2"/>
    <w:rsid w:val="00DE5B7B"/>
    <w:rsid w:val="00DE5EA3"/>
    <w:rsid w:val="00DE715A"/>
    <w:rsid w:val="00DE71FE"/>
    <w:rsid w:val="00DE7437"/>
    <w:rsid w:val="00DE798B"/>
    <w:rsid w:val="00DE7A6D"/>
    <w:rsid w:val="00DF0054"/>
    <w:rsid w:val="00DF0492"/>
    <w:rsid w:val="00DF06CC"/>
    <w:rsid w:val="00DF0982"/>
    <w:rsid w:val="00DF153C"/>
    <w:rsid w:val="00DF1B1D"/>
    <w:rsid w:val="00DF1FAE"/>
    <w:rsid w:val="00DF1FB1"/>
    <w:rsid w:val="00DF262E"/>
    <w:rsid w:val="00DF277B"/>
    <w:rsid w:val="00DF430F"/>
    <w:rsid w:val="00DF5A84"/>
    <w:rsid w:val="00DF5E7E"/>
    <w:rsid w:val="00DF5EE3"/>
    <w:rsid w:val="00DF674A"/>
    <w:rsid w:val="00DF6815"/>
    <w:rsid w:val="00DF6854"/>
    <w:rsid w:val="00DF68FA"/>
    <w:rsid w:val="00DF6F04"/>
    <w:rsid w:val="00DF7320"/>
    <w:rsid w:val="00DF793B"/>
    <w:rsid w:val="00DF7C25"/>
    <w:rsid w:val="00E0198C"/>
    <w:rsid w:val="00E01A40"/>
    <w:rsid w:val="00E01A9A"/>
    <w:rsid w:val="00E01DCB"/>
    <w:rsid w:val="00E02096"/>
    <w:rsid w:val="00E026CC"/>
    <w:rsid w:val="00E026E6"/>
    <w:rsid w:val="00E032B4"/>
    <w:rsid w:val="00E0337C"/>
    <w:rsid w:val="00E03623"/>
    <w:rsid w:val="00E04198"/>
    <w:rsid w:val="00E04F8C"/>
    <w:rsid w:val="00E0599D"/>
    <w:rsid w:val="00E0630E"/>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56"/>
    <w:rsid w:val="00E15C98"/>
    <w:rsid w:val="00E161CE"/>
    <w:rsid w:val="00E16AC1"/>
    <w:rsid w:val="00E16ED0"/>
    <w:rsid w:val="00E17274"/>
    <w:rsid w:val="00E1754C"/>
    <w:rsid w:val="00E1761E"/>
    <w:rsid w:val="00E178B0"/>
    <w:rsid w:val="00E204C9"/>
    <w:rsid w:val="00E20830"/>
    <w:rsid w:val="00E20AC8"/>
    <w:rsid w:val="00E20E27"/>
    <w:rsid w:val="00E213F6"/>
    <w:rsid w:val="00E21B43"/>
    <w:rsid w:val="00E22024"/>
    <w:rsid w:val="00E22A05"/>
    <w:rsid w:val="00E22F6B"/>
    <w:rsid w:val="00E23912"/>
    <w:rsid w:val="00E23CE3"/>
    <w:rsid w:val="00E23DB4"/>
    <w:rsid w:val="00E23F1F"/>
    <w:rsid w:val="00E2411D"/>
    <w:rsid w:val="00E243E1"/>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6F2"/>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139"/>
    <w:rsid w:val="00E64750"/>
    <w:rsid w:val="00E648DF"/>
    <w:rsid w:val="00E6518E"/>
    <w:rsid w:val="00E6522C"/>
    <w:rsid w:val="00E65AA5"/>
    <w:rsid w:val="00E65D12"/>
    <w:rsid w:val="00E65D67"/>
    <w:rsid w:val="00E65D98"/>
    <w:rsid w:val="00E66D0E"/>
    <w:rsid w:val="00E700B3"/>
    <w:rsid w:val="00E7049C"/>
    <w:rsid w:val="00E709C8"/>
    <w:rsid w:val="00E71675"/>
    <w:rsid w:val="00E716B0"/>
    <w:rsid w:val="00E71B64"/>
    <w:rsid w:val="00E71E95"/>
    <w:rsid w:val="00E72325"/>
    <w:rsid w:val="00E73255"/>
    <w:rsid w:val="00E732C8"/>
    <w:rsid w:val="00E7535D"/>
    <w:rsid w:val="00E7571F"/>
    <w:rsid w:val="00E75856"/>
    <w:rsid w:val="00E75915"/>
    <w:rsid w:val="00E75922"/>
    <w:rsid w:val="00E761B5"/>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738"/>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0647"/>
    <w:rsid w:val="00EB1166"/>
    <w:rsid w:val="00EB1209"/>
    <w:rsid w:val="00EB186E"/>
    <w:rsid w:val="00EB1B8B"/>
    <w:rsid w:val="00EB1BC7"/>
    <w:rsid w:val="00EB2590"/>
    <w:rsid w:val="00EB25D0"/>
    <w:rsid w:val="00EB2988"/>
    <w:rsid w:val="00EB3DDA"/>
    <w:rsid w:val="00EB4D36"/>
    <w:rsid w:val="00EB56BE"/>
    <w:rsid w:val="00EB584A"/>
    <w:rsid w:val="00EB5D5F"/>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4FE"/>
    <w:rsid w:val="00ED1E85"/>
    <w:rsid w:val="00ED21F7"/>
    <w:rsid w:val="00ED2F36"/>
    <w:rsid w:val="00ED315A"/>
    <w:rsid w:val="00ED3B77"/>
    <w:rsid w:val="00ED40D1"/>
    <w:rsid w:val="00ED4329"/>
    <w:rsid w:val="00ED462B"/>
    <w:rsid w:val="00ED4784"/>
    <w:rsid w:val="00ED4BB0"/>
    <w:rsid w:val="00ED4CF2"/>
    <w:rsid w:val="00ED53F2"/>
    <w:rsid w:val="00ED543F"/>
    <w:rsid w:val="00ED5F82"/>
    <w:rsid w:val="00ED62B5"/>
    <w:rsid w:val="00ED687E"/>
    <w:rsid w:val="00ED6DF5"/>
    <w:rsid w:val="00ED6ED6"/>
    <w:rsid w:val="00ED71D4"/>
    <w:rsid w:val="00ED7C0E"/>
    <w:rsid w:val="00ED7FC0"/>
    <w:rsid w:val="00EE0810"/>
    <w:rsid w:val="00EE17FE"/>
    <w:rsid w:val="00EE1C1F"/>
    <w:rsid w:val="00EE22C7"/>
    <w:rsid w:val="00EE2A7B"/>
    <w:rsid w:val="00EE3CCA"/>
    <w:rsid w:val="00EE4289"/>
    <w:rsid w:val="00EE531D"/>
    <w:rsid w:val="00EE5A8D"/>
    <w:rsid w:val="00EE6459"/>
    <w:rsid w:val="00EE6FE4"/>
    <w:rsid w:val="00EE7170"/>
    <w:rsid w:val="00EE77D6"/>
    <w:rsid w:val="00EF132E"/>
    <w:rsid w:val="00EF136D"/>
    <w:rsid w:val="00EF1554"/>
    <w:rsid w:val="00EF1FEE"/>
    <w:rsid w:val="00EF2A05"/>
    <w:rsid w:val="00EF2D06"/>
    <w:rsid w:val="00EF33DE"/>
    <w:rsid w:val="00EF3A49"/>
    <w:rsid w:val="00EF42B9"/>
    <w:rsid w:val="00EF4639"/>
    <w:rsid w:val="00EF548E"/>
    <w:rsid w:val="00EF585E"/>
    <w:rsid w:val="00EF6383"/>
    <w:rsid w:val="00EF7188"/>
    <w:rsid w:val="00EF743A"/>
    <w:rsid w:val="00EF7489"/>
    <w:rsid w:val="00EF74FC"/>
    <w:rsid w:val="00EF7783"/>
    <w:rsid w:val="00EF7846"/>
    <w:rsid w:val="00EF7C66"/>
    <w:rsid w:val="00EF7D8F"/>
    <w:rsid w:val="00F007DF"/>
    <w:rsid w:val="00F00D3C"/>
    <w:rsid w:val="00F01528"/>
    <w:rsid w:val="00F01CA9"/>
    <w:rsid w:val="00F03AFE"/>
    <w:rsid w:val="00F04546"/>
    <w:rsid w:val="00F0486D"/>
    <w:rsid w:val="00F05D84"/>
    <w:rsid w:val="00F06FCF"/>
    <w:rsid w:val="00F0738C"/>
    <w:rsid w:val="00F10976"/>
    <w:rsid w:val="00F11E24"/>
    <w:rsid w:val="00F11EDA"/>
    <w:rsid w:val="00F1213C"/>
    <w:rsid w:val="00F12B32"/>
    <w:rsid w:val="00F12D8C"/>
    <w:rsid w:val="00F130AF"/>
    <w:rsid w:val="00F134D2"/>
    <w:rsid w:val="00F13507"/>
    <w:rsid w:val="00F13615"/>
    <w:rsid w:val="00F162FA"/>
    <w:rsid w:val="00F163BC"/>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B1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452"/>
    <w:rsid w:val="00F35616"/>
    <w:rsid w:val="00F3591C"/>
    <w:rsid w:val="00F372EF"/>
    <w:rsid w:val="00F37648"/>
    <w:rsid w:val="00F37813"/>
    <w:rsid w:val="00F37BB5"/>
    <w:rsid w:val="00F37DBB"/>
    <w:rsid w:val="00F40434"/>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B17"/>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5F7"/>
    <w:rsid w:val="00F648C7"/>
    <w:rsid w:val="00F64E41"/>
    <w:rsid w:val="00F65E96"/>
    <w:rsid w:val="00F66842"/>
    <w:rsid w:val="00F66FA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102"/>
    <w:rsid w:val="00F8532B"/>
    <w:rsid w:val="00F85A4D"/>
    <w:rsid w:val="00F86301"/>
    <w:rsid w:val="00F868F4"/>
    <w:rsid w:val="00F86985"/>
    <w:rsid w:val="00F873B0"/>
    <w:rsid w:val="00F87F7A"/>
    <w:rsid w:val="00F9026C"/>
    <w:rsid w:val="00F90464"/>
    <w:rsid w:val="00F90EDD"/>
    <w:rsid w:val="00F91146"/>
    <w:rsid w:val="00F912C4"/>
    <w:rsid w:val="00F91938"/>
    <w:rsid w:val="00F91FCE"/>
    <w:rsid w:val="00F92015"/>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1E8"/>
    <w:rsid w:val="00FA5431"/>
    <w:rsid w:val="00FA54F3"/>
    <w:rsid w:val="00FA5D38"/>
    <w:rsid w:val="00FA5F78"/>
    <w:rsid w:val="00FA63D4"/>
    <w:rsid w:val="00FA6493"/>
    <w:rsid w:val="00FA64C1"/>
    <w:rsid w:val="00FA66D0"/>
    <w:rsid w:val="00FA6E6B"/>
    <w:rsid w:val="00FA771C"/>
    <w:rsid w:val="00FA7BF8"/>
    <w:rsid w:val="00FB0307"/>
    <w:rsid w:val="00FB0CED"/>
    <w:rsid w:val="00FB0D96"/>
    <w:rsid w:val="00FB17C3"/>
    <w:rsid w:val="00FB233E"/>
    <w:rsid w:val="00FB3244"/>
    <w:rsid w:val="00FB361C"/>
    <w:rsid w:val="00FB416D"/>
    <w:rsid w:val="00FB4676"/>
    <w:rsid w:val="00FB52EB"/>
    <w:rsid w:val="00FB5A21"/>
    <w:rsid w:val="00FB64F8"/>
    <w:rsid w:val="00FB765E"/>
    <w:rsid w:val="00FB781B"/>
    <w:rsid w:val="00FB798F"/>
    <w:rsid w:val="00FB7D03"/>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0E8"/>
    <w:rsid w:val="00FD5125"/>
    <w:rsid w:val="00FD512F"/>
    <w:rsid w:val="00FD5850"/>
    <w:rsid w:val="00FD6964"/>
    <w:rsid w:val="00FD6E46"/>
    <w:rsid w:val="00FD71C4"/>
    <w:rsid w:val="00FD77F4"/>
    <w:rsid w:val="00FE03A3"/>
    <w:rsid w:val="00FE0513"/>
    <w:rsid w:val="00FE0A60"/>
    <w:rsid w:val="00FE0D0C"/>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 w:val="00FF72CC"/>
    <w:rsid w:val="00FF7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4503</Words>
  <Characters>23727</Characters>
  <Application>Microsoft Office Word</Application>
  <DocSecurity>0</DocSecurity>
  <Lines>482</Lines>
  <Paragraphs>152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2023-09-19T00:49:00Z</dcterms:created>
  <dcterms:modified xsi:type="dcterms:W3CDTF">2023-09-19T00:49:00Z</dcterms:modified>
</cp:coreProperties>
</file>