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373688" w:rsidRDefault="00790FE4" w:rsidP="007F3D56">
      <w:pPr>
        <w:spacing w:after="0"/>
        <w:rPr>
          <w:rFonts w:ascii="Arial" w:hAnsi="Arial" w:cs="Arial"/>
          <w:b/>
          <w:bCs/>
          <w:sz w:val="24"/>
          <w:szCs w:val="24"/>
        </w:rPr>
      </w:pPr>
    </w:p>
    <w:p w14:paraId="42440CF1" w14:textId="77777777" w:rsidR="00790FE4" w:rsidRPr="00373688" w:rsidRDefault="00790FE4" w:rsidP="007F3D56">
      <w:pPr>
        <w:spacing w:after="0"/>
        <w:rPr>
          <w:rFonts w:ascii="Arial" w:hAnsi="Arial" w:cs="Arial"/>
          <w:b/>
          <w:bCs/>
          <w:sz w:val="24"/>
          <w:szCs w:val="24"/>
        </w:rPr>
      </w:pPr>
    </w:p>
    <w:p w14:paraId="47B146F4" w14:textId="22AC9DAA" w:rsidR="00BB387E" w:rsidRPr="00373688" w:rsidRDefault="00414BA9" w:rsidP="00BB387E">
      <w:pPr>
        <w:spacing w:after="0"/>
        <w:jc w:val="center"/>
        <w:rPr>
          <w:rFonts w:ascii="Arial" w:hAnsi="Arial" w:cs="Arial"/>
          <w:b/>
          <w:bCs/>
          <w:sz w:val="24"/>
          <w:szCs w:val="24"/>
        </w:rPr>
      </w:pPr>
      <w:r w:rsidRPr="00373688">
        <w:rPr>
          <w:rFonts w:ascii="Arial" w:hAnsi="Arial" w:cs="Arial"/>
          <w:b/>
          <w:bCs/>
          <w:sz w:val="24"/>
          <w:szCs w:val="24"/>
        </w:rPr>
        <w:t>202</w:t>
      </w:r>
      <w:r w:rsidR="001C57DB" w:rsidRPr="00373688">
        <w:rPr>
          <w:rFonts w:ascii="Arial" w:hAnsi="Arial" w:cs="Arial"/>
          <w:b/>
          <w:bCs/>
          <w:sz w:val="24"/>
          <w:szCs w:val="24"/>
        </w:rPr>
        <w:t>3</w:t>
      </w:r>
    </w:p>
    <w:p w14:paraId="76FBCA77" w14:textId="77777777" w:rsidR="00BB387E" w:rsidRPr="00373688" w:rsidRDefault="00BB387E" w:rsidP="00BB387E">
      <w:pPr>
        <w:spacing w:after="0"/>
        <w:jc w:val="center"/>
        <w:rPr>
          <w:rFonts w:ascii="Arial" w:hAnsi="Arial" w:cs="Arial"/>
          <w:b/>
          <w:sz w:val="24"/>
          <w:szCs w:val="24"/>
        </w:rPr>
      </w:pPr>
    </w:p>
    <w:p w14:paraId="3493308A" w14:textId="77777777" w:rsidR="00BB387E" w:rsidRPr="00373688" w:rsidRDefault="00BB387E" w:rsidP="00BB387E">
      <w:pPr>
        <w:spacing w:after="0"/>
        <w:jc w:val="center"/>
        <w:rPr>
          <w:rFonts w:ascii="Arial" w:hAnsi="Arial" w:cs="Arial"/>
          <w:b/>
          <w:sz w:val="24"/>
          <w:szCs w:val="24"/>
        </w:rPr>
      </w:pPr>
    </w:p>
    <w:p w14:paraId="0DB9FAF9" w14:textId="77777777" w:rsidR="00BB387E" w:rsidRPr="00373688" w:rsidRDefault="00BB387E" w:rsidP="00BB387E">
      <w:pPr>
        <w:spacing w:after="0"/>
        <w:jc w:val="center"/>
        <w:rPr>
          <w:rFonts w:ascii="Arial" w:hAnsi="Arial" w:cs="Arial"/>
          <w:b/>
          <w:sz w:val="24"/>
          <w:szCs w:val="24"/>
        </w:rPr>
      </w:pPr>
    </w:p>
    <w:p w14:paraId="32DDD7F5" w14:textId="77777777" w:rsidR="00BB387E" w:rsidRPr="00373688" w:rsidRDefault="00BB387E" w:rsidP="00BB387E">
      <w:pPr>
        <w:spacing w:after="0"/>
        <w:jc w:val="center"/>
        <w:rPr>
          <w:rFonts w:ascii="Arial" w:hAnsi="Arial" w:cs="Arial"/>
          <w:b/>
          <w:sz w:val="24"/>
          <w:szCs w:val="24"/>
        </w:rPr>
      </w:pPr>
    </w:p>
    <w:p w14:paraId="03B2A002" w14:textId="77777777" w:rsidR="00BB387E" w:rsidRPr="00373688" w:rsidRDefault="00BB387E" w:rsidP="00BB387E">
      <w:pPr>
        <w:spacing w:after="0"/>
        <w:jc w:val="center"/>
        <w:rPr>
          <w:rFonts w:ascii="Arial" w:hAnsi="Arial" w:cs="Arial"/>
          <w:b/>
          <w:bCs/>
          <w:sz w:val="24"/>
          <w:szCs w:val="24"/>
        </w:rPr>
      </w:pPr>
    </w:p>
    <w:p w14:paraId="76B12392" w14:textId="77777777" w:rsidR="00BB387E" w:rsidRPr="00373688" w:rsidRDefault="00BB387E" w:rsidP="00BB387E">
      <w:pPr>
        <w:spacing w:after="0"/>
        <w:jc w:val="center"/>
        <w:rPr>
          <w:rFonts w:ascii="Arial" w:hAnsi="Arial" w:cs="Arial"/>
          <w:b/>
          <w:bCs/>
          <w:sz w:val="24"/>
          <w:szCs w:val="24"/>
        </w:rPr>
      </w:pPr>
    </w:p>
    <w:p w14:paraId="04AE96BF" w14:textId="77777777" w:rsidR="00BB387E" w:rsidRPr="00373688" w:rsidRDefault="00BB387E" w:rsidP="00BB387E">
      <w:pPr>
        <w:spacing w:after="0"/>
        <w:jc w:val="center"/>
        <w:rPr>
          <w:rFonts w:ascii="Arial" w:hAnsi="Arial" w:cs="Arial"/>
          <w:b/>
          <w:bCs/>
          <w:sz w:val="24"/>
          <w:szCs w:val="24"/>
        </w:rPr>
      </w:pPr>
      <w:r w:rsidRPr="00373688">
        <w:rPr>
          <w:rFonts w:ascii="Arial" w:hAnsi="Arial" w:cs="Arial"/>
          <w:b/>
          <w:bCs/>
          <w:sz w:val="24"/>
          <w:szCs w:val="24"/>
        </w:rPr>
        <w:t>THE LEGISLATIVE ASSEMBLY FOR THE</w:t>
      </w:r>
    </w:p>
    <w:p w14:paraId="38D9D6DC" w14:textId="77777777" w:rsidR="00BB387E" w:rsidRPr="00373688" w:rsidRDefault="00BB387E" w:rsidP="00BB387E">
      <w:pPr>
        <w:spacing w:after="0"/>
        <w:jc w:val="center"/>
        <w:rPr>
          <w:rFonts w:ascii="Arial" w:hAnsi="Arial" w:cs="Arial"/>
          <w:b/>
          <w:sz w:val="24"/>
          <w:szCs w:val="24"/>
        </w:rPr>
      </w:pPr>
      <w:r w:rsidRPr="00373688">
        <w:rPr>
          <w:rFonts w:ascii="Arial" w:hAnsi="Arial" w:cs="Arial"/>
          <w:b/>
          <w:bCs/>
          <w:sz w:val="24"/>
          <w:szCs w:val="24"/>
        </w:rPr>
        <w:t>AUSTRALIAN CAPITAL TERRITORY</w:t>
      </w:r>
    </w:p>
    <w:p w14:paraId="1814759D" w14:textId="77777777" w:rsidR="00BB387E" w:rsidRPr="00373688" w:rsidRDefault="00BB387E" w:rsidP="00BB387E">
      <w:pPr>
        <w:spacing w:after="0"/>
        <w:jc w:val="center"/>
        <w:rPr>
          <w:rFonts w:ascii="Arial" w:hAnsi="Arial" w:cs="Arial"/>
          <w:b/>
          <w:sz w:val="24"/>
          <w:szCs w:val="24"/>
        </w:rPr>
      </w:pPr>
    </w:p>
    <w:p w14:paraId="63F0CAA5" w14:textId="77777777" w:rsidR="00BB387E" w:rsidRPr="00373688" w:rsidRDefault="00BB387E" w:rsidP="00BB387E">
      <w:pPr>
        <w:spacing w:after="0"/>
        <w:jc w:val="center"/>
        <w:rPr>
          <w:rFonts w:ascii="Arial" w:hAnsi="Arial" w:cs="Arial"/>
          <w:b/>
          <w:sz w:val="24"/>
          <w:szCs w:val="24"/>
        </w:rPr>
      </w:pPr>
    </w:p>
    <w:p w14:paraId="279B0824" w14:textId="77777777" w:rsidR="00BB387E" w:rsidRPr="00373688" w:rsidRDefault="00BB387E" w:rsidP="00BB387E">
      <w:pPr>
        <w:spacing w:after="0"/>
        <w:jc w:val="center"/>
        <w:rPr>
          <w:rFonts w:ascii="Arial" w:hAnsi="Arial" w:cs="Arial"/>
          <w:b/>
          <w:sz w:val="24"/>
          <w:szCs w:val="24"/>
        </w:rPr>
      </w:pPr>
    </w:p>
    <w:p w14:paraId="01940BA6" w14:textId="77777777" w:rsidR="00BB387E" w:rsidRPr="00373688" w:rsidRDefault="00BB387E" w:rsidP="00BB387E">
      <w:pPr>
        <w:spacing w:after="0"/>
        <w:jc w:val="center"/>
        <w:rPr>
          <w:rFonts w:ascii="Arial" w:hAnsi="Arial" w:cs="Arial"/>
          <w:b/>
          <w:sz w:val="24"/>
          <w:szCs w:val="24"/>
        </w:rPr>
      </w:pPr>
    </w:p>
    <w:p w14:paraId="278F861F" w14:textId="77777777" w:rsidR="00BB387E" w:rsidRPr="00373688" w:rsidRDefault="00BB387E" w:rsidP="00BB387E">
      <w:pPr>
        <w:spacing w:after="0"/>
        <w:jc w:val="center"/>
        <w:rPr>
          <w:rFonts w:ascii="Arial" w:hAnsi="Arial" w:cs="Arial"/>
          <w:b/>
          <w:sz w:val="24"/>
          <w:szCs w:val="24"/>
        </w:rPr>
      </w:pPr>
    </w:p>
    <w:p w14:paraId="48190A2F" w14:textId="77777777" w:rsidR="00BB387E" w:rsidRPr="00373688" w:rsidRDefault="00BB387E" w:rsidP="00BB387E">
      <w:pPr>
        <w:spacing w:after="0"/>
        <w:jc w:val="center"/>
        <w:rPr>
          <w:rFonts w:ascii="Arial" w:hAnsi="Arial" w:cs="Arial"/>
          <w:b/>
          <w:sz w:val="24"/>
          <w:szCs w:val="24"/>
        </w:rPr>
      </w:pPr>
    </w:p>
    <w:p w14:paraId="03A897E3" w14:textId="77777777" w:rsidR="00BB387E" w:rsidRPr="00373688" w:rsidRDefault="00BB387E" w:rsidP="00BB387E">
      <w:pPr>
        <w:spacing w:after="0"/>
        <w:jc w:val="center"/>
        <w:rPr>
          <w:rFonts w:ascii="Arial" w:hAnsi="Arial" w:cs="Arial"/>
          <w:b/>
          <w:sz w:val="24"/>
          <w:szCs w:val="24"/>
        </w:rPr>
      </w:pPr>
    </w:p>
    <w:p w14:paraId="75D7A359" w14:textId="77777777" w:rsidR="00BB387E" w:rsidRPr="00373688" w:rsidRDefault="00BB387E" w:rsidP="00BB387E">
      <w:pPr>
        <w:spacing w:after="0"/>
        <w:jc w:val="center"/>
        <w:rPr>
          <w:rFonts w:ascii="Arial" w:hAnsi="Arial" w:cs="Arial"/>
          <w:b/>
          <w:sz w:val="24"/>
          <w:szCs w:val="24"/>
        </w:rPr>
      </w:pPr>
    </w:p>
    <w:p w14:paraId="6CA27CE6" w14:textId="77777777" w:rsidR="00BB387E" w:rsidRPr="00373688" w:rsidRDefault="00BB387E" w:rsidP="00BB387E">
      <w:pPr>
        <w:spacing w:after="0"/>
        <w:jc w:val="center"/>
        <w:rPr>
          <w:rFonts w:ascii="Arial" w:hAnsi="Arial" w:cs="Arial"/>
          <w:b/>
          <w:sz w:val="24"/>
          <w:szCs w:val="24"/>
        </w:rPr>
      </w:pPr>
    </w:p>
    <w:p w14:paraId="309E6F3A" w14:textId="77777777" w:rsidR="00BB387E" w:rsidRPr="00373688" w:rsidRDefault="00BB387E" w:rsidP="00BB387E">
      <w:pPr>
        <w:spacing w:after="0"/>
        <w:jc w:val="center"/>
        <w:rPr>
          <w:rFonts w:ascii="Arial" w:hAnsi="Arial" w:cs="Arial"/>
          <w:b/>
          <w:sz w:val="24"/>
          <w:szCs w:val="24"/>
        </w:rPr>
      </w:pPr>
    </w:p>
    <w:p w14:paraId="4D32FA7B" w14:textId="43932DB8" w:rsidR="001C57DB" w:rsidRPr="00373688" w:rsidRDefault="00CC1A4A" w:rsidP="00741C4A">
      <w:pPr>
        <w:spacing w:after="0"/>
        <w:jc w:val="center"/>
        <w:rPr>
          <w:rFonts w:ascii="Arial" w:hAnsi="Arial" w:cs="Arial"/>
          <w:b/>
          <w:bCs/>
          <w:sz w:val="24"/>
          <w:szCs w:val="24"/>
        </w:rPr>
      </w:pPr>
      <w:r w:rsidRPr="00373688">
        <w:rPr>
          <w:rFonts w:ascii="Arial" w:hAnsi="Arial" w:cs="Arial"/>
          <w:b/>
          <w:bCs/>
          <w:sz w:val="24"/>
          <w:szCs w:val="24"/>
        </w:rPr>
        <w:t xml:space="preserve"> </w:t>
      </w:r>
      <w:r w:rsidR="001C57DB" w:rsidRPr="00373688">
        <w:rPr>
          <w:rFonts w:ascii="Arial" w:hAnsi="Arial" w:cs="Arial"/>
          <w:b/>
          <w:bCs/>
          <w:sz w:val="24"/>
          <w:szCs w:val="24"/>
        </w:rPr>
        <w:t>JUSTICE AND COMMUNITY SAFETY LEGISLATION AMENDMENT</w:t>
      </w:r>
      <w:r w:rsidR="006D7F01" w:rsidRPr="00373688">
        <w:rPr>
          <w:rFonts w:ascii="Arial" w:hAnsi="Arial" w:cs="Arial"/>
          <w:b/>
          <w:bCs/>
          <w:sz w:val="24"/>
          <w:szCs w:val="24"/>
        </w:rPr>
        <w:t xml:space="preserve"> </w:t>
      </w:r>
    </w:p>
    <w:p w14:paraId="69918477" w14:textId="233F3D8D" w:rsidR="00741C4A" w:rsidRPr="00373688" w:rsidRDefault="00741C4A" w:rsidP="00741C4A">
      <w:pPr>
        <w:spacing w:after="0"/>
        <w:jc w:val="center"/>
        <w:rPr>
          <w:rFonts w:ascii="Arial" w:hAnsi="Arial" w:cs="Arial"/>
          <w:b/>
          <w:bCs/>
          <w:sz w:val="24"/>
          <w:szCs w:val="24"/>
        </w:rPr>
      </w:pPr>
      <w:r w:rsidRPr="00373688">
        <w:rPr>
          <w:rFonts w:ascii="Arial" w:hAnsi="Arial" w:cs="Arial"/>
          <w:b/>
          <w:bCs/>
          <w:sz w:val="24"/>
          <w:szCs w:val="24"/>
        </w:rPr>
        <w:t xml:space="preserve">BILL </w:t>
      </w:r>
      <w:r w:rsidR="00414BA9" w:rsidRPr="00373688">
        <w:rPr>
          <w:rFonts w:ascii="Arial" w:hAnsi="Arial" w:cs="Arial"/>
          <w:b/>
          <w:bCs/>
          <w:sz w:val="24"/>
          <w:szCs w:val="24"/>
        </w:rPr>
        <w:t>202</w:t>
      </w:r>
      <w:r w:rsidR="001C57DB" w:rsidRPr="00373688">
        <w:rPr>
          <w:rFonts w:ascii="Arial" w:hAnsi="Arial" w:cs="Arial"/>
          <w:b/>
          <w:bCs/>
          <w:sz w:val="24"/>
          <w:szCs w:val="24"/>
        </w:rPr>
        <w:t>3 (No 2)</w:t>
      </w:r>
    </w:p>
    <w:p w14:paraId="19F3C407" w14:textId="77777777" w:rsidR="00BB387E" w:rsidRPr="00373688" w:rsidRDefault="00BB387E" w:rsidP="00BB387E">
      <w:pPr>
        <w:spacing w:after="0"/>
        <w:jc w:val="center"/>
        <w:rPr>
          <w:rFonts w:ascii="Arial" w:hAnsi="Arial" w:cs="Arial"/>
          <w:b/>
          <w:bCs/>
          <w:sz w:val="24"/>
          <w:szCs w:val="24"/>
        </w:rPr>
      </w:pPr>
    </w:p>
    <w:p w14:paraId="37B3F0B9" w14:textId="77777777" w:rsidR="00BB387E" w:rsidRPr="00373688" w:rsidRDefault="00BB387E" w:rsidP="00BB387E">
      <w:pPr>
        <w:spacing w:after="0"/>
        <w:jc w:val="center"/>
        <w:rPr>
          <w:rFonts w:ascii="Arial" w:hAnsi="Arial" w:cs="Arial"/>
          <w:b/>
          <w:sz w:val="24"/>
          <w:szCs w:val="24"/>
        </w:rPr>
      </w:pPr>
    </w:p>
    <w:p w14:paraId="0D26BB2F" w14:textId="77777777" w:rsidR="00BB387E" w:rsidRPr="00373688" w:rsidRDefault="00BB387E" w:rsidP="00BB387E">
      <w:pPr>
        <w:spacing w:after="0"/>
        <w:jc w:val="center"/>
        <w:rPr>
          <w:rFonts w:ascii="Arial" w:hAnsi="Arial" w:cs="Arial"/>
          <w:b/>
          <w:bCs/>
          <w:sz w:val="24"/>
          <w:szCs w:val="24"/>
        </w:rPr>
      </w:pPr>
    </w:p>
    <w:p w14:paraId="588053E2" w14:textId="77777777" w:rsidR="00BC3EF0" w:rsidRPr="00373688" w:rsidRDefault="00BB387E" w:rsidP="00BB387E">
      <w:pPr>
        <w:spacing w:after="0"/>
        <w:jc w:val="center"/>
        <w:rPr>
          <w:rFonts w:ascii="Arial" w:hAnsi="Arial" w:cs="Arial"/>
          <w:b/>
          <w:bCs/>
          <w:sz w:val="24"/>
          <w:szCs w:val="24"/>
        </w:rPr>
      </w:pPr>
      <w:r w:rsidRPr="00373688">
        <w:rPr>
          <w:rFonts w:ascii="Arial" w:hAnsi="Arial" w:cs="Arial"/>
          <w:b/>
          <w:bCs/>
          <w:sz w:val="24"/>
          <w:szCs w:val="24"/>
        </w:rPr>
        <w:t>EXPLANATORY STATEMENT</w:t>
      </w:r>
      <w:r w:rsidR="00BC3EF0" w:rsidRPr="00373688">
        <w:rPr>
          <w:rFonts w:ascii="Arial" w:hAnsi="Arial" w:cs="Arial"/>
          <w:b/>
          <w:bCs/>
          <w:sz w:val="24"/>
          <w:szCs w:val="24"/>
        </w:rPr>
        <w:t xml:space="preserve"> </w:t>
      </w:r>
    </w:p>
    <w:p w14:paraId="06C942D2" w14:textId="5211A683" w:rsidR="00BC3EF0" w:rsidRPr="00373688" w:rsidRDefault="00BC3EF0" w:rsidP="00BB387E">
      <w:pPr>
        <w:spacing w:after="0"/>
        <w:jc w:val="center"/>
        <w:rPr>
          <w:rFonts w:ascii="Arial" w:hAnsi="Arial" w:cs="Arial"/>
          <w:b/>
          <w:bCs/>
          <w:sz w:val="24"/>
          <w:szCs w:val="24"/>
        </w:rPr>
      </w:pPr>
      <w:r w:rsidRPr="00373688">
        <w:rPr>
          <w:rFonts w:ascii="Arial" w:hAnsi="Arial" w:cs="Arial"/>
          <w:b/>
          <w:bCs/>
          <w:sz w:val="24"/>
          <w:szCs w:val="24"/>
        </w:rPr>
        <w:t>and</w:t>
      </w:r>
    </w:p>
    <w:p w14:paraId="21E7A29D" w14:textId="03EF1A1B" w:rsidR="00BB387E" w:rsidRPr="00373688" w:rsidRDefault="00BC3EF0" w:rsidP="00BB387E">
      <w:pPr>
        <w:spacing w:after="0"/>
        <w:jc w:val="center"/>
        <w:rPr>
          <w:rFonts w:ascii="Arial" w:hAnsi="Arial" w:cs="Arial"/>
          <w:b/>
          <w:bCs/>
          <w:sz w:val="24"/>
          <w:szCs w:val="24"/>
        </w:rPr>
      </w:pPr>
      <w:r w:rsidRPr="00373688">
        <w:rPr>
          <w:rFonts w:ascii="Arial" w:hAnsi="Arial" w:cs="Arial"/>
          <w:b/>
          <w:bCs/>
          <w:sz w:val="24"/>
          <w:szCs w:val="24"/>
        </w:rPr>
        <w:t xml:space="preserve"> HUMAN RIGHTS COMPATIBILITY STATEMENT</w:t>
      </w:r>
    </w:p>
    <w:p w14:paraId="00B32D69" w14:textId="797A78E0" w:rsidR="00BC3EF0" w:rsidRPr="00373688" w:rsidRDefault="00BC3EF0" w:rsidP="00BB387E">
      <w:pPr>
        <w:spacing w:after="0"/>
        <w:jc w:val="center"/>
        <w:rPr>
          <w:rFonts w:ascii="Arial" w:hAnsi="Arial" w:cs="Arial"/>
          <w:b/>
          <w:sz w:val="24"/>
          <w:szCs w:val="24"/>
        </w:rPr>
      </w:pPr>
      <w:r w:rsidRPr="00373688">
        <w:rPr>
          <w:rFonts w:ascii="Arial" w:hAnsi="Arial" w:cs="Arial"/>
          <w:b/>
          <w:bCs/>
          <w:sz w:val="24"/>
          <w:szCs w:val="24"/>
        </w:rPr>
        <w:t>(</w:t>
      </w:r>
      <w:r w:rsidRPr="00373688">
        <w:rPr>
          <w:rFonts w:ascii="Arial" w:hAnsi="Arial" w:cs="Arial"/>
          <w:b/>
          <w:bCs/>
          <w:i/>
          <w:iCs/>
          <w:sz w:val="24"/>
          <w:szCs w:val="24"/>
        </w:rPr>
        <w:t>Human Rights Act 2004</w:t>
      </w:r>
      <w:r w:rsidRPr="00373688">
        <w:rPr>
          <w:rFonts w:ascii="Arial" w:hAnsi="Arial" w:cs="Arial"/>
          <w:b/>
          <w:bCs/>
          <w:sz w:val="24"/>
          <w:szCs w:val="24"/>
        </w:rPr>
        <w:t>, s 37)</w:t>
      </w:r>
    </w:p>
    <w:p w14:paraId="4E561EC7" w14:textId="77777777" w:rsidR="00BB387E" w:rsidRPr="00373688" w:rsidRDefault="00BB387E" w:rsidP="00BB387E">
      <w:pPr>
        <w:spacing w:after="0"/>
        <w:jc w:val="center"/>
        <w:rPr>
          <w:rFonts w:ascii="Arial" w:hAnsi="Arial" w:cs="Arial"/>
          <w:b/>
          <w:sz w:val="24"/>
          <w:szCs w:val="24"/>
        </w:rPr>
      </w:pPr>
    </w:p>
    <w:p w14:paraId="58E7858B" w14:textId="77777777" w:rsidR="00BB387E" w:rsidRPr="00373688" w:rsidRDefault="00BB387E" w:rsidP="00BB387E">
      <w:pPr>
        <w:spacing w:after="0"/>
        <w:jc w:val="center"/>
        <w:rPr>
          <w:rFonts w:ascii="Arial" w:hAnsi="Arial" w:cs="Arial"/>
          <w:b/>
          <w:sz w:val="24"/>
          <w:szCs w:val="24"/>
        </w:rPr>
      </w:pPr>
    </w:p>
    <w:p w14:paraId="44FB09C0" w14:textId="77777777" w:rsidR="00BB387E" w:rsidRPr="00373688" w:rsidRDefault="00BB387E" w:rsidP="00BB387E">
      <w:pPr>
        <w:spacing w:after="0"/>
        <w:jc w:val="center"/>
        <w:rPr>
          <w:rFonts w:ascii="Arial" w:hAnsi="Arial" w:cs="Arial"/>
          <w:b/>
          <w:sz w:val="24"/>
          <w:szCs w:val="24"/>
        </w:rPr>
      </w:pPr>
    </w:p>
    <w:p w14:paraId="6DB1E5EF" w14:textId="77777777" w:rsidR="00BB387E" w:rsidRPr="00373688" w:rsidRDefault="00BB387E" w:rsidP="00BB387E">
      <w:pPr>
        <w:spacing w:after="0"/>
        <w:jc w:val="center"/>
        <w:rPr>
          <w:rFonts w:ascii="Arial" w:hAnsi="Arial" w:cs="Arial"/>
          <w:b/>
          <w:sz w:val="24"/>
          <w:szCs w:val="24"/>
        </w:rPr>
      </w:pPr>
    </w:p>
    <w:p w14:paraId="5CCF0433" w14:textId="77777777" w:rsidR="00BB387E" w:rsidRPr="00373688" w:rsidRDefault="00BB387E" w:rsidP="00BB387E">
      <w:pPr>
        <w:keepNext/>
        <w:widowControl w:val="0"/>
        <w:spacing w:after="0"/>
        <w:jc w:val="center"/>
        <w:outlineLvl w:val="7"/>
        <w:rPr>
          <w:rFonts w:ascii="Arial" w:hAnsi="Arial" w:cs="Arial"/>
          <w:b/>
          <w:bCs/>
          <w:sz w:val="24"/>
          <w:szCs w:val="24"/>
        </w:rPr>
      </w:pPr>
    </w:p>
    <w:p w14:paraId="0CE0F478" w14:textId="77777777" w:rsidR="00BB387E" w:rsidRPr="00373688" w:rsidRDefault="00BB387E" w:rsidP="00BB387E">
      <w:pPr>
        <w:keepNext/>
        <w:widowControl w:val="0"/>
        <w:spacing w:after="0"/>
        <w:jc w:val="center"/>
        <w:outlineLvl w:val="7"/>
        <w:rPr>
          <w:rFonts w:ascii="Arial" w:hAnsi="Arial" w:cs="Arial"/>
          <w:b/>
          <w:bCs/>
          <w:sz w:val="24"/>
          <w:szCs w:val="24"/>
        </w:rPr>
      </w:pPr>
    </w:p>
    <w:p w14:paraId="2D0F4E33" w14:textId="77777777" w:rsidR="00BB387E" w:rsidRPr="00373688" w:rsidRDefault="00BB387E" w:rsidP="00BB387E">
      <w:pPr>
        <w:keepNext/>
        <w:widowControl w:val="0"/>
        <w:spacing w:after="0"/>
        <w:ind w:right="686"/>
        <w:jc w:val="right"/>
        <w:outlineLvl w:val="7"/>
        <w:rPr>
          <w:rFonts w:ascii="Arial" w:hAnsi="Arial" w:cs="Arial"/>
          <w:b/>
          <w:bCs/>
          <w:sz w:val="24"/>
          <w:szCs w:val="24"/>
        </w:rPr>
      </w:pPr>
      <w:r w:rsidRPr="00373688">
        <w:rPr>
          <w:rFonts w:ascii="Arial" w:hAnsi="Arial" w:cs="Arial"/>
          <w:b/>
          <w:bCs/>
          <w:sz w:val="24"/>
          <w:szCs w:val="24"/>
        </w:rPr>
        <w:t>Presented by</w:t>
      </w:r>
    </w:p>
    <w:p w14:paraId="5BBE2D1D" w14:textId="27E6558E" w:rsidR="00BB387E" w:rsidRPr="00373688" w:rsidRDefault="007D0764" w:rsidP="00BB387E">
      <w:pPr>
        <w:spacing w:after="0"/>
        <w:ind w:right="686"/>
        <w:jc w:val="right"/>
        <w:rPr>
          <w:rFonts w:ascii="Arial" w:hAnsi="Arial" w:cs="Arial"/>
          <w:b/>
          <w:bCs/>
          <w:sz w:val="24"/>
          <w:szCs w:val="24"/>
        </w:rPr>
      </w:pPr>
      <w:r w:rsidRPr="00373688">
        <w:rPr>
          <w:rFonts w:ascii="Arial" w:hAnsi="Arial" w:cs="Arial"/>
          <w:b/>
          <w:bCs/>
          <w:sz w:val="24"/>
          <w:szCs w:val="24"/>
        </w:rPr>
        <w:t xml:space="preserve">Shane Rattenbury </w:t>
      </w:r>
      <w:r w:rsidR="00E954A1" w:rsidRPr="00373688">
        <w:rPr>
          <w:rFonts w:ascii="Arial" w:hAnsi="Arial" w:cs="Arial"/>
          <w:b/>
          <w:bCs/>
          <w:sz w:val="24"/>
          <w:szCs w:val="24"/>
        </w:rPr>
        <w:t>MLA</w:t>
      </w:r>
    </w:p>
    <w:p w14:paraId="29D58DC6" w14:textId="77777777" w:rsidR="00DC5912" w:rsidRPr="00373688" w:rsidRDefault="00DC5912">
      <w:pPr>
        <w:spacing w:after="0" w:line="240" w:lineRule="auto"/>
        <w:rPr>
          <w:rFonts w:ascii="Arial" w:hAnsi="Arial" w:cs="Arial"/>
          <w:b/>
          <w:bCs/>
          <w:sz w:val="24"/>
          <w:szCs w:val="24"/>
          <w:u w:val="single"/>
        </w:rPr>
        <w:sectPr w:rsidR="00DC5912" w:rsidRPr="00373688"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373688">
        <w:rPr>
          <w:rFonts w:ascii="Arial" w:hAnsi="Arial" w:cs="Arial"/>
          <w:b/>
          <w:bCs/>
          <w:sz w:val="24"/>
          <w:szCs w:val="24"/>
          <w:u w:val="single"/>
        </w:rPr>
        <w:br w:type="page"/>
      </w:r>
    </w:p>
    <w:p w14:paraId="00ACAF6A" w14:textId="13CF374E" w:rsidR="00ED3B77" w:rsidRPr="00373688" w:rsidRDefault="001C57DB" w:rsidP="008C225D">
      <w:pPr>
        <w:pStyle w:val="Heading1"/>
        <w:jc w:val="center"/>
        <w:rPr>
          <w:rFonts w:cs="Arial"/>
        </w:rPr>
      </w:pPr>
      <w:r w:rsidRPr="00373688">
        <w:rPr>
          <w:rFonts w:cs="Arial"/>
        </w:rPr>
        <w:lastRenderedPageBreak/>
        <w:t>JUSTICE AND COMMUNITY SAFETY LEGISLATION AMENDMENT</w:t>
      </w:r>
      <w:r w:rsidR="006D7F01" w:rsidRPr="00373688">
        <w:rPr>
          <w:rFonts w:cs="Arial"/>
        </w:rPr>
        <w:t xml:space="preserve"> </w:t>
      </w:r>
      <w:r w:rsidR="00ED3B77" w:rsidRPr="00373688">
        <w:rPr>
          <w:rFonts w:cs="Arial"/>
        </w:rPr>
        <w:t xml:space="preserve">BILL </w:t>
      </w:r>
      <w:r w:rsidR="005B7158" w:rsidRPr="00373688">
        <w:rPr>
          <w:rFonts w:cs="Arial"/>
        </w:rPr>
        <w:t>202</w:t>
      </w:r>
      <w:r w:rsidRPr="00373688">
        <w:rPr>
          <w:rFonts w:cs="Arial"/>
        </w:rPr>
        <w:t>3 (No 2)</w:t>
      </w:r>
    </w:p>
    <w:p w14:paraId="2612AE1F" w14:textId="77777777" w:rsidR="00834FC9" w:rsidRPr="00373688" w:rsidRDefault="00834FC9" w:rsidP="007F3D56">
      <w:pPr>
        <w:spacing w:after="0"/>
        <w:contextualSpacing/>
        <w:rPr>
          <w:rFonts w:ascii="Arial" w:hAnsi="Arial" w:cs="Arial"/>
          <w:bCs/>
          <w:sz w:val="24"/>
          <w:szCs w:val="24"/>
        </w:rPr>
      </w:pPr>
    </w:p>
    <w:p w14:paraId="1C55190C" w14:textId="7F78AE5B" w:rsidR="00790FE4" w:rsidRPr="00373688" w:rsidRDefault="00834FC9" w:rsidP="007F3D56">
      <w:pPr>
        <w:spacing w:after="0"/>
        <w:contextualSpacing/>
        <w:rPr>
          <w:rFonts w:ascii="Arial" w:hAnsi="Arial" w:cs="Arial"/>
          <w:bCs/>
          <w:sz w:val="24"/>
          <w:szCs w:val="24"/>
        </w:rPr>
      </w:pPr>
      <w:r w:rsidRPr="00373688">
        <w:rPr>
          <w:rFonts w:ascii="Arial" w:hAnsi="Arial" w:cs="Arial"/>
          <w:bCs/>
          <w:sz w:val="24"/>
          <w:szCs w:val="24"/>
        </w:rPr>
        <w:t xml:space="preserve">The Bill </w:t>
      </w:r>
      <w:r w:rsidR="00891C95" w:rsidRPr="00373688">
        <w:rPr>
          <w:rFonts w:ascii="Arial" w:hAnsi="Arial" w:cs="Arial"/>
          <w:b/>
          <w:sz w:val="24"/>
          <w:szCs w:val="24"/>
        </w:rPr>
        <w:t>i</w:t>
      </w:r>
      <w:r w:rsidRPr="00373688">
        <w:rPr>
          <w:rFonts w:ascii="Arial" w:hAnsi="Arial" w:cs="Arial"/>
          <w:b/>
          <w:sz w:val="24"/>
          <w:szCs w:val="24"/>
        </w:rPr>
        <w:t>s</w:t>
      </w:r>
      <w:r w:rsidRPr="00373688">
        <w:rPr>
          <w:rFonts w:ascii="Arial" w:hAnsi="Arial" w:cs="Arial"/>
          <w:bCs/>
          <w:sz w:val="24"/>
          <w:szCs w:val="24"/>
        </w:rPr>
        <w:t xml:space="preserve"> </w:t>
      </w:r>
      <w:r w:rsidRPr="00373688">
        <w:rPr>
          <w:rFonts w:ascii="Arial" w:hAnsi="Arial" w:cs="Arial"/>
          <w:b/>
          <w:sz w:val="24"/>
          <w:szCs w:val="24"/>
        </w:rPr>
        <w:t>not</w:t>
      </w:r>
      <w:r w:rsidR="005B7158" w:rsidRPr="00373688">
        <w:rPr>
          <w:rFonts w:ascii="Arial" w:hAnsi="Arial" w:cs="Arial"/>
          <w:bCs/>
          <w:sz w:val="24"/>
          <w:szCs w:val="24"/>
        </w:rPr>
        <w:t xml:space="preserve"> </w:t>
      </w:r>
      <w:r w:rsidRPr="00373688">
        <w:rPr>
          <w:rFonts w:ascii="Arial" w:hAnsi="Arial" w:cs="Arial"/>
          <w:bCs/>
          <w:sz w:val="24"/>
          <w:szCs w:val="24"/>
        </w:rPr>
        <w:t xml:space="preserve">a Significant Bill. Significant Bills are bills that have been assessed as likely to have significant engagement of human rights and require more detailed reasoning in relation to compatibility with the </w:t>
      </w:r>
      <w:r w:rsidRPr="00373688">
        <w:rPr>
          <w:rFonts w:ascii="Arial" w:hAnsi="Arial" w:cs="Arial"/>
          <w:bCs/>
          <w:i/>
          <w:iCs/>
          <w:sz w:val="24"/>
          <w:szCs w:val="24"/>
        </w:rPr>
        <w:t>Human Rights Act 2004</w:t>
      </w:r>
      <w:r w:rsidRPr="00373688">
        <w:rPr>
          <w:rFonts w:ascii="Arial" w:hAnsi="Arial" w:cs="Arial"/>
          <w:bCs/>
          <w:sz w:val="24"/>
          <w:szCs w:val="24"/>
        </w:rPr>
        <w:t>.</w:t>
      </w:r>
    </w:p>
    <w:p w14:paraId="1716DE5E" w14:textId="77777777" w:rsidR="00891C95" w:rsidRPr="00373688" w:rsidRDefault="00891C95" w:rsidP="00891C95">
      <w:pPr>
        <w:spacing w:after="0"/>
        <w:contextualSpacing/>
        <w:rPr>
          <w:rFonts w:ascii="Arial" w:hAnsi="Arial" w:cs="Arial"/>
          <w:sz w:val="24"/>
          <w:szCs w:val="24"/>
          <w:lang w:eastAsia="en-AU"/>
        </w:rPr>
      </w:pPr>
    </w:p>
    <w:p w14:paraId="53C5C5EE" w14:textId="6E7B4455" w:rsidR="00891C95" w:rsidRPr="00373688" w:rsidRDefault="00891C95" w:rsidP="007F3D56">
      <w:pPr>
        <w:spacing w:after="0"/>
        <w:contextualSpacing/>
        <w:rPr>
          <w:rFonts w:ascii="Arial" w:hAnsi="Arial" w:cs="Arial"/>
          <w:bCs/>
          <w:sz w:val="24"/>
          <w:szCs w:val="24"/>
        </w:rPr>
      </w:pPr>
      <w:r w:rsidRPr="00373688">
        <w:rPr>
          <w:rFonts w:ascii="Arial" w:hAnsi="Arial" w:cs="Arial"/>
          <w:sz w:val="24"/>
          <w:szCs w:val="24"/>
          <w:lang w:eastAsia="en-AU"/>
        </w:rPr>
        <w:t xml:space="preserve">This explanatory statement relates to the </w:t>
      </w:r>
      <w:r w:rsidRPr="00373688">
        <w:rPr>
          <w:rFonts w:ascii="Arial" w:hAnsi="Arial" w:cs="Arial"/>
          <w:i/>
          <w:iCs/>
          <w:sz w:val="24"/>
          <w:szCs w:val="24"/>
          <w:lang w:eastAsia="en-AU"/>
        </w:rPr>
        <w:t>Justice and Community Safety Legislation Amendment Bill 2023 (No 2)</w:t>
      </w:r>
      <w:r w:rsidRPr="00373688">
        <w:rPr>
          <w:rFonts w:ascii="Arial" w:hAnsi="Arial" w:cs="Arial"/>
          <w:sz w:val="24"/>
          <w:szCs w:val="24"/>
          <w:lang w:eastAsia="en-AU"/>
        </w:rPr>
        <w:t xml:space="preserve"> as presented to the Legislative Assembly. It has been prepared to assist the reader of the Bill and to help inform debate on it. It does not form part of the Bill and has not been endorsed by the Assembly.</w:t>
      </w:r>
      <w:r w:rsidRPr="00373688">
        <w:rPr>
          <w:rFonts w:ascii="Arial" w:hAnsi="Arial" w:cs="Arial"/>
          <w:bCs/>
          <w:sz w:val="24"/>
          <w:szCs w:val="24"/>
        </w:rPr>
        <w:t xml:space="preserve"> </w:t>
      </w:r>
      <w:r w:rsidRPr="00373688">
        <w:rPr>
          <w:rFonts w:ascii="Arial" w:hAnsi="Arial" w:cs="Arial"/>
          <w:sz w:val="24"/>
          <w:szCs w:val="24"/>
          <w:lang w:eastAsia="en-AU"/>
        </w:rPr>
        <w:t xml:space="preserve">The statement is to be read in conjunction with the Bill. It is not, and is not meant to be, a comprehensive description of the Bill. </w:t>
      </w:r>
    </w:p>
    <w:p w14:paraId="3F20865D" w14:textId="77777777" w:rsidR="0052127F" w:rsidRPr="00373688" w:rsidRDefault="0052127F" w:rsidP="007F3D56">
      <w:pPr>
        <w:spacing w:after="0"/>
        <w:rPr>
          <w:rFonts w:ascii="Arial" w:hAnsi="Arial" w:cs="Arial"/>
          <w:bCs/>
          <w:sz w:val="24"/>
          <w:szCs w:val="24"/>
          <w:highlight w:val="yellow"/>
        </w:rPr>
      </w:pPr>
    </w:p>
    <w:p w14:paraId="29C29316" w14:textId="56470B09" w:rsidR="007B6A78" w:rsidRPr="00373688" w:rsidRDefault="003323FA" w:rsidP="008C225D">
      <w:pPr>
        <w:pStyle w:val="Heading2"/>
        <w:rPr>
          <w:rFonts w:cs="Arial"/>
        </w:rPr>
      </w:pPr>
      <w:r w:rsidRPr="00373688">
        <w:rPr>
          <w:rFonts w:cs="Arial"/>
        </w:rPr>
        <w:t>OVERVIEW OF THE BILL</w:t>
      </w:r>
    </w:p>
    <w:p w14:paraId="034CA445" w14:textId="129A2462" w:rsidR="00891C95" w:rsidRPr="00373688" w:rsidRDefault="00891C95" w:rsidP="00891C95">
      <w:pPr>
        <w:spacing w:after="120"/>
        <w:ind w:right="-45"/>
        <w:jc w:val="both"/>
        <w:rPr>
          <w:rFonts w:ascii="Arial" w:hAnsi="Arial" w:cs="Arial"/>
          <w:iCs/>
          <w:sz w:val="24"/>
          <w:szCs w:val="24"/>
        </w:rPr>
      </w:pPr>
      <w:r w:rsidRPr="00373688">
        <w:rPr>
          <w:rFonts w:ascii="Arial" w:hAnsi="Arial" w:cs="Arial"/>
          <w:iCs/>
          <w:sz w:val="24"/>
          <w:szCs w:val="24"/>
        </w:rPr>
        <w:t>The Bill is an omnibus bill which amends a range of legislation, primarily in the Attorney-General’s portfolio, including:</w:t>
      </w:r>
    </w:p>
    <w:p w14:paraId="10205C99" w14:textId="4813E4F3"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ACT Civil and Administrative Tribunal Act 2008</w:t>
      </w:r>
    </w:p>
    <w:p w14:paraId="3E432168" w14:textId="68DE352C"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Administration and Probate Act 1929</w:t>
      </w:r>
    </w:p>
    <w:p w14:paraId="2FAAC8C7" w14:textId="256BDCB3"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Associations Incorporation Act 1991</w:t>
      </w:r>
    </w:p>
    <w:p w14:paraId="35FE9785" w14:textId="654196FE"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Casino Control Act 2006</w:t>
      </w:r>
    </w:p>
    <w:p w14:paraId="03C45061" w14:textId="522A8A20" w:rsidR="005B57EA" w:rsidRPr="00373688" w:rsidRDefault="00925E2A">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 xml:space="preserve">Discrimination </w:t>
      </w:r>
      <w:r w:rsidR="004E1F53" w:rsidRPr="00373688">
        <w:rPr>
          <w:rFonts w:ascii="Arial" w:hAnsi="Arial" w:cs="Arial"/>
          <w:i/>
          <w:sz w:val="24"/>
          <w:szCs w:val="24"/>
        </w:rPr>
        <w:t>Act 1991</w:t>
      </w:r>
      <w:r w:rsidRPr="00373688">
        <w:rPr>
          <w:rFonts w:ascii="Arial" w:hAnsi="Arial" w:cs="Arial"/>
          <w:i/>
          <w:sz w:val="24"/>
          <w:szCs w:val="24"/>
        </w:rPr>
        <w:t xml:space="preserve"> </w:t>
      </w:r>
    </w:p>
    <w:p w14:paraId="05190D57" w14:textId="694A21F5"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Domestic Violence Agencies Act 1986</w:t>
      </w:r>
    </w:p>
    <w:p w14:paraId="5C05902A" w14:textId="0EAB68D1" w:rsidR="00891C95" w:rsidRPr="00373688" w:rsidRDefault="00891C95">
      <w:pPr>
        <w:pStyle w:val="ListParagraph"/>
        <w:numPr>
          <w:ilvl w:val="0"/>
          <w:numId w:val="5"/>
        </w:numPr>
        <w:spacing w:after="120"/>
        <w:ind w:right="-45"/>
        <w:jc w:val="both"/>
        <w:rPr>
          <w:rFonts w:ascii="Arial" w:hAnsi="Arial" w:cs="Arial"/>
          <w:i/>
          <w:sz w:val="24"/>
          <w:szCs w:val="24"/>
        </w:rPr>
      </w:pPr>
      <w:bookmarkStart w:id="0" w:name="_Hlk141766775"/>
      <w:r w:rsidRPr="00373688">
        <w:rPr>
          <w:rFonts w:ascii="Arial" w:hAnsi="Arial" w:cs="Arial"/>
          <w:i/>
          <w:sz w:val="24"/>
          <w:szCs w:val="24"/>
        </w:rPr>
        <w:t>Family Provision Act 1969</w:t>
      </w:r>
    </w:p>
    <w:bookmarkEnd w:id="0"/>
    <w:p w14:paraId="60E0D57E" w14:textId="1C5870AE"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Freedom of Information Act 2016</w:t>
      </w:r>
    </w:p>
    <w:p w14:paraId="07E77DA9" w14:textId="16C81082"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Human Rights Commission Act 2005</w:t>
      </w:r>
    </w:p>
    <w:p w14:paraId="142E10C3" w14:textId="29483BEE"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Justices of the Peace Act 1989</w:t>
      </w:r>
    </w:p>
    <w:p w14:paraId="532FCFDC" w14:textId="2AA4061C"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Lan</w:t>
      </w:r>
      <w:r w:rsidR="007D0764" w:rsidRPr="00373688">
        <w:rPr>
          <w:rFonts w:ascii="Arial" w:hAnsi="Arial" w:cs="Arial"/>
          <w:i/>
          <w:sz w:val="24"/>
          <w:szCs w:val="24"/>
        </w:rPr>
        <w:t>d</w:t>
      </w:r>
      <w:r w:rsidRPr="00373688">
        <w:rPr>
          <w:rFonts w:ascii="Arial" w:hAnsi="Arial" w:cs="Arial"/>
          <w:i/>
          <w:sz w:val="24"/>
          <w:szCs w:val="24"/>
        </w:rPr>
        <w:t xml:space="preserve"> Titles Act 1925</w:t>
      </w:r>
    </w:p>
    <w:p w14:paraId="6CBCD9B6" w14:textId="6D2AD65A"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Legal Profession Act 2006</w:t>
      </w:r>
    </w:p>
    <w:p w14:paraId="1F6E2552" w14:textId="6246C4CE"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Residential Tenancies Act 1997</w:t>
      </w:r>
    </w:p>
    <w:p w14:paraId="4FF9082C" w14:textId="33371F81"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Residential Tenancies Regulation 1998</w:t>
      </w:r>
    </w:p>
    <w:p w14:paraId="64C06423" w14:textId="2AEDEA98"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Supreme Court Act 1933</w:t>
      </w:r>
    </w:p>
    <w:p w14:paraId="044DA3A9" w14:textId="26667EB8"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Trustee Act 1925</w:t>
      </w:r>
    </w:p>
    <w:p w14:paraId="4518123D" w14:textId="5018C1A8"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Unit Titles (Management) Act 2011</w:t>
      </w:r>
    </w:p>
    <w:p w14:paraId="04F82C20" w14:textId="2E66AA8C" w:rsidR="005564D4" w:rsidRPr="00373688" w:rsidRDefault="00891C95" w:rsidP="00682ACE">
      <w:pPr>
        <w:pStyle w:val="ListParagraph"/>
        <w:numPr>
          <w:ilvl w:val="0"/>
          <w:numId w:val="5"/>
        </w:numPr>
        <w:spacing w:after="240"/>
        <w:ind w:left="714" w:right="-45" w:hanging="357"/>
        <w:jc w:val="both"/>
        <w:rPr>
          <w:rFonts w:ascii="Arial" w:hAnsi="Arial" w:cs="Arial"/>
          <w:i/>
          <w:sz w:val="24"/>
          <w:szCs w:val="24"/>
        </w:rPr>
      </w:pPr>
      <w:r w:rsidRPr="00373688">
        <w:rPr>
          <w:rFonts w:ascii="Arial" w:hAnsi="Arial" w:cs="Arial"/>
          <w:i/>
          <w:sz w:val="24"/>
          <w:szCs w:val="24"/>
        </w:rPr>
        <w:t>Wills Act 1968</w:t>
      </w:r>
    </w:p>
    <w:p w14:paraId="6452E24E" w14:textId="2065BBC4" w:rsidR="00891C95" w:rsidRPr="00373688" w:rsidRDefault="005564D4" w:rsidP="00891C95">
      <w:pPr>
        <w:spacing w:after="120"/>
        <w:ind w:right="-45"/>
        <w:jc w:val="both"/>
        <w:rPr>
          <w:rFonts w:ascii="Arial" w:hAnsi="Arial" w:cs="Arial"/>
          <w:iCs/>
          <w:sz w:val="24"/>
          <w:szCs w:val="24"/>
        </w:rPr>
      </w:pPr>
      <w:r w:rsidRPr="00373688">
        <w:rPr>
          <w:rFonts w:ascii="Arial" w:hAnsi="Arial" w:cs="Arial"/>
          <w:iCs/>
          <w:sz w:val="24"/>
          <w:szCs w:val="24"/>
        </w:rPr>
        <w:t xml:space="preserve">Schedule 1 of the Bill makes technical amendments to certain Acts listed above and to the </w:t>
      </w:r>
      <w:r w:rsidRPr="00373688">
        <w:rPr>
          <w:rFonts w:ascii="Arial" w:hAnsi="Arial" w:cs="Arial"/>
          <w:i/>
          <w:sz w:val="24"/>
          <w:szCs w:val="24"/>
        </w:rPr>
        <w:t xml:space="preserve">Electoral Act 1992 </w:t>
      </w:r>
      <w:r w:rsidRPr="00373688">
        <w:rPr>
          <w:rFonts w:ascii="Arial" w:hAnsi="Arial" w:cs="Arial"/>
          <w:iCs/>
          <w:sz w:val="24"/>
          <w:szCs w:val="24"/>
        </w:rPr>
        <w:t xml:space="preserve">and the </w:t>
      </w:r>
      <w:r w:rsidRPr="00373688">
        <w:rPr>
          <w:rFonts w:ascii="Arial" w:hAnsi="Arial" w:cs="Arial"/>
          <w:i/>
          <w:sz w:val="24"/>
          <w:szCs w:val="24"/>
        </w:rPr>
        <w:t>Information Privacy Regulation 2014</w:t>
      </w:r>
      <w:r w:rsidRPr="00373688">
        <w:rPr>
          <w:rFonts w:ascii="Arial" w:hAnsi="Arial" w:cs="Arial"/>
          <w:iCs/>
          <w:sz w:val="24"/>
          <w:szCs w:val="24"/>
        </w:rPr>
        <w:t>.</w:t>
      </w:r>
    </w:p>
    <w:p w14:paraId="5D5C6C0D" w14:textId="6D5714C2" w:rsidR="00E65AA5" w:rsidRPr="00373688" w:rsidRDefault="00AC59DF" w:rsidP="00E07BB5">
      <w:pPr>
        <w:spacing w:before="360"/>
        <w:rPr>
          <w:rFonts w:ascii="Arial" w:hAnsi="Arial" w:cs="Arial"/>
          <w:b/>
          <w:sz w:val="24"/>
          <w:szCs w:val="24"/>
        </w:rPr>
      </w:pPr>
      <w:r w:rsidRPr="00373688">
        <w:rPr>
          <w:rFonts w:ascii="Arial" w:hAnsi="Arial" w:cs="Arial"/>
          <w:b/>
          <w:sz w:val="24"/>
          <w:szCs w:val="24"/>
        </w:rPr>
        <w:lastRenderedPageBreak/>
        <w:t>CONSULTATION ON THE PROPOSED APPROACH</w:t>
      </w:r>
    </w:p>
    <w:p w14:paraId="1112F0F3" w14:textId="39E50E36" w:rsidR="00634DA1" w:rsidRPr="00373688" w:rsidRDefault="00634DA1" w:rsidP="00634DA1">
      <w:pPr>
        <w:spacing w:after="120"/>
        <w:ind w:right="-45"/>
        <w:jc w:val="both"/>
        <w:rPr>
          <w:rFonts w:ascii="Arial" w:hAnsi="Arial" w:cs="Arial"/>
          <w:iCs/>
          <w:sz w:val="24"/>
          <w:szCs w:val="24"/>
        </w:rPr>
      </w:pPr>
      <w:r w:rsidRPr="00373688">
        <w:rPr>
          <w:rFonts w:ascii="Arial" w:hAnsi="Arial" w:cs="Arial"/>
          <w:iCs/>
          <w:sz w:val="24"/>
          <w:szCs w:val="24"/>
        </w:rPr>
        <w:t>The amendments in the Bill were developed in targeted consultation with</w:t>
      </w:r>
      <w:r w:rsidR="00682ACE" w:rsidRPr="00373688">
        <w:rPr>
          <w:rFonts w:ascii="Arial" w:hAnsi="Arial" w:cs="Arial"/>
          <w:iCs/>
          <w:sz w:val="24"/>
          <w:szCs w:val="24"/>
        </w:rPr>
        <w:t>in Government and with</w:t>
      </w:r>
      <w:r w:rsidRPr="00373688">
        <w:rPr>
          <w:rFonts w:ascii="Arial" w:hAnsi="Arial" w:cs="Arial"/>
          <w:iCs/>
          <w:sz w:val="24"/>
          <w:szCs w:val="24"/>
        </w:rPr>
        <w:t xml:space="preserve"> relevant </w:t>
      </w:r>
      <w:r w:rsidR="0021303B" w:rsidRPr="00373688">
        <w:rPr>
          <w:rFonts w:ascii="Arial" w:hAnsi="Arial" w:cs="Arial"/>
          <w:iCs/>
          <w:sz w:val="24"/>
          <w:szCs w:val="24"/>
        </w:rPr>
        <w:t xml:space="preserve">community </w:t>
      </w:r>
      <w:r w:rsidRPr="00373688">
        <w:rPr>
          <w:rFonts w:ascii="Arial" w:hAnsi="Arial" w:cs="Arial"/>
          <w:iCs/>
          <w:sz w:val="24"/>
          <w:szCs w:val="24"/>
        </w:rPr>
        <w:t>stakeholders</w:t>
      </w:r>
      <w:r w:rsidR="006E6863" w:rsidRPr="00373688">
        <w:rPr>
          <w:rFonts w:ascii="Arial" w:hAnsi="Arial" w:cs="Arial"/>
          <w:iCs/>
          <w:sz w:val="24"/>
          <w:szCs w:val="24"/>
        </w:rPr>
        <w:t xml:space="preserve"> where appropriate</w:t>
      </w:r>
      <w:r w:rsidRPr="00373688">
        <w:rPr>
          <w:rFonts w:ascii="Arial" w:hAnsi="Arial" w:cs="Arial"/>
          <w:iCs/>
          <w:sz w:val="24"/>
          <w:szCs w:val="24"/>
        </w:rPr>
        <w:t>.</w:t>
      </w:r>
      <w:r w:rsidR="006E6863" w:rsidRPr="00373688">
        <w:rPr>
          <w:rFonts w:ascii="Arial" w:hAnsi="Arial" w:cs="Arial"/>
          <w:iCs/>
          <w:sz w:val="24"/>
          <w:szCs w:val="24"/>
        </w:rPr>
        <w:t xml:space="preserve"> </w:t>
      </w:r>
      <w:r w:rsidR="0021303B" w:rsidRPr="00373688">
        <w:rPr>
          <w:rFonts w:ascii="Arial" w:hAnsi="Arial" w:cs="Arial"/>
          <w:iCs/>
          <w:sz w:val="24"/>
          <w:szCs w:val="24"/>
        </w:rPr>
        <w:t>In some cases,</w:t>
      </w:r>
      <w:r w:rsidR="006E6863" w:rsidRPr="00373688">
        <w:rPr>
          <w:rFonts w:ascii="Arial" w:hAnsi="Arial" w:cs="Arial"/>
          <w:iCs/>
          <w:sz w:val="24"/>
          <w:szCs w:val="24"/>
        </w:rPr>
        <w:t xml:space="preserve"> minor and technical amendments were identified by the Government agency that administers or operates under the relevant Act, or by the Parliamentary Counsel’s Office.</w:t>
      </w:r>
    </w:p>
    <w:p w14:paraId="4C1FA6F5" w14:textId="77777777" w:rsidR="00171419" w:rsidRPr="00373688" w:rsidRDefault="00171419" w:rsidP="00171419">
      <w:pPr>
        <w:rPr>
          <w:rFonts w:ascii="Arial" w:hAnsi="Arial" w:cs="Arial"/>
          <w:b/>
          <w:bCs/>
          <w:sz w:val="24"/>
          <w:szCs w:val="24"/>
        </w:rPr>
      </w:pPr>
      <w:r w:rsidRPr="00373688">
        <w:rPr>
          <w:rFonts w:ascii="Arial" w:hAnsi="Arial" w:cs="Arial"/>
          <w:b/>
          <w:bCs/>
          <w:i/>
          <w:iCs/>
          <w:sz w:val="24"/>
          <w:szCs w:val="24"/>
        </w:rPr>
        <w:t>ACT Civil and Administrative Act 2008</w:t>
      </w:r>
    </w:p>
    <w:p w14:paraId="7554E97B" w14:textId="77777777" w:rsidR="00171419" w:rsidRPr="00373688" w:rsidRDefault="00171419" w:rsidP="00171419">
      <w:pPr>
        <w:rPr>
          <w:rFonts w:ascii="Arial" w:hAnsi="Arial" w:cs="Arial"/>
          <w:sz w:val="24"/>
          <w:szCs w:val="24"/>
        </w:rPr>
      </w:pPr>
      <w:r w:rsidRPr="00373688">
        <w:rPr>
          <w:rFonts w:ascii="Arial" w:hAnsi="Arial" w:cs="Arial"/>
          <w:sz w:val="24"/>
          <w:szCs w:val="24"/>
        </w:rPr>
        <w:t xml:space="preserve">The amendment to the </w:t>
      </w:r>
      <w:r w:rsidRPr="00373688">
        <w:rPr>
          <w:rFonts w:ascii="Arial" w:hAnsi="Arial" w:cs="Arial"/>
          <w:i/>
          <w:iCs/>
          <w:sz w:val="24"/>
          <w:szCs w:val="24"/>
        </w:rPr>
        <w:t>ACT Civil and Administrative Tribunal Act 2008</w:t>
      </w:r>
      <w:r w:rsidRPr="00373688">
        <w:rPr>
          <w:rFonts w:ascii="Arial" w:hAnsi="Arial" w:cs="Arial"/>
          <w:sz w:val="24"/>
          <w:szCs w:val="24"/>
        </w:rPr>
        <w:t xml:space="preserve"> was proposed by the ACT Civil and Administrative Tribunal to assist in the digitisation of the Tribunal, reduce administrative burden and improve public accessibility to approved forms. </w:t>
      </w:r>
    </w:p>
    <w:p w14:paraId="6A474185" w14:textId="522935D2" w:rsidR="006E6863" w:rsidRPr="00373688" w:rsidRDefault="006E6863" w:rsidP="00634DA1">
      <w:pPr>
        <w:spacing w:after="120"/>
        <w:ind w:right="-45"/>
        <w:jc w:val="both"/>
        <w:rPr>
          <w:rFonts w:ascii="Arial" w:hAnsi="Arial" w:cs="Arial"/>
          <w:b/>
          <w:bCs/>
          <w:iCs/>
          <w:sz w:val="24"/>
          <w:szCs w:val="24"/>
        </w:rPr>
      </w:pPr>
      <w:r w:rsidRPr="00373688">
        <w:rPr>
          <w:rFonts w:ascii="Arial" w:hAnsi="Arial" w:cs="Arial"/>
          <w:b/>
          <w:bCs/>
          <w:i/>
          <w:sz w:val="24"/>
          <w:szCs w:val="24"/>
        </w:rPr>
        <w:t>Associations Incorporation Act 1991</w:t>
      </w:r>
    </w:p>
    <w:p w14:paraId="5E0CC72A" w14:textId="2651CAE8" w:rsidR="006A72A7" w:rsidRPr="00373688" w:rsidRDefault="002229E6" w:rsidP="00634DA1">
      <w:pPr>
        <w:spacing w:after="120"/>
        <w:ind w:right="-45"/>
        <w:jc w:val="both"/>
        <w:rPr>
          <w:rFonts w:ascii="Arial" w:hAnsi="Arial" w:cs="Arial"/>
          <w:iCs/>
          <w:sz w:val="24"/>
          <w:szCs w:val="24"/>
        </w:rPr>
      </w:pPr>
      <w:r w:rsidRPr="00373688">
        <w:rPr>
          <w:rFonts w:ascii="Arial" w:hAnsi="Arial" w:cs="Arial"/>
          <w:iCs/>
          <w:sz w:val="24"/>
          <w:szCs w:val="24"/>
        </w:rPr>
        <w:t>The</w:t>
      </w:r>
      <w:r w:rsidR="006A72A7" w:rsidRPr="00373688">
        <w:rPr>
          <w:rFonts w:ascii="Arial" w:hAnsi="Arial" w:cs="Arial"/>
          <w:iCs/>
          <w:sz w:val="24"/>
          <w:szCs w:val="24"/>
        </w:rPr>
        <w:t xml:space="preserve"> ACT Government’s</w:t>
      </w:r>
      <w:r w:rsidR="0021303B" w:rsidRPr="00373688">
        <w:rPr>
          <w:rFonts w:ascii="Arial" w:hAnsi="Arial" w:cs="Arial"/>
          <w:iCs/>
          <w:sz w:val="24"/>
          <w:szCs w:val="24"/>
        </w:rPr>
        <w:t xml:space="preserve"> Better Regulation agenda</w:t>
      </w:r>
      <w:r w:rsidR="006A72A7" w:rsidRPr="00373688">
        <w:rPr>
          <w:rFonts w:ascii="Arial" w:hAnsi="Arial" w:cs="Arial"/>
          <w:iCs/>
          <w:sz w:val="24"/>
          <w:szCs w:val="24"/>
        </w:rPr>
        <w:t xml:space="preserve"> </w:t>
      </w:r>
      <w:r w:rsidRPr="00373688">
        <w:rPr>
          <w:rFonts w:ascii="Arial" w:hAnsi="Arial" w:cs="Arial"/>
          <w:iCs/>
          <w:sz w:val="24"/>
          <w:szCs w:val="24"/>
        </w:rPr>
        <w:t>includes</w:t>
      </w:r>
      <w:r w:rsidR="006A72A7" w:rsidRPr="00373688">
        <w:rPr>
          <w:rFonts w:ascii="Arial" w:hAnsi="Arial" w:cs="Arial"/>
          <w:iCs/>
          <w:sz w:val="24"/>
          <w:szCs w:val="24"/>
        </w:rPr>
        <w:t xml:space="preserve"> reviewing the Model Rules for incorporated associations under the </w:t>
      </w:r>
      <w:r w:rsidR="006A72A7" w:rsidRPr="00373688">
        <w:rPr>
          <w:rFonts w:ascii="Arial" w:hAnsi="Arial" w:cs="Arial"/>
          <w:i/>
          <w:iCs/>
          <w:sz w:val="24"/>
          <w:szCs w:val="24"/>
        </w:rPr>
        <w:t>Associations Incorporation Act 1991</w:t>
      </w:r>
      <w:r w:rsidR="006A72A7" w:rsidRPr="00373688">
        <w:rPr>
          <w:rFonts w:ascii="Arial" w:hAnsi="Arial" w:cs="Arial"/>
          <w:sz w:val="24"/>
          <w:szCs w:val="24"/>
        </w:rPr>
        <w:t>.</w:t>
      </w:r>
      <w:r w:rsidR="0021303B" w:rsidRPr="00373688">
        <w:rPr>
          <w:rStyle w:val="FootnoteReference"/>
          <w:rFonts w:ascii="Arial" w:hAnsi="Arial" w:cs="Arial"/>
          <w:iCs/>
          <w:sz w:val="24"/>
          <w:szCs w:val="24"/>
        </w:rPr>
        <w:footnoteReference w:id="2"/>
      </w:r>
      <w:r w:rsidR="0021303B" w:rsidRPr="00373688">
        <w:rPr>
          <w:rFonts w:ascii="Arial" w:hAnsi="Arial" w:cs="Arial"/>
          <w:iCs/>
          <w:sz w:val="24"/>
          <w:szCs w:val="24"/>
        </w:rPr>
        <w:t xml:space="preserve"> </w:t>
      </w:r>
      <w:r w:rsidR="006A72A7" w:rsidRPr="00373688">
        <w:rPr>
          <w:rFonts w:ascii="Arial" w:hAnsi="Arial" w:cs="Arial"/>
          <w:iCs/>
          <w:sz w:val="24"/>
          <w:szCs w:val="24"/>
        </w:rPr>
        <w:t>From January to April</w:t>
      </w:r>
      <w:r w:rsidR="006E6863" w:rsidRPr="00373688">
        <w:rPr>
          <w:rFonts w:ascii="Arial" w:hAnsi="Arial" w:cs="Arial"/>
          <w:iCs/>
          <w:sz w:val="24"/>
          <w:szCs w:val="24"/>
        </w:rPr>
        <w:t xml:space="preserve"> 2023, the </w:t>
      </w:r>
      <w:r w:rsidR="006A72A7" w:rsidRPr="00373688">
        <w:rPr>
          <w:rFonts w:ascii="Arial" w:hAnsi="Arial" w:cs="Arial"/>
          <w:iCs/>
          <w:sz w:val="24"/>
          <w:szCs w:val="24"/>
        </w:rPr>
        <w:t>Government</w:t>
      </w:r>
      <w:r w:rsidR="006E6863" w:rsidRPr="00373688">
        <w:rPr>
          <w:rFonts w:ascii="Arial" w:hAnsi="Arial" w:cs="Arial"/>
          <w:iCs/>
          <w:sz w:val="24"/>
          <w:szCs w:val="24"/>
        </w:rPr>
        <w:t xml:space="preserve"> ran a public consultation seeking submissions on proposed changes to the Model Rules. As part of that consultation, </w:t>
      </w:r>
      <w:r w:rsidR="006A72A7" w:rsidRPr="00373688">
        <w:rPr>
          <w:rFonts w:ascii="Arial" w:hAnsi="Arial" w:cs="Arial"/>
          <w:iCs/>
          <w:sz w:val="24"/>
          <w:szCs w:val="24"/>
        </w:rPr>
        <w:t xml:space="preserve">stakeholder feedback was invited on a proposed deregulatory change to require associations to provide their annual financial returns </w:t>
      </w:r>
      <w:r w:rsidRPr="00373688">
        <w:rPr>
          <w:rFonts w:ascii="Arial" w:hAnsi="Arial" w:cs="Arial"/>
          <w:iCs/>
          <w:sz w:val="24"/>
          <w:szCs w:val="24"/>
        </w:rPr>
        <w:t xml:space="preserve">to the Registrar-General </w:t>
      </w:r>
      <w:r w:rsidR="006A72A7" w:rsidRPr="00373688">
        <w:rPr>
          <w:rFonts w:ascii="Arial" w:hAnsi="Arial" w:cs="Arial"/>
          <w:iCs/>
          <w:sz w:val="24"/>
          <w:szCs w:val="24"/>
        </w:rPr>
        <w:t>on request, instead of</w:t>
      </w:r>
      <w:r w:rsidRPr="00373688">
        <w:rPr>
          <w:rFonts w:ascii="Arial" w:hAnsi="Arial" w:cs="Arial"/>
          <w:iCs/>
          <w:sz w:val="24"/>
          <w:szCs w:val="24"/>
        </w:rPr>
        <w:t xml:space="preserve"> requiring every association to lodge its returns after</w:t>
      </w:r>
      <w:r w:rsidR="006A72A7" w:rsidRPr="00373688">
        <w:rPr>
          <w:rFonts w:ascii="Arial" w:hAnsi="Arial" w:cs="Arial"/>
          <w:iCs/>
          <w:sz w:val="24"/>
          <w:szCs w:val="24"/>
        </w:rPr>
        <w:t xml:space="preserve"> the end of </w:t>
      </w:r>
      <w:r w:rsidRPr="00373688">
        <w:rPr>
          <w:rFonts w:ascii="Arial" w:hAnsi="Arial" w:cs="Arial"/>
          <w:iCs/>
          <w:sz w:val="24"/>
          <w:szCs w:val="24"/>
        </w:rPr>
        <w:t>each</w:t>
      </w:r>
      <w:r w:rsidR="006A72A7" w:rsidRPr="00373688">
        <w:rPr>
          <w:rFonts w:ascii="Arial" w:hAnsi="Arial" w:cs="Arial"/>
          <w:iCs/>
          <w:sz w:val="24"/>
          <w:szCs w:val="24"/>
        </w:rPr>
        <w:t xml:space="preserve"> financial year. A</w:t>
      </w:r>
      <w:r w:rsidRPr="00373688">
        <w:rPr>
          <w:rFonts w:ascii="Arial" w:hAnsi="Arial" w:cs="Arial"/>
          <w:iCs/>
          <w:sz w:val="24"/>
          <w:szCs w:val="24"/>
        </w:rPr>
        <w:t> </w:t>
      </w:r>
      <w:r w:rsidR="006A72A7" w:rsidRPr="00373688">
        <w:rPr>
          <w:rFonts w:ascii="Arial" w:hAnsi="Arial" w:cs="Arial"/>
          <w:iCs/>
          <w:sz w:val="24"/>
          <w:szCs w:val="24"/>
        </w:rPr>
        <w:t xml:space="preserve">sound majority of submissions favoured the change. </w:t>
      </w:r>
    </w:p>
    <w:p w14:paraId="185CFCEE" w14:textId="7FF20F5A" w:rsidR="006E6863" w:rsidRPr="00373688" w:rsidRDefault="006A72A7" w:rsidP="00634DA1">
      <w:pPr>
        <w:spacing w:after="120"/>
        <w:ind w:right="-45"/>
        <w:jc w:val="both"/>
        <w:rPr>
          <w:rFonts w:ascii="Arial" w:hAnsi="Arial" w:cs="Arial"/>
          <w:b/>
          <w:bCs/>
          <w:sz w:val="24"/>
          <w:szCs w:val="24"/>
        </w:rPr>
      </w:pPr>
      <w:r w:rsidRPr="00373688">
        <w:rPr>
          <w:rFonts w:ascii="Arial" w:hAnsi="Arial" w:cs="Arial"/>
          <w:iCs/>
          <w:sz w:val="24"/>
          <w:szCs w:val="24"/>
        </w:rPr>
        <w:t>The amendment to the</w:t>
      </w:r>
      <w:r w:rsidRPr="00373688">
        <w:rPr>
          <w:rFonts w:ascii="Arial" w:hAnsi="Arial" w:cs="Arial"/>
          <w:i/>
          <w:iCs/>
          <w:sz w:val="24"/>
          <w:szCs w:val="24"/>
        </w:rPr>
        <w:t xml:space="preserve"> Associations Incorporation Act 1991 </w:t>
      </w:r>
      <w:r w:rsidRPr="00373688">
        <w:rPr>
          <w:rFonts w:ascii="Arial" w:hAnsi="Arial" w:cs="Arial"/>
          <w:sz w:val="24"/>
          <w:szCs w:val="24"/>
        </w:rPr>
        <w:t xml:space="preserve">gives effect to this proposal, as a red-tape reduction measure for associations and to reduce administrative burden within Government, in a low-risk regulatory context. </w:t>
      </w:r>
    </w:p>
    <w:p w14:paraId="5A5B8A1A" w14:textId="5698590B" w:rsidR="006E6863" w:rsidRPr="00373688" w:rsidRDefault="006E6863" w:rsidP="00634DA1">
      <w:pPr>
        <w:spacing w:after="120"/>
        <w:ind w:right="-45"/>
        <w:jc w:val="both"/>
        <w:rPr>
          <w:rFonts w:ascii="Arial" w:hAnsi="Arial" w:cs="Arial"/>
          <w:b/>
          <w:bCs/>
          <w:iCs/>
          <w:sz w:val="24"/>
          <w:szCs w:val="24"/>
        </w:rPr>
      </w:pPr>
      <w:r w:rsidRPr="00373688">
        <w:rPr>
          <w:rFonts w:ascii="Arial" w:hAnsi="Arial" w:cs="Arial"/>
          <w:b/>
          <w:bCs/>
          <w:i/>
          <w:iCs/>
          <w:sz w:val="24"/>
          <w:szCs w:val="24"/>
        </w:rPr>
        <w:t>Casino Control Act 2006</w:t>
      </w:r>
    </w:p>
    <w:p w14:paraId="731630A8" w14:textId="5B878D07" w:rsidR="006E6863" w:rsidRPr="00373688" w:rsidRDefault="006E6863" w:rsidP="00634DA1">
      <w:pPr>
        <w:spacing w:after="120"/>
        <w:ind w:right="-45"/>
        <w:jc w:val="both"/>
        <w:rPr>
          <w:rFonts w:ascii="Arial" w:hAnsi="Arial" w:cs="Arial"/>
          <w:iCs/>
          <w:sz w:val="24"/>
          <w:szCs w:val="24"/>
        </w:rPr>
      </w:pPr>
      <w:r w:rsidRPr="00373688">
        <w:rPr>
          <w:rFonts w:ascii="Arial" w:hAnsi="Arial" w:cs="Arial"/>
          <w:iCs/>
          <w:sz w:val="24"/>
          <w:szCs w:val="24"/>
        </w:rPr>
        <w:t xml:space="preserve">The amendment to the </w:t>
      </w:r>
      <w:r w:rsidRPr="00373688">
        <w:rPr>
          <w:rFonts w:ascii="Arial" w:hAnsi="Arial" w:cs="Arial"/>
          <w:i/>
          <w:iCs/>
          <w:sz w:val="24"/>
          <w:szCs w:val="24"/>
        </w:rPr>
        <w:t>Casino Control Act 2006</w:t>
      </w:r>
      <w:r w:rsidRPr="00373688">
        <w:rPr>
          <w:rFonts w:ascii="Arial" w:hAnsi="Arial" w:cs="Arial"/>
          <w:iCs/>
          <w:sz w:val="24"/>
          <w:szCs w:val="24"/>
        </w:rPr>
        <w:t xml:space="preserve"> was proposed by the Canberra Casino, with a view to aligning their financial reporting periods with</w:t>
      </w:r>
      <w:r w:rsidR="005B57EA" w:rsidRPr="00373688">
        <w:rPr>
          <w:rFonts w:ascii="Arial" w:hAnsi="Arial" w:cs="Arial"/>
          <w:iCs/>
          <w:sz w:val="24"/>
          <w:szCs w:val="24"/>
        </w:rPr>
        <w:t xml:space="preserve"> </w:t>
      </w:r>
      <w:r w:rsidRPr="00373688">
        <w:rPr>
          <w:rFonts w:ascii="Arial" w:hAnsi="Arial" w:cs="Arial"/>
          <w:iCs/>
          <w:sz w:val="24"/>
          <w:szCs w:val="24"/>
        </w:rPr>
        <w:t>Iris Group.</w:t>
      </w:r>
    </w:p>
    <w:p w14:paraId="206B853E" w14:textId="296F94BF" w:rsidR="000B0D12" w:rsidRPr="00373688" w:rsidRDefault="000B0D12" w:rsidP="00634DA1">
      <w:pPr>
        <w:spacing w:after="120"/>
        <w:ind w:right="-45"/>
        <w:jc w:val="both"/>
        <w:rPr>
          <w:rFonts w:ascii="Arial" w:hAnsi="Arial" w:cs="Arial"/>
          <w:b/>
          <w:bCs/>
          <w:i/>
          <w:sz w:val="24"/>
          <w:szCs w:val="24"/>
        </w:rPr>
      </w:pPr>
      <w:r w:rsidRPr="00373688">
        <w:rPr>
          <w:rFonts w:ascii="Arial" w:hAnsi="Arial" w:cs="Arial"/>
          <w:b/>
          <w:bCs/>
          <w:i/>
          <w:sz w:val="24"/>
          <w:szCs w:val="24"/>
        </w:rPr>
        <w:t xml:space="preserve">Discrimination </w:t>
      </w:r>
      <w:r w:rsidR="004E1F53" w:rsidRPr="00373688">
        <w:rPr>
          <w:rFonts w:ascii="Arial" w:hAnsi="Arial" w:cs="Arial"/>
          <w:b/>
          <w:bCs/>
          <w:i/>
          <w:sz w:val="24"/>
          <w:szCs w:val="24"/>
        </w:rPr>
        <w:t>Act 1991</w:t>
      </w:r>
    </w:p>
    <w:p w14:paraId="7E22DE96" w14:textId="11519988" w:rsidR="000B0D12" w:rsidRPr="00373688" w:rsidRDefault="000B0D12" w:rsidP="00634DA1">
      <w:pPr>
        <w:spacing w:after="120"/>
        <w:ind w:right="-45"/>
        <w:jc w:val="both"/>
        <w:rPr>
          <w:rFonts w:ascii="Arial" w:hAnsi="Arial" w:cs="Arial"/>
          <w:iCs/>
          <w:sz w:val="24"/>
          <w:szCs w:val="24"/>
        </w:rPr>
      </w:pPr>
      <w:r w:rsidRPr="00373688">
        <w:rPr>
          <w:rFonts w:ascii="Arial" w:hAnsi="Arial" w:cs="Arial"/>
          <w:iCs/>
          <w:sz w:val="24"/>
          <w:szCs w:val="24"/>
        </w:rPr>
        <w:t xml:space="preserve">The amendment to the </w:t>
      </w:r>
      <w:r w:rsidRPr="00373688">
        <w:rPr>
          <w:rFonts w:ascii="Arial" w:hAnsi="Arial" w:cs="Arial"/>
          <w:i/>
          <w:sz w:val="24"/>
          <w:szCs w:val="24"/>
        </w:rPr>
        <w:t xml:space="preserve">Discrimination </w:t>
      </w:r>
      <w:r w:rsidR="00562B69" w:rsidRPr="00373688">
        <w:rPr>
          <w:rFonts w:ascii="Arial" w:hAnsi="Arial" w:cs="Arial"/>
          <w:i/>
          <w:sz w:val="24"/>
          <w:szCs w:val="24"/>
        </w:rPr>
        <w:t xml:space="preserve">Amendment </w:t>
      </w:r>
      <w:r w:rsidR="004E1F53" w:rsidRPr="00373688">
        <w:rPr>
          <w:rFonts w:ascii="Arial" w:hAnsi="Arial" w:cs="Arial"/>
          <w:i/>
          <w:sz w:val="24"/>
          <w:szCs w:val="24"/>
        </w:rPr>
        <w:t xml:space="preserve">Act </w:t>
      </w:r>
      <w:r w:rsidR="00CC0959">
        <w:rPr>
          <w:rFonts w:ascii="Arial" w:hAnsi="Arial" w:cs="Arial"/>
          <w:i/>
          <w:sz w:val="24"/>
          <w:szCs w:val="24"/>
        </w:rPr>
        <w:t>1991</w:t>
      </w:r>
      <w:r w:rsidR="00562B69" w:rsidRPr="00373688">
        <w:rPr>
          <w:rFonts w:ascii="Arial" w:hAnsi="Arial" w:cs="Arial"/>
          <w:iCs/>
          <w:sz w:val="24"/>
          <w:szCs w:val="24"/>
        </w:rPr>
        <w:t xml:space="preserve"> </w:t>
      </w:r>
      <w:r w:rsidR="00FC7B1E" w:rsidRPr="00373688">
        <w:rPr>
          <w:rFonts w:ascii="Arial" w:hAnsi="Arial" w:cs="Arial"/>
          <w:iCs/>
          <w:sz w:val="24"/>
          <w:szCs w:val="24"/>
        </w:rPr>
        <w:t>clarifies</w:t>
      </w:r>
      <w:r w:rsidRPr="00373688">
        <w:rPr>
          <w:rFonts w:ascii="Arial" w:hAnsi="Arial" w:cs="Arial"/>
          <w:iCs/>
          <w:sz w:val="24"/>
          <w:szCs w:val="24"/>
        </w:rPr>
        <w:t xml:space="preserve"> the </w:t>
      </w:r>
      <w:r w:rsidR="00FC7B1E" w:rsidRPr="00373688">
        <w:rPr>
          <w:rFonts w:ascii="Arial" w:hAnsi="Arial" w:cs="Arial"/>
          <w:iCs/>
          <w:sz w:val="24"/>
          <w:szCs w:val="24"/>
        </w:rPr>
        <w:t xml:space="preserve">intended </w:t>
      </w:r>
      <w:r w:rsidRPr="00373688">
        <w:rPr>
          <w:rFonts w:ascii="Arial" w:hAnsi="Arial" w:cs="Arial"/>
          <w:iCs/>
          <w:sz w:val="24"/>
          <w:szCs w:val="24"/>
        </w:rPr>
        <w:t>operation of religious bodies exceptions</w:t>
      </w:r>
      <w:r w:rsidR="00373688" w:rsidRPr="00373688">
        <w:rPr>
          <w:rFonts w:ascii="Arial" w:hAnsi="Arial" w:cs="Arial"/>
          <w:iCs/>
          <w:sz w:val="24"/>
          <w:szCs w:val="24"/>
        </w:rPr>
        <w:t>.</w:t>
      </w:r>
      <w:r w:rsidRPr="00373688">
        <w:rPr>
          <w:rFonts w:ascii="Arial" w:hAnsi="Arial" w:cs="Arial"/>
          <w:iCs/>
          <w:sz w:val="24"/>
          <w:szCs w:val="24"/>
        </w:rPr>
        <w:t xml:space="preserve"> </w:t>
      </w:r>
    </w:p>
    <w:p w14:paraId="7E0451A0" w14:textId="151625DA" w:rsidR="00DE4BBF" w:rsidRPr="00373688" w:rsidRDefault="00DE4BBF" w:rsidP="006A72A7">
      <w:pPr>
        <w:keepNext/>
        <w:spacing w:after="120"/>
        <w:ind w:right="-45"/>
        <w:jc w:val="both"/>
        <w:rPr>
          <w:rFonts w:ascii="Arial" w:hAnsi="Arial" w:cs="Arial"/>
          <w:b/>
          <w:bCs/>
          <w:i/>
          <w:sz w:val="24"/>
          <w:szCs w:val="24"/>
        </w:rPr>
      </w:pPr>
      <w:r w:rsidRPr="00373688">
        <w:rPr>
          <w:rFonts w:ascii="Arial" w:hAnsi="Arial" w:cs="Arial"/>
          <w:b/>
          <w:bCs/>
          <w:i/>
          <w:sz w:val="24"/>
          <w:szCs w:val="24"/>
        </w:rPr>
        <w:t>Freedom of Information Act 2016</w:t>
      </w:r>
    </w:p>
    <w:p w14:paraId="0DB6D645" w14:textId="24254155" w:rsidR="00DE4BBF" w:rsidRPr="00373688" w:rsidRDefault="00DE4BBF" w:rsidP="006A72A7">
      <w:pPr>
        <w:keepNext/>
        <w:spacing w:after="120"/>
        <w:ind w:right="-45"/>
        <w:jc w:val="both"/>
        <w:rPr>
          <w:rFonts w:ascii="Arial" w:hAnsi="Arial" w:cs="Arial"/>
          <w:iCs/>
          <w:sz w:val="24"/>
          <w:szCs w:val="24"/>
        </w:rPr>
      </w:pPr>
      <w:r w:rsidRPr="00373688">
        <w:rPr>
          <w:rFonts w:ascii="Arial" w:hAnsi="Arial" w:cs="Arial"/>
          <w:iCs/>
          <w:sz w:val="24"/>
          <w:szCs w:val="24"/>
        </w:rPr>
        <w:t xml:space="preserve">The amendment to the </w:t>
      </w:r>
      <w:r w:rsidRPr="00373688">
        <w:rPr>
          <w:rFonts w:ascii="Arial" w:hAnsi="Arial" w:cs="Arial"/>
          <w:i/>
          <w:sz w:val="24"/>
          <w:szCs w:val="24"/>
        </w:rPr>
        <w:t>Freedom of Information Act 2016</w:t>
      </w:r>
      <w:r w:rsidRPr="00373688">
        <w:rPr>
          <w:rFonts w:ascii="Arial" w:hAnsi="Arial" w:cs="Arial"/>
          <w:iCs/>
          <w:sz w:val="24"/>
          <w:szCs w:val="24"/>
        </w:rPr>
        <w:t xml:space="preserve"> was proposed by the ACT</w:t>
      </w:r>
      <w:r w:rsidR="002229E6" w:rsidRPr="00373688">
        <w:rPr>
          <w:rFonts w:ascii="Arial" w:hAnsi="Arial" w:cs="Arial"/>
          <w:iCs/>
          <w:sz w:val="24"/>
          <w:szCs w:val="24"/>
        </w:rPr>
        <w:t> </w:t>
      </w:r>
      <w:r w:rsidRPr="00373688">
        <w:rPr>
          <w:rFonts w:ascii="Arial" w:hAnsi="Arial" w:cs="Arial"/>
          <w:iCs/>
          <w:sz w:val="24"/>
          <w:szCs w:val="24"/>
        </w:rPr>
        <w:t xml:space="preserve">Ombudsman to clarify </w:t>
      </w:r>
      <w:r w:rsidR="002229E6" w:rsidRPr="00373688">
        <w:rPr>
          <w:rFonts w:ascii="Arial" w:hAnsi="Arial" w:cs="Arial"/>
          <w:iCs/>
          <w:sz w:val="24"/>
          <w:szCs w:val="24"/>
        </w:rPr>
        <w:t>that</w:t>
      </w:r>
      <w:r w:rsidRPr="00373688">
        <w:rPr>
          <w:rFonts w:ascii="Arial" w:hAnsi="Arial" w:cs="Arial"/>
          <w:iCs/>
          <w:sz w:val="24"/>
          <w:szCs w:val="24"/>
        </w:rPr>
        <w:t xml:space="preserve"> documents </w:t>
      </w:r>
      <w:r w:rsidR="002229E6" w:rsidRPr="00373688">
        <w:rPr>
          <w:rFonts w:ascii="Arial" w:hAnsi="Arial" w:cs="Arial"/>
          <w:iCs/>
          <w:sz w:val="24"/>
          <w:szCs w:val="24"/>
        </w:rPr>
        <w:t>in respect of which</w:t>
      </w:r>
      <w:r w:rsidRPr="00373688">
        <w:rPr>
          <w:rFonts w:ascii="Arial" w:hAnsi="Arial" w:cs="Arial"/>
          <w:iCs/>
          <w:sz w:val="24"/>
          <w:szCs w:val="24"/>
        </w:rPr>
        <w:t xml:space="preserve"> legal professional privilege </w:t>
      </w:r>
      <w:r w:rsidR="002229E6" w:rsidRPr="00373688">
        <w:rPr>
          <w:rFonts w:ascii="Arial" w:hAnsi="Arial" w:cs="Arial"/>
          <w:iCs/>
          <w:sz w:val="24"/>
          <w:szCs w:val="24"/>
        </w:rPr>
        <w:t xml:space="preserve">is claimed must be provided </w:t>
      </w:r>
      <w:r w:rsidRPr="00373688">
        <w:rPr>
          <w:rFonts w:ascii="Arial" w:hAnsi="Arial" w:cs="Arial"/>
          <w:iCs/>
          <w:sz w:val="24"/>
          <w:szCs w:val="24"/>
        </w:rPr>
        <w:t xml:space="preserve">to the Ombudsman for consideration as part of </w:t>
      </w:r>
      <w:r w:rsidRPr="00373688">
        <w:rPr>
          <w:rFonts w:ascii="Arial" w:hAnsi="Arial" w:cs="Arial"/>
          <w:iCs/>
          <w:sz w:val="24"/>
          <w:szCs w:val="24"/>
        </w:rPr>
        <w:lastRenderedPageBreak/>
        <w:t>a review. The ACT Government Solicitor’s Office was consulted on the proposed amendments.</w:t>
      </w:r>
      <w:r w:rsidRPr="00373688">
        <w:rPr>
          <w:rFonts w:ascii="Arial" w:hAnsi="Arial" w:cs="Arial"/>
          <w:color w:val="4D5156"/>
          <w:sz w:val="21"/>
          <w:szCs w:val="21"/>
          <w:shd w:val="clear" w:color="auto" w:fill="FFFFFF"/>
        </w:rPr>
        <w:t xml:space="preserve"> </w:t>
      </w:r>
    </w:p>
    <w:p w14:paraId="78F240EB" w14:textId="727E9AC4" w:rsidR="006D314A" w:rsidRPr="00373688" w:rsidRDefault="006D314A" w:rsidP="00634DA1">
      <w:pPr>
        <w:spacing w:after="120"/>
        <w:ind w:right="-45"/>
        <w:jc w:val="both"/>
        <w:rPr>
          <w:rFonts w:ascii="Arial" w:hAnsi="Arial" w:cs="Arial"/>
          <w:b/>
          <w:bCs/>
          <w:iCs/>
          <w:sz w:val="24"/>
          <w:szCs w:val="24"/>
        </w:rPr>
      </w:pPr>
      <w:r w:rsidRPr="00373688">
        <w:rPr>
          <w:rFonts w:ascii="Arial" w:hAnsi="Arial" w:cs="Arial"/>
          <w:b/>
          <w:bCs/>
          <w:i/>
          <w:sz w:val="24"/>
          <w:szCs w:val="24"/>
        </w:rPr>
        <w:t>Human Rights Commission Act 2005</w:t>
      </w:r>
    </w:p>
    <w:p w14:paraId="68B2FCE8" w14:textId="4E04F673" w:rsidR="006D314A" w:rsidRPr="00373688" w:rsidRDefault="00C365E6" w:rsidP="00634DA1">
      <w:pPr>
        <w:spacing w:after="120"/>
        <w:ind w:right="-45"/>
        <w:jc w:val="both"/>
        <w:rPr>
          <w:rFonts w:ascii="Arial" w:hAnsi="Arial" w:cs="Arial"/>
          <w:iCs/>
          <w:sz w:val="24"/>
          <w:szCs w:val="24"/>
        </w:rPr>
      </w:pPr>
      <w:r w:rsidRPr="00373688">
        <w:rPr>
          <w:rFonts w:ascii="Arial" w:hAnsi="Arial" w:cs="Arial"/>
          <w:iCs/>
          <w:sz w:val="24"/>
          <w:szCs w:val="24"/>
        </w:rPr>
        <w:t xml:space="preserve">The amendments to the </w:t>
      </w:r>
      <w:r w:rsidRPr="00373688">
        <w:rPr>
          <w:rFonts w:ascii="Arial" w:hAnsi="Arial" w:cs="Arial"/>
          <w:i/>
          <w:sz w:val="24"/>
          <w:szCs w:val="24"/>
        </w:rPr>
        <w:t>Human Rights Commission Act 2005</w:t>
      </w:r>
      <w:r w:rsidRPr="00373688">
        <w:rPr>
          <w:rFonts w:ascii="Arial" w:hAnsi="Arial" w:cs="Arial"/>
          <w:iCs/>
          <w:sz w:val="24"/>
          <w:szCs w:val="24"/>
        </w:rPr>
        <w:t xml:space="preserve"> were proposed by the ACT Human Rights Commission to </w:t>
      </w:r>
      <w:r w:rsidR="00FC7B1E" w:rsidRPr="00373688">
        <w:rPr>
          <w:rFonts w:ascii="Arial" w:hAnsi="Arial" w:cs="Arial"/>
          <w:iCs/>
          <w:sz w:val="24"/>
          <w:szCs w:val="24"/>
        </w:rPr>
        <w:t>enable the Commission to have more flexibility in managing the complaints process for vulnerable people, recognising that different approaches may be needed where</w:t>
      </w:r>
      <w:r w:rsidRPr="00373688">
        <w:rPr>
          <w:rFonts w:ascii="Arial" w:hAnsi="Arial" w:cs="Arial"/>
          <w:iCs/>
          <w:sz w:val="24"/>
          <w:szCs w:val="24"/>
        </w:rPr>
        <w:t xml:space="preserve"> a vulnerable person may be at risk, where it may be difficult to engage with them directly</w:t>
      </w:r>
      <w:r w:rsidR="00FC7B1E" w:rsidRPr="00373688">
        <w:rPr>
          <w:rFonts w:ascii="Arial" w:hAnsi="Arial" w:cs="Arial"/>
          <w:iCs/>
          <w:sz w:val="24"/>
          <w:szCs w:val="24"/>
        </w:rPr>
        <w:t xml:space="preserve"> </w:t>
      </w:r>
      <w:r w:rsidRPr="00373688">
        <w:rPr>
          <w:rFonts w:ascii="Arial" w:hAnsi="Arial" w:cs="Arial"/>
          <w:iCs/>
          <w:sz w:val="24"/>
          <w:szCs w:val="24"/>
        </w:rPr>
        <w:t xml:space="preserve">or where intervention by another statutory authority may be warranted. </w:t>
      </w:r>
    </w:p>
    <w:p w14:paraId="7BECDAB9" w14:textId="77777777" w:rsidR="00171419" w:rsidRPr="00373688" w:rsidRDefault="00171419" w:rsidP="00171419">
      <w:pPr>
        <w:rPr>
          <w:rFonts w:ascii="Arial" w:hAnsi="Arial" w:cs="Arial"/>
          <w:b/>
          <w:bCs/>
          <w:i/>
          <w:iCs/>
          <w:sz w:val="24"/>
          <w:szCs w:val="24"/>
        </w:rPr>
      </w:pPr>
      <w:r w:rsidRPr="00373688">
        <w:rPr>
          <w:rFonts w:ascii="Arial" w:hAnsi="Arial" w:cs="Arial"/>
          <w:b/>
          <w:bCs/>
          <w:i/>
          <w:iCs/>
          <w:sz w:val="24"/>
          <w:szCs w:val="24"/>
        </w:rPr>
        <w:t>Legal Profession Act 2006</w:t>
      </w:r>
    </w:p>
    <w:p w14:paraId="41DEDBC7" w14:textId="36446145" w:rsidR="00682ACE" w:rsidRPr="00373688" w:rsidRDefault="00171419" w:rsidP="00634DA1">
      <w:pPr>
        <w:spacing w:after="120"/>
        <w:ind w:right="-45"/>
        <w:jc w:val="both"/>
        <w:rPr>
          <w:rFonts w:ascii="Arial" w:hAnsi="Arial" w:cs="Arial"/>
          <w:sz w:val="24"/>
          <w:szCs w:val="24"/>
        </w:rPr>
      </w:pPr>
      <w:r w:rsidRPr="00373688">
        <w:rPr>
          <w:rFonts w:ascii="Arial" w:hAnsi="Arial" w:cs="Arial"/>
          <w:sz w:val="24"/>
          <w:szCs w:val="24"/>
        </w:rPr>
        <w:t xml:space="preserve">The ACT Law Society and ACT Bar Association were consulted on the amendment to the </w:t>
      </w:r>
      <w:r w:rsidRPr="00373688">
        <w:rPr>
          <w:rFonts w:ascii="Arial" w:hAnsi="Arial" w:cs="Arial"/>
          <w:i/>
          <w:iCs/>
          <w:sz w:val="24"/>
          <w:szCs w:val="24"/>
        </w:rPr>
        <w:t>Legal Profession Act 2006</w:t>
      </w:r>
      <w:r w:rsidRPr="00373688">
        <w:rPr>
          <w:rFonts w:ascii="Arial" w:hAnsi="Arial" w:cs="Arial"/>
          <w:sz w:val="24"/>
          <w:szCs w:val="24"/>
        </w:rPr>
        <w:t xml:space="preserve"> </w:t>
      </w:r>
      <w:r w:rsidR="00A171D1" w:rsidRPr="00373688">
        <w:rPr>
          <w:rFonts w:ascii="Arial" w:hAnsi="Arial" w:cs="Arial"/>
          <w:sz w:val="24"/>
          <w:szCs w:val="24"/>
        </w:rPr>
        <w:t xml:space="preserve">to remove the requirement for approved forms to be notifiable instruments, </w:t>
      </w:r>
      <w:r w:rsidRPr="00373688">
        <w:rPr>
          <w:rFonts w:ascii="Arial" w:hAnsi="Arial" w:cs="Arial"/>
          <w:sz w:val="24"/>
          <w:szCs w:val="24"/>
        </w:rPr>
        <w:t>as they are the organisations impacted by the change. These organisations are supportive of the amendment.</w:t>
      </w:r>
    </w:p>
    <w:p w14:paraId="3322CA79" w14:textId="5750627B" w:rsidR="006E6863" w:rsidRPr="00373688" w:rsidRDefault="006E6863" w:rsidP="00634DA1">
      <w:pPr>
        <w:spacing w:after="120"/>
        <w:ind w:right="-45"/>
        <w:jc w:val="both"/>
        <w:rPr>
          <w:rFonts w:ascii="Arial" w:hAnsi="Arial" w:cs="Arial"/>
          <w:b/>
          <w:bCs/>
          <w:iCs/>
          <w:sz w:val="24"/>
          <w:szCs w:val="24"/>
        </w:rPr>
      </w:pPr>
      <w:r w:rsidRPr="00373688">
        <w:rPr>
          <w:rFonts w:ascii="Arial" w:hAnsi="Arial" w:cs="Arial"/>
          <w:b/>
          <w:bCs/>
          <w:i/>
          <w:sz w:val="24"/>
          <w:szCs w:val="24"/>
        </w:rPr>
        <w:t>Residential Tenancies Act 1997</w:t>
      </w:r>
    </w:p>
    <w:p w14:paraId="32ADA63C" w14:textId="56B6FDB6" w:rsidR="006E6863" w:rsidRPr="00373688" w:rsidRDefault="00634DA1" w:rsidP="00634DA1">
      <w:pPr>
        <w:spacing w:after="120"/>
        <w:ind w:right="-45"/>
        <w:jc w:val="both"/>
        <w:rPr>
          <w:rFonts w:ascii="Arial" w:hAnsi="Arial" w:cs="Arial"/>
          <w:iCs/>
          <w:sz w:val="24"/>
          <w:szCs w:val="24"/>
        </w:rPr>
      </w:pPr>
      <w:r w:rsidRPr="00373688">
        <w:rPr>
          <w:rFonts w:ascii="Arial" w:hAnsi="Arial" w:cs="Arial"/>
          <w:iCs/>
          <w:sz w:val="24"/>
          <w:szCs w:val="24"/>
        </w:rPr>
        <w:t>The ACT Human Rights Commission, Canberra Community Law (</w:t>
      </w:r>
      <w:r w:rsidRPr="00373688">
        <w:rPr>
          <w:rFonts w:ascii="Arial" w:hAnsi="Arial" w:cs="Arial"/>
          <w:b/>
          <w:bCs/>
          <w:iCs/>
          <w:sz w:val="24"/>
          <w:szCs w:val="24"/>
        </w:rPr>
        <w:t>CCL</w:t>
      </w:r>
      <w:r w:rsidRPr="00373688">
        <w:rPr>
          <w:rFonts w:ascii="Arial" w:hAnsi="Arial" w:cs="Arial"/>
          <w:iCs/>
          <w:sz w:val="24"/>
          <w:szCs w:val="24"/>
        </w:rPr>
        <w:t>), the Real Estate Institute of the ACT (</w:t>
      </w:r>
      <w:r w:rsidRPr="00373688">
        <w:rPr>
          <w:rFonts w:ascii="Arial" w:hAnsi="Arial" w:cs="Arial"/>
          <w:b/>
          <w:bCs/>
          <w:iCs/>
          <w:sz w:val="24"/>
          <w:szCs w:val="24"/>
        </w:rPr>
        <w:t>REIACT</w:t>
      </w:r>
      <w:r w:rsidRPr="00373688">
        <w:rPr>
          <w:rFonts w:ascii="Arial" w:hAnsi="Arial" w:cs="Arial"/>
          <w:iCs/>
          <w:sz w:val="24"/>
          <w:szCs w:val="24"/>
        </w:rPr>
        <w:t xml:space="preserve">), Legal Aid ACT, Better Renting and Shelter ACT were consulted on the amendments to the </w:t>
      </w:r>
      <w:r w:rsidRPr="00373688">
        <w:rPr>
          <w:rFonts w:ascii="Arial" w:hAnsi="Arial" w:cs="Arial"/>
          <w:i/>
          <w:sz w:val="24"/>
          <w:szCs w:val="24"/>
        </w:rPr>
        <w:t>Residential Tenancies Act 1997</w:t>
      </w:r>
      <w:r w:rsidRPr="00373688">
        <w:rPr>
          <w:rFonts w:ascii="Arial" w:hAnsi="Arial" w:cs="Arial"/>
          <w:iCs/>
          <w:sz w:val="24"/>
          <w:szCs w:val="24"/>
        </w:rPr>
        <w:t xml:space="preserve"> as relevant to their interests. These organisations are supportive in principle of the amendments.</w:t>
      </w:r>
    </w:p>
    <w:p w14:paraId="2556A57E" w14:textId="77777777" w:rsidR="00171419" w:rsidRPr="00373688" w:rsidRDefault="00171419" w:rsidP="00171419">
      <w:pPr>
        <w:rPr>
          <w:rFonts w:ascii="Arial" w:hAnsi="Arial" w:cs="Arial"/>
          <w:b/>
          <w:bCs/>
          <w:i/>
          <w:iCs/>
          <w:sz w:val="24"/>
          <w:szCs w:val="24"/>
        </w:rPr>
      </w:pPr>
      <w:r w:rsidRPr="00373688">
        <w:rPr>
          <w:rFonts w:ascii="Arial" w:hAnsi="Arial" w:cs="Arial"/>
          <w:b/>
          <w:bCs/>
          <w:i/>
          <w:iCs/>
          <w:sz w:val="24"/>
          <w:szCs w:val="24"/>
        </w:rPr>
        <w:t>Supreme Court Act 1933</w:t>
      </w:r>
    </w:p>
    <w:p w14:paraId="04801F5A" w14:textId="23E823B8" w:rsidR="006A72A7" w:rsidRPr="00373688" w:rsidRDefault="00171419" w:rsidP="00634DA1">
      <w:pPr>
        <w:spacing w:after="120"/>
        <w:ind w:right="-45"/>
        <w:jc w:val="both"/>
        <w:rPr>
          <w:rFonts w:ascii="Arial" w:hAnsi="Arial" w:cs="Arial"/>
          <w:sz w:val="24"/>
          <w:szCs w:val="24"/>
        </w:rPr>
      </w:pPr>
      <w:r w:rsidRPr="00373688">
        <w:rPr>
          <w:rFonts w:ascii="Arial" w:hAnsi="Arial" w:cs="Arial"/>
          <w:sz w:val="24"/>
          <w:szCs w:val="24"/>
        </w:rPr>
        <w:t xml:space="preserve">The amendment to the </w:t>
      </w:r>
      <w:r w:rsidRPr="00373688">
        <w:rPr>
          <w:rFonts w:ascii="Arial" w:hAnsi="Arial" w:cs="Arial"/>
          <w:i/>
          <w:iCs/>
          <w:sz w:val="24"/>
          <w:szCs w:val="24"/>
        </w:rPr>
        <w:t>Supreme Court Act 1933</w:t>
      </w:r>
      <w:r w:rsidRPr="00373688">
        <w:rPr>
          <w:rFonts w:ascii="Arial" w:hAnsi="Arial" w:cs="Arial"/>
          <w:sz w:val="24"/>
          <w:szCs w:val="24"/>
        </w:rPr>
        <w:t xml:space="preserve"> was proposed by and developed in consultation with ACT Courts and Tribunal, with a view to clarifying the operation of the provision</w:t>
      </w:r>
      <w:r w:rsidR="00A171D1" w:rsidRPr="00373688">
        <w:rPr>
          <w:rFonts w:ascii="Arial" w:hAnsi="Arial" w:cs="Arial"/>
          <w:sz w:val="24"/>
          <w:szCs w:val="24"/>
        </w:rPr>
        <w:t xml:space="preserve"> that governs the declaration of vexatious litigants</w:t>
      </w:r>
      <w:r w:rsidRPr="00373688">
        <w:rPr>
          <w:rFonts w:ascii="Arial" w:hAnsi="Arial" w:cs="Arial"/>
          <w:sz w:val="24"/>
          <w:szCs w:val="24"/>
        </w:rPr>
        <w:t xml:space="preserve">. </w:t>
      </w:r>
    </w:p>
    <w:p w14:paraId="6BA3AC01" w14:textId="27550A7D" w:rsidR="006E6863" w:rsidRPr="00373688" w:rsidRDefault="006E6863" w:rsidP="00634DA1">
      <w:pPr>
        <w:spacing w:after="120"/>
        <w:ind w:right="-45"/>
        <w:jc w:val="both"/>
        <w:rPr>
          <w:rFonts w:ascii="Arial" w:hAnsi="Arial" w:cs="Arial"/>
          <w:b/>
          <w:bCs/>
          <w:iCs/>
          <w:sz w:val="24"/>
          <w:szCs w:val="24"/>
        </w:rPr>
      </w:pPr>
      <w:r w:rsidRPr="00373688">
        <w:rPr>
          <w:rFonts w:ascii="Arial" w:hAnsi="Arial" w:cs="Arial"/>
          <w:b/>
          <w:bCs/>
          <w:i/>
          <w:sz w:val="24"/>
          <w:szCs w:val="24"/>
        </w:rPr>
        <w:t>Unit Titles (Management) Act 2011</w:t>
      </w:r>
    </w:p>
    <w:p w14:paraId="7F7511EE" w14:textId="5F92B8EC" w:rsidR="00634DA1" w:rsidRPr="00373688" w:rsidRDefault="00634DA1" w:rsidP="00634DA1">
      <w:pPr>
        <w:spacing w:after="120"/>
        <w:ind w:right="-45"/>
        <w:jc w:val="both"/>
        <w:rPr>
          <w:rFonts w:ascii="Arial" w:hAnsi="Arial" w:cs="Arial"/>
          <w:iCs/>
          <w:sz w:val="24"/>
          <w:szCs w:val="24"/>
        </w:rPr>
      </w:pPr>
      <w:r w:rsidRPr="00373688">
        <w:rPr>
          <w:rFonts w:ascii="Arial" w:hAnsi="Arial" w:cs="Arial"/>
          <w:iCs/>
          <w:sz w:val="24"/>
          <w:szCs w:val="24"/>
        </w:rPr>
        <w:t>Stakeholders including ACAT, Master Builders Association, Owners Corporation Network, Property Council of the ACT, Strata Community Association ACT, Housing Industry Association, Planning Institute of the ACT</w:t>
      </w:r>
      <w:r w:rsidR="00682ACE" w:rsidRPr="00373688">
        <w:rPr>
          <w:rFonts w:ascii="Arial" w:hAnsi="Arial" w:cs="Arial"/>
          <w:iCs/>
          <w:sz w:val="24"/>
          <w:szCs w:val="24"/>
        </w:rPr>
        <w:t>, Real Estate Institute of the ACT, Legal Aid ACT and the ACT Law Society</w:t>
      </w:r>
      <w:r w:rsidRPr="00373688">
        <w:rPr>
          <w:rFonts w:ascii="Arial" w:hAnsi="Arial" w:cs="Arial"/>
          <w:iCs/>
          <w:sz w:val="24"/>
          <w:szCs w:val="24"/>
        </w:rPr>
        <w:t xml:space="preserve"> were consulted on the amendments </w:t>
      </w:r>
      <w:r w:rsidR="006E6863" w:rsidRPr="00373688">
        <w:rPr>
          <w:rFonts w:ascii="Arial" w:hAnsi="Arial" w:cs="Arial"/>
          <w:iCs/>
          <w:sz w:val="24"/>
          <w:szCs w:val="24"/>
        </w:rPr>
        <w:t xml:space="preserve">to the </w:t>
      </w:r>
      <w:r w:rsidRPr="00373688">
        <w:rPr>
          <w:rFonts w:ascii="Arial" w:hAnsi="Arial" w:cs="Arial"/>
          <w:i/>
          <w:sz w:val="24"/>
          <w:szCs w:val="24"/>
        </w:rPr>
        <w:t>Unit Titles (Management) Act 2011</w:t>
      </w:r>
      <w:r w:rsidRPr="00373688">
        <w:rPr>
          <w:rFonts w:ascii="Arial" w:hAnsi="Arial" w:cs="Arial"/>
          <w:iCs/>
          <w:sz w:val="24"/>
          <w:szCs w:val="24"/>
        </w:rPr>
        <w:t>. Stakeholders support</w:t>
      </w:r>
      <w:r w:rsidR="00682ACE" w:rsidRPr="00373688">
        <w:rPr>
          <w:rFonts w:ascii="Arial" w:hAnsi="Arial" w:cs="Arial"/>
          <w:iCs/>
          <w:sz w:val="24"/>
          <w:szCs w:val="24"/>
        </w:rPr>
        <w:t>ed</w:t>
      </w:r>
      <w:r w:rsidRPr="00373688">
        <w:rPr>
          <w:rFonts w:ascii="Arial" w:hAnsi="Arial" w:cs="Arial"/>
          <w:iCs/>
          <w:sz w:val="24"/>
          <w:szCs w:val="24"/>
        </w:rPr>
        <w:t xml:space="preserve"> the changes </w:t>
      </w:r>
      <w:r w:rsidR="00682ACE" w:rsidRPr="00373688">
        <w:rPr>
          <w:rFonts w:ascii="Arial" w:hAnsi="Arial" w:cs="Arial"/>
          <w:iCs/>
          <w:sz w:val="24"/>
          <w:szCs w:val="24"/>
        </w:rPr>
        <w:t xml:space="preserve">in principle </w:t>
      </w:r>
      <w:r w:rsidRPr="00373688">
        <w:rPr>
          <w:rFonts w:ascii="Arial" w:hAnsi="Arial" w:cs="Arial"/>
          <w:iCs/>
          <w:sz w:val="24"/>
          <w:szCs w:val="24"/>
        </w:rPr>
        <w:t xml:space="preserve">as they will enable owners corporations to operate with more certainty and less risk. </w:t>
      </w:r>
    </w:p>
    <w:p w14:paraId="5FA26923" w14:textId="27998884" w:rsidR="00634DA1" w:rsidRPr="00373688" w:rsidRDefault="006E6863" w:rsidP="00634DA1">
      <w:pPr>
        <w:spacing w:after="120"/>
        <w:ind w:right="-45"/>
        <w:jc w:val="both"/>
        <w:rPr>
          <w:rFonts w:ascii="Arial" w:hAnsi="Arial" w:cs="Arial"/>
          <w:b/>
          <w:bCs/>
          <w:iCs/>
          <w:sz w:val="24"/>
          <w:szCs w:val="24"/>
        </w:rPr>
      </w:pPr>
      <w:r w:rsidRPr="00373688">
        <w:rPr>
          <w:rFonts w:ascii="Arial" w:hAnsi="Arial" w:cs="Arial"/>
          <w:b/>
          <w:bCs/>
          <w:iCs/>
          <w:sz w:val="24"/>
          <w:szCs w:val="24"/>
        </w:rPr>
        <w:t>Wills and succession laws</w:t>
      </w:r>
    </w:p>
    <w:p w14:paraId="6F2D6FBC" w14:textId="368A8631" w:rsidR="006E6863" w:rsidRPr="00373688" w:rsidRDefault="006E6863" w:rsidP="00634DA1">
      <w:pPr>
        <w:spacing w:after="120"/>
        <w:ind w:right="-45"/>
        <w:jc w:val="both"/>
        <w:rPr>
          <w:rFonts w:ascii="Arial" w:hAnsi="Arial" w:cs="Arial"/>
          <w:iCs/>
          <w:sz w:val="24"/>
          <w:szCs w:val="24"/>
        </w:rPr>
      </w:pPr>
      <w:r w:rsidRPr="00373688">
        <w:rPr>
          <w:rFonts w:ascii="Arial" w:hAnsi="Arial" w:cs="Arial"/>
          <w:iCs/>
          <w:sz w:val="24"/>
          <w:szCs w:val="24"/>
        </w:rPr>
        <w:t xml:space="preserve">The amendments to succession laws (the </w:t>
      </w:r>
      <w:r w:rsidRPr="00373688">
        <w:rPr>
          <w:rFonts w:ascii="Arial" w:hAnsi="Arial" w:cs="Arial"/>
          <w:i/>
          <w:sz w:val="24"/>
          <w:szCs w:val="24"/>
        </w:rPr>
        <w:t>Administration and Probate Act 1929</w:t>
      </w:r>
      <w:r w:rsidRPr="00373688">
        <w:rPr>
          <w:rFonts w:ascii="Arial" w:hAnsi="Arial" w:cs="Arial"/>
          <w:iCs/>
          <w:sz w:val="24"/>
          <w:szCs w:val="24"/>
        </w:rPr>
        <w:t xml:space="preserve">, </w:t>
      </w:r>
      <w:r w:rsidRPr="00373688">
        <w:rPr>
          <w:rFonts w:ascii="Arial" w:hAnsi="Arial" w:cs="Arial"/>
          <w:i/>
          <w:sz w:val="24"/>
          <w:szCs w:val="24"/>
        </w:rPr>
        <w:t xml:space="preserve">Family Provision Act 1969 </w:t>
      </w:r>
      <w:r w:rsidRPr="00373688">
        <w:rPr>
          <w:rFonts w:ascii="Arial" w:hAnsi="Arial" w:cs="Arial"/>
          <w:iCs/>
          <w:sz w:val="24"/>
          <w:szCs w:val="24"/>
        </w:rPr>
        <w:t xml:space="preserve">and the </w:t>
      </w:r>
      <w:r w:rsidRPr="00373688">
        <w:rPr>
          <w:rFonts w:ascii="Arial" w:hAnsi="Arial" w:cs="Arial"/>
          <w:i/>
          <w:sz w:val="24"/>
          <w:szCs w:val="24"/>
        </w:rPr>
        <w:t>Trustee Act 1925</w:t>
      </w:r>
      <w:r w:rsidRPr="00373688">
        <w:rPr>
          <w:rFonts w:ascii="Arial" w:hAnsi="Arial" w:cs="Arial"/>
          <w:iCs/>
          <w:sz w:val="24"/>
          <w:szCs w:val="24"/>
        </w:rPr>
        <w:t>) were proposed by the ACT Law Society’s Elder Law and Succession Committee.</w:t>
      </w:r>
      <w:r w:rsidRPr="00373688">
        <w:rPr>
          <w:rFonts w:ascii="Arial" w:eastAsiaTheme="minorEastAsia" w:hAnsi="Arial" w:cs="Arial"/>
        </w:rPr>
        <w:t xml:space="preserve"> </w:t>
      </w:r>
      <w:r w:rsidRPr="00373688">
        <w:rPr>
          <w:rFonts w:ascii="Arial" w:hAnsi="Arial" w:cs="Arial"/>
          <w:iCs/>
          <w:sz w:val="24"/>
          <w:szCs w:val="24"/>
        </w:rPr>
        <w:t xml:space="preserve">Some of these amendments (as noted in the relevant clause notes below) will implement recommendations from a national harmonisation report under the auspices of the Standing Council of Attorneys-General (National Committee for Uniform Succession Laws, Report No.116, </w:t>
      </w:r>
      <w:r w:rsidRPr="00373688">
        <w:rPr>
          <w:rFonts w:ascii="Arial" w:hAnsi="Arial" w:cs="Arial"/>
          <w:i/>
          <w:iCs/>
          <w:sz w:val="24"/>
          <w:szCs w:val="24"/>
        </w:rPr>
        <w:t>Uniform Succession Laws: Intestacy</w:t>
      </w:r>
      <w:r w:rsidRPr="00373688">
        <w:rPr>
          <w:rFonts w:ascii="Arial" w:hAnsi="Arial" w:cs="Arial"/>
          <w:iCs/>
          <w:sz w:val="24"/>
          <w:szCs w:val="24"/>
        </w:rPr>
        <w:t>, 2007).</w:t>
      </w:r>
    </w:p>
    <w:p w14:paraId="7152C084" w14:textId="54E183A5" w:rsidR="00A171D1" w:rsidRPr="00373688" w:rsidRDefault="00634DA1" w:rsidP="006E6863">
      <w:pPr>
        <w:spacing w:after="120"/>
        <w:ind w:right="-45"/>
        <w:jc w:val="both"/>
        <w:rPr>
          <w:rFonts w:ascii="Arial" w:hAnsi="Arial" w:cs="Arial"/>
          <w:iCs/>
          <w:sz w:val="24"/>
          <w:szCs w:val="24"/>
        </w:rPr>
      </w:pPr>
      <w:r w:rsidRPr="00373688">
        <w:rPr>
          <w:rFonts w:ascii="Arial" w:hAnsi="Arial" w:cs="Arial"/>
          <w:iCs/>
          <w:sz w:val="24"/>
          <w:szCs w:val="24"/>
        </w:rPr>
        <w:lastRenderedPageBreak/>
        <w:t xml:space="preserve">The ACT Law Society’s Elder Law and Succession Committee was also consulted on the amendments to the </w:t>
      </w:r>
      <w:r w:rsidRPr="00373688">
        <w:rPr>
          <w:rFonts w:ascii="Arial" w:hAnsi="Arial" w:cs="Arial"/>
          <w:i/>
          <w:sz w:val="24"/>
          <w:szCs w:val="24"/>
        </w:rPr>
        <w:t xml:space="preserve">Wills Act 1968 </w:t>
      </w:r>
      <w:r w:rsidRPr="00373688">
        <w:rPr>
          <w:rFonts w:ascii="Arial" w:hAnsi="Arial" w:cs="Arial"/>
          <w:iCs/>
          <w:sz w:val="24"/>
          <w:szCs w:val="24"/>
        </w:rPr>
        <w:t>to create a single, centralised Wills Register for the ACT.</w:t>
      </w:r>
    </w:p>
    <w:p w14:paraId="4058A9A7" w14:textId="77777777" w:rsidR="00357018" w:rsidRPr="00373688" w:rsidRDefault="00357018" w:rsidP="00E07BB5">
      <w:pPr>
        <w:pStyle w:val="Heading2"/>
        <w:spacing w:before="360" w:after="240"/>
        <w:rPr>
          <w:rFonts w:cs="Arial"/>
        </w:rPr>
      </w:pPr>
      <w:bookmarkStart w:id="1" w:name="_ftnref2"/>
      <w:bookmarkStart w:id="2" w:name="_ftnref3"/>
      <w:bookmarkStart w:id="3" w:name="OLE_LINK1"/>
      <w:bookmarkEnd w:id="1"/>
      <w:bookmarkEnd w:id="2"/>
      <w:r w:rsidRPr="00373688">
        <w:rPr>
          <w:rFonts w:cs="Arial"/>
        </w:rPr>
        <w:t>CONSISTENCY WITH HUMAN RIGHTS</w:t>
      </w:r>
    </w:p>
    <w:p w14:paraId="7A33A09C" w14:textId="77777777" w:rsidR="00357018" w:rsidRPr="00373688" w:rsidRDefault="00357018" w:rsidP="00357018">
      <w:pPr>
        <w:rPr>
          <w:rFonts w:ascii="Arial" w:hAnsi="Arial" w:cs="Arial"/>
          <w:b/>
          <w:bCs/>
          <w:iCs/>
          <w:sz w:val="24"/>
          <w:szCs w:val="24"/>
        </w:rPr>
      </w:pPr>
      <w:r w:rsidRPr="00373688">
        <w:rPr>
          <w:rFonts w:ascii="Arial" w:hAnsi="Arial" w:cs="Arial"/>
          <w:b/>
          <w:bCs/>
          <w:iCs/>
          <w:sz w:val="24"/>
          <w:szCs w:val="24"/>
        </w:rPr>
        <w:t>Rights engaged</w:t>
      </w:r>
    </w:p>
    <w:p w14:paraId="29A583B9" w14:textId="77777777" w:rsidR="00357018" w:rsidRPr="00373688" w:rsidRDefault="00357018" w:rsidP="00357018">
      <w:pPr>
        <w:rPr>
          <w:rFonts w:ascii="Arial" w:hAnsi="Arial" w:cs="Arial"/>
          <w:iCs/>
          <w:sz w:val="24"/>
          <w:szCs w:val="24"/>
        </w:rPr>
      </w:pPr>
      <w:r w:rsidRPr="00373688">
        <w:rPr>
          <w:rFonts w:ascii="Arial" w:hAnsi="Arial" w:cs="Arial"/>
          <w:iCs/>
          <w:sz w:val="24"/>
          <w:szCs w:val="24"/>
        </w:rPr>
        <w:t xml:space="preserve">The Bill engages the following rights under the </w:t>
      </w:r>
      <w:r w:rsidRPr="00373688">
        <w:rPr>
          <w:rFonts w:ascii="Arial" w:hAnsi="Arial" w:cs="Arial"/>
          <w:i/>
          <w:sz w:val="24"/>
          <w:szCs w:val="24"/>
        </w:rPr>
        <w:t>Human Rights Act 2004</w:t>
      </w:r>
      <w:r w:rsidRPr="00373688">
        <w:rPr>
          <w:rFonts w:ascii="Arial" w:hAnsi="Arial" w:cs="Arial"/>
          <w:iCs/>
          <w:sz w:val="24"/>
          <w:szCs w:val="24"/>
        </w:rPr>
        <w:t xml:space="preserve">: </w:t>
      </w:r>
    </w:p>
    <w:p w14:paraId="4DBB1E35" w14:textId="77777777" w:rsidR="00357018" w:rsidRPr="00373688" w:rsidRDefault="00357018" w:rsidP="00357018">
      <w:pPr>
        <w:pStyle w:val="ListParagraph"/>
        <w:numPr>
          <w:ilvl w:val="0"/>
          <w:numId w:val="11"/>
        </w:numPr>
        <w:rPr>
          <w:rFonts w:ascii="Arial" w:hAnsi="Arial" w:cs="Arial"/>
          <w:iCs/>
          <w:sz w:val="24"/>
          <w:szCs w:val="24"/>
        </w:rPr>
      </w:pPr>
      <w:r w:rsidRPr="00373688">
        <w:rPr>
          <w:rFonts w:ascii="Arial" w:hAnsi="Arial" w:cs="Arial"/>
          <w:iCs/>
          <w:sz w:val="24"/>
          <w:szCs w:val="24"/>
        </w:rPr>
        <w:t>Section 8 - Recognition and equality before the law (</w:t>
      </w:r>
      <w:r w:rsidRPr="00373688">
        <w:rPr>
          <w:rFonts w:ascii="Arial" w:hAnsi="Arial" w:cs="Arial"/>
          <w:i/>
          <w:sz w:val="24"/>
          <w:szCs w:val="24"/>
        </w:rPr>
        <w:t>promoted</w:t>
      </w:r>
      <w:r w:rsidRPr="00373688">
        <w:rPr>
          <w:rFonts w:ascii="Arial" w:hAnsi="Arial" w:cs="Arial"/>
          <w:iCs/>
          <w:sz w:val="24"/>
          <w:szCs w:val="24"/>
        </w:rPr>
        <w:t>)</w:t>
      </w:r>
    </w:p>
    <w:p w14:paraId="1E82B478" w14:textId="77777777" w:rsidR="00357018" w:rsidRPr="00373688" w:rsidRDefault="00357018" w:rsidP="00357018">
      <w:pPr>
        <w:pStyle w:val="ListParagraph"/>
        <w:numPr>
          <w:ilvl w:val="0"/>
          <w:numId w:val="11"/>
        </w:numPr>
        <w:rPr>
          <w:rFonts w:ascii="Arial" w:hAnsi="Arial" w:cs="Arial"/>
          <w:iCs/>
          <w:sz w:val="24"/>
          <w:szCs w:val="24"/>
        </w:rPr>
      </w:pPr>
      <w:r w:rsidRPr="00373688">
        <w:rPr>
          <w:rFonts w:ascii="Arial" w:hAnsi="Arial" w:cs="Arial"/>
          <w:iCs/>
          <w:sz w:val="24"/>
          <w:szCs w:val="24"/>
        </w:rPr>
        <w:t>Section 9 – Right to life (</w:t>
      </w:r>
      <w:r w:rsidRPr="00373688">
        <w:rPr>
          <w:rFonts w:ascii="Arial" w:hAnsi="Arial" w:cs="Arial"/>
          <w:i/>
          <w:sz w:val="24"/>
          <w:szCs w:val="24"/>
        </w:rPr>
        <w:t>promoted</w:t>
      </w:r>
      <w:r w:rsidRPr="00373688">
        <w:rPr>
          <w:rFonts w:ascii="Arial" w:hAnsi="Arial" w:cs="Arial"/>
          <w:iCs/>
          <w:sz w:val="24"/>
          <w:szCs w:val="24"/>
        </w:rPr>
        <w:t>)</w:t>
      </w:r>
    </w:p>
    <w:p w14:paraId="17521193" w14:textId="65FF2573" w:rsidR="00357018" w:rsidRPr="00373688" w:rsidRDefault="00357018" w:rsidP="00357018">
      <w:pPr>
        <w:pStyle w:val="ListParagraph"/>
        <w:numPr>
          <w:ilvl w:val="0"/>
          <w:numId w:val="11"/>
        </w:numPr>
        <w:rPr>
          <w:rFonts w:ascii="Arial" w:hAnsi="Arial" w:cs="Arial"/>
          <w:iCs/>
          <w:sz w:val="24"/>
          <w:szCs w:val="24"/>
        </w:rPr>
      </w:pPr>
      <w:r w:rsidRPr="00373688">
        <w:rPr>
          <w:rFonts w:ascii="Arial" w:hAnsi="Arial" w:cs="Arial"/>
          <w:iCs/>
          <w:sz w:val="24"/>
          <w:szCs w:val="24"/>
        </w:rPr>
        <w:t>Section 10 – Protection from torture and cruel, inhuman or degrading treatment etc.</w:t>
      </w:r>
      <w:r w:rsidR="00A171D1" w:rsidRPr="00373688">
        <w:rPr>
          <w:rFonts w:ascii="Arial" w:hAnsi="Arial" w:cs="Arial"/>
          <w:iCs/>
          <w:sz w:val="24"/>
          <w:szCs w:val="24"/>
        </w:rPr>
        <w:t xml:space="preserve"> </w:t>
      </w:r>
      <w:r w:rsidR="00A171D1" w:rsidRPr="00373688">
        <w:rPr>
          <w:rFonts w:ascii="Arial" w:hAnsi="Arial" w:cs="Arial"/>
          <w:i/>
          <w:sz w:val="24"/>
          <w:szCs w:val="24"/>
        </w:rPr>
        <w:t>(promoted)</w:t>
      </w:r>
    </w:p>
    <w:p w14:paraId="75EC42D3" w14:textId="77777777" w:rsidR="002229E6" w:rsidRPr="00373688" w:rsidRDefault="00357018" w:rsidP="00357018">
      <w:pPr>
        <w:pStyle w:val="ListParagraph"/>
        <w:numPr>
          <w:ilvl w:val="0"/>
          <w:numId w:val="11"/>
        </w:numPr>
        <w:rPr>
          <w:rFonts w:ascii="Arial" w:hAnsi="Arial" w:cs="Arial"/>
          <w:iCs/>
          <w:sz w:val="24"/>
          <w:szCs w:val="24"/>
        </w:rPr>
      </w:pPr>
      <w:r w:rsidRPr="00373688">
        <w:rPr>
          <w:rFonts w:ascii="Arial" w:hAnsi="Arial" w:cs="Arial"/>
          <w:iCs/>
          <w:sz w:val="24"/>
          <w:szCs w:val="24"/>
        </w:rPr>
        <w:t>Section 12 – Privacy and reputation (</w:t>
      </w:r>
      <w:r w:rsidRPr="00373688">
        <w:rPr>
          <w:rFonts w:ascii="Arial" w:hAnsi="Arial" w:cs="Arial"/>
          <w:i/>
          <w:sz w:val="24"/>
          <w:szCs w:val="24"/>
        </w:rPr>
        <w:t>limited</w:t>
      </w:r>
      <w:r w:rsidRPr="00373688">
        <w:rPr>
          <w:rFonts w:ascii="Arial" w:hAnsi="Arial" w:cs="Arial"/>
          <w:iCs/>
          <w:sz w:val="24"/>
          <w:szCs w:val="24"/>
        </w:rPr>
        <w:t>)</w:t>
      </w:r>
    </w:p>
    <w:p w14:paraId="1D440E80" w14:textId="6FBFB3BC" w:rsidR="002229E6" w:rsidRPr="00373688" w:rsidRDefault="002229E6" w:rsidP="00357018">
      <w:pPr>
        <w:pStyle w:val="ListParagraph"/>
        <w:numPr>
          <w:ilvl w:val="0"/>
          <w:numId w:val="11"/>
        </w:numPr>
        <w:rPr>
          <w:rFonts w:ascii="Arial" w:hAnsi="Arial" w:cs="Arial"/>
          <w:iCs/>
          <w:sz w:val="24"/>
          <w:szCs w:val="24"/>
        </w:rPr>
      </w:pPr>
      <w:r w:rsidRPr="00373688">
        <w:rPr>
          <w:rFonts w:ascii="Arial" w:hAnsi="Arial" w:cs="Arial"/>
          <w:iCs/>
          <w:sz w:val="24"/>
          <w:szCs w:val="24"/>
        </w:rPr>
        <w:t xml:space="preserve">Section 16 – </w:t>
      </w:r>
      <w:r w:rsidR="00CC0959">
        <w:rPr>
          <w:rFonts w:ascii="Arial" w:hAnsi="Arial" w:cs="Arial"/>
          <w:iCs/>
          <w:sz w:val="24"/>
          <w:szCs w:val="24"/>
        </w:rPr>
        <w:t>F</w:t>
      </w:r>
      <w:r w:rsidRPr="00373688">
        <w:rPr>
          <w:rFonts w:ascii="Arial" w:hAnsi="Arial" w:cs="Arial"/>
          <w:iCs/>
          <w:sz w:val="24"/>
          <w:szCs w:val="24"/>
        </w:rPr>
        <w:t>reedom of expression</w:t>
      </w:r>
      <w:r w:rsidR="00CC0959">
        <w:rPr>
          <w:rFonts w:ascii="Arial" w:hAnsi="Arial" w:cs="Arial"/>
          <w:iCs/>
          <w:sz w:val="24"/>
          <w:szCs w:val="24"/>
        </w:rPr>
        <w:t xml:space="preserve"> </w:t>
      </w:r>
      <w:r w:rsidR="00CC0959" w:rsidRPr="00373688">
        <w:rPr>
          <w:rFonts w:ascii="Arial" w:hAnsi="Arial" w:cs="Arial"/>
          <w:iCs/>
          <w:sz w:val="24"/>
          <w:szCs w:val="24"/>
        </w:rPr>
        <w:t>(</w:t>
      </w:r>
      <w:r w:rsidR="00CC0959" w:rsidRPr="00373688">
        <w:rPr>
          <w:rFonts w:ascii="Arial" w:hAnsi="Arial" w:cs="Arial"/>
          <w:i/>
          <w:sz w:val="24"/>
          <w:szCs w:val="24"/>
        </w:rPr>
        <w:t>promoted</w:t>
      </w:r>
      <w:r w:rsidR="00CC0959" w:rsidRPr="00373688">
        <w:rPr>
          <w:rFonts w:ascii="Arial" w:hAnsi="Arial" w:cs="Arial"/>
          <w:iCs/>
          <w:sz w:val="24"/>
          <w:szCs w:val="24"/>
        </w:rPr>
        <w:t>)</w:t>
      </w:r>
    </w:p>
    <w:p w14:paraId="34478A32" w14:textId="661C94B2" w:rsidR="00357018" w:rsidRPr="00373688" w:rsidRDefault="002229E6" w:rsidP="00357018">
      <w:pPr>
        <w:pStyle w:val="ListParagraph"/>
        <w:numPr>
          <w:ilvl w:val="0"/>
          <w:numId w:val="11"/>
        </w:numPr>
        <w:rPr>
          <w:rFonts w:ascii="Arial" w:hAnsi="Arial" w:cs="Arial"/>
          <w:iCs/>
          <w:sz w:val="24"/>
          <w:szCs w:val="24"/>
        </w:rPr>
      </w:pPr>
      <w:r w:rsidRPr="00373688">
        <w:rPr>
          <w:rFonts w:ascii="Arial" w:hAnsi="Arial" w:cs="Arial"/>
          <w:iCs/>
          <w:sz w:val="24"/>
          <w:szCs w:val="24"/>
        </w:rPr>
        <w:t xml:space="preserve">Section 17 </w:t>
      </w:r>
      <w:r w:rsidR="00CC0959">
        <w:rPr>
          <w:rFonts w:ascii="Arial" w:hAnsi="Arial" w:cs="Arial"/>
          <w:iCs/>
          <w:sz w:val="24"/>
          <w:szCs w:val="24"/>
        </w:rPr>
        <w:t>– R</w:t>
      </w:r>
      <w:r w:rsidRPr="00373688">
        <w:rPr>
          <w:rFonts w:ascii="Arial" w:hAnsi="Arial" w:cs="Arial"/>
          <w:iCs/>
          <w:sz w:val="24"/>
          <w:szCs w:val="24"/>
        </w:rPr>
        <w:t>ight to participate in public life</w:t>
      </w:r>
      <w:r w:rsidR="00CC0959">
        <w:rPr>
          <w:rFonts w:ascii="Arial" w:hAnsi="Arial" w:cs="Arial"/>
          <w:iCs/>
          <w:sz w:val="24"/>
          <w:szCs w:val="24"/>
        </w:rPr>
        <w:t xml:space="preserve"> </w:t>
      </w:r>
      <w:r w:rsidR="00CC0959" w:rsidRPr="00373688">
        <w:rPr>
          <w:rFonts w:ascii="Arial" w:hAnsi="Arial" w:cs="Arial"/>
          <w:iCs/>
          <w:sz w:val="24"/>
          <w:szCs w:val="24"/>
        </w:rPr>
        <w:t>(</w:t>
      </w:r>
      <w:r w:rsidR="00CC0959" w:rsidRPr="00373688">
        <w:rPr>
          <w:rFonts w:ascii="Arial" w:hAnsi="Arial" w:cs="Arial"/>
          <w:i/>
          <w:sz w:val="24"/>
          <w:szCs w:val="24"/>
        </w:rPr>
        <w:t>promoted</w:t>
      </w:r>
      <w:r w:rsidR="00CC0959" w:rsidRPr="00373688">
        <w:rPr>
          <w:rFonts w:ascii="Arial" w:hAnsi="Arial" w:cs="Arial"/>
          <w:iCs/>
          <w:sz w:val="24"/>
          <w:szCs w:val="24"/>
        </w:rPr>
        <w:t>)</w:t>
      </w:r>
      <w:r w:rsidRPr="00373688">
        <w:rPr>
          <w:rFonts w:ascii="Arial" w:hAnsi="Arial" w:cs="Arial"/>
          <w:iCs/>
          <w:sz w:val="24"/>
          <w:szCs w:val="24"/>
        </w:rPr>
        <w:br/>
      </w:r>
    </w:p>
    <w:p w14:paraId="378D66E6" w14:textId="77777777" w:rsidR="00357018" w:rsidRPr="00373688" w:rsidRDefault="00357018" w:rsidP="00357018">
      <w:pPr>
        <w:rPr>
          <w:rFonts w:ascii="Arial" w:hAnsi="Arial" w:cs="Arial"/>
          <w:b/>
          <w:bCs/>
          <w:iCs/>
          <w:sz w:val="24"/>
          <w:szCs w:val="24"/>
        </w:rPr>
      </w:pPr>
      <w:r w:rsidRPr="00373688">
        <w:rPr>
          <w:rFonts w:ascii="Arial" w:hAnsi="Arial" w:cs="Arial"/>
          <w:b/>
          <w:bCs/>
          <w:iCs/>
          <w:sz w:val="24"/>
          <w:szCs w:val="24"/>
        </w:rPr>
        <w:t>Rights Promoted</w:t>
      </w:r>
    </w:p>
    <w:p w14:paraId="46B14B03" w14:textId="6C332242" w:rsidR="00357018" w:rsidRPr="00373688" w:rsidRDefault="00357018" w:rsidP="00357018">
      <w:pPr>
        <w:rPr>
          <w:rFonts w:ascii="Arial" w:hAnsi="Arial" w:cs="Arial"/>
          <w:b/>
          <w:bCs/>
          <w:i/>
          <w:sz w:val="24"/>
          <w:szCs w:val="24"/>
        </w:rPr>
      </w:pPr>
      <w:r w:rsidRPr="00373688">
        <w:rPr>
          <w:rFonts w:ascii="Arial" w:hAnsi="Arial" w:cs="Arial"/>
          <w:b/>
          <w:bCs/>
          <w:i/>
          <w:sz w:val="24"/>
          <w:szCs w:val="24"/>
        </w:rPr>
        <w:t xml:space="preserve">Discrimination </w:t>
      </w:r>
      <w:r w:rsidR="00CC0959">
        <w:rPr>
          <w:rFonts w:ascii="Arial" w:hAnsi="Arial" w:cs="Arial"/>
          <w:b/>
          <w:bCs/>
          <w:i/>
          <w:sz w:val="24"/>
          <w:szCs w:val="24"/>
        </w:rPr>
        <w:t>Act 1991</w:t>
      </w:r>
    </w:p>
    <w:p w14:paraId="1A979A8B" w14:textId="77777777" w:rsidR="00357018" w:rsidRPr="00373688" w:rsidRDefault="00357018" w:rsidP="00357018">
      <w:pPr>
        <w:rPr>
          <w:rFonts w:ascii="Arial" w:hAnsi="Arial" w:cs="Arial"/>
          <w:iCs/>
          <w:sz w:val="24"/>
          <w:szCs w:val="24"/>
        </w:rPr>
      </w:pPr>
      <w:r w:rsidRPr="00373688">
        <w:rPr>
          <w:rFonts w:ascii="Arial" w:hAnsi="Arial" w:cs="Arial"/>
          <w:iCs/>
          <w:sz w:val="24"/>
          <w:szCs w:val="24"/>
          <w:u w:val="single"/>
        </w:rPr>
        <w:t>Section 8 – recognition and equality before the law</w:t>
      </w:r>
    </w:p>
    <w:p w14:paraId="451081EA" w14:textId="77777777" w:rsidR="00357018" w:rsidRPr="00373688" w:rsidRDefault="00357018" w:rsidP="00357018">
      <w:pPr>
        <w:rPr>
          <w:rFonts w:ascii="Arial" w:hAnsi="Arial" w:cs="Arial"/>
          <w:iCs/>
          <w:sz w:val="24"/>
          <w:szCs w:val="24"/>
        </w:rPr>
      </w:pPr>
      <w:r w:rsidRPr="00373688">
        <w:rPr>
          <w:rFonts w:ascii="Arial" w:hAnsi="Arial" w:cs="Arial"/>
          <w:iCs/>
          <w:sz w:val="24"/>
          <w:szCs w:val="24"/>
        </w:rPr>
        <w:t xml:space="preserve">The Bill promotes the right to recognition and equality before the law, namely the right to equal and effective protection against discrimination on any ground, by clarifying the types of religious bodies that may rely on particular exceptions to discrimination law. </w:t>
      </w:r>
    </w:p>
    <w:p w14:paraId="2554C96C" w14:textId="1F45A50E" w:rsidR="00357018" w:rsidRPr="00373688" w:rsidRDefault="00357018" w:rsidP="00357018">
      <w:pPr>
        <w:rPr>
          <w:rFonts w:ascii="Arial" w:hAnsi="Arial" w:cs="Arial"/>
          <w:iCs/>
          <w:sz w:val="24"/>
          <w:szCs w:val="24"/>
        </w:rPr>
      </w:pPr>
      <w:r w:rsidRPr="00373688">
        <w:rPr>
          <w:rFonts w:ascii="Arial" w:hAnsi="Arial" w:cs="Arial"/>
          <w:iCs/>
          <w:sz w:val="24"/>
          <w:szCs w:val="24"/>
        </w:rPr>
        <w:t xml:space="preserve">The Bill makes it clear that a religious body whose sole or main purpose is commercial cannot rely on any of the exceptions under section 32(1) of the </w:t>
      </w:r>
      <w:r w:rsidRPr="00373688">
        <w:rPr>
          <w:rFonts w:ascii="Arial" w:hAnsi="Arial" w:cs="Arial"/>
          <w:i/>
          <w:sz w:val="24"/>
          <w:szCs w:val="24"/>
        </w:rPr>
        <w:t>Discrimination Amendment Act 2023</w:t>
      </w:r>
      <w:r w:rsidRPr="00373688">
        <w:rPr>
          <w:rFonts w:ascii="Arial" w:hAnsi="Arial" w:cs="Arial"/>
          <w:iCs/>
          <w:sz w:val="24"/>
          <w:szCs w:val="24"/>
        </w:rPr>
        <w:t xml:space="preserve">, including the exception relating to the provision of accommodation for members of a relevant class of people. </w:t>
      </w:r>
    </w:p>
    <w:p w14:paraId="6EBD1985" w14:textId="39FAA847" w:rsidR="00645949" w:rsidRPr="00373688" w:rsidRDefault="00645949" w:rsidP="00645949">
      <w:pPr>
        <w:rPr>
          <w:rFonts w:ascii="Arial" w:hAnsi="Arial" w:cs="Arial"/>
          <w:b/>
          <w:bCs/>
          <w:i/>
          <w:sz w:val="24"/>
          <w:szCs w:val="24"/>
        </w:rPr>
      </w:pPr>
      <w:r w:rsidRPr="00373688">
        <w:rPr>
          <w:rFonts w:ascii="Arial" w:hAnsi="Arial" w:cs="Arial"/>
          <w:b/>
          <w:bCs/>
          <w:i/>
          <w:sz w:val="24"/>
          <w:szCs w:val="24"/>
        </w:rPr>
        <w:t>Freedom of Information Act 2016</w:t>
      </w:r>
    </w:p>
    <w:p w14:paraId="601678AB" w14:textId="705DA453" w:rsidR="0088028E" w:rsidRPr="00373688" w:rsidRDefault="0088028E" w:rsidP="0088028E">
      <w:pPr>
        <w:rPr>
          <w:rFonts w:ascii="Arial" w:hAnsi="Arial" w:cs="Arial"/>
          <w:iCs/>
          <w:sz w:val="24"/>
          <w:szCs w:val="24"/>
          <w:u w:val="single"/>
        </w:rPr>
      </w:pPr>
      <w:r w:rsidRPr="00373688">
        <w:rPr>
          <w:rFonts w:ascii="Arial" w:hAnsi="Arial" w:cs="Arial"/>
          <w:iCs/>
          <w:sz w:val="24"/>
          <w:szCs w:val="24"/>
          <w:u w:val="single"/>
        </w:rPr>
        <w:t>Section 16 – freedom of expression and section 17 – right to participate in public life</w:t>
      </w:r>
    </w:p>
    <w:p w14:paraId="42C5F1BE" w14:textId="6AA19F26" w:rsidR="006F76A1" w:rsidRPr="00373688" w:rsidRDefault="00645949" w:rsidP="00357018">
      <w:pPr>
        <w:rPr>
          <w:rFonts w:ascii="Arial" w:hAnsi="Arial" w:cs="Arial"/>
          <w:iCs/>
          <w:sz w:val="24"/>
          <w:szCs w:val="24"/>
        </w:rPr>
      </w:pPr>
      <w:r w:rsidRPr="00373688">
        <w:rPr>
          <w:rFonts w:ascii="Arial" w:hAnsi="Arial" w:cs="Arial"/>
          <w:iCs/>
          <w:sz w:val="24"/>
          <w:szCs w:val="24"/>
        </w:rPr>
        <w:t>The Bill promotes the right to freedom of expression and the right to participate in public life by supporting public access to government information</w:t>
      </w:r>
      <w:r w:rsidR="004E3A3B" w:rsidRPr="00373688">
        <w:rPr>
          <w:rFonts w:ascii="Arial" w:hAnsi="Arial" w:cs="Arial"/>
          <w:iCs/>
          <w:sz w:val="24"/>
          <w:szCs w:val="24"/>
        </w:rPr>
        <w:t xml:space="preserve"> by clarifying the current requirements of the </w:t>
      </w:r>
      <w:r w:rsidR="004E3A3B" w:rsidRPr="00373688">
        <w:rPr>
          <w:rFonts w:ascii="Arial" w:hAnsi="Arial" w:cs="Arial"/>
          <w:i/>
          <w:sz w:val="24"/>
          <w:szCs w:val="24"/>
        </w:rPr>
        <w:t>Freedom of Information Act 2016</w:t>
      </w:r>
      <w:r w:rsidRPr="00373688">
        <w:rPr>
          <w:rFonts w:ascii="Arial" w:hAnsi="Arial" w:cs="Arial"/>
          <w:iCs/>
          <w:sz w:val="24"/>
          <w:szCs w:val="24"/>
        </w:rPr>
        <w:t xml:space="preserve">. </w:t>
      </w:r>
      <w:r w:rsidR="003D3045" w:rsidRPr="00373688">
        <w:rPr>
          <w:rFonts w:ascii="Arial" w:hAnsi="Arial" w:cs="Arial"/>
          <w:iCs/>
          <w:sz w:val="24"/>
          <w:szCs w:val="24"/>
        </w:rPr>
        <w:t>It is necessary for a person to have a</w:t>
      </w:r>
      <w:r w:rsidRPr="00373688">
        <w:rPr>
          <w:rFonts w:ascii="Arial" w:hAnsi="Arial" w:cs="Arial"/>
          <w:iCs/>
          <w:sz w:val="24"/>
          <w:szCs w:val="24"/>
        </w:rPr>
        <w:t xml:space="preserve">ccess to information about the conduct of public affairs </w:t>
      </w:r>
      <w:r w:rsidR="003D3045" w:rsidRPr="00373688">
        <w:rPr>
          <w:rFonts w:ascii="Arial" w:hAnsi="Arial" w:cs="Arial"/>
          <w:iCs/>
          <w:sz w:val="24"/>
          <w:szCs w:val="24"/>
        </w:rPr>
        <w:t xml:space="preserve">in order to take a </w:t>
      </w:r>
      <w:r w:rsidRPr="00373688">
        <w:rPr>
          <w:rFonts w:ascii="Arial" w:hAnsi="Arial" w:cs="Arial"/>
          <w:iCs/>
          <w:sz w:val="24"/>
          <w:szCs w:val="24"/>
        </w:rPr>
        <w:t>meaningful</w:t>
      </w:r>
      <w:r w:rsidR="003D3045" w:rsidRPr="00373688">
        <w:rPr>
          <w:rFonts w:ascii="Arial" w:hAnsi="Arial" w:cs="Arial"/>
          <w:iCs/>
          <w:sz w:val="24"/>
          <w:szCs w:val="24"/>
        </w:rPr>
        <w:t xml:space="preserve"> part in those affairs. </w:t>
      </w:r>
      <w:r w:rsidRPr="00373688">
        <w:rPr>
          <w:rFonts w:ascii="Arial" w:hAnsi="Arial" w:cs="Arial"/>
          <w:iCs/>
          <w:sz w:val="24"/>
          <w:szCs w:val="24"/>
        </w:rPr>
        <w:t>The amendments will ensure an effective review process of government decision-makin</w:t>
      </w:r>
      <w:r w:rsidR="00FC7B1E" w:rsidRPr="00373688">
        <w:rPr>
          <w:rFonts w:ascii="Arial" w:hAnsi="Arial" w:cs="Arial"/>
          <w:iCs/>
          <w:sz w:val="24"/>
          <w:szCs w:val="24"/>
        </w:rPr>
        <w:t xml:space="preserve">g by the ACT Ombudsman, including </w:t>
      </w:r>
      <w:r w:rsidRPr="00373688">
        <w:rPr>
          <w:rFonts w:ascii="Arial" w:hAnsi="Arial" w:cs="Arial"/>
          <w:iCs/>
          <w:sz w:val="24"/>
          <w:szCs w:val="24"/>
        </w:rPr>
        <w:t xml:space="preserve">whether a document is subject to legal professional privilege </w:t>
      </w:r>
      <w:r w:rsidR="00FC7B1E" w:rsidRPr="00373688">
        <w:rPr>
          <w:rFonts w:ascii="Arial" w:hAnsi="Arial" w:cs="Arial"/>
          <w:iCs/>
          <w:sz w:val="24"/>
          <w:szCs w:val="24"/>
        </w:rPr>
        <w:t xml:space="preserve">or </w:t>
      </w:r>
      <w:r w:rsidRPr="00373688">
        <w:rPr>
          <w:rFonts w:ascii="Arial" w:hAnsi="Arial" w:cs="Arial"/>
          <w:iCs/>
          <w:sz w:val="24"/>
          <w:szCs w:val="24"/>
        </w:rPr>
        <w:t>should be disclosed in response to an FOI request.</w:t>
      </w:r>
      <w:r w:rsidRPr="00373688">
        <w:rPr>
          <w:rFonts w:ascii="Arial" w:hAnsi="Arial" w:cs="Arial"/>
        </w:rPr>
        <w:t xml:space="preserve"> </w:t>
      </w:r>
    </w:p>
    <w:p w14:paraId="40BFFECA" w14:textId="77777777" w:rsidR="00357018" w:rsidRPr="00373688" w:rsidRDefault="00357018" w:rsidP="0088028E">
      <w:pPr>
        <w:keepNext/>
        <w:rPr>
          <w:rFonts w:ascii="Arial" w:hAnsi="Arial" w:cs="Arial"/>
          <w:b/>
          <w:bCs/>
          <w:i/>
          <w:sz w:val="24"/>
          <w:szCs w:val="24"/>
        </w:rPr>
      </w:pPr>
      <w:r w:rsidRPr="00373688">
        <w:rPr>
          <w:rFonts w:ascii="Arial" w:hAnsi="Arial" w:cs="Arial"/>
          <w:b/>
          <w:bCs/>
          <w:i/>
          <w:sz w:val="24"/>
          <w:szCs w:val="24"/>
        </w:rPr>
        <w:lastRenderedPageBreak/>
        <w:t>Human Rights Commission Act 2005</w:t>
      </w:r>
    </w:p>
    <w:p w14:paraId="209E5AF5" w14:textId="77777777" w:rsidR="00357018" w:rsidRPr="00373688" w:rsidRDefault="00357018" w:rsidP="0088028E">
      <w:pPr>
        <w:keepNext/>
        <w:rPr>
          <w:rFonts w:ascii="Arial" w:hAnsi="Arial" w:cs="Arial"/>
          <w:iCs/>
          <w:sz w:val="24"/>
          <w:szCs w:val="24"/>
        </w:rPr>
      </w:pPr>
      <w:r w:rsidRPr="00373688">
        <w:rPr>
          <w:rFonts w:ascii="Arial" w:hAnsi="Arial" w:cs="Arial"/>
          <w:iCs/>
          <w:sz w:val="24"/>
          <w:szCs w:val="24"/>
          <w:u w:val="single"/>
        </w:rPr>
        <w:t>Section 9 – Right to life</w:t>
      </w:r>
    </w:p>
    <w:p w14:paraId="76143F18" w14:textId="5C9A3A7A" w:rsidR="00357018" w:rsidRPr="00373688" w:rsidRDefault="00357018" w:rsidP="0088028E">
      <w:pPr>
        <w:keepNext/>
        <w:rPr>
          <w:rFonts w:ascii="Arial" w:hAnsi="Arial" w:cs="Arial"/>
          <w:iCs/>
          <w:sz w:val="24"/>
          <w:szCs w:val="24"/>
        </w:rPr>
      </w:pPr>
      <w:r w:rsidRPr="00373688">
        <w:rPr>
          <w:rFonts w:ascii="Arial" w:hAnsi="Arial" w:cs="Arial"/>
          <w:iCs/>
          <w:sz w:val="24"/>
          <w:szCs w:val="24"/>
        </w:rPr>
        <w:t xml:space="preserve">The Bill promotes the right to life by allowing the ACT Human Rights Commission to consider </w:t>
      </w:r>
      <w:r w:rsidR="00797E92" w:rsidRPr="00373688">
        <w:rPr>
          <w:rFonts w:ascii="Arial" w:hAnsi="Arial" w:cs="Arial"/>
          <w:iCs/>
          <w:sz w:val="24"/>
          <w:szCs w:val="24"/>
        </w:rPr>
        <w:t>risks to</w:t>
      </w:r>
      <w:r w:rsidRPr="00373688">
        <w:rPr>
          <w:rFonts w:ascii="Arial" w:hAnsi="Arial" w:cs="Arial"/>
          <w:iCs/>
          <w:sz w:val="24"/>
          <w:szCs w:val="24"/>
        </w:rPr>
        <w:t xml:space="preserve"> vulnerable people when making decisions under the </w:t>
      </w:r>
      <w:r w:rsidRPr="00373688">
        <w:rPr>
          <w:rFonts w:ascii="Arial" w:hAnsi="Arial" w:cs="Arial"/>
          <w:i/>
          <w:sz w:val="24"/>
          <w:szCs w:val="24"/>
        </w:rPr>
        <w:t>Human Rights Commission Act 2005</w:t>
      </w:r>
      <w:r w:rsidRPr="00373688">
        <w:rPr>
          <w:rFonts w:ascii="Arial" w:hAnsi="Arial" w:cs="Arial"/>
          <w:iCs/>
          <w:sz w:val="24"/>
          <w:szCs w:val="24"/>
        </w:rPr>
        <w:t xml:space="preserve"> about who</w:t>
      </w:r>
      <w:r w:rsidR="0088028E" w:rsidRPr="00373688">
        <w:rPr>
          <w:rFonts w:ascii="Arial" w:hAnsi="Arial" w:cs="Arial"/>
          <w:iCs/>
          <w:sz w:val="24"/>
          <w:szCs w:val="24"/>
        </w:rPr>
        <w:t>m</w:t>
      </w:r>
      <w:r w:rsidRPr="00373688">
        <w:rPr>
          <w:rFonts w:ascii="Arial" w:hAnsi="Arial" w:cs="Arial"/>
          <w:iCs/>
          <w:sz w:val="24"/>
          <w:szCs w:val="24"/>
        </w:rPr>
        <w:t xml:space="preserve"> to advise about a complaint, how to advise them, and whether or not the consent of the vulnerable person </w:t>
      </w:r>
      <w:r w:rsidR="00FC7B1E" w:rsidRPr="00373688">
        <w:rPr>
          <w:rFonts w:ascii="Arial" w:hAnsi="Arial" w:cs="Arial"/>
          <w:iCs/>
          <w:sz w:val="24"/>
          <w:szCs w:val="24"/>
        </w:rPr>
        <w:t>should be sought before commencing an investigation</w:t>
      </w:r>
      <w:r w:rsidRPr="00373688">
        <w:rPr>
          <w:rFonts w:ascii="Arial" w:hAnsi="Arial" w:cs="Arial"/>
          <w:iCs/>
          <w:sz w:val="24"/>
          <w:szCs w:val="24"/>
        </w:rPr>
        <w:t xml:space="preserve">. </w:t>
      </w:r>
    </w:p>
    <w:p w14:paraId="01C5709C" w14:textId="23C23C41" w:rsidR="00357018" w:rsidRPr="00373688" w:rsidRDefault="00357018" w:rsidP="00357018">
      <w:pPr>
        <w:rPr>
          <w:rFonts w:ascii="Arial" w:hAnsi="Arial" w:cs="Arial"/>
          <w:iCs/>
          <w:sz w:val="24"/>
          <w:szCs w:val="24"/>
        </w:rPr>
      </w:pPr>
      <w:r w:rsidRPr="00373688">
        <w:rPr>
          <w:rFonts w:ascii="Arial" w:hAnsi="Arial" w:cs="Arial"/>
          <w:iCs/>
          <w:sz w:val="24"/>
          <w:szCs w:val="24"/>
        </w:rPr>
        <w:t xml:space="preserve">The amendments acknowledge that there may be circumstances where informing the respondent to a complaint, or the vulnerable person, may result in a risk to the safety of the vulnerable person, particularly where there are concerns about abuse or threats towards the vulnerable person. Providing the Commission with some discretion about when to notify parties or obtain consent will help to mitigate that risk. </w:t>
      </w:r>
    </w:p>
    <w:p w14:paraId="0E7DD1F0" w14:textId="77777777" w:rsidR="00357018" w:rsidRPr="00373688" w:rsidRDefault="00357018" w:rsidP="00357018">
      <w:pPr>
        <w:rPr>
          <w:rFonts w:ascii="Arial" w:hAnsi="Arial" w:cs="Arial"/>
          <w:iCs/>
          <w:sz w:val="24"/>
          <w:szCs w:val="24"/>
          <w:u w:val="single"/>
        </w:rPr>
      </w:pPr>
      <w:r w:rsidRPr="00373688">
        <w:rPr>
          <w:rFonts w:ascii="Arial" w:hAnsi="Arial" w:cs="Arial"/>
          <w:iCs/>
          <w:sz w:val="24"/>
          <w:szCs w:val="24"/>
          <w:u w:val="single"/>
        </w:rPr>
        <w:t>Section 10 – Protection from torture and cruel, inhuman or degrading treatment</w:t>
      </w:r>
    </w:p>
    <w:p w14:paraId="6959CF98" w14:textId="219CA50C" w:rsidR="00357018" w:rsidRPr="00373688" w:rsidRDefault="00357018" w:rsidP="00357018">
      <w:pPr>
        <w:rPr>
          <w:rFonts w:ascii="Arial" w:hAnsi="Arial" w:cs="Arial"/>
          <w:iCs/>
          <w:sz w:val="24"/>
          <w:szCs w:val="24"/>
        </w:rPr>
      </w:pPr>
      <w:r w:rsidRPr="00373688">
        <w:rPr>
          <w:rFonts w:ascii="Arial" w:hAnsi="Arial" w:cs="Arial"/>
          <w:iCs/>
          <w:sz w:val="24"/>
          <w:szCs w:val="24"/>
        </w:rPr>
        <w:t>The Bill promotes the right to protection from cruel, inhuman or degrading treatment by seeking to reduce the risk of violence or abuse towards vulnerable people. As</w:t>
      </w:r>
      <w:r w:rsidR="00F2620C">
        <w:rPr>
          <w:rFonts w:ascii="Arial" w:hAnsi="Arial" w:cs="Arial"/>
          <w:iCs/>
          <w:sz w:val="24"/>
          <w:szCs w:val="24"/>
        </w:rPr>
        <w:t> </w:t>
      </w:r>
      <w:r w:rsidRPr="00373688">
        <w:rPr>
          <w:rFonts w:ascii="Arial" w:hAnsi="Arial" w:cs="Arial"/>
          <w:iCs/>
          <w:sz w:val="24"/>
          <w:szCs w:val="24"/>
        </w:rPr>
        <w:t>with the right to life, the Bill allows the ACT Human Rights Commission to consider the safety of vulnerable people when making decisions under the Human Rights Commission Act about who</w:t>
      </w:r>
      <w:r w:rsidR="0088028E" w:rsidRPr="00373688">
        <w:rPr>
          <w:rFonts w:ascii="Arial" w:hAnsi="Arial" w:cs="Arial"/>
          <w:iCs/>
          <w:sz w:val="24"/>
          <w:szCs w:val="24"/>
        </w:rPr>
        <w:t>m</w:t>
      </w:r>
      <w:r w:rsidRPr="00373688">
        <w:rPr>
          <w:rFonts w:ascii="Arial" w:hAnsi="Arial" w:cs="Arial"/>
          <w:iCs/>
          <w:sz w:val="24"/>
          <w:szCs w:val="24"/>
        </w:rPr>
        <w:t xml:space="preserve"> to advise about a complaint, how to advise them and whether or not the consent of the vulnerable person is required to deal with a complaint. </w:t>
      </w:r>
    </w:p>
    <w:p w14:paraId="357DDDF3" w14:textId="77777777" w:rsidR="00357018" w:rsidRPr="00373688" w:rsidRDefault="00357018" w:rsidP="00357018">
      <w:pPr>
        <w:rPr>
          <w:rFonts w:ascii="Arial" w:hAnsi="Arial" w:cs="Arial"/>
          <w:b/>
          <w:bCs/>
          <w:iCs/>
          <w:sz w:val="24"/>
          <w:szCs w:val="24"/>
        </w:rPr>
      </w:pPr>
      <w:r w:rsidRPr="00373688">
        <w:rPr>
          <w:rFonts w:ascii="Arial" w:hAnsi="Arial" w:cs="Arial"/>
          <w:b/>
          <w:bCs/>
          <w:iCs/>
          <w:sz w:val="24"/>
          <w:szCs w:val="24"/>
        </w:rPr>
        <w:t>Rights Limited</w:t>
      </w:r>
    </w:p>
    <w:p w14:paraId="38B8840D" w14:textId="77777777" w:rsidR="00357018" w:rsidRPr="00373688" w:rsidRDefault="00357018" w:rsidP="0088028E">
      <w:pPr>
        <w:rPr>
          <w:rFonts w:ascii="Arial" w:hAnsi="Arial" w:cs="Arial"/>
          <w:iCs/>
          <w:sz w:val="24"/>
          <w:szCs w:val="24"/>
        </w:rPr>
      </w:pPr>
      <w:r w:rsidRPr="00373688">
        <w:rPr>
          <w:rFonts w:ascii="Arial" w:hAnsi="Arial" w:cs="Arial"/>
          <w:iCs/>
          <w:sz w:val="24"/>
          <w:szCs w:val="24"/>
        </w:rPr>
        <w:t>The preamble to the HRA notes that few rights are absolute and that they may be subject to reasonable limits in law that can be demonstrably justified in a free and democratic society. Section 28 (2) of the HRA contains the framework that is used to determine the acceptable limitations that may be placed on human rights.</w:t>
      </w:r>
    </w:p>
    <w:p w14:paraId="19AEB939" w14:textId="77777777" w:rsidR="00357018" w:rsidRPr="00373688" w:rsidRDefault="00357018" w:rsidP="0088028E">
      <w:pPr>
        <w:rPr>
          <w:rFonts w:ascii="Arial" w:hAnsi="Arial" w:cs="Arial"/>
          <w:iCs/>
          <w:sz w:val="24"/>
          <w:szCs w:val="24"/>
        </w:rPr>
      </w:pPr>
      <w:r w:rsidRPr="00373688">
        <w:rPr>
          <w:rFonts w:ascii="Arial" w:hAnsi="Arial" w:cs="Arial"/>
          <w:iCs/>
          <w:sz w:val="24"/>
          <w:szCs w:val="24"/>
        </w:rPr>
        <w:t>Section 28 of the HRA requires that any limitation on a human right be authorised by a Territory law, be based on evidence, and be reasonable to achieve a legitimate aim. Whether a limitation is reasonable depends on whether it is proportionate. Proportionality can be understood and assessed as explained in R. v. Oakes, [1986] 1 S.C.R. 103 at 70. A party must show:</w:t>
      </w:r>
    </w:p>
    <w:p w14:paraId="5F0472A8" w14:textId="77777777" w:rsidR="00357018" w:rsidRPr="00373688" w:rsidRDefault="00357018" w:rsidP="00357018">
      <w:pPr>
        <w:pStyle w:val="NormalWeb"/>
        <w:shd w:val="clear" w:color="auto" w:fill="FFFFFF"/>
        <w:spacing w:before="0" w:beforeAutospacing="0" w:after="200" w:afterAutospacing="0" w:line="276" w:lineRule="atLeast"/>
        <w:ind w:left="567" w:right="521"/>
        <w:rPr>
          <w:rFonts w:ascii="Arial" w:hAnsi="Arial" w:cs="Arial"/>
          <w:color w:val="000000"/>
        </w:rPr>
      </w:pPr>
      <w:r w:rsidRPr="00373688">
        <w:rPr>
          <w:rFonts w:ascii="Arial" w:hAnsi="Arial" w:cs="Arial"/>
          <w:i/>
          <w:iCs/>
          <w:color w:val="000000"/>
        </w:rPr>
        <w:t>“… [f]</w:t>
      </w:r>
      <w:proofErr w:type="spellStart"/>
      <w:r w:rsidRPr="00373688">
        <w:rPr>
          <w:rFonts w:ascii="Arial" w:hAnsi="Arial" w:cs="Arial"/>
          <w:i/>
          <w:iCs/>
          <w:color w:val="000000"/>
        </w:rPr>
        <w:t>irst</w:t>
      </w:r>
      <w:proofErr w:type="spellEnd"/>
      <w:r w:rsidRPr="00373688">
        <w:rPr>
          <w:rFonts w:ascii="Arial" w:hAnsi="Arial" w:cs="Arial"/>
          <w:i/>
          <w:iCs/>
          <w:color w:val="000000"/>
        </w:rPr>
        <w:t>, the measures adopted must be carefully designed to achieve the objective in question. They must not be arbitrary, unfair or based on irrational considerations. In short, they must be rationally connected to the objective. Second, the means, even if rationally connected to the objective in this first sense, should impair “as little as possible” the right or freedom in question. Third, there must be a proportionality between the effects of the measures which are responsible for limiting the Charter right or freedom, and the objective which has been identified as of “sufficient importance”.</w:t>
      </w:r>
    </w:p>
    <w:p w14:paraId="1080CA8B" w14:textId="5D1CCB15" w:rsidR="00357018" w:rsidRPr="00373688" w:rsidRDefault="00357018" w:rsidP="0088028E">
      <w:pPr>
        <w:pStyle w:val="NormalWeb"/>
        <w:shd w:val="clear" w:color="auto" w:fill="FFFFFF"/>
        <w:spacing w:before="0" w:beforeAutospacing="0" w:after="200" w:afterAutospacing="0" w:line="276" w:lineRule="atLeast"/>
        <w:rPr>
          <w:rFonts w:ascii="Arial" w:hAnsi="Arial" w:cs="Arial"/>
          <w:iCs/>
          <w:lang w:eastAsia="en-US"/>
        </w:rPr>
      </w:pPr>
      <w:r w:rsidRPr="00373688">
        <w:rPr>
          <w:rFonts w:ascii="Arial" w:hAnsi="Arial" w:cs="Arial"/>
          <w:iCs/>
          <w:lang w:eastAsia="en-US"/>
        </w:rPr>
        <w:lastRenderedPageBreak/>
        <w:t xml:space="preserve">The Bill engages and may limit the right to privacy and reputation (Section 12). </w:t>
      </w:r>
    </w:p>
    <w:p w14:paraId="37E70219" w14:textId="77777777" w:rsidR="00357018" w:rsidRPr="00373688" w:rsidRDefault="00357018" w:rsidP="00357018">
      <w:pPr>
        <w:rPr>
          <w:rFonts w:ascii="Arial" w:hAnsi="Arial" w:cs="Arial"/>
          <w:b/>
          <w:bCs/>
          <w:i/>
          <w:sz w:val="24"/>
          <w:szCs w:val="24"/>
        </w:rPr>
      </w:pPr>
      <w:r w:rsidRPr="00373688">
        <w:rPr>
          <w:rFonts w:ascii="Arial" w:hAnsi="Arial" w:cs="Arial"/>
          <w:b/>
          <w:bCs/>
          <w:i/>
          <w:sz w:val="24"/>
          <w:szCs w:val="24"/>
        </w:rPr>
        <w:t>Human Rights Commission Act 2005</w:t>
      </w:r>
    </w:p>
    <w:p w14:paraId="34485D7D" w14:textId="77777777" w:rsidR="00357018" w:rsidRPr="00373688" w:rsidRDefault="00357018" w:rsidP="00357018">
      <w:pPr>
        <w:rPr>
          <w:rFonts w:ascii="Arial" w:hAnsi="Arial" w:cs="Arial"/>
          <w:iCs/>
          <w:sz w:val="24"/>
          <w:szCs w:val="24"/>
          <w:u w:val="single"/>
        </w:rPr>
      </w:pPr>
      <w:r w:rsidRPr="00373688">
        <w:rPr>
          <w:rFonts w:ascii="Arial" w:hAnsi="Arial" w:cs="Arial"/>
          <w:iCs/>
          <w:sz w:val="24"/>
          <w:szCs w:val="24"/>
          <w:u w:val="single"/>
        </w:rPr>
        <w:t>Section 12 – Privacy and reputation</w:t>
      </w:r>
    </w:p>
    <w:p w14:paraId="5737472C" w14:textId="77777777" w:rsidR="00357018" w:rsidRPr="00373688" w:rsidRDefault="00357018" w:rsidP="00357018">
      <w:pPr>
        <w:pStyle w:val="ListParagraph"/>
        <w:numPr>
          <w:ilvl w:val="0"/>
          <w:numId w:val="3"/>
        </w:numPr>
        <w:rPr>
          <w:rFonts w:ascii="Arial" w:hAnsi="Arial" w:cs="Arial"/>
          <w:i/>
          <w:sz w:val="24"/>
          <w:szCs w:val="24"/>
        </w:rPr>
      </w:pPr>
      <w:r w:rsidRPr="00373688">
        <w:rPr>
          <w:rFonts w:ascii="Arial" w:hAnsi="Arial" w:cs="Arial"/>
          <w:i/>
          <w:sz w:val="24"/>
          <w:szCs w:val="24"/>
        </w:rPr>
        <w:t>Nature of the right and the limitation (ss 28(2)(a) and (c))</w:t>
      </w:r>
    </w:p>
    <w:p w14:paraId="7EB236C0" w14:textId="77777777" w:rsidR="00357018" w:rsidRPr="00373688" w:rsidRDefault="00357018" w:rsidP="00357018">
      <w:pPr>
        <w:pStyle w:val="ListParagraph"/>
        <w:ind w:left="360"/>
        <w:rPr>
          <w:rFonts w:ascii="Arial" w:hAnsi="Arial" w:cs="Arial"/>
          <w:i/>
          <w:sz w:val="24"/>
          <w:szCs w:val="24"/>
        </w:rPr>
      </w:pPr>
    </w:p>
    <w:p w14:paraId="02D3947A" w14:textId="0FB51E61" w:rsidR="00357018" w:rsidRPr="00373688" w:rsidRDefault="00357018" w:rsidP="0088028E">
      <w:pPr>
        <w:rPr>
          <w:rFonts w:ascii="Arial" w:hAnsi="Arial" w:cs="Arial"/>
          <w:iCs/>
          <w:sz w:val="24"/>
          <w:szCs w:val="24"/>
        </w:rPr>
      </w:pPr>
      <w:r w:rsidRPr="00373688">
        <w:rPr>
          <w:rFonts w:ascii="Arial" w:hAnsi="Arial" w:cs="Arial"/>
          <w:iCs/>
          <w:sz w:val="24"/>
          <w:szCs w:val="24"/>
        </w:rPr>
        <w:t xml:space="preserve">Everyone has the right not to have their privacy, family, home or correspondence interfered with unlawfully or arbitrarily. The Bill limits this right by </w:t>
      </w:r>
      <w:r w:rsidR="00475CBE" w:rsidRPr="00373688">
        <w:rPr>
          <w:rFonts w:ascii="Arial" w:hAnsi="Arial" w:cs="Arial"/>
          <w:iCs/>
          <w:sz w:val="24"/>
          <w:szCs w:val="24"/>
        </w:rPr>
        <w:t>expanding the</w:t>
      </w:r>
      <w:r w:rsidRPr="00373688">
        <w:rPr>
          <w:rFonts w:ascii="Arial" w:hAnsi="Arial" w:cs="Arial"/>
          <w:iCs/>
          <w:sz w:val="24"/>
          <w:szCs w:val="24"/>
        </w:rPr>
        <w:t xml:space="preserve"> circumstances</w:t>
      </w:r>
      <w:r w:rsidR="00475CBE" w:rsidRPr="00373688">
        <w:rPr>
          <w:rFonts w:ascii="Arial" w:hAnsi="Arial" w:cs="Arial"/>
          <w:iCs/>
          <w:sz w:val="24"/>
          <w:szCs w:val="24"/>
        </w:rPr>
        <w:t xml:space="preserve"> in which</w:t>
      </w:r>
      <w:r w:rsidRPr="00373688">
        <w:rPr>
          <w:rFonts w:ascii="Arial" w:hAnsi="Arial" w:cs="Arial"/>
          <w:iCs/>
          <w:sz w:val="24"/>
          <w:szCs w:val="24"/>
        </w:rPr>
        <w:t xml:space="preserve"> the ACT Human Rights Commission </w:t>
      </w:r>
      <w:r w:rsidR="00475CBE" w:rsidRPr="00373688">
        <w:rPr>
          <w:rFonts w:ascii="Arial" w:hAnsi="Arial" w:cs="Arial"/>
          <w:iCs/>
          <w:sz w:val="24"/>
          <w:szCs w:val="24"/>
        </w:rPr>
        <w:t>may</w:t>
      </w:r>
      <w:r w:rsidRPr="00373688">
        <w:rPr>
          <w:rFonts w:ascii="Arial" w:hAnsi="Arial" w:cs="Arial"/>
          <w:iCs/>
          <w:sz w:val="24"/>
          <w:szCs w:val="24"/>
        </w:rPr>
        <w:t xml:space="preserve"> deal with a vulnerable person complaint without the consent of the vulnerable person themselves. </w:t>
      </w:r>
    </w:p>
    <w:p w14:paraId="679320F6" w14:textId="222C2F20" w:rsidR="00357018" w:rsidRPr="00373688" w:rsidRDefault="00357018" w:rsidP="0088028E">
      <w:pPr>
        <w:rPr>
          <w:rFonts w:ascii="Arial" w:hAnsi="Arial" w:cs="Arial"/>
          <w:iCs/>
          <w:sz w:val="24"/>
          <w:szCs w:val="24"/>
        </w:rPr>
      </w:pPr>
      <w:r w:rsidRPr="00373688">
        <w:rPr>
          <w:rFonts w:ascii="Arial" w:hAnsi="Arial" w:cs="Arial"/>
          <w:iCs/>
          <w:sz w:val="24"/>
          <w:szCs w:val="24"/>
        </w:rPr>
        <w:t>This limits the vulnerable person’s right to privacy and right not to have their family and home interfered with because in considering a complaint, the ACT Human Rights Commission may ask for information, documents and other things in relation to the vulnerable person and make recommendations about their situation.</w:t>
      </w:r>
    </w:p>
    <w:p w14:paraId="1264741F" w14:textId="77777777" w:rsidR="00357018" w:rsidRPr="00373688" w:rsidRDefault="00357018" w:rsidP="00357018">
      <w:pPr>
        <w:pStyle w:val="ListParagraph"/>
        <w:numPr>
          <w:ilvl w:val="0"/>
          <w:numId w:val="3"/>
        </w:numPr>
        <w:rPr>
          <w:rFonts w:ascii="Arial" w:hAnsi="Arial" w:cs="Arial"/>
          <w:i/>
          <w:sz w:val="24"/>
          <w:szCs w:val="24"/>
        </w:rPr>
      </w:pPr>
      <w:r w:rsidRPr="00373688">
        <w:rPr>
          <w:rFonts w:ascii="Arial" w:hAnsi="Arial" w:cs="Arial"/>
          <w:i/>
          <w:sz w:val="24"/>
          <w:szCs w:val="24"/>
        </w:rPr>
        <w:t>Legitimate purpose (s 28(2)(b))</w:t>
      </w:r>
    </w:p>
    <w:p w14:paraId="32C78FFF" w14:textId="77777777" w:rsidR="00357018" w:rsidRPr="00373688" w:rsidRDefault="00357018" w:rsidP="00357018">
      <w:pPr>
        <w:pStyle w:val="ListParagraph"/>
        <w:ind w:left="360"/>
        <w:rPr>
          <w:rFonts w:ascii="Arial" w:hAnsi="Arial" w:cs="Arial"/>
          <w:i/>
          <w:sz w:val="24"/>
          <w:szCs w:val="24"/>
        </w:rPr>
      </w:pPr>
    </w:p>
    <w:p w14:paraId="28E9D767" w14:textId="0DB4E6FD" w:rsidR="00357018" w:rsidRPr="00373688" w:rsidRDefault="00357018" w:rsidP="0088028E">
      <w:pPr>
        <w:rPr>
          <w:rFonts w:ascii="Arial" w:hAnsi="Arial" w:cs="Arial"/>
          <w:iCs/>
          <w:sz w:val="24"/>
          <w:szCs w:val="24"/>
        </w:rPr>
      </w:pPr>
      <w:r w:rsidRPr="00373688">
        <w:rPr>
          <w:rFonts w:ascii="Arial" w:hAnsi="Arial" w:cs="Arial"/>
          <w:iCs/>
          <w:sz w:val="24"/>
          <w:szCs w:val="24"/>
        </w:rPr>
        <w:t xml:space="preserve">The purpose of the limitation is to allow </w:t>
      </w:r>
      <w:r w:rsidR="000803B8" w:rsidRPr="00373688">
        <w:rPr>
          <w:rFonts w:ascii="Arial" w:hAnsi="Arial" w:cs="Arial"/>
          <w:iCs/>
          <w:sz w:val="24"/>
          <w:szCs w:val="24"/>
        </w:rPr>
        <w:t>the Commission to dispense with requirement to seek and obtain</w:t>
      </w:r>
      <w:r w:rsidRPr="00373688">
        <w:rPr>
          <w:rFonts w:ascii="Arial" w:hAnsi="Arial" w:cs="Arial"/>
          <w:iCs/>
          <w:sz w:val="24"/>
          <w:szCs w:val="24"/>
        </w:rPr>
        <w:t xml:space="preserve"> the consent of the vulnerable person in circumstances where the Commission is not able to access the vulnerable person to obtain consent or where seeking to obtain consent could result in a risk </w:t>
      </w:r>
      <w:r w:rsidR="00797E92" w:rsidRPr="00373688">
        <w:rPr>
          <w:rFonts w:ascii="Arial" w:hAnsi="Arial" w:cs="Arial"/>
          <w:iCs/>
          <w:sz w:val="24"/>
          <w:szCs w:val="24"/>
        </w:rPr>
        <w:t xml:space="preserve">of harm to </w:t>
      </w:r>
      <w:r w:rsidRPr="00373688">
        <w:rPr>
          <w:rFonts w:ascii="Arial" w:hAnsi="Arial" w:cs="Arial"/>
          <w:iCs/>
          <w:sz w:val="24"/>
          <w:szCs w:val="24"/>
        </w:rPr>
        <w:t xml:space="preserve">the person. </w:t>
      </w:r>
      <w:r w:rsidR="000803B8" w:rsidRPr="00373688">
        <w:rPr>
          <w:rFonts w:ascii="Arial" w:hAnsi="Arial" w:cs="Arial"/>
          <w:iCs/>
          <w:sz w:val="24"/>
          <w:szCs w:val="24"/>
        </w:rPr>
        <w:t xml:space="preserve">This will allow the Commission to investigate a complaint without exacerbating the risk to the vulnerable person, support the protection of vulnerable people. </w:t>
      </w:r>
    </w:p>
    <w:p w14:paraId="2DF965E8" w14:textId="77777777" w:rsidR="00357018" w:rsidRPr="00373688" w:rsidRDefault="00357018" w:rsidP="00357018">
      <w:pPr>
        <w:pStyle w:val="ListParagraph"/>
        <w:numPr>
          <w:ilvl w:val="0"/>
          <w:numId w:val="3"/>
        </w:numPr>
        <w:rPr>
          <w:rFonts w:ascii="Arial" w:hAnsi="Arial" w:cs="Arial"/>
          <w:i/>
          <w:sz w:val="24"/>
          <w:szCs w:val="24"/>
        </w:rPr>
      </w:pPr>
      <w:r w:rsidRPr="00373688">
        <w:rPr>
          <w:rFonts w:ascii="Arial" w:hAnsi="Arial" w:cs="Arial"/>
          <w:i/>
          <w:sz w:val="24"/>
          <w:szCs w:val="24"/>
        </w:rPr>
        <w:t>Rational connection between the limitation and the purpose (s 28(2)(d))</w:t>
      </w:r>
    </w:p>
    <w:p w14:paraId="53C746CD" w14:textId="77777777" w:rsidR="00357018" w:rsidRPr="00373688" w:rsidRDefault="00357018" w:rsidP="00357018">
      <w:pPr>
        <w:pStyle w:val="ListParagraph"/>
        <w:ind w:left="360"/>
        <w:rPr>
          <w:rFonts w:ascii="Arial" w:hAnsi="Arial" w:cs="Arial"/>
          <w:i/>
          <w:sz w:val="24"/>
          <w:szCs w:val="24"/>
        </w:rPr>
      </w:pPr>
    </w:p>
    <w:p w14:paraId="1554A55A" w14:textId="4B1DC376" w:rsidR="00357018" w:rsidRPr="00373688" w:rsidRDefault="00357018" w:rsidP="0088028E">
      <w:pPr>
        <w:rPr>
          <w:rFonts w:ascii="Arial" w:hAnsi="Arial" w:cs="Arial"/>
          <w:iCs/>
          <w:sz w:val="24"/>
          <w:szCs w:val="24"/>
        </w:rPr>
      </w:pPr>
      <w:r w:rsidRPr="00373688">
        <w:rPr>
          <w:rFonts w:ascii="Arial" w:hAnsi="Arial" w:cs="Arial"/>
          <w:iCs/>
          <w:sz w:val="24"/>
          <w:szCs w:val="24"/>
        </w:rPr>
        <w:t xml:space="preserve">Although section 98 of the Human Rights Commission Act makes it an offence to cause or threaten to cause a detriment to someone because of their participation in a complaint to the ACT Human Rights Commission, this of itself may not be enough to mitigate the risk of threats or abuse towards a vulnerable person in some circumstances. </w:t>
      </w:r>
    </w:p>
    <w:p w14:paraId="0CB5F618" w14:textId="7C040FC2" w:rsidR="00357018" w:rsidRPr="00373688" w:rsidRDefault="00400687" w:rsidP="0088028E">
      <w:pPr>
        <w:rPr>
          <w:rFonts w:ascii="Arial" w:hAnsi="Arial" w:cs="Arial"/>
          <w:iCs/>
          <w:sz w:val="24"/>
          <w:szCs w:val="24"/>
        </w:rPr>
      </w:pPr>
      <w:r w:rsidRPr="00373688">
        <w:rPr>
          <w:rFonts w:ascii="Arial" w:hAnsi="Arial" w:cs="Arial"/>
          <w:iCs/>
          <w:sz w:val="24"/>
          <w:szCs w:val="24"/>
        </w:rPr>
        <w:t>Removing the requirement to seek and obtain</w:t>
      </w:r>
      <w:r w:rsidR="00357018" w:rsidRPr="00373688">
        <w:rPr>
          <w:rFonts w:ascii="Arial" w:hAnsi="Arial" w:cs="Arial"/>
          <w:iCs/>
          <w:sz w:val="24"/>
          <w:szCs w:val="24"/>
        </w:rPr>
        <w:t xml:space="preserve"> consent </w:t>
      </w:r>
      <w:r w:rsidRPr="00373688">
        <w:rPr>
          <w:rFonts w:ascii="Arial" w:hAnsi="Arial" w:cs="Arial"/>
          <w:iCs/>
          <w:sz w:val="24"/>
          <w:szCs w:val="24"/>
        </w:rPr>
        <w:t xml:space="preserve">prior to considering a </w:t>
      </w:r>
      <w:r w:rsidR="00357018" w:rsidRPr="00373688">
        <w:rPr>
          <w:rFonts w:ascii="Arial" w:hAnsi="Arial" w:cs="Arial"/>
          <w:iCs/>
          <w:sz w:val="24"/>
          <w:szCs w:val="24"/>
        </w:rPr>
        <w:t>vulnerable pe</w:t>
      </w:r>
      <w:r w:rsidRPr="00373688">
        <w:rPr>
          <w:rFonts w:ascii="Arial" w:hAnsi="Arial" w:cs="Arial"/>
          <w:iCs/>
          <w:sz w:val="24"/>
          <w:szCs w:val="24"/>
        </w:rPr>
        <w:t>rson</w:t>
      </w:r>
      <w:r w:rsidR="00357018" w:rsidRPr="00373688">
        <w:rPr>
          <w:rFonts w:ascii="Arial" w:hAnsi="Arial" w:cs="Arial"/>
          <w:iCs/>
          <w:sz w:val="24"/>
          <w:szCs w:val="24"/>
        </w:rPr>
        <w:t xml:space="preserve"> complaint</w:t>
      </w:r>
      <w:r w:rsidR="009B2A7E" w:rsidRPr="00373688">
        <w:rPr>
          <w:rFonts w:ascii="Arial" w:hAnsi="Arial" w:cs="Arial"/>
          <w:iCs/>
          <w:sz w:val="24"/>
          <w:szCs w:val="24"/>
        </w:rPr>
        <w:t xml:space="preserve"> in certain circumstances</w:t>
      </w:r>
      <w:r w:rsidR="00357018" w:rsidRPr="00373688">
        <w:rPr>
          <w:rFonts w:ascii="Arial" w:hAnsi="Arial" w:cs="Arial"/>
          <w:iCs/>
          <w:sz w:val="24"/>
          <w:szCs w:val="24"/>
        </w:rPr>
        <w:t xml:space="preserve">, particularly where there is a risk to the vulnerable person, will support the right to life and the right to protection from torture and cruel, inhuman or degrading treatment. </w:t>
      </w:r>
      <w:r w:rsidR="009B2A7E" w:rsidRPr="00373688">
        <w:rPr>
          <w:rFonts w:ascii="Arial" w:hAnsi="Arial" w:cs="Arial"/>
          <w:iCs/>
          <w:sz w:val="24"/>
          <w:szCs w:val="24"/>
        </w:rPr>
        <w:t>Changing the threshold from “personal safety” to “risk of harm”</w:t>
      </w:r>
      <w:r w:rsidR="00475CBE" w:rsidRPr="00373688">
        <w:rPr>
          <w:rFonts w:ascii="Arial" w:hAnsi="Arial" w:cs="Arial"/>
          <w:iCs/>
          <w:sz w:val="24"/>
          <w:szCs w:val="24"/>
        </w:rPr>
        <w:t xml:space="preserve"> acknowledge</w:t>
      </w:r>
      <w:r w:rsidR="009B2A7E" w:rsidRPr="00373688">
        <w:rPr>
          <w:rFonts w:ascii="Arial" w:hAnsi="Arial" w:cs="Arial"/>
          <w:iCs/>
          <w:sz w:val="24"/>
          <w:szCs w:val="24"/>
        </w:rPr>
        <w:t>s</w:t>
      </w:r>
      <w:r w:rsidR="00475CBE" w:rsidRPr="00373688">
        <w:rPr>
          <w:rFonts w:ascii="Arial" w:hAnsi="Arial" w:cs="Arial"/>
          <w:iCs/>
          <w:sz w:val="24"/>
          <w:szCs w:val="24"/>
        </w:rPr>
        <w:t xml:space="preserve"> that there may be circumstances where a vulnerable person is at risk of</w:t>
      </w:r>
      <w:r w:rsidR="009B2A7E" w:rsidRPr="00373688">
        <w:rPr>
          <w:rFonts w:ascii="Arial" w:hAnsi="Arial" w:cs="Arial"/>
          <w:iCs/>
          <w:sz w:val="24"/>
          <w:szCs w:val="24"/>
        </w:rPr>
        <w:t xml:space="preserve"> types of harm other than physical harm such as</w:t>
      </w:r>
      <w:r w:rsidR="00475CBE" w:rsidRPr="00373688">
        <w:rPr>
          <w:rFonts w:ascii="Arial" w:hAnsi="Arial" w:cs="Arial"/>
          <w:iCs/>
          <w:sz w:val="24"/>
          <w:szCs w:val="24"/>
        </w:rPr>
        <w:t xml:space="preserve"> financial abuse</w:t>
      </w:r>
      <w:r w:rsidR="00797E92" w:rsidRPr="00373688">
        <w:rPr>
          <w:rFonts w:ascii="Arial" w:hAnsi="Arial" w:cs="Arial"/>
          <w:iCs/>
          <w:sz w:val="24"/>
          <w:szCs w:val="24"/>
        </w:rPr>
        <w:t>, emotional abuse</w:t>
      </w:r>
      <w:r w:rsidR="009B2A7E" w:rsidRPr="00373688">
        <w:rPr>
          <w:rFonts w:ascii="Arial" w:hAnsi="Arial" w:cs="Arial"/>
          <w:iCs/>
          <w:sz w:val="24"/>
          <w:szCs w:val="24"/>
        </w:rPr>
        <w:t xml:space="preserve"> or coercive control. Financial abuse can include</w:t>
      </w:r>
      <w:r w:rsidR="00475CBE" w:rsidRPr="00373688">
        <w:rPr>
          <w:rFonts w:ascii="Arial" w:hAnsi="Arial" w:cs="Arial"/>
          <w:iCs/>
          <w:sz w:val="24"/>
          <w:szCs w:val="24"/>
        </w:rPr>
        <w:t xml:space="preserve"> </w:t>
      </w:r>
      <w:r w:rsidR="009B2A7E" w:rsidRPr="00373688">
        <w:rPr>
          <w:rFonts w:ascii="Arial" w:hAnsi="Arial" w:cs="Arial"/>
          <w:iCs/>
          <w:sz w:val="24"/>
          <w:szCs w:val="24"/>
        </w:rPr>
        <w:t xml:space="preserve">a person </w:t>
      </w:r>
      <w:r w:rsidR="005237B0" w:rsidRPr="00373688">
        <w:rPr>
          <w:rFonts w:ascii="Arial" w:hAnsi="Arial" w:cs="Arial"/>
          <w:iCs/>
          <w:sz w:val="24"/>
          <w:szCs w:val="24"/>
        </w:rPr>
        <w:t xml:space="preserve">being pressured to change their will in favour of someone, having an enduring power of attorney (and access to e.g. bank accounts or superannuation) exploited or being pressured into “family agreements” such as transferring property </w:t>
      </w:r>
      <w:r w:rsidR="005237B0" w:rsidRPr="00373688">
        <w:rPr>
          <w:rFonts w:ascii="Arial" w:hAnsi="Arial" w:cs="Arial"/>
          <w:iCs/>
          <w:sz w:val="24"/>
          <w:szCs w:val="24"/>
        </w:rPr>
        <w:lastRenderedPageBreak/>
        <w:t>into someone else’s name.</w:t>
      </w:r>
      <w:r w:rsidR="005237B0" w:rsidRPr="00373688">
        <w:rPr>
          <w:rStyle w:val="FootnoteReference"/>
          <w:rFonts w:ascii="Arial" w:hAnsi="Arial" w:cs="Arial"/>
          <w:iCs/>
          <w:sz w:val="24"/>
          <w:szCs w:val="24"/>
        </w:rPr>
        <w:footnoteReference w:id="3"/>
      </w:r>
      <w:r w:rsidR="005237B0" w:rsidRPr="00373688">
        <w:rPr>
          <w:rFonts w:ascii="Arial" w:hAnsi="Arial" w:cs="Arial"/>
          <w:iCs/>
          <w:sz w:val="24"/>
          <w:szCs w:val="24"/>
        </w:rPr>
        <w:t xml:space="preserve"> </w:t>
      </w:r>
      <w:r w:rsidR="009B2A7E" w:rsidRPr="00373688">
        <w:rPr>
          <w:rFonts w:ascii="Arial" w:hAnsi="Arial" w:cs="Arial"/>
          <w:iCs/>
          <w:sz w:val="24"/>
          <w:szCs w:val="24"/>
        </w:rPr>
        <w:t>These types of</w:t>
      </w:r>
      <w:r w:rsidR="005237B0" w:rsidRPr="00373688">
        <w:rPr>
          <w:rFonts w:ascii="Arial" w:hAnsi="Arial" w:cs="Arial"/>
          <w:iCs/>
          <w:sz w:val="24"/>
          <w:szCs w:val="24"/>
        </w:rPr>
        <w:t xml:space="preserve"> abuse could be exacerbated or accelerated if the respondent to the complaint becomes aware of the complaint</w:t>
      </w:r>
      <w:r w:rsidR="00797E92" w:rsidRPr="00373688">
        <w:rPr>
          <w:rFonts w:ascii="Arial" w:hAnsi="Arial" w:cs="Arial"/>
          <w:iCs/>
          <w:sz w:val="24"/>
          <w:szCs w:val="24"/>
        </w:rPr>
        <w:t xml:space="preserve"> before an investigation is able to be conducted</w:t>
      </w:r>
      <w:r w:rsidR="005237B0" w:rsidRPr="00373688">
        <w:rPr>
          <w:rFonts w:ascii="Arial" w:hAnsi="Arial" w:cs="Arial"/>
          <w:iCs/>
          <w:sz w:val="24"/>
          <w:szCs w:val="24"/>
        </w:rPr>
        <w:t xml:space="preserve">. </w:t>
      </w:r>
      <w:r w:rsidR="00475CBE" w:rsidRPr="00373688">
        <w:rPr>
          <w:rFonts w:ascii="Arial" w:hAnsi="Arial" w:cs="Arial"/>
          <w:iCs/>
          <w:sz w:val="24"/>
          <w:szCs w:val="24"/>
        </w:rPr>
        <w:t xml:space="preserve"> </w:t>
      </w:r>
    </w:p>
    <w:p w14:paraId="3BAEA121" w14:textId="77777777" w:rsidR="00357018" w:rsidRPr="00373688" w:rsidRDefault="00357018" w:rsidP="00357018">
      <w:pPr>
        <w:pStyle w:val="ListParagraph"/>
        <w:numPr>
          <w:ilvl w:val="0"/>
          <w:numId w:val="3"/>
        </w:numPr>
        <w:rPr>
          <w:rFonts w:ascii="Arial" w:hAnsi="Arial" w:cs="Arial"/>
          <w:i/>
          <w:sz w:val="24"/>
          <w:szCs w:val="24"/>
        </w:rPr>
      </w:pPr>
      <w:r w:rsidRPr="00373688">
        <w:rPr>
          <w:rFonts w:ascii="Arial" w:hAnsi="Arial" w:cs="Arial"/>
          <w:i/>
          <w:sz w:val="24"/>
          <w:szCs w:val="24"/>
        </w:rPr>
        <w:t>Proportionality (s 28(2)(e))</w:t>
      </w:r>
    </w:p>
    <w:p w14:paraId="3568417C" w14:textId="77777777" w:rsidR="00357018" w:rsidRPr="00373688" w:rsidRDefault="00357018" w:rsidP="00357018">
      <w:pPr>
        <w:pStyle w:val="ListParagraph"/>
        <w:ind w:left="360"/>
        <w:rPr>
          <w:rFonts w:ascii="Arial" w:hAnsi="Arial" w:cs="Arial"/>
          <w:b/>
          <w:bCs/>
          <w:i/>
          <w:sz w:val="24"/>
          <w:szCs w:val="24"/>
        </w:rPr>
      </w:pPr>
    </w:p>
    <w:p w14:paraId="0DF43224" w14:textId="77777777" w:rsidR="0088028E" w:rsidRPr="00373688" w:rsidRDefault="00357018" w:rsidP="0088028E">
      <w:pPr>
        <w:rPr>
          <w:rFonts w:ascii="Arial" w:hAnsi="Arial" w:cs="Arial"/>
          <w:iCs/>
          <w:sz w:val="24"/>
          <w:szCs w:val="24"/>
        </w:rPr>
      </w:pPr>
      <w:r w:rsidRPr="00373688">
        <w:rPr>
          <w:rFonts w:ascii="Arial" w:hAnsi="Arial" w:cs="Arial"/>
          <w:iCs/>
          <w:sz w:val="24"/>
          <w:szCs w:val="24"/>
        </w:rPr>
        <w:t>It is important to balance protecting vulnerable people with respecting their autonomy and right to make their own decisions. The Australian Law Reform Commission (</w:t>
      </w:r>
      <w:r w:rsidRPr="00373688">
        <w:rPr>
          <w:rFonts w:ascii="Arial" w:hAnsi="Arial" w:cs="Arial"/>
          <w:b/>
          <w:bCs/>
          <w:iCs/>
          <w:sz w:val="24"/>
          <w:szCs w:val="24"/>
        </w:rPr>
        <w:t>ALRC</w:t>
      </w:r>
      <w:r w:rsidRPr="00373688">
        <w:rPr>
          <w:rFonts w:ascii="Arial" w:hAnsi="Arial" w:cs="Arial"/>
          <w:iCs/>
          <w:sz w:val="24"/>
          <w:szCs w:val="24"/>
        </w:rPr>
        <w:t>) has recommended that schemes safeguarding vulnerable people “should specifically require an adult safeguarding agency to obtain a person’s consent before taking action to support or protect them”.</w:t>
      </w:r>
      <w:r w:rsidRPr="00373688">
        <w:rPr>
          <w:rStyle w:val="FootnoteReference"/>
          <w:rFonts w:ascii="Arial" w:hAnsi="Arial" w:cs="Arial"/>
          <w:iCs/>
          <w:sz w:val="24"/>
          <w:szCs w:val="24"/>
        </w:rPr>
        <w:footnoteReference w:id="4"/>
      </w:r>
      <w:r w:rsidRPr="00373688">
        <w:rPr>
          <w:rFonts w:ascii="Arial" w:hAnsi="Arial" w:cs="Arial"/>
          <w:iCs/>
          <w:sz w:val="24"/>
          <w:szCs w:val="24"/>
        </w:rPr>
        <w:t xml:space="preserve"> </w:t>
      </w:r>
    </w:p>
    <w:p w14:paraId="745BED30" w14:textId="77777777" w:rsidR="0088028E" w:rsidRPr="00373688" w:rsidRDefault="00357018" w:rsidP="0088028E">
      <w:pPr>
        <w:rPr>
          <w:rFonts w:ascii="Arial" w:hAnsi="Arial" w:cs="Arial"/>
          <w:iCs/>
          <w:sz w:val="24"/>
          <w:szCs w:val="24"/>
        </w:rPr>
      </w:pPr>
      <w:r w:rsidRPr="00373688">
        <w:rPr>
          <w:rFonts w:ascii="Arial" w:hAnsi="Arial" w:cs="Arial"/>
          <w:iCs/>
          <w:sz w:val="24"/>
          <w:szCs w:val="24"/>
        </w:rPr>
        <w:t>However, the ALRC has also noted that “there are circumstances in which abuse and neglect should be investigated and acted upon even without the affected adult’s consent…consent should not be required where the at-risk adult is being subject to ‘serious’ physical or sexual abuse or neglect; where the safeguarding agency has been unable to contact the adult, despite extensive efforts to do so; and where the adult lacks the ability to give consent”.</w:t>
      </w:r>
      <w:r w:rsidRPr="00373688">
        <w:rPr>
          <w:rStyle w:val="FootnoteReference"/>
          <w:rFonts w:ascii="Arial" w:hAnsi="Arial" w:cs="Arial"/>
          <w:iCs/>
          <w:sz w:val="24"/>
          <w:szCs w:val="24"/>
        </w:rPr>
        <w:footnoteReference w:id="5"/>
      </w:r>
      <w:r w:rsidRPr="00373688">
        <w:rPr>
          <w:rFonts w:ascii="Arial" w:hAnsi="Arial" w:cs="Arial"/>
          <w:iCs/>
          <w:sz w:val="24"/>
          <w:szCs w:val="24"/>
        </w:rPr>
        <w:t xml:space="preserve"> </w:t>
      </w:r>
    </w:p>
    <w:p w14:paraId="7B9F2239" w14:textId="77777777" w:rsidR="00797E92" w:rsidRPr="00373688" w:rsidRDefault="009B2A7E" w:rsidP="0088028E">
      <w:pPr>
        <w:rPr>
          <w:rFonts w:ascii="Arial" w:hAnsi="Arial" w:cs="Arial"/>
          <w:iCs/>
          <w:sz w:val="24"/>
          <w:szCs w:val="24"/>
        </w:rPr>
      </w:pPr>
      <w:r w:rsidRPr="00373688">
        <w:rPr>
          <w:rFonts w:ascii="Arial" w:hAnsi="Arial" w:cs="Arial"/>
          <w:iCs/>
          <w:sz w:val="24"/>
          <w:szCs w:val="24"/>
        </w:rPr>
        <w:t>This amendment ensures that the ACT Human Rights Commission, as a safeguarding agency, is able to investigate a vulnerable person complaint in situations where obtaining consent is not possible or seeking consent may result in a risk</w:t>
      </w:r>
      <w:r w:rsidR="00797E92" w:rsidRPr="00373688">
        <w:rPr>
          <w:rFonts w:ascii="Arial" w:hAnsi="Arial" w:cs="Arial"/>
          <w:iCs/>
          <w:sz w:val="24"/>
          <w:szCs w:val="24"/>
        </w:rPr>
        <w:t xml:space="preserve"> of harm</w:t>
      </w:r>
      <w:r w:rsidRPr="00373688">
        <w:rPr>
          <w:rFonts w:ascii="Arial" w:hAnsi="Arial" w:cs="Arial"/>
          <w:iCs/>
          <w:sz w:val="24"/>
          <w:szCs w:val="24"/>
        </w:rPr>
        <w:t xml:space="preserve"> to the vulnerable person. </w:t>
      </w:r>
    </w:p>
    <w:p w14:paraId="7F7A33FE" w14:textId="5168BCC4" w:rsidR="00797E92" w:rsidRPr="00373688" w:rsidRDefault="00797E92" w:rsidP="0088028E">
      <w:pPr>
        <w:rPr>
          <w:rFonts w:ascii="Arial" w:hAnsi="Arial" w:cs="Arial"/>
          <w:iCs/>
          <w:sz w:val="24"/>
          <w:szCs w:val="24"/>
        </w:rPr>
      </w:pPr>
      <w:r w:rsidRPr="00373688">
        <w:rPr>
          <w:rFonts w:ascii="Arial" w:hAnsi="Arial" w:cs="Arial"/>
          <w:iCs/>
          <w:sz w:val="24"/>
          <w:szCs w:val="24"/>
        </w:rPr>
        <w:t>The amendment is sought by the Human Rights Commission based on the practical experience of managing vulnerable persons complaints, and instances where the requirement to obtain consent has made it more difficult to investigate and protect vulnerable people in coercive situations</w:t>
      </w:r>
      <w:r w:rsidR="00320B8A" w:rsidRPr="00373688">
        <w:rPr>
          <w:rFonts w:ascii="Arial" w:hAnsi="Arial" w:cs="Arial"/>
          <w:iCs/>
          <w:sz w:val="24"/>
          <w:szCs w:val="24"/>
        </w:rPr>
        <w:t>. In these cases</w:t>
      </w:r>
      <w:r w:rsidRPr="00373688">
        <w:rPr>
          <w:rFonts w:ascii="Arial" w:hAnsi="Arial" w:cs="Arial"/>
          <w:iCs/>
          <w:sz w:val="24"/>
          <w:szCs w:val="24"/>
        </w:rPr>
        <w:t xml:space="preserve"> there</w:t>
      </w:r>
      <w:r w:rsidR="00036FF0">
        <w:rPr>
          <w:rFonts w:ascii="Arial" w:hAnsi="Arial" w:cs="Arial"/>
          <w:iCs/>
          <w:sz w:val="24"/>
          <w:szCs w:val="24"/>
        </w:rPr>
        <w:t xml:space="preserve"> may</w:t>
      </w:r>
      <w:r w:rsidRPr="00373688">
        <w:rPr>
          <w:rFonts w:ascii="Arial" w:hAnsi="Arial" w:cs="Arial"/>
          <w:iCs/>
          <w:sz w:val="24"/>
          <w:szCs w:val="24"/>
        </w:rPr>
        <w:t xml:space="preserve"> be a range of </w:t>
      </w:r>
      <w:r w:rsidR="00320B8A" w:rsidRPr="00373688">
        <w:rPr>
          <w:rFonts w:ascii="Arial" w:hAnsi="Arial" w:cs="Arial"/>
          <w:iCs/>
          <w:sz w:val="24"/>
          <w:szCs w:val="24"/>
        </w:rPr>
        <w:t xml:space="preserve">concerns and identified </w:t>
      </w:r>
      <w:r w:rsidRPr="00373688">
        <w:rPr>
          <w:rFonts w:ascii="Arial" w:hAnsi="Arial" w:cs="Arial"/>
          <w:iCs/>
          <w:sz w:val="24"/>
          <w:szCs w:val="24"/>
        </w:rPr>
        <w:t xml:space="preserve">risks </w:t>
      </w:r>
      <w:r w:rsidR="00320B8A" w:rsidRPr="00373688">
        <w:rPr>
          <w:rFonts w:ascii="Arial" w:hAnsi="Arial" w:cs="Arial"/>
          <w:iCs/>
          <w:sz w:val="24"/>
          <w:szCs w:val="24"/>
        </w:rPr>
        <w:t>of harm</w:t>
      </w:r>
      <w:r w:rsidR="00B156AB" w:rsidRPr="00373688">
        <w:rPr>
          <w:rFonts w:ascii="Arial" w:hAnsi="Arial" w:cs="Arial"/>
          <w:iCs/>
          <w:sz w:val="24"/>
          <w:szCs w:val="24"/>
        </w:rPr>
        <w:t>, but it might be difficult for the Commission to establish a risk t</w:t>
      </w:r>
      <w:r w:rsidR="00320B8A" w:rsidRPr="00373688">
        <w:rPr>
          <w:rFonts w:ascii="Arial" w:hAnsi="Arial" w:cs="Arial"/>
          <w:iCs/>
          <w:sz w:val="24"/>
          <w:szCs w:val="24"/>
        </w:rPr>
        <w:t>o personal safety of the vulnerable person.</w:t>
      </w:r>
    </w:p>
    <w:p w14:paraId="0DA193F3" w14:textId="3A1E7B3A" w:rsidR="00357018" w:rsidRPr="00373688" w:rsidRDefault="009B2A7E" w:rsidP="0088028E">
      <w:pPr>
        <w:rPr>
          <w:rFonts w:ascii="Arial" w:hAnsi="Arial" w:cs="Arial"/>
          <w:iCs/>
          <w:sz w:val="24"/>
          <w:szCs w:val="24"/>
        </w:rPr>
      </w:pPr>
      <w:r w:rsidRPr="00373688">
        <w:rPr>
          <w:rFonts w:ascii="Arial" w:hAnsi="Arial" w:cs="Arial"/>
          <w:iCs/>
          <w:sz w:val="24"/>
          <w:szCs w:val="24"/>
        </w:rPr>
        <w:t xml:space="preserve">The amendment acknowledges </w:t>
      </w:r>
      <w:r w:rsidR="007C5E79" w:rsidRPr="00373688">
        <w:rPr>
          <w:rFonts w:ascii="Arial" w:hAnsi="Arial" w:cs="Arial"/>
          <w:iCs/>
          <w:sz w:val="24"/>
          <w:szCs w:val="24"/>
        </w:rPr>
        <w:t>that abuse is not limited to physical abuse</w:t>
      </w:r>
      <w:r w:rsidR="00036FF0">
        <w:rPr>
          <w:rFonts w:ascii="Arial" w:hAnsi="Arial" w:cs="Arial"/>
          <w:iCs/>
          <w:sz w:val="24"/>
          <w:szCs w:val="24"/>
        </w:rPr>
        <w:t>,</w:t>
      </w:r>
      <w:r w:rsidR="007C5E79" w:rsidRPr="00373688">
        <w:rPr>
          <w:rFonts w:ascii="Arial" w:hAnsi="Arial" w:cs="Arial"/>
          <w:iCs/>
          <w:sz w:val="24"/>
          <w:szCs w:val="24"/>
        </w:rPr>
        <w:t xml:space="preserve"> and other types of abuse such as financial abuse</w:t>
      </w:r>
      <w:r w:rsidR="00320B8A" w:rsidRPr="00373688">
        <w:rPr>
          <w:rFonts w:ascii="Arial" w:hAnsi="Arial" w:cs="Arial"/>
          <w:iCs/>
          <w:sz w:val="24"/>
          <w:szCs w:val="24"/>
        </w:rPr>
        <w:t>, emotional abuse</w:t>
      </w:r>
      <w:r w:rsidR="007C5E79" w:rsidRPr="00373688">
        <w:rPr>
          <w:rFonts w:ascii="Arial" w:hAnsi="Arial" w:cs="Arial"/>
          <w:iCs/>
          <w:sz w:val="24"/>
          <w:szCs w:val="24"/>
        </w:rPr>
        <w:t xml:space="preserve"> and coercive control cause harm to the vulnerable person</w:t>
      </w:r>
      <w:r w:rsidR="00320B8A" w:rsidRPr="00373688">
        <w:rPr>
          <w:rFonts w:ascii="Arial" w:hAnsi="Arial" w:cs="Arial"/>
          <w:iCs/>
          <w:sz w:val="24"/>
          <w:szCs w:val="24"/>
        </w:rPr>
        <w:t>, and that there may be a range of risks in a particular situation</w:t>
      </w:r>
      <w:r w:rsidR="007C5E79" w:rsidRPr="00373688">
        <w:rPr>
          <w:rFonts w:ascii="Arial" w:hAnsi="Arial" w:cs="Arial"/>
          <w:iCs/>
          <w:sz w:val="24"/>
          <w:szCs w:val="24"/>
        </w:rPr>
        <w:t xml:space="preserve">. </w:t>
      </w:r>
      <w:r w:rsidR="00320B8A" w:rsidRPr="00373688">
        <w:rPr>
          <w:rFonts w:ascii="Arial" w:hAnsi="Arial" w:cs="Arial"/>
          <w:iCs/>
          <w:sz w:val="24"/>
          <w:szCs w:val="24"/>
        </w:rPr>
        <w:t>In this context</w:t>
      </w:r>
      <w:r w:rsidR="00357018" w:rsidRPr="00373688">
        <w:rPr>
          <w:rFonts w:ascii="Arial" w:hAnsi="Arial" w:cs="Arial"/>
          <w:iCs/>
          <w:sz w:val="24"/>
          <w:szCs w:val="24"/>
        </w:rPr>
        <w:t xml:space="preserve">, the limitation on the right to privacy is considered reasonable and proportionate </w:t>
      </w:r>
      <w:r w:rsidR="00320B8A" w:rsidRPr="00373688">
        <w:rPr>
          <w:rFonts w:ascii="Arial" w:hAnsi="Arial" w:cs="Arial"/>
          <w:iCs/>
          <w:sz w:val="24"/>
          <w:szCs w:val="24"/>
        </w:rPr>
        <w:t>as it will assist the Commission to exercise appropriate  judgement to ensure that the complaints process is effective in</w:t>
      </w:r>
      <w:r w:rsidR="00357018" w:rsidRPr="00373688">
        <w:rPr>
          <w:rFonts w:ascii="Arial" w:hAnsi="Arial" w:cs="Arial"/>
          <w:iCs/>
          <w:sz w:val="24"/>
          <w:szCs w:val="24"/>
        </w:rPr>
        <w:t xml:space="preserve"> protecting the vulnerable person. </w:t>
      </w:r>
    </w:p>
    <w:p w14:paraId="0AB57D7D" w14:textId="77777777" w:rsidR="00357018" w:rsidRPr="00373688" w:rsidRDefault="00357018" w:rsidP="00357018">
      <w:pPr>
        <w:rPr>
          <w:rFonts w:ascii="Arial" w:hAnsi="Arial" w:cs="Arial"/>
          <w:i/>
          <w:sz w:val="24"/>
          <w:szCs w:val="24"/>
        </w:rPr>
      </w:pPr>
      <w:r w:rsidRPr="00373688">
        <w:rPr>
          <w:rFonts w:ascii="Arial" w:hAnsi="Arial" w:cs="Arial"/>
          <w:b/>
          <w:bCs/>
          <w:i/>
          <w:sz w:val="24"/>
          <w:szCs w:val="24"/>
        </w:rPr>
        <w:lastRenderedPageBreak/>
        <w:t>Residential Tenancies Act 1997</w:t>
      </w:r>
    </w:p>
    <w:p w14:paraId="6F9BDE54" w14:textId="77777777" w:rsidR="00357018" w:rsidRPr="00373688" w:rsidRDefault="00357018" w:rsidP="00357018">
      <w:pPr>
        <w:rPr>
          <w:rFonts w:ascii="Arial" w:hAnsi="Arial" w:cs="Arial"/>
          <w:iCs/>
          <w:sz w:val="24"/>
          <w:szCs w:val="24"/>
          <w:u w:val="single"/>
        </w:rPr>
      </w:pPr>
      <w:r w:rsidRPr="00373688">
        <w:rPr>
          <w:rFonts w:ascii="Arial" w:hAnsi="Arial" w:cs="Arial"/>
          <w:iCs/>
          <w:sz w:val="24"/>
          <w:szCs w:val="24"/>
          <w:u w:val="single"/>
        </w:rPr>
        <w:t>Section 12 – Privacy and reputation</w:t>
      </w:r>
    </w:p>
    <w:p w14:paraId="49AD2604" w14:textId="77777777" w:rsidR="00357018" w:rsidRPr="00373688" w:rsidRDefault="00357018" w:rsidP="00357018">
      <w:pPr>
        <w:pStyle w:val="ListParagraph"/>
        <w:numPr>
          <w:ilvl w:val="0"/>
          <w:numId w:val="12"/>
        </w:numPr>
        <w:rPr>
          <w:rFonts w:ascii="Arial" w:hAnsi="Arial" w:cs="Arial"/>
          <w:i/>
          <w:sz w:val="24"/>
          <w:szCs w:val="24"/>
        </w:rPr>
      </w:pPr>
      <w:r w:rsidRPr="00373688">
        <w:rPr>
          <w:rFonts w:ascii="Arial" w:hAnsi="Arial" w:cs="Arial"/>
          <w:i/>
          <w:sz w:val="24"/>
          <w:szCs w:val="24"/>
        </w:rPr>
        <w:t>Nature of the right and the limitation (ss 28(2)(a) and (c))</w:t>
      </w:r>
    </w:p>
    <w:p w14:paraId="129837B4" w14:textId="0B132581" w:rsidR="00357018" w:rsidRPr="00373688" w:rsidRDefault="00357018" w:rsidP="00357018">
      <w:pPr>
        <w:rPr>
          <w:rFonts w:ascii="Arial" w:hAnsi="Arial" w:cs="Arial"/>
          <w:iCs/>
          <w:sz w:val="24"/>
          <w:szCs w:val="24"/>
        </w:rPr>
      </w:pPr>
      <w:r w:rsidRPr="00373688">
        <w:rPr>
          <w:rFonts w:ascii="Arial" w:hAnsi="Arial" w:cs="Arial"/>
          <w:i/>
          <w:sz w:val="24"/>
          <w:szCs w:val="24"/>
        </w:rPr>
        <w:br/>
      </w:r>
      <w:r w:rsidRPr="00373688">
        <w:rPr>
          <w:rFonts w:ascii="Arial" w:hAnsi="Arial" w:cs="Arial"/>
          <w:iCs/>
          <w:sz w:val="24"/>
          <w:szCs w:val="24"/>
        </w:rPr>
        <w:t xml:space="preserve">Everyone has the right not to have his or her privacy, family, home or correspondence interfered with unlawfully or arbitrarily. This Bill limits this right by creating a new ground on which a tenancy may be terminated by the Commissioner for Social Housing (the </w:t>
      </w:r>
      <w:r w:rsidRPr="00373688">
        <w:rPr>
          <w:rFonts w:ascii="Arial" w:hAnsi="Arial" w:cs="Arial"/>
          <w:b/>
          <w:bCs/>
          <w:iCs/>
          <w:sz w:val="24"/>
          <w:szCs w:val="24"/>
        </w:rPr>
        <w:t>Commissioner</w:t>
      </w:r>
      <w:r w:rsidRPr="00373688">
        <w:rPr>
          <w:rFonts w:ascii="Arial" w:hAnsi="Arial" w:cs="Arial"/>
          <w:iCs/>
          <w:sz w:val="24"/>
          <w:szCs w:val="24"/>
        </w:rPr>
        <w:t xml:space="preserve">) thereby limiting the person’s right to privacy. </w:t>
      </w:r>
    </w:p>
    <w:p w14:paraId="749DBC78" w14:textId="0B020AA5" w:rsidR="00357018" w:rsidRPr="00373688" w:rsidRDefault="0088028E" w:rsidP="00357018">
      <w:pPr>
        <w:rPr>
          <w:rFonts w:ascii="Arial" w:hAnsi="Arial" w:cs="Arial"/>
          <w:i/>
          <w:sz w:val="24"/>
          <w:szCs w:val="24"/>
        </w:rPr>
      </w:pPr>
      <w:r w:rsidRPr="00373688">
        <w:rPr>
          <w:rFonts w:ascii="Arial" w:hAnsi="Arial" w:cs="Arial"/>
          <w:iCs/>
          <w:sz w:val="24"/>
          <w:szCs w:val="24"/>
        </w:rPr>
        <w:t xml:space="preserve">Reforms to the </w:t>
      </w:r>
      <w:r w:rsidRPr="00373688">
        <w:rPr>
          <w:rFonts w:ascii="Arial" w:hAnsi="Arial" w:cs="Arial"/>
          <w:i/>
          <w:sz w:val="24"/>
          <w:szCs w:val="24"/>
        </w:rPr>
        <w:t xml:space="preserve">Residential Tenancies Act 1997 </w:t>
      </w:r>
      <w:r w:rsidR="00C201F4" w:rsidRPr="00373688">
        <w:rPr>
          <w:rFonts w:ascii="Arial" w:hAnsi="Arial" w:cs="Arial"/>
          <w:iCs/>
          <w:sz w:val="24"/>
          <w:szCs w:val="24"/>
        </w:rPr>
        <w:t>(</w:t>
      </w:r>
      <w:r w:rsidR="00C201F4" w:rsidRPr="00373688">
        <w:rPr>
          <w:rFonts w:ascii="Arial" w:hAnsi="Arial" w:cs="Arial"/>
          <w:b/>
          <w:bCs/>
          <w:iCs/>
          <w:sz w:val="24"/>
          <w:szCs w:val="24"/>
        </w:rPr>
        <w:t>RTA</w:t>
      </w:r>
      <w:r w:rsidR="00C201F4" w:rsidRPr="00373688">
        <w:rPr>
          <w:rFonts w:ascii="Arial" w:hAnsi="Arial" w:cs="Arial"/>
          <w:iCs/>
          <w:sz w:val="24"/>
          <w:szCs w:val="24"/>
        </w:rPr>
        <w:t xml:space="preserve">) </w:t>
      </w:r>
      <w:r w:rsidRPr="00373688">
        <w:rPr>
          <w:rFonts w:ascii="Arial" w:hAnsi="Arial" w:cs="Arial"/>
          <w:iCs/>
          <w:sz w:val="24"/>
          <w:szCs w:val="24"/>
        </w:rPr>
        <w:t>earlier in</w:t>
      </w:r>
      <w:r w:rsidR="00357018" w:rsidRPr="00373688">
        <w:rPr>
          <w:rFonts w:ascii="Arial" w:hAnsi="Arial" w:cs="Arial"/>
          <w:iCs/>
          <w:sz w:val="24"/>
          <w:szCs w:val="24"/>
        </w:rPr>
        <w:t xml:space="preserve"> 2023 introduced a new tenancy termination provision for the Commissioner which enables the termination of a tenancy </w:t>
      </w:r>
      <w:r w:rsidRPr="00373688">
        <w:rPr>
          <w:rFonts w:ascii="Arial" w:hAnsi="Arial" w:cs="Arial"/>
          <w:iCs/>
          <w:sz w:val="24"/>
          <w:szCs w:val="24"/>
        </w:rPr>
        <w:t>where a</w:t>
      </w:r>
      <w:r w:rsidR="00357018" w:rsidRPr="00373688">
        <w:rPr>
          <w:rFonts w:ascii="Arial" w:hAnsi="Arial" w:cs="Arial"/>
          <w:iCs/>
          <w:sz w:val="24"/>
          <w:szCs w:val="24"/>
        </w:rPr>
        <w:t xml:space="preserve"> period of temporary housing assistance </w:t>
      </w:r>
      <w:r w:rsidRPr="00373688">
        <w:rPr>
          <w:rFonts w:ascii="Arial" w:hAnsi="Arial" w:cs="Arial"/>
          <w:iCs/>
          <w:sz w:val="24"/>
          <w:szCs w:val="24"/>
        </w:rPr>
        <w:t>has ended and the person is not eligible for ongoing housing assistance</w:t>
      </w:r>
      <w:r w:rsidR="00357018" w:rsidRPr="00373688">
        <w:rPr>
          <w:rFonts w:ascii="Arial" w:hAnsi="Arial" w:cs="Arial"/>
          <w:iCs/>
          <w:sz w:val="24"/>
          <w:szCs w:val="24"/>
        </w:rPr>
        <w:t>. However, the reforms did not cover the circumstance where the person receiving temporary housing assistance fails to apply for ongoing assistance</w:t>
      </w:r>
      <w:r w:rsidRPr="00373688">
        <w:rPr>
          <w:rFonts w:ascii="Arial" w:hAnsi="Arial" w:cs="Arial"/>
          <w:iCs/>
          <w:sz w:val="24"/>
          <w:szCs w:val="24"/>
        </w:rPr>
        <w:t xml:space="preserve"> (and so their eligibility cannot be assessed)</w:t>
      </w:r>
      <w:r w:rsidR="00357018" w:rsidRPr="00373688">
        <w:rPr>
          <w:rFonts w:ascii="Arial" w:hAnsi="Arial" w:cs="Arial"/>
          <w:iCs/>
          <w:sz w:val="24"/>
          <w:szCs w:val="24"/>
        </w:rPr>
        <w:t xml:space="preserve">. </w:t>
      </w:r>
    </w:p>
    <w:p w14:paraId="54D2002F" w14:textId="65B86EB2" w:rsidR="00357018" w:rsidRPr="00373688" w:rsidRDefault="00357018" w:rsidP="00357018">
      <w:pPr>
        <w:pStyle w:val="ListParagraph"/>
        <w:numPr>
          <w:ilvl w:val="0"/>
          <w:numId w:val="12"/>
        </w:numPr>
        <w:rPr>
          <w:rFonts w:ascii="Arial" w:hAnsi="Arial" w:cs="Arial"/>
          <w:i/>
          <w:sz w:val="24"/>
          <w:szCs w:val="24"/>
        </w:rPr>
      </w:pPr>
      <w:r w:rsidRPr="00373688">
        <w:rPr>
          <w:rFonts w:ascii="Arial" w:hAnsi="Arial" w:cs="Arial"/>
          <w:i/>
          <w:sz w:val="24"/>
          <w:szCs w:val="24"/>
        </w:rPr>
        <w:t>Legitimate purpose (s 28(2)(b))</w:t>
      </w:r>
      <w:r w:rsidR="0088028E" w:rsidRPr="00373688">
        <w:rPr>
          <w:rFonts w:ascii="Arial" w:hAnsi="Arial" w:cs="Arial"/>
          <w:i/>
          <w:sz w:val="24"/>
          <w:szCs w:val="24"/>
        </w:rPr>
        <w:br/>
      </w:r>
    </w:p>
    <w:p w14:paraId="0B62714F" w14:textId="0C30F1D6" w:rsidR="00357018" w:rsidRPr="00373688" w:rsidRDefault="00357018" w:rsidP="0088028E">
      <w:pPr>
        <w:rPr>
          <w:rFonts w:ascii="Arial" w:hAnsi="Arial" w:cs="Arial"/>
          <w:i/>
          <w:sz w:val="24"/>
          <w:szCs w:val="24"/>
        </w:rPr>
      </w:pPr>
      <w:r w:rsidRPr="00373688">
        <w:rPr>
          <w:rFonts w:ascii="Arial" w:hAnsi="Arial" w:cs="Arial"/>
          <w:sz w:val="24"/>
          <w:szCs w:val="24"/>
        </w:rPr>
        <w:t>This amendment has a legitimate purpose, that is to allow the Commissioner to recover possession of a property after the tenant has been given a short-term period to adjust to their changed circumstances, and where the person has not requested ongoing assistance.</w:t>
      </w:r>
      <w:r w:rsidR="0088028E" w:rsidRPr="00373688">
        <w:rPr>
          <w:rFonts w:ascii="Arial" w:hAnsi="Arial" w:cs="Arial"/>
          <w:sz w:val="24"/>
          <w:szCs w:val="24"/>
        </w:rPr>
        <w:t xml:space="preserve"> </w:t>
      </w:r>
      <w:r w:rsidR="0088028E" w:rsidRPr="00373688">
        <w:rPr>
          <w:rFonts w:ascii="Arial" w:hAnsi="Arial" w:cs="Arial"/>
          <w:sz w:val="24"/>
          <w:szCs w:val="24"/>
          <w:shd w:val="clear" w:color="auto" w:fill="FFFFFF"/>
        </w:rPr>
        <w:t>This ensures the Commissioner can allocate public housing to those who have been assessed as most in need, which is a core purpose of th</w:t>
      </w:r>
      <w:r w:rsidR="0088028E" w:rsidRPr="00036FF0">
        <w:rPr>
          <w:rFonts w:ascii="Arial" w:hAnsi="Arial" w:cs="Arial"/>
          <w:sz w:val="24"/>
          <w:szCs w:val="24"/>
          <w:shd w:val="clear" w:color="auto" w:fill="FFFFFF"/>
        </w:rPr>
        <w:t>e </w:t>
      </w:r>
      <w:hyperlink r:id="rId15" w:history="1">
        <w:r w:rsidR="0088028E" w:rsidRPr="00036FF0">
          <w:rPr>
            <w:rStyle w:val="Hyperlink1"/>
            <w:rFonts w:ascii="Arial" w:hAnsi="Arial" w:cs="Arial"/>
            <w:i/>
            <w:iCs/>
            <w:sz w:val="24"/>
            <w:szCs w:val="24"/>
            <w:shd w:val="clear" w:color="auto" w:fill="FFFFFF"/>
          </w:rPr>
          <w:t>Housing Assistance</w:t>
        </w:r>
        <w:r w:rsidR="0088028E" w:rsidRPr="00036FF0">
          <w:rPr>
            <w:rStyle w:val="Hyperlink1"/>
            <w:rFonts w:ascii="Arial" w:hAnsi="Arial" w:cs="Arial"/>
            <w:sz w:val="24"/>
            <w:szCs w:val="24"/>
            <w:shd w:val="clear" w:color="auto" w:fill="FFFFFF"/>
          </w:rPr>
          <w:t> </w:t>
        </w:r>
        <w:r w:rsidR="0088028E" w:rsidRPr="00036FF0">
          <w:rPr>
            <w:rStyle w:val="Hyperlink1"/>
            <w:rFonts w:ascii="Arial" w:hAnsi="Arial" w:cs="Arial"/>
            <w:i/>
            <w:iCs/>
            <w:sz w:val="24"/>
            <w:szCs w:val="24"/>
            <w:shd w:val="clear" w:color="auto" w:fill="FFFFFF"/>
          </w:rPr>
          <w:t>Public Rental Housing Assistance Program (2013 (No</w:t>
        </w:r>
        <w:r w:rsidR="00036FF0" w:rsidRPr="00036FF0">
          <w:rPr>
            <w:rStyle w:val="Hyperlink1"/>
            <w:rFonts w:ascii="Arial" w:hAnsi="Arial" w:cs="Arial"/>
            <w:i/>
            <w:iCs/>
            <w:sz w:val="24"/>
            <w:szCs w:val="24"/>
            <w:shd w:val="clear" w:color="auto" w:fill="FFFFFF"/>
          </w:rPr>
          <w:t> </w:t>
        </w:r>
        <w:r w:rsidR="0088028E" w:rsidRPr="00036FF0">
          <w:rPr>
            <w:rStyle w:val="Hyperlink1"/>
            <w:rFonts w:ascii="Arial" w:hAnsi="Arial" w:cs="Arial"/>
            <w:i/>
            <w:iCs/>
            <w:sz w:val="24"/>
            <w:szCs w:val="24"/>
            <w:shd w:val="clear" w:color="auto" w:fill="FFFFFF"/>
          </w:rPr>
          <w:t>1)</w:t>
        </w:r>
      </w:hyperlink>
      <w:r w:rsidR="0088028E" w:rsidRPr="00373688">
        <w:rPr>
          <w:rFonts w:ascii="Arial" w:hAnsi="Arial" w:cs="Arial"/>
          <w:sz w:val="24"/>
          <w:szCs w:val="24"/>
          <w:shd w:val="clear" w:color="auto" w:fill="FFFFFF"/>
        </w:rPr>
        <w:t xml:space="preserve"> (the </w:t>
      </w:r>
      <w:r w:rsidR="0088028E" w:rsidRPr="00373688">
        <w:rPr>
          <w:rFonts w:ascii="Arial" w:hAnsi="Arial" w:cs="Arial"/>
          <w:b/>
          <w:bCs/>
          <w:sz w:val="24"/>
          <w:szCs w:val="24"/>
          <w:shd w:val="clear" w:color="auto" w:fill="FFFFFF"/>
        </w:rPr>
        <w:t>Program</w:t>
      </w:r>
      <w:r w:rsidR="0088028E" w:rsidRPr="00373688">
        <w:rPr>
          <w:rFonts w:ascii="Arial" w:hAnsi="Arial" w:cs="Arial"/>
          <w:sz w:val="24"/>
          <w:szCs w:val="24"/>
          <w:shd w:val="clear" w:color="auto" w:fill="FFFFFF"/>
        </w:rPr>
        <w:t>).</w:t>
      </w:r>
    </w:p>
    <w:p w14:paraId="03DE0EC6" w14:textId="63C7CEEB" w:rsidR="00357018" w:rsidRPr="00373688" w:rsidRDefault="00357018" w:rsidP="00B12381">
      <w:pPr>
        <w:pStyle w:val="ListParagraph"/>
        <w:keepNext/>
        <w:numPr>
          <w:ilvl w:val="0"/>
          <w:numId w:val="12"/>
        </w:numPr>
        <w:rPr>
          <w:rFonts w:ascii="Arial" w:hAnsi="Arial" w:cs="Arial"/>
          <w:i/>
          <w:sz w:val="24"/>
          <w:szCs w:val="24"/>
        </w:rPr>
      </w:pPr>
      <w:r w:rsidRPr="00373688">
        <w:rPr>
          <w:rFonts w:ascii="Arial" w:hAnsi="Arial" w:cs="Arial"/>
          <w:i/>
          <w:sz w:val="24"/>
          <w:szCs w:val="24"/>
        </w:rPr>
        <w:t>Rational connection between the limitation and the purpose (s 28(2)(d))</w:t>
      </w:r>
    </w:p>
    <w:p w14:paraId="0359F96C" w14:textId="77777777" w:rsidR="0088028E" w:rsidRPr="00373688" w:rsidRDefault="0088028E" w:rsidP="00B12381">
      <w:pPr>
        <w:pStyle w:val="ListParagraph"/>
        <w:keepNext/>
        <w:ind w:left="360"/>
        <w:rPr>
          <w:rFonts w:ascii="Arial" w:hAnsi="Arial" w:cs="Arial"/>
          <w:i/>
          <w:sz w:val="24"/>
          <w:szCs w:val="24"/>
        </w:rPr>
      </w:pPr>
    </w:p>
    <w:p w14:paraId="78E97960" w14:textId="27CF4F32" w:rsidR="00357018" w:rsidRPr="00373688" w:rsidRDefault="00357018" w:rsidP="00B12381">
      <w:pPr>
        <w:keepNext/>
        <w:rPr>
          <w:rFonts w:ascii="Arial" w:hAnsi="Arial" w:cs="Arial"/>
          <w:i/>
          <w:sz w:val="24"/>
          <w:szCs w:val="24"/>
        </w:rPr>
      </w:pPr>
      <w:r w:rsidRPr="00373688">
        <w:rPr>
          <w:rFonts w:ascii="Arial" w:hAnsi="Arial" w:cs="Arial"/>
          <w:sz w:val="24"/>
          <w:szCs w:val="24"/>
          <w:shd w:val="clear" w:color="auto" w:fill="FFFFFF"/>
        </w:rPr>
        <w:t xml:space="preserve">There is a rational connection between allowing for the termination of a tenancy in circumstances where the Commissioner has provided a temporary period of housing assistance and the tenant fails to apply for ongoing assistance, and the purpose of ensuring </w:t>
      </w:r>
      <w:r w:rsidR="0088028E" w:rsidRPr="00373688">
        <w:rPr>
          <w:rFonts w:ascii="Arial" w:hAnsi="Arial" w:cs="Arial"/>
          <w:sz w:val="24"/>
          <w:szCs w:val="24"/>
          <w:shd w:val="clear" w:color="auto" w:fill="FFFFFF"/>
        </w:rPr>
        <w:t xml:space="preserve">that public housing is allocated to </w:t>
      </w:r>
      <w:r w:rsidRPr="00373688">
        <w:rPr>
          <w:rFonts w:ascii="Arial" w:hAnsi="Arial" w:cs="Arial"/>
          <w:sz w:val="24"/>
          <w:szCs w:val="24"/>
          <w:shd w:val="clear" w:color="auto" w:fill="FFFFFF"/>
        </w:rPr>
        <w:t>those most in need.</w:t>
      </w:r>
    </w:p>
    <w:p w14:paraId="15FB6FD0" w14:textId="177FB229" w:rsidR="00357018" w:rsidRPr="00373688" w:rsidRDefault="00357018" w:rsidP="0088028E">
      <w:pPr>
        <w:rPr>
          <w:rFonts w:ascii="Arial" w:hAnsi="Arial" w:cs="Arial"/>
          <w:i/>
          <w:sz w:val="24"/>
          <w:szCs w:val="24"/>
        </w:rPr>
      </w:pPr>
      <w:r w:rsidRPr="00373688">
        <w:rPr>
          <w:rFonts w:ascii="Arial" w:hAnsi="Arial" w:cs="Arial"/>
          <w:sz w:val="24"/>
          <w:szCs w:val="24"/>
          <w:shd w:val="clear" w:color="auto" w:fill="FFFFFF"/>
        </w:rPr>
        <w:t>The connection is that</w:t>
      </w:r>
      <w:r w:rsidR="00052648" w:rsidRPr="00373688">
        <w:rPr>
          <w:rFonts w:ascii="Arial" w:hAnsi="Arial" w:cs="Arial"/>
          <w:sz w:val="24"/>
          <w:szCs w:val="24"/>
          <w:shd w:val="clear" w:color="auto" w:fill="FFFFFF"/>
        </w:rPr>
        <w:t xml:space="preserve"> if a person cannot be assessed as eligible for ongoing housing assistance (because they have failed to apply)</w:t>
      </w:r>
      <w:r w:rsidRPr="00373688">
        <w:rPr>
          <w:rFonts w:ascii="Arial" w:hAnsi="Arial" w:cs="Arial"/>
          <w:sz w:val="24"/>
          <w:szCs w:val="24"/>
          <w:shd w:val="clear" w:color="auto" w:fill="FFFFFF"/>
        </w:rPr>
        <w:t xml:space="preserve"> the </w:t>
      </w:r>
      <w:r w:rsidR="00052648" w:rsidRPr="00373688">
        <w:rPr>
          <w:rFonts w:ascii="Arial" w:hAnsi="Arial" w:cs="Arial"/>
          <w:sz w:val="24"/>
          <w:szCs w:val="24"/>
          <w:shd w:val="clear" w:color="auto" w:fill="FFFFFF"/>
        </w:rPr>
        <w:t xml:space="preserve">Commissioner needs a lawful power to end the tenancy </w:t>
      </w:r>
      <w:r w:rsidRPr="00373688">
        <w:rPr>
          <w:rFonts w:ascii="Arial" w:hAnsi="Arial" w:cs="Arial"/>
          <w:sz w:val="24"/>
          <w:szCs w:val="24"/>
          <w:shd w:val="clear" w:color="auto" w:fill="FFFFFF"/>
        </w:rPr>
        <w:t>so that the rental pr</w:t>
      </w:r>
      <w:r w:rsidR="00036FF0">
        <w:rPr>
          <w:rFonts w:ascii="Arial" w:hAnsi="Arial" w:cs="Arial"/>
          <w:sz w:val="24"/>
          <w:szCs w:val="24"/>
          <w:shd w:val="clear" w:color="auto" w:fill="FFFFFF"/>
        </w:rPr>
        <w:t>operty</w:t>
      </w:r>
      <w:r w:rsidRPr="00373688">
        <w:rPr>
          <w:rFonts w:ascii="Arial" w:hAnsi="Arial" w:cs="Arial"/>
          <w:sz w:val="24"/>
          <w:szCs w:val="24"/>
          <w:shd w:val="clear" w:color="auto" w:fill="FFFFFF"/>
        </w:rPr>
        <w:t xml:space="preserve"> can be used in the most effective way possible to achieve the overarching goals of the Program.</w:t>
      </w:r>
    </w:p>
    <w:p w14:paraId="69FD413F" w14:textId="77777777" w:rsidR="00357018" w:rsidRPr="00373688" w:rsidRDefault="00357018" w:rsidP="00036FF0">
      <w:pPr>
        <w:pStyle w:val="ListParagraph"/>
        <w:keepNext/>
        <w:numPr>
          <w:ilvl w:val="0"/>
          <w:numId w:val="12"/>
        </w:numPr>
        <w:rPr>
          <w:rFonts w:ascii="Arial" w:hAnsi="Arial" w:cs="Arial"/>
          <w:i/>
          <w:sz w:val="24"/>
          <w:szCs w:val="24"/>
        </w:rPr>
      </w:pPr>
      <w:r w:rsidRPr="00373688">
        <w:rPr>
          <w:rFonts w:ascii="Arial" w:hAnsi="Arial" w:cs="Arial"/>
          <w:i/>
          <w:sz w:val="24"/>
          <w:szCs w:val="24"/>
        </w:rPr>
        <w:t>Proportionality (s 28(2)(e))</w:t>
      </w:r>
    </w:p>
    <w:p w14:paraId="33BD010D" w14:textId="77777777" w:rsidR="00357018" w:rsidRPr="00373688" w:rsidRDefault="00357018" w:rsidP="00036FF0">
      <w:pPr>
        <w:pStyle w:val="ListParagraph"/>
        <w:keepNext/>
        <w:ind w:left="360"/>
        <w:rPr>
          <w:rFonts w:ascii="Arial" w:hAnsi="Arial" w:cs="Arial"/>
          <w:i/>
          <w:sz w:val="24"/>
          <w:szCs w:val="24"/>
        </w:rPr>
      </w:pPr>
    </w:p>
    <w:p w14:paraId="74DE3087" w14:textId="47314B58" w:rsidR="00357018" w:rsidRPr="00373688" w:rsidRDefault="00357018" w:rsidP="00036FF0">
      <w:pPr>
        <w:keepNext/>
        <w:rPr>
          <w:rFonts w:ascii="Arial" w:hAnsi="Arial" w:cs="Arial"/>
          <w:sz w:val="24"/>
          <w:szCs w:val="24"/>
          <w:shd w:val="clear" w:color="auto" w:fill="FFFFFF"/>
        </w:rPr>
      </w:pPr>
      <w:r w:rsidRPr="00373688">
        <w:rPr>
          <w:rFonts w:ascii="Arial" w:hAnsi="Arial" w:cs="Arial"/>
          <w:sz w:val="24"/>
          <w:szCs w:val="24"/>
          <w:shd w:val="clear" w:color="auto" w:fill="FFFFFF"/>
        </w:rPr>
        <w:t>Th</w:t>
      </w:r>
      <w:r w:rsidR="00052648" w:rsidRPr="00373688">
        <w:rPr>
          <w:rFonts w:ascii="Arial" w:hAnsi="Arial" w:cs="Arial"/>
          <w:sz w:val="24"/>
          <w:szCs w:val="24"/>
          <w:shd w:val="clear" w:color="auto" w:fill="FFFFFF"/>
        </w:rPr>
        <w:t>e new tenancy termination ground</w:t>
      </w:r>
      <w:r w:rsidRPr="00373688">
        <w:rPr>
          <w:rFonts w:ascii="Arial" w:hAnsi="Arial" w:cs="Arial"/>
          <w:sz w:val="24"/>
          <w:szCs w:val="24"/>
          <w:shd w:val="clear" w:color="auto" w:fill="FFFFFF"/>
        </w:rPr>
        <w:t xml:space="preserve"> </w:t>
      </w:r>
      <w:r w:rsidR="00052648" w:rsidRPr="00373688">
        <w:rPr>
          <w:rFonts w:ascii="Arial" w:hAnsi="Arial" w:cs="Arial"/>
          <w:sz w:val="24"/>
          <w:szCs w:val="24"/>
          <w:shd w:val="clear" w:color="auto" w:fill="FFFFFF"/>
        </w:rPr>
        <w:t xml:space="preserve">will </w:t>
      </w:r>
      <w:r w:rsidRPr="00373688">
        <w:rPr>
          <w:rFonts w:ascii="Arial" w:hAnsi="Arial" w:cs="Arial"/>
          <w:sz w:val="24"/>
          <w:szCs w:val="24"/>
          <w:shd w:val="clear" w:color="auto" w:fill="FFFFFF"/>
        </w:rPr>
        <w:t>only appl</w:t>
      </w:r>
      <w:r w:rsidR="00052648" w:rsidRPr="00373688">
        <w:rPr>
          <w:rFonts w:ascii="Arial" w:hAnsi="Arial" w:cs="Arial"/>
          <w:sz w:val="24"/>
          <w:szCs w:val="24"/>
          <w:shd w:val="clear" w:color="auto" w:fill="FFFFFF"/>
        </w:rPr>
        <w:t>y</w:t>
      </w:r>
      <w:r w:rsidRPr="00373688">
        <w:rPr>
          <w:rFonts w:ascii="Arial" w:hAnsi="Arial" w:cs="Arial"/>
          <w:sz w:val="24"/>
          <w:szCs w:val="24"/>
          <w:shd w:val="clear" w:color="auto" w:fill="FFFFFF"/>
        </w:rPr>
        <w:t xml:space="preserve"> in limited circumstances</w:t>
      </w:r>
      <w:r w:rsidR="00036FF0">
        <w:rPr>
          <w:rFonts w:ascii="Arial" w:hAnsi="Arial" w:cs="Arial"/>
          <w:sz w:val="24"/>
          <w:szCs w:val="24"/>
          <w:shd w:val="clear" w:color="auto" w:fill="FFFFFF"/>
        </w:rPr>
        <w:t>,</w:t>
      </w:r>
      <w:r w:rsidRPr="00373688">
        <w:rPr>
          <w:rFonts w:ascii="Arial" w:hAnsi="Arial" w:cs="Arial"/>
          <w:sz w:val="24"/>
          <w:szCs w:val="24"/>
          <w:shd w:val="clear" w:color="auto" w:fill="FFFFFF"/>
        </w:rPr>
        <w:t xml:space="preserve"> where a remaining resident has been offered a temporary period of housing assistance </w:t>
      </w:r>
      <w:r w:rsidR="00052648" w:rsidRPr="00373688">
        <w:rPr>
          <w:rFonts w:ascii="Arial" w:hAnsi="Arial" w:cs="Arial"/>
          <w:sz w:val="24"/>
          <w:szCs w:val="24"/>
          <w:shd w:val="clear" w:color="auto" w:fill="FFFFFF"/>
        </w:rPr>
        <w:t>(after</w:t>
      </w:r>
      <w:r w:rsidRPr="00373688">
        <w:rPr>
          <w:rFonts w:ascii="Arial" w:hAnsi="Arial" w:cs="Arial"/>
          <w:sz w:val="24"/>
          <w:szCs w:val="24"/>
          <w:shd w:val="clear" w:color="auto" w:fill="FFFFFF"/>
        </w:rPr>
        <w:t> there has been a tenancy breakdown</w:t>
      </w:r>
      <w:r w:rsidR="00052648" w:rsidRPr="00373688">
        <w:rPr>
          <w:rFonts w:ascii="Arial" w:hAnsi="Arial" w:cs="Arial"/>
          <w:sz w:val="24"/>
          <w:szCs w:val="24"/>
          <w:shd w:val="clear" w:color="auto" w:fill="FFFFFF"/>
        </w:rPr>
        <w:t>)</w:t>
      </w:r>
      <w:r w:rsidRPr="00373688">
        <w:rPr>
          <w:rFonts w:ascii="Arial" w:hAnsi="Arial" w:cs="Arial"/>
          <w:sz w:val="24"/>
          <w:szCs w:val="24"/>
          <w:shd w:val="clear" w:color="auto" w:fill="FFFFFF"/>
        </w:rPr>
        <w:t xml:space="preserve"> and they fail to apply for ongoing </w:t>
      </w:r>
      <w:r w:rsidRPr="00373688">
        <w:rPr>
          <w:rFonts w:ascii="Arial" w:hAnsi="Arial" w:cs="Arial"/>
          <w:sz w:val="24"/>
          <w:szCs w:val="24"/>
          <w:shd w:val="clear" w:color="auto" w:fill="FFFFFF"/>
        </w:rPr>
        <w:lastRenderedPageBreak/>
        <w:t>assistance. </w:t>
      </w:r>
      <w:r w:rsidR="00052648" w:rsidRPr="00373688">
        <w:rPr>
          <w:rFonts w:ascii="Arial" w:hAnsi="Arial" w:cs="Arial"/>
          <w:sz w:val="24"/>
          <w:szCs w:val="24"/>
          <w:shd w:val="clear" w:color="auto" w:fill="FFFFFF"/>
        </w:rPr>
        <w:t>Multiple safeguards have been built into the laws in recognition of the potential vulnerability of the tenant and their right to privacy and home.</w:t>
      </w:r>
    </w:p>
    <w:p w14:paraId="4EE7C517" w14:textId="4816F078" w:rsidR="00052648" w:rsidRPr="00373688" w:rsidRDefault="00052648" w:rsidP="00357018">
      <w:pPr>
        <w:rPr>
          <w:rFonts w:ascii="Arial" w:hAnsi="Arial" w:cs="Arial"/>
          <w:sz w:val="24"/>
          <w:szCs w:val="24"/>
          <w:shd w:val="clear" w:color="auto" w:fill="FFFFFF"/>
        </w:rPr>
      </w:pPr>
      <w:r w:rsidRPr="00373688">
        <w:rPr>
          <w:rFonts w:ascii="Arial" w:hAnsi="Arial" w:cs="Arial"/>
          <w:sz w:val="24"/>
          <w:szCs w:val="24"/>
          <w:shd w:val="clear" w:color="auto" w:fill="FFFFFF"/>
        </w:rPr>
        <w:t xml:space="preserve">These include that the person must be put on notice at the start of the temporary housing assistance period that if they fail to apply for ongoing housing assistance within 6 weeks, the Commissioner may terminate the agreement. </w:t>
      </w:r>
    </w:p>
    <w:p w14:paraId="785D9E7F" w14:textId="49244A15" w:rsidR="00052648" w:rsidRPr="00373688" w:rsidRDefault="00052648" w:rsidP="00357018">
      <w:pPr>
        <w:rPr>
          <w:rFonts w:ascii="Arial" w:hAnsi="Arial" w:cs="Arial"/>
          <w:sz w:val="24"/>
          <w:szCs w:val="24"/>
          <w:shd w:val="clear" w:color="auto" w:fill="FFFFFF"/>
        </w:rPr>
      </w:pPr>
      <w:r w:rsidRPr="00373688">
        <w:rPr>
          <w:rFonts w:ascii="Arial" w:hAnsi="Arial" w:cs="Arial"/>
          <w:sz w:val="24"/>
          <w:szCs w:val="24"/>
          <w:shd w:val="clear" w:color="auto" w:fill="FFFFFF"/>
        </w:rPr>
        <w:t xml:space="preserve">Further, </w:t>
      </w:r>
      <w:r w:rsidR="00357018" w:rsidRPr="00373688">
        <w:rPr>
          <w:rFonts w:ascii="Arial" w:hAnsi="Arial" w:cs="Arial"/>
          <w:sz w:val="24"/>
          <w:szCs w:val="24"/>
          <w:shd w:val="clear" w:color="auto" w:fill="FFFFFF"/>
        </w:rPr>
        <w:t>if the tenant fails to do this</w:t>
      </w:r>
      <w:r w:rsidR="00036FF0">
        <w:rPr>
          <w:rFonts w:ascii="Arial" w:hAnsi="Arial" w:cs="Arial"/>
          <w:sz w:val="24"/>
          <w:szCs w:val="24"/>
          <w:shd w:val="clear" w:color="auto" w:fill="FFFFFF"/>
        </w:rPr>
        <w:t>,</w:t>
      </w:r>
      <w:r w:rsidR="00357018" w:rsidRPr="00373688">
        <w:rPr>
          <w:rFonts w:ascii="Arial" w:hAnsi="Arial" w:cs="Arial"/>
          <w:sz w:val="24"/>
          <w:szCs w:val="24"/>
          <w:shd w:val="clear" w:color="auto" w:fill="FFFFFF"/>
        </w:rPr>
        <w:t xml:space="preserve"> the Commissioner must give the tenant at least 26 weeks’ notice</w:t>
      </w:r>
      <w:r w:rsidRPr="00373688">
        <w:rPr>
          <w:rFonts w:ascii="Arial" w:hAnsi="Arial" w:cs="Arial"/>
          <w:sz w:val="24"/>
          <w:szCs w:val="24"/>
          <w:shd w:val="clear" w:color="auto" w:fill="FFFFFF"/>
        </w:rPr>
        <w:t xml:space="preserve"> before the tenancy ends</w:t>
      </w:r>
      <w:r w:rsidR="00357018" w:rsidRPr="00373688">
        <w:rPr>
          <w:rFonts w:ascii="Arial" w:hAnsi="Arial" w:cs="Arial"/>
          <w:sz w:val="24"/>
          <w:szCs w:val="24"/>
          <w:shd w:val="clear" w:color="auto" w:fill="FFFFFF"/>
        </w:rPr>
        <w:t>, ensuring that the tenant has an extended period of time in which to prepare to move and to source alternative accommodation.</w:t>
      </w:r>
      <w:r w:rsidRPr="00373688">
        <w:rPr>
          <w:rFonts w:ascii="Arial" w:hAnsi="Arial" w:cs="Arial"/>
          <w:sz w:val="24"/>
          <w:szCs w:val="24"/>
          <w:shd w:val="clear" w:color="auto" w:fill="FFFFFF"/>
        </w:rPr>
        <w:t xml:space="preserve"> The notice to vacate must include the details of legal or advocacy services that may support the tenant</w:t>
      </w:r>
      <w:r w:rsidR="00C3601A" w:rsidRPr="00373688">
        <w:rPr>
          <w:rFonts w:ascii="Arial" w:hAnsi="Arial" w:cs="Arial"/>
          <w:sz w:val="24"/>
          <w:szCs w:val="24"/>
          <w:shd w:val="clear" w:color="auto" w:fill="FFFFFF"/>
        </w:rPr>
        <w:t>.</w:t>
      </w:r>
    </w:p>
    <w:p w14:paraId="153F3250" w14:textId="16EC8315" w:rsidR="008873D4" w:rsidRPr="00373688" w:rsidRDefault="00357018" w:rsidP="00357018">
      <w:pPr>
        <w:rPr>
          <w:rFonts w:ascii="Arial" w:hAnsi="Arial" w:cs="Arial"/>
          <w:sz w:val="24"/>
          <w:szCs w:val="24"/>
          <w:shd w:val="clear" w:color="auto" w:fill="FFFFFF"/>
        </w:rPr>
      </w:pPr>
      <w:r w:rsidRPr="00373688">
        <w:rPr>
          <w:rFonts w:ascii="Arial" w:hAnsi="Arial" w:cs="Arial"/>
          <w:sz w:val="24"/>
          <w:szCs w:val="24"/>
          <w:shd w:val="clear" w:color="auto" w:fill="FFFFFF"/>
        </w:rPr>
        <w:t xml:space="preserve">In addition, if the tenant does apply </w:t>
      </w:r>
      <w:r w:rsidR="00052648" w:rsidRPr="00373688">
        <w:rPr>
          <w:rFonts w:ascii="Arial" w:hAnsi="Arial" w:cs="Arial"/>
          <w:sz w:val="24"/>
          <w:szCs w:val="24"/>
          <w:shd w:val="clear" w:color="auto" w:fill="FFFFFF"/>
        </w:rPr>
        <w:t xml:space="preserve">for ongoing housing assistance </w:t>
      </w:r>
      <w:r w:rsidRPr="00373688">
        <w:rPr>
          <w:rFonts w:ascii="Arial" w:hAnsi="Arial" w:cs="Arial"/>
          <w:sz w:val="24"/>
          <w:szCs w:val="24"/>
          <w:shd w:val="clear" w:color="auto" w:fill="FFFFFF"/>
        </w:rPr>
        <w:t xml:space="preserve">before the end of the 26 week notice </w:t>
      </w:r>
      <w:r w:rsidR="00052648" w:rsidRPr="00373688">
        <w:rPr>
          <w:rFonts w:ascii="Arial" w:hAnsi="Arial" w:cs="Arial"/>
          <w:sz w:val="24"/>
          <w:szCs w:val="24"/>
          <w:shd w:val="clear" w:color="auto" w:fill="FFFFFF"/>
        </w:rPr>
        <w:t xml:space="preserve">period, </w:t>
      </w:r>
      <w:r w:rsidRPr="00373688">
        <w:rPr>
          <w:rFonts w:ascii="Arial" w:hAnsi="Arial" w:cs="Arial"/>
          <w:sz w:val="24"/>
          <w:szCs w:val="24"/>
          <w:shd w:val="clear" w:color="auto" w:fill="FFFFFF"/>
        </w:rPr>
        <w:t>the</w:t>
      </w:r>
      <w:r w:rsidR="00052648" w:rsidRPr="00373688">
        <w:rPr>
          <w:rFonts w:ascii="Arial" w:hAnsi="Arial" w:cs="Arial"/>
          <w:sz w:val="24"/>
          <w:szCs w:val="24"/>
          <w:shd w:val="clear" w:color="auto" w:fill="FFFFFF"/>
        </w:rPr>
        <w:t xml:space="preserve"> notice to vacate</w:t>
      </w:r>
      <w:r w:rsidRPr="00373688">
        <w:rPr>
          <w:rFonts w:ascii="Arial" w:hAnsi="Arial" w:cs="Arial"/>
          <w:sz w:val="24"/>
          <w:szCs w:val="24"/>
          <w:shd w:val="clear" w:color="auto" w:fill="FFFFFF"/>
        </w:rPr>
        <w:t xml:space="preserve"> </w:t>
      </w:r>
      <w:r w:rsidR="00052648" w:rsidRPr="00373688">
        <w:rPr>
          <w:rFonts w:ascii="Arial" w:hAnsi="Arial" w:cs="Arial"/>
          <w:sz w:val="24"/>
          <w:szCs w:val="24"/>
          <w:shd w:val="clear" w:color="auto" w:fill="FFFFFF"/>
        </w:rPr>
        <w:t>will be automatically</w:t>
      </w:r>
      <w:r w:rsidRPr="00373688">
        <w:rPr>
          <w:rFonts w:ascii="Arial" w:hAnsi="Arial" w:cs="Arial"/>
          <w:sz w:val="24"/>
          <w:szCs w:val="24"/>
          <w:shd w:val="clear" w:color="auto" w:fill="FFFFFF"/>
        </w:rPr>
        <w:t xml:space="preserve"> withdrawn</w:t>
      </w:r>
      <w:r w:rsidR="00C3601A" w:rsidRPr="00373688">
        <w:rPr>
          <w:rFonts w:ascii="Arial" w:hAnsi="Arial" w:cs="Arial"/>
          <w:sz w:val="24"/>
          <w:szCs w:val="24"/>
          <w:shd w:val="clear" w:color="auto" w:fill="FFFFFF"/>
        </w:rPr>
        <w:t xml:space="preserve"> (and a statement to this effect must be included in the notice to vacate)</w:t>
      </w:r>
      <w:r w:rsidRPr="00373688">
        <w:rPr>
          <w:rFonts w:ascii="Arial" w:hAnsi="Arial" w:cs="Arial"/>
          <w:sz w:val="24"/>
          <w:szCs w:val="24"/>
          <w:shd w:val="clear" w:color="auto" w:fill="FFFFFF"/>
        </w:rPr>
        <w:t>. Where the Commissioner finds that the tenant is ineligible for ongoing assistance, the Commissioner is nonetheless required to provide notice for the later of the end of the period of the first notice to vacate or an additional 12 week</w:t>
      </w:r>
      <w:r w:rsidR="00036FF0">
        <w:rPr>
          <w:rFonts w:ascii="Arial" w:hAnsi="Arial" w:cs="Arial"/>
          <w:sz w:val="24"/>
          <w:szCs w:val="24"/>
          <w:shd w:val="clear" w:color="auto" w:fill="FFFFFF"/>
        </w:rPr>
        <w:t>s</w:t>
      </w:r>
      <w:r w:rsidRPr="00373688">
        <w:rPr>
          <w:rFonts w:ascii="Arial" w:hAnsi="Arial" w:cs="Arial"/>
          <w:sz w:val="24"/>
          <w:szCs w:val="24"/>
          <w:shd w:val="clear" w:color="auto" w:fill="FFFFFF"/>
        </w:rPr>
        <w:t>.</w:t>
      </w:r>
    </w:p>
    <w:p w14:paraId="31B30808" w14:textId="009E2D33" w:rsidR="008873D4" w:rsidRPr="00373688" w:rsidRDefault="008873D4" w:rsidP="00357018">
      <w:pPr>
        <w:rPr>
          <w:rFonts w:ascii="Arial" w:hAnsi="Arial" w:cs="Arial"/>
          <w:sz w:val="24"/>
          <w:szCs w:val="24"/>
          <w:shd w:val="clear" w:color="auto" w:fill="FFFFFF"/>
        </w:rPr>
      </w:pPr>
      <w:r w:rsidRPr="00373688">
        <w:rPr>
          <w:rFonts w:ascii="Arial" w:hAnsi="Arial" w:cs="Arial"/>
          <w:sz w:val="24"/>
          <w:szCs w:val="24"/>
          <w:shd w:val="clear" w:color="auto" w:fill="FFFFFF"/>
        </w:rPr>
        <w:t>Finally,</w:t>
      </w:r>
      <w:r w:rsidR="00C201F4" w:rsidRPr="00373688">
        <w:rPr>
          <w:rFonts w:ascii="Arial" w:hAnsi="Arial" w:cs="Arial"/>
          <w:sz w:val="24"/>
          <w:szCs w:val="24"/>
          <w:shd w:val="clear" w:color="auto" w:fill="FFFFFF"/>
        </w:rPr>
        <w:t xml:space="preserve"> if the Commissioner applies to</w:t>
      </w:r>
      <w:r w:rsidRPr="00373688">
        <w:rPr>
          <w:rFonts w:ascii="Arial" w:hAnsi="Arial" w:cs="Arial"/>
          <w:sz w:val="24"/>
          <w:szCs w:val="24"/>
          <w:shd w:val="clear" w:color="auto" w:fill="FFFFFF"/>
        </w:rPr>
        <w:t xml:space="preserve"> the ACT Civil and Administrative Tribunal</w:t>
      </w:r>
      <w:r w:rsidR="00C201F4" w:rsidRPr="00373688">
        <w:rPr>
          <w:rFonts w:ascii="Arial" w:hAnsi="Arial" w:cs="Arial"/>
          <w:sz w:val="24"/>
          <w:szCs w:val="24"/>
          <w:shd w:val="clear" w:color="auto" w:fill="FFFFFF"/>
        </w:rPr>
        <w:t xml:space="preserve"> (</w:t>
      </w:r>
      <w:r w:rsidR="00C201F4" w:rsidRPr="00373688">
        <w:rPr>
          <w:rFonts w:ascii="Arial" w:hAnsi="Arial" w:cs="Arial"/>
          <w:b/>
          <w:bCs/>
          <w:sz w:val="24"/>
          <w:szCs w:val="24"/>
          <w:shd w:val="clear" w:color="auto" w:fill="FFFFFF"/>
        </w:rPr>
        <w:t>ACAT</w:t>
      </w:r>
      <w:r w:rsidR="00C201F4" w:rsidRPr="00373688">
        <w:rPr>
          <w:rFonts w:ascii="Arial" w:hAnsi="Arial" w:cs="Arial"/>
          <w:sz w:val="24"/>
          <w:szCs w:val="24"/>
          <w:shd w:val="clear" w:color="auto" w:fill="FFFFFF"/>
        </w:rPr>
        <w:t>) seeking a termination and possession order under the new termination provision in the Bill, ACAT will be required to consider whether the termination is reasonable and proportionate, having regard to the factors set out in section 47 of the RTA (including the history and length of the tenancy, any hardship to the tenant, and the object of the Program and the Commissioner’s statutory functions).</w:t>
      </w:r>
    </w:p>
    <w:p w14:paraId="0AF89EF6" w14:textId="198F8376" w:rsidR="00357018" w:rsidRPr="00373688" w:rsidRDefault="00357018" w:rsidP="00357018">
      <w:pPr>
        <w:rPr>
          <w:rFonts w:ascii="Arial" w:hAnsi="Arial" w:cs="Arial"/>
          <w:i/>
          <w:sz w:val="24"/>
          <w:szCs w:val="24"/>
        </w:rPr>
      </w:pPr>
      <w:r w:rsidRPr="00373688">
        <w:rPr>
          <w:rFonts w:ascii="Arial" w:hAnsi="Arial" w:cs="Arial"/>
          <w:sz w:val="24"/>
          <w:szCs w:val="24"/>
          <w:shd w:val="clear" w:color="auto" w:fill="FFFFFF"/>
        </w:rPr>
        <w:t>These safeguards ensure any potential limitation on the right to privacy is limited.</w:t>
      </w:r>
    </w:p>
    <w:p w14:paraId="7EF6F6D7" w14:textId="77777777" w:rsidR="00357018" w:rsidRPr="00373688" w:rsidRDefault="00357018" w:rsidP="00C201F4">
      <w:pPr>
        <w:keepNext/>
        <w:rPr>
          <w:rFonts w:ascii="Arial" w:hAnsi="Arial" w:cs="Arial"/>
          <w:b/>
          <w:bCs/>
          <w:i/>
          <w:sz w:val="24"/>
          <w:szCs w:val="24"/>
        </w:rPr>
      </w:pPr>
      <w:r w:rsidRPr="00373688">
        <w:rPr>
          <w:rFonts w:ascii="Arial" w:hAnsi="Arial" w:cs="Arial"/>
          <w:b/>
          <w:bCs/>
          <w:i/>
          <w:sz w:val="24"/>
          <w:szCs w:val="24"/>
        </w:rPr>
        <w:t>Wills Act 1968</w:t>
      </w:r>
    </w:p>
    <w:p w14:paraId="63688E24" w14:textId="77777777" w:rsidR="00357018" w:rsidRPr="00373688" w:rsidRDefault="00357018" w:rsidP="00C201F4">
      <w:pPr>
        <w:keepNext/>
        <w:rPr>
          <w:rFonts w:ascii="Arial" w:hAnsi="Arial" w:cs="Arial"/>
          <w:iCs/>
          <w:sz w:val="24"/>
          <w:szCs w:val="24"/>
          <w:u w:val="single"/>
        </w:rPr>
      </w:pPr>
      <w:r w:rsidRPr="00373688">
        <w:rPr>
          <w:rFonts w:ascii="Arial" w:hAnsi="Arial" w:cs="Arial"/>
          <w:iCs/>
          <w:sz w:val="24"/>
          <w:szCs w:val="24"/>
          <w:u w:val="single"/>
        </w:rPr>
        <w:t xml:space="preserve">Section 12 – Privacy </w:t>
      </w:r>
    </w:p>
    <w:p w14:paraId="55E68D8F" w14:textId="2366CE7A" w:rsidR="00357018" w:rsidRPr="00373688" w:rsidRDefault="00357018" w:rsidP="00C201F4">
      <w:pPr>
        <w:pStyle w:val="ListParagraph"/>
        <w:keepNext/>
        <w:numPr>
          <w:ilvl w:val="0"/>
          <w:numId w:val="13"/>
        </w:numPr>
        <w:rPr>
          <w:rFonts w:ascii="Arial" w:hAnsi="Arial" w:cs="Arial"/>
          <w:i/>
          <w:sz w:val="24"/>
          <w:szCs w:val="24"/>
        </w:rPr>
      </w:pPr>
      <w:r w:rsidRPr="00373688">
        <w:rPr>
          <w:rFonts w:ascii="Arial" w:hAnsi="Arial" w:cs="Arial"/>
          <w:i/>
          <w:sz w:val="24"/>
          <w:szCs w:val="24"/>
        </w:rPr>
        <w:t>Nature of the right and the limitation (ss 28(2)(a) and (c))</w:t>
      </w:r>
    </w:p>
    <w:p w14:paraId="3A0BD804" w14:textId="77777777" w:rsidR="00C3601A" w:rsidRPr="00373688" w:rsidRDefault="00C3601A" w:rsidP="00C201F4">
      <w:pPr>
        <w:pStyle w:val="ListParagraph"/>
        <w:keepNext/>
        <w:ind w:left="360"/>
        <w:rPr>
          <w:rFonts w:ascii="Arial" w:hAnsi="Arial" w:cs="Arial"/>
          <w:i/>
          <w:sz w:val="24"/>
          <w:szCs w:val="24"/>
        </w:rPr>
      </w:pPr>
    </w:p>
    <w:p w14:paraId="08D190D4" w14:textId="4215228F" w:rsidR="00357018" w:rsidRPr="00373688" w:rsidRDefault="00357018" w:rsidP="00C201F4">
      <w:pPr>
        <w:keepNext/>
        <w:rPr>
          <w:rFonts w:ascii="Arial" w:hAnsi="Arial" w:cs="Arial"/>
          <w:i/>
          <w:sz w:val="24"/>
          <w:szCs w:val="24"/>
        </w:rPr>
      </w:pPr>
      <w:r w:rsidRPr="00373688">
        <w:rPr>
          <w:rFonts w:ascii="Arial" w:hAnsi="Arial" w:cs="Arial"/>
          <w:iCs/>
          <w:sz w:val="24"/>
          <w:szCs w:val="24"/>
        </w:rPr>
        <w:t xml:space="preserve">Everyone has the right not to have his or her privacy, family, home or correspondence interfered with unlawfully or arbitrarily. This Bill limits this right by </w:t>
      </w:r>
      <w:r w:rsidRPr="00373688">
        <w:rPr>
          <w:rFonts w:ascii="Arial" w:hAnsi="Arial" w:cs="Arial"/>
          <w:sz w:val="24"/>
          <w:szCs w:val="24"/>
        </w:rPr>
        <w:t xml:space="preserve">enabling the disclosure of private personal information (in Wills) by the Supreme Court to the </w:t>
      </w:r>
      <w:r w:rsidR="00E31F74" w:rsidRPr="00373688">
        <w:rPr>
          <w:rFonts w:ascii="Arial" w:hAnsi="Arial" w:cs="Arial"/>
          <w:sz w:val="24"/>
          <w:szCs w:val="24"/>
        </w:rPr>
        <w:t>Public Trustee and Guardian (</w:t>
      </w:r>
      <w:r w:rsidR="00E31F74" w:rsidRPr="00373688">
        <w:rPr>
          <w:rFonts w:ascii="Arial" w:hAnsi="Arial" w:cs="Arial"/>
          <w:b/>
          <w:bCs/>
          <w:sz w:val="24"/>
          <w:szCs w:val="24"/>
        </w:rPr>
        <w:t>PTG</w:t>
      </w:r>
      <w:r w:rsidR="00E31F74" w:rsidRPr="00373688">
        <w:rPr>
          <w:rFonts w:ascii="Arial" w:hAnsi="Arial" w:cs="Arial"/>
          <w:sz w:val="24"/>
          <w:szCs w:val="24"/>
        </w:rPr>
        <w:t>) for the establishment of a single centralised Wills register i</w:t>
      </w:r>
      <w:r w:rsidR="00D16982" w:rsidRPr="00373688">
        <w:rPr>
          <w:rFonts w:ascii="Arial" w:hAnsi="Arial" w:cs="Arial"/>
          <w:sz w:val="24"/>
          <w:szCs w:val="24"/>
        </w:rPr>
        <w:t>n</w:t>
      </w:r>
      <w:r w:rsidR="00E31F74" w:rsidRPr="00373688">
        <w:rPr>
          <w:rFonts w:ascii="Arial" w:hAnsi="Arial" w:cs="Arial"/>
          <w:sz w:val="24"/>
          <w:szCs w:val="24"/>
        </w:rPr>
        <w:t xml:space="preserve"> the ACT. </w:t>
      </w:r>
    </w:p>
    <w:p w14:paraId="6AADBB60" w14:textId="77777777" w:rsidR="00357018" w:rsidRPr="00373688" w:rsidRDefault="00357018" w:rsidP="00036FF0">
      <w:pPr>
        <w:pStyle w:val="ListParagraph"/>
        <w:keepNext/>
        <w:numPr>
          <w:ilvl w:val="0"/>
          <w:numId w:val="13"/>
        </w:numPr>
        <w:rPr>
          <w:rFonts w:ascii="Arial" w:hAnsi="Arial" w:cs="Arial"/>
          <w:i/>
          <w:sz w:val="24"/>
          <w:szCs w:val="24"/>
        </w:rPr>
      </w:pPr>
      <w:r w:rsidRPr="00373688">
        <w:rPr>
          <w:rFonts w:ascii="Arial" w:hAnsi="Arial" w:cs="Arial"/>
          <w:i/>
          <w:sz w:val="24"/>
          <w:szCs w:val="24"/>
        </w:rPr>
        <w:t>Legitimate purpose (s 28(2)(b))</w:t>
      </w:r>
    </w:p>
    <w:p w14:paraId="0F2B9AF1" w14:textId="65018748" w:rsidR="00357018" w:rsidRPr="00373688" w:rsidRDefault="00357018" w:rsidP="00036FF0">
      <w:pPr>
        <w:keepNext/>
        <w:rPr>
          <w:rFonts w:ascii="Arial" w:hAnsi="Arial" w:cs="Arial"/>
        </w:rPr>
      </w:pPr>
      <w:r w:rsidRPr="00373688">
        <w:rPr>
          <w:rFonts w:ascii="Arial" w:hAnsi="Arial" w:cs="Arial"/>
        </w:rPr>
        <w:br/>
      </w:r>
      <w:r w:rsidRPr="00373688">
        <w:rPr>
          <w:rFonts w:ascii="Arial" w:hAnsi="Arial" w:cs="Arial"/>
          <w:sz w:val="24"/>
          <w:szCs w:val="24"/>
        </w:rPr>
        <w:t xml:space="preserve">The amendment has a legitimate purpose, in that it will create a legislative framework supporting the PTG to create a centralised </w:t>
      </w:r>
      <w:r w:rsidR="00E31F74" w:rsidRPr="00373688">
        <w:rPr>
          <w:rFonts w:ascii="Arial" w:hAnsi="Arial" w:cs="Arial"/>
          <w:sz w:val="24"/>
          <w:szCs w:val="24"/>
        </w:rPr>
        <w:t>W</w:t>
      </w:r>
      <w:r w:rsidRPr="00373688">
        <w:rPr>
          <w:rFonts w:ascii="Arial" w:hAnsi="Arial" w:cs="Arial"/>
          <w:sz w:val="24"/>
          <w:szCs w:val="24"/>
        </w:rPr>
        <w:t xml:space="preserve">ills </w:t>
      </w:r>
      <w:r w:rsidR="00E31F74" w:rsidRPr="00373688">
        <w:rPr>
          <w:rFonts w:ascii="Arial" w:hAnsi="Arial" w:cs="Arial"/>
          <w:sz w:val="24"/>
          <w:szCs w:val="24"/>
        </w:rPr>
        <w:t>r</w:t>
      </w:r>
      <w:r w:rsidRPr="00373688">
        <w:rPr>
          <w:rFonts w:ascii="Arial" w:hAnsi="Arial" w:cs="Arial"/>
          <w:sz w:val="24"/>
          <w:szCs w:val="24"/>
        </w:rPr>
        <w:t xml:space="preserve">egister for the ACT.  </w:t>
      </w:r>
      <w:r w:rsidR="00C3601A" w:rsidRPr="00373688">
        <w:rPr>
          <w:rFonts w:ascii="Arial" w:hAnsi="Arial" w:cs="Arial"/>
          <w:sz w:val="24"/>
          <w:szCs w:val="24"/>
        </w:rPr>
        <w:t>The ability to easily locate a person’s Will after their death is important, because if a Will cannot be found then the person is deemed to have died intestate (without a Will), and their estate may not be distributed according to their true intentions.</w:t>
      </w:r>
      <w:r w:rsidR="00C3601A" w:rsidRPr="00373688">
        <w:rPr>
          <w:rFonts w:ascii="Arial" w:hAnsi="Arial" w:cs="Arial"/>
        </w:rPr>
        <w:t xml:space="preserve"> </w:t>
      </w:r>
      <w:r w:rsidR="00C3601A" w:rsidRPr="00373688">
        <w:rPr>
          <w:rFonts w:ascii="Arial" w:hAnsi="Arial" w:cs="Arial"/>
          <w:sz w:val="24"/>
          <w:szCs w:val="24"/>
        </w:rPr>
        <w:lastRenderedPageBreak/>
        <w:t>By</w:t>
      </w:r>
      <w:r w:rsidR="00036FF0">
        <w:rPr>
          <w:rFonts w:ascii="Arial" w:hAnsi="Arial" w:cs="Arial"/>
          <w:sz w:val="24"/>
          <w:szCs w:val="24"/>
        </w:rPr>
        <w:t> </w:t>
      </w:r>
      <w:r w:rsidR="00C3601A" w:rsidRPr="00373688">
        <w:rPr>
          <w:rFonts w:ascii="Arial" w:hAnsi="Arial" w:cs="Arial"/>
          <w:sz w:val="24"/>
          <w:szCs w:val="24"/>
        </w:rPr>
        <w:t>supporting the PTG to create a single centralised Wills register and enabling the transfer of personal private information held in Wills from the Supreme Court to the PTG, it will be easier to locate Wills deposited in the register and thus reduce the number of citizens who die intestate.</w:t>
      </w:r>
    </w:p>
    <w:p w14:paraId="16E3C294" w14:textId="77777777" w:rsidR="00357018" w:rsidRPr="00373688" w:rsidRDefault="00357018" w:rsidP="00357018">
      <w:pPr>
        <w:pStyle w:val="ListParagraph"/>
        <w:numPr>
          <w:ilvl w:val="0"/>
          <w:numId w:val="13"/>
        </w:numPr>
        <w:rPr>
          <w:rFonts w:ascii="Arial" w:hAnsi="Arial" w:cs="Arial"/>
          <w:i/>
          <w:sz w:val="24"/>
          <w:szCs w:val="24"/>
        </w:rPr>
      </w:pPr>
      <w:r w:rsidRPr="00373688">
        <w:rPr>
          <w:rFonts w:ascii="Arial" w:hAnsi="Arial" w:cs="Arial"/>
          <w:i/>
          <w:sz w:val="24"/>
          <w:szCs w:val="24"/>
        </w:rPr>
        <w:t>Rational connection between the limitation and the purpose (s 28(2)(d))</w:t>
      </w:r>
    </w:p>
    <w:p w14:paraId="05375D08" w14:textId="2603AB32" w:rsidR="00357018" w:rsidRPr="00373688" w:rsidRDefault="00357018" w:rsidP="00C201F4">
      <w:pPr>
        <w:rPr>
          <w:rFonts w:ascii="Arial" w:hAnsi="Arial" w:cs="Arial"/>
          <w:iCs/>
          <w:sz w:val="24"/>
          <w:szCs w:val="24"/>
        </w:rPr>
      </w:pPr>
      <w:r w:rsidRPr="00373688">
        <w:rPr>
          <w:rFonts w:ascii="Arial" w:hAnsi="Arial" w:cs="Arial"/>
          <w:i/>
          <w:sz w:val="24"/>
          <w:szCs w:val="24"/>
        </w:rPr>
        <w:br/>
      </w:r>
      <w:r w:rsidRPr="00373688">
        <w:rPr>
          <w:rFonts w:ascii="Arial" w:hAnsi="Arial" w:cs="Arial"/>
          <w:iCs/>
          <w:sz w:val="24"/>
          <w:szCs w:val="24"/>
        </w:rPr>
        <w:t>There is a rational connection between enabling the disclosure of private personal information in Wills by the Supreme Court to the PTG</w:t>
      </w:r>
      <w:r w:rsidR="00E31F74" w:rsidRPr="00373688">
        <w:rPr>
          <w:rFonts w:ascii="Arial" w:hAnsi="Arial" w:cs="Arial"/>
          <w:iCs/>
          <w:sz w:val="24"/>
          <w:szCs w:val="24"/>
        </w:rPr>
        <w:t xml:space="preserve"> and the purpose of creating a single centralised Wills </w:t>
      </w:r>
      <w:r w:rsidR="003745A2" w:rsidRPr="00373688">
        <w:rPr>
          <w:rFonts w:ascii="Arial" w:hAnsi="Arial" w:cs="Arial"/>
          <w:iCs/>
          <w:sz w:val="24"/>
          <w:szCs w:val="24"/>
        </w:rPr>
        <w:t>register</w:t>
      </w:r>
      <w:r w:rsidR="00E31F74" w:rsidRPr="00373688">
        <w:rPr>
          <w:rFonts w:ascii="Arial" w:hAnsi="Arial" w:cs="Arial"/>
          <w:iCs/>
          <w:sz w:val="24"/>
          <w:szCs w:val="24"/>
        </w:rPr>
        <w:t>.</w:t>
      </w:r>
      <w:r w:rsidR="00036FF0">
        <w:rPr>
          <w:rFonts w:ascii="Arial" w:hAnsi="Arial" w:cs="Arial"/>
          <w:iCs/>
          <w:sz w:val="24"/>
          <w:szCs w:val="24"/>
        </w:rPr>
        <w:t xml:space="preserve"> </w:t>
      </w:r>
      <w:r w:rsidRPr="00373688">
        <w:rPr>
          <w:rFonts w:ascii="Arial" w:hAnsi="Arial" w:cs="Arial"/>
          <w:iCs/>
          <w:sz w:val="24"/>
          <w:szCs w:val="24"/>
        </w:rPr>
        <w:t xml:space="preserve">The connection is that the disclosure </w:t>
      </w:r>
      <w:r w:rsidR="00D16982" w:rsidRPr="00373688">
        <w:rPr>
          <w:rFonts w:ascii="Arial" w:hAnsi="Arial" w:cs="Arial"/>
          <w:iCs/>
          <w:sz w:val="24"/>
          <w:szCs w:val="24"/>
        </w:rPr>
        <w:t xml:space="preserve">will </w:t>
      </w:r>
      <w:r w:rsidR="008961B2" w:rsidRPr="00373688">
        <w:rPr>
          <w:rFonts w:ascii="Arial" w:hAnsi="Arial" w:cs="Arial"/>
          <w:iCs/>
          <w:sz w:val="24"/>
          <w:szCs w:val="24"/>
        </w:rPr>
        <w:t xml:space="preserve">allow the PTG to add Wills that were deposited with the Supreme Court to the </w:t>
      </w:r>
      <w:r w:rsidR="00D16982" w:rsidRPr="00373688">
        <w:rPr>
          <w:rFonts w:ascii="Arial" w:hAnsi="Arial" w:cs="Arial"/>
          <w:iCs/>
          <w:sz w:val="24"/>
          <w:szCs w:val="24"/>
        </w:rPr>
        <w:t xml:space="preserve">centralised </w:t>
      </w:r>
      <w:r w:rsidR="008961B2" w:rsidRPr="00373688">
        <w:rPr>
          <w:rFonts w:ascii="Arial" w:hAnsi="Arial" w:cs="Arial"/>
          <w:iCs/>
          <w:sz w:val="24"/>
          <w:szCs w:val="24"/>
        </w:rPr>
        <w:t>register</w:t>
      </w:r>
      <w:r w:rsidR="00E31F74" w:rsidRPr="00373688">
        <w:rPr>
          <w:rFonts w:ascii="Arial" w:hAnsi="Arial" w:cs="Arial"/>
          <w:iCs/>
          <w:sz w:val="24"/>
          <w:szCs w:val="24"/>
        </w:rPr>
        <w:t>.</w:t>
      </w:r>
      <w:r w:rsidR="008961B2" w:rsidRPr="00373688">
        <w:rPr>
          <w:rFonts w:ascii="Arial" w:hAnsi="Arial" w:cs="Arial"/>
          <w:iCs/>
          <w:sz w:val="24"/>
          <w:szCs w:val="24"/>
        </w:rPr>
        <w:t xml:space="preserve"> </w:t>
      </w:r>
    </w:p>
    <w:p w14:paraId="37F8A185" w14:textId="77777777" w:rsidR="00357018" w:rsidRPr="00373688" w:rsidRDefault="00357018" w:rsidP="00357018">
      <w:pPr>
        <w:pStyle w:val="ListParagraph"/>
        <w:numPr>
          <w:ilvl w:val="0"/>
          <w:numId w:val="13"/>
        </w:numPr>
        <w:rPr>
          <w:rFonts w:ascii="Arial" w:hAnsi="Arial" w:cs="Arial"/>
          <w:i/>
          <w:sz w:val="24"/>
          <w:szCs w:val="24"/>
        </w:rPr>
      </w:pPr>
      <w:r w:rsidRPr="00373688">
        <w:rPr>
          <w:rFonts w:ascii="Arial" w:hAnsi="Arial" w:cs="Arial"/>
          <w:i/>
          <w:sz w:val="24"/>
          <w:szCs w:val="24"/>
        </w:rPr>
        <w:t>Proportionality (s 28(2)(e))</w:t>
      </w:r>
    </w:p>
    <w:p w14:paraId="58594C33" w14:textId="015C198C" w:rsidR="00357018" w:rsidRPr="00373688" w:rsidRDefault="00357018" w:rsidP="00357018">
      <w:pPr>
        <w:rPr>
          <w:rFonts w:ascii="Arial" w:hAnsi="Arial" w:cs="Arial"/>
          <w:sz w:val="24"/>
          <w:szCs w:val="24"/>
        </w:rPr>
      </w:pPr>
      <w:r w:rsidRPr="00373688">
        <w:rPr>
          <w:rFonts w:ascii="Arial" w:hAnsi="Arial" w:cs="Arial"/>
          <w:sz w:val="24"/>
          <w:szCs w:val="24"/>
        </w:rPr>
        <w:br/>
        <w:t>This limitation is considered reasonable and proportionate in the circumstances. There is no less restrictive way that Wills held by the Supreme Court may be entered into the centralised Wills Register under development by the PTG.</w:t>
      </w:r>
      <w:r w:rsidR="008961B2" w:rsidRPr="00373688">
        <w:rPr>
          <w:rFonts w:ascii="Arial" w:hAnsi="Arial" w:cs="Arial"/>
          <w:sz w:val="24"/>
          <w:szCs w:val="24"/>
        </w:rPr>
        <w:t xml:space="preserve"> </w:t>
      </w:r>
      <w:r w:rsidR="00D16982" w:rsidRPr="00373688">
        <w:rPr>
          <w:rFonts w:ascii="Arial" w:hAnsi="Arial" w:cs="Arial"/>
          <w:sz w:val="24"/>
          <w:szCs w:val="24"/>
        </w:rPr>
        <w:t>The</w:t>
      </w:r>
      <w:r w:rsidR="008961B2" w:rsidRPr="00373688">
        <w:rPr>
          <w:rFonts w:ascii="Arial" w:hAnsi="Arial" w:cs="Arial"/>
          <w:sz w:val="24"/>
          <w:szCs w:val="24"/>
        </w:rPr>
        <w:t xml:space="preserve"> Bill includes specific authorising provisions for the purposes of privacy law to permit the disclosure to occur. This promotes transparency on the public record as to the disclosure. Moreover, the PTG has rules about who may access its register. These rules are designed to protect the privacy of the testator and limit the disclosure of personal information.</w:t>
      </w:r>
    </w:p>
    <w:p w14:paraId="5D153C59" w14:textId="75CB5129" w:rsidR="008961B2" w:rsidRPr="00373688" w:rsidRDefault="008961B2" w:rsidP="00357018">
      <w:pPr>
        <w:rPr>
          <w:rFonts w:ascii="Arial" w:hAnsi="Arial" w:cs="Arial"/>
          <w:iCs/>
          <w:sz w:val="24"/>
          <w:szCs w:val="24"/>
        </w:rPr>
      </w:pPr>
      <w:r w:rsidRPr="00373688">
        <w:rPr>
          <w:rFonts w:ascii="Arial" w:hAnsi="Arial" w:cs="Arial"/>
          <w:sz w:val="24"/>
          <w:szCs w:val="24"/>
        </w:rPr>
        <w:t>The potential for the Supreme Court to write to testators to advise of the disclosure of their Wills to the PTG was considered</w:t>
      </w:r>
      <w:r w:rsidR="00036FF0">
        <w:rPr>
          <w:rFonts w:ascii="Arial" w:hAnsi="Arial" w:cs="Arial"/>
          <w:sz w:val="24"/>
          <w:szCs w:val="24"/>
        </w:rPr>
        <w:t>,</w:t>
      </w:r>
      <w:r w:rsidRPr="00373688">
        <w:rPr>
          <w:rFonts w:ascii="Arial" w:hAnsi="Arial" w:cs="Arial"/>
          <w:sz w:val="24"/>
          <w:szCs w:val="24"/>
        </w:rPr>
        <w:t xml:space="preserve"> but was deemed not feasible or necessary in all of the circumstances. This includes the large number of Wills held by the Court, the passage of time since many were deposited, the potential difficulties in locating contact details for some testators, and the fact that </w:t>
      </w:r>
      <w:r w:rsidR="00B60AFE" w:rsidRPr="00373688">
        <w:rPr>
          <w:rFonts w:ascii="Arial" w:hAnsi="Arial" w:cs="Arial"/>
          <w:sz w:val="24"/>
          <w:szCs w:val="24"/>
        </w:rPr>
        <w:t xml:space="preserve">the </w:t>
      </w:r>
      <w:r w:rsidRPr="00373688">
        <w:rPr>
          <w:rFonts w:ascii="Arial" w:hAnsi="Arial" w:cs="Arial"/>
          <w:sz w:val="24"/>
          <w:szCs w:val="24"/>
        </w:rPr>
        <w:t xml:space="preserve">disclosure is occurring to another government agency for safekeeping purposes. </w:t>
      </w:r>
      <w:r w:rsidR="00D16982" w:rsidRPr="00373688">
        <w:rPr>
          <w:rFonts w:ascii="Arial" w:hAnsi="Arial" w:cs="Arial"/>
          <w:sz w:val="24"/>
          <w:szCs w:val="24"/>
        </w:rPr>
        <w:t>In addition, it is relevant t</w:t>
      </w:r>
      <w:r w:rsidR="00F77DC5" w:rsidRPr="00373688">
        <w:rPr>
          <w:rFonts w:ascii="Arial" w:hAnsi="Arial" w:cs="Arial"/>
          <w:sz w:val="24"/>
          <w:szCs w:val="24"/>
        </w:rPr>
        <w:t>hat testators voluntarily deposited their Wills with the Supreme Court for safekeeping. In this context, transferring the Wills to another government agency for safekeeping is broadly consistent with the initial purpose for which the Will was originally deposited.</w:t>
      </w:r>
    </w:p>
    <w:p w14:paraId="74CD150B" w14:textId="77777777" w:rsidR="00357018" w:rsidRPr="00373688" w:rsidRDefault="00357018" w:rsidP="00357018">
      <w:pPr>
        <w:spacing w:after="0" w:line="240" w:lineRule="auto"/>
        <w:rPr>
          <w:rFonts w:ascii="Arial" w:eastAsiaTheme="majorEastAsia" w:hAnsi="Arial" w:cs="Arial"/>
          <w:sz w:val="28"/>
          <w:szCs w:val="28"/>
          <w:lang w:eastAsia="en-AU"/>
        </w:rPr>
      </w:pPr>
      <w:r w:rsidRPr="00373688">
        <w:rPr>
          <w:rFonts w:ascii="Arial" w:hAnsi="Arial" w:cs="Arial"/>
          <w:b/>
          <w:sz w:val="28"/>
          <w:szCs w:val="28"/>
          <w:lang w:eastAsia="en-AU"/>
        </w:rPr>
        <w:br w:type="page"/>
      </w:r>
    </w:p>
    <w:p w14:paraId="7C183696" w14:textId="77777777" w:rsidR="00A5201D" w:rsidRPr="00373688" w:rsidRDefault="00A5201D" w:rsidP="00E574DD">
      <w:pPr>
        <w:pStyle w:val="Heading2"/>
        <w:ind w:left="-108"/>
        <w:jc w:val="center"/>
        <w:rPr>
          <w:rFonts w:cs="Arial"/>
          <w:b w:val="0"/>
          <w:sz w:val="28"/>
          <w:szCs w:val="28"/>
          <w:lang w:eastAsia="en-AU"/>
        </w:rPr>
      </w:pPr>
    </w:p>
    <w:p w14:paraId="79AD90A2" w14:textId="1179636F" w:rsidR="00E574DD" w:rsidRPr="00373688" w:rsidRDefault="0018067D" w:rsidP="00E574DD">
      <w:pPr>
        <w:pStyle w:val="Heading2"/>
        <w:ind w:left="-108"/>
        <w:jc w:val="center"/>
        <w:rPr>
          <w:rFonts w:cs="Arial"/>
          <w:b w:val="0"/>
          <w:bCs/>
          <w:i/>
          <w:iCs/>
          <w:sz w:val="28"/>
          <w:szCs w:val="28"/>
        </w:rPr>
      </w:pPr>
      <w:r w:rsidRPr="00373688">
        <w:rPr>
          <w:rFonts w:cs="Arial"/>
          <w:b w:val="0"/>
          <w:sz w:val="28"/>
          <w:szCs w:val="28"/>
          <w:lang w:eastAsia="en-AU"/>
        </w:rPr>
        <w:t>Justice and Community Safety Legislation Amendment</w:t>
      </w:r>
      <w:r w:rsidR="00E574DD" w:rsidRPr="00373688">
        <w:rPr>
          <w:rFonts w:cs="Arial"/>
          <w:b w:val="0"/>
          <w:sz w:val="28"/>
          <w:szCs w:val="28"/>
          <w:lang w:eastAsia="en-AU"/>
        </w:rPr>
        <w:t xml:space="preserve"> Bill 20</w:t>
      </w:r>
      <w:r w:rsidR="00774277" w:rsidRPr="00373688">
        <w:rPr>
          <w:rFonts w:cs="Arial"/>
          <w:b w:val="0"/>
          <w:sz w:val="28"/>
          <w:szCs w:val="28"/>
          <w:lang w:eastAsia="en-AU"/>
        </w:rPr>
        <w:t>2</w:t>
      </w:r>
      <w:r w:rsidRPr="00373688">
        <w:rPr>
          <w:rFonts w:cs="Arial"/>
          <w:b w:val="0"/>
          <w:sz w:val="28"/>
          <w:szCs w:val="28"/>
          <w:lang w:eastAsia="en-AU"/>
        </w:rPr>
        <w:t>3</w:t>
      </w:r>
      <w:r w:rsidR="00E86DB5" w:rsidRPr="00373688">
        <w:rPr>
          <w:rFonts w:cs="Arial"/>
          <w:b w:val="0"/>
          <w:sz w:val="28"/>
          <w:szCs w:val="28"/>
          <w:lang w:eastAsia="en-AU"/>
        </w:rPr>
        <w:t xml:space="preserve"> (No 2)</w:t>
      </w:r>
    </w:p>
    <w:bookmarkEnd w:id="3"/>
    <w:p w14:paraId="12928F7D" w14:textId="77777777" w:rsidR="00E574DD" w:rsidRPr="00373688" w:rsidRDefault="00E574DD" w:rsidP="00E574DD">
      <w:pPr>
        <w:pStyle w:val="Heading4"/>
        <w:ind w:left="-108"/>
        <w:jc w:val="center"/>
        <w:rPr>
          <w:rFonts w:ascii="Arial" w:hAnsi="Arial" w:cs="Arial"/>
          <w:sz w:val="24"/>
          <w:szCs w:val="24"/>
        </w:rPr>
      </w:pPr>
      <w:r w:rsidRPr="00373688">
        <w:rPr>
          <w:rFonts w:ascii="Arial" w:hAnsi="Arial" w:cs="Arial"/>
          <w:sz w:val="24"/>
          <w:szCs w:val="24"/>
        </w:rPr>
        <w:t>Human Rights Act 2004 - Compatibility Statement</w:t>
      </w:r>
    </w:p>
    <w:p w14:paraId="1B9772F9" w14:textId="77777777" w:rsidR="00E574DD" w:rsidRPr="00373688" w:rsidRDefault="00E574DD" w:rsidP="00E574DD">
      <w:pPr>
        <w:rPr>
          <w:rFonts w:ascii="Arial" w:hAnsi="Arial" w:cs="Arial"/>
        </w:rPr>
      </w:pPr>
    </w:p>
    <w:p w14:paraId="1C2275A7" w14:textId="77777777" w:rsidR="00E574DD" w:rsidRPr="00373688" w:rsidRDefault="00E574DD" w:rsidP="00E574DD">
      <w:pPr>
        <w:rPr>
          <w:rFonts w:ascii="Arial" w:hAnsi="Arial" w:cs="Arial"/>
        </w:rPr>
      </w:pPr>
    </w:p>
    <w:p w14:paraId="71084E2C" w14:textId="49093A46" w:rsidR="00E574DD" w:rsidRPr="00373688" w:rsidRDefault="00E574DD" w:rsidP="00774277">
      <w:pPr>
        <w:rPr>
          <w:rFonts w:ascii="Arial" w:hAnsi="Arial" w:cs="Arial"/>
        </w:rPr>
      </w:pPr>
      <w:r w:rsidRPr="00373688">
        <w:rPr>
          <w:rFonts w:ascii="Arial" w:hAnsi="Arial" w:cs="Arial"/>
        </w:rPr>
        <w:t xml:space="preserve">In accordance with section 37 of the </w:t>
      </w:r>
      <w:r w:rsidRPr="00373688">
        <w:rPr>
          <w:rFonts w:ascii="Arial" w:hAnsi="Arial" w:cs="Arial"/>
          <w:i/>
          <w:iCs/>
        </w:rPr>
        <w:t>Human Rights Act 2004</w:t>
      </w:r>
      <w:r w:rsidRPr="00373688">
        <w:rPr>
          <w:rFonts w:ascii="Arial" w:hAnsi="Arial" w:cs="Arial"/>
        </w:rPr>
        <w:t xml:space="preserve"> I have examined the</w:t>
      </w:r>
      <w:r w:rsidRPr="00373688">
        <w:rPr>
          <w:rFonts w:ascii="Arial" w:hAnsi="Arial" w:cs="Arial"/>
          <w:b/>
        </w:rPr>
        <w:t xml:space="preserve"> </w:t>
      </w:r>
      <w:r w:rsidR="007D0764" w:rsidRPr="00373688">
        <w:rPr>
          <w:rFonts w:ascii="Arial" w:hAnsi="Arial" w:cs="Arial"/>
          <w:b/>
        </w:rPr>
        <w:t>Justice and Community Safety</w:t>
      </w:r>
      <w:r w:rsidRPr="00373688">
        <w:rPr>
          <w:rFonts w:ascii="Arial" w:hAnsi="Arial" w:cs="Arial"/>
          <w:b/>
        </w:rPr>
        <w:t> </w:t>
      </w:r>
      <w:r w:rsidR="007D0764" w:rsidRPr="00373688">
        <w:rPr>
          <w:rFonts w:ascii="Arial" w:hAnsi="Arial" w:cs="Arial"/>
          <w:b/>
        </w:rPr>
        <w:t xml:space="preserve">Legislation Amendment </w:t>
      </w:r>
      <w:r w:rsidRPr="00373688">
        <w:rPr>
          <w:rFonts w:ascii="Arial" w:hAnsi="Arial" w:cs="Arial"/>
          <w:b/>
        </w:rPr>
        <w:t>Bill</w:t>
      </w:r>
      <w:r w:rsidR="007D0764" w:rsidRPr="00373688">
        <w:rPr>
          <w:rFonts w:ascii="Arial" w:hAnsi="Arial" w:cs="Arial"/>
          <w:b/>
        </w:rPr>
        <w:t xml:space="preserve"> 2023 (No 2)</w:t>
      </w:r>
      <w:r w:rsidRPr="00373688">
        <w:rPr>
          <w:rFonts w:ascii="Arial" w:hAnsi="Arial" w:cs="Arial"/>
        </w:rPr>
        <w:t>. In my opinion,</w:t>
      </w:r>
      <w:r w:rsidR="000D758B" w:rsidRPr="00373688">
        <w:rPr>
          <w:rFonts w:ascii="Arial" w:hAnsi="Arial" w:cs="Arial"/>
        </w:rPr>
        <w:t xml:space="preserve"> having regard to the </w:t>
      </w:r>
      <w:r w:rsidR="00774277" w:rsidRPr="00373688">
        <w:rPr>
          <w:rFonts w:ascii="Arial" w:hAnsi="Arial" w:cs="Arial"/>
        </w:rPr>
        <w:t xml:space="preserve">Bill and the </w:t>
      </w:r>
      <w:r w:rsidR="00A0291C" w:rsidRPr="00373688">
        <w:rPr>
          <w:rFonts w:ascii="Arial" w:hAnsi="Arial" w:cs="Arial"/>
        </w:rPr>
        <w:t>outline</w:t>
      </w:r>
      <w:r w:rsidR="000D758B" w:rsidRPr="00373688">
        <w:rPr>
          <w:rFonts w:ascii="Arial" w:hAnsi="Arial" w:cs="Arial"/>
        </w:rPr>
        <w:t xml:space="preserve"> of the policy </w:t>
      </w:r>
      <w:r w:rsidR="00040382" w:rsidRPr="00373688">
        <w:rPr>
          <w:rFonts w:ascii="Arial" w:hAnsi="Arial" w:cs="Arial"/>
        </w:rPr>
        <w:t>considerati</w:t>
      </w:r>
      <w:r w:rsidR="00E61614" w:rsidRPr="00373688">
        <w:rPr>
          <w:rFonts w:ascii="Arial" w:hAnsi="Arial" w:cs="Arial"/>
        </w:rPr>
        <w:t>ons</w:t>
      </w:r>
      <w:r w:rsidR="005162FA" w:rsidRPr="00373688">
        <w:rPr>
          <w:rFonts w:ascii="Arial" w:hAnsi="Arial" w:cs="Arial"/>
        </w:rPr>
        <w:t xml:space="preserve"> and </w:t>
      </w:r>
      <w:r w:rsidR="00424FBB" w:rsidRPr="00373688">
        <w:rPr>
          <w:rFonts w:ascii="Arial" w:hAnsi="Arial" w:cs="Arial"/>
        </w:rPr>
        <w:t xml:space="preserve">justification of </w:t>
      </w:r>
      <w:r w:rsidR="00741C4A" w:rsidRPr="00373688">
        <w:rPr>
          <w:rFonts w:ascii="Arial" w:hAnsi="Arial" w:cs="Arial"/>
        </w:rPr>
        <w:t>any</w:t>
      </w:r>
      <w:r w:rsidR="005162FA" w:rsidRPr="00373688">
        <w:rPr>
          <w:rFonts w:ascii="Arial" w:hAnsi="Arial" w:cs="Arial"/>
        </w:rPr>
        <w:t xml:space="preserve"> </w:t>
      </w:r>
      <w:r w:rsidR="00424FBB" w:rsidRPr="00373688">
        <w:rPr>
          <w:rFonts w:ascii="Arial" w:hAnsi="Arial" w:cs="Arial"/>
        </w:rPr>
        <w:t>limitations</w:t>
      </w:r>
      <w:r w:rsidR="005162FA" w:rsidRPr="00373688">
        <w:rPr>
          <w:rFonts w:ascii="Arial" w:hAnsi="Arial" w:cs="Arial"/>
        </w:rPr>
        <w:t xml:space="preserve"> </w:t>
      </w:r>
      <w:r w:rsidR="005162FA" w:rsidRPr="00F0045B">
        <w:rPr>
          <w:rFonts w:ascii="Arial" w:hAnsi="Arial" w:cs="Arial"/>
        </w:rPr>
        <w:t>on rights</w:t>
      </w:r>
      <w:r w:rsidR="00424FBB" w:rsidRPr="00F0045B">
        <w:rPr>
          <w:rFonts w:ascii="Arial" w:hAnsi="Arial" w:cs="Arial"/>
        </w:rPr>
        <w:t xml:space="preserve"> </w:t>
      </w:r>
      <w:r w:rsidR="00E61614" w:rsidRPr="00F0045B">
        <w:rPr>
          <w:rFonts w:ascii="Arial" w:hAnsi="Arial" w:cs="Arial"/>
        </w:rPr>
        <w:t xml:space="preserve">outlined </w:t>
      </w:r>
      <w:r w:rsidR="00424FBB" w:rsidRPr="00F0045B">
        <w:rPr>
          <w:rFonts w:ascii="Arial" w:hAnsi="Arial" w:cs="Arial"/>
        </w:rPr>
        <w:t xml:space="preserve">in this explanatory statement, the Bill as presented to the Legislative Assembly </w:t>
      </w:r>
      <w:r w:rsidRPr="00F0045B">
        <w:rPr>
          <w:rFonts w:ascii="Arial" w:hAnsi="Arial" w:cs="Arial"/>
        </w:rPr>
        <w:t>is consistent</w:t>
      </w:r>
      <w:r w:rsidRPr="00373688">
        <w:rPr>
          <w:rFonts w:ascii="Arial" w:hAnsi="Arial" w:cs="Arial"/>
        </w:rPr>
        <w:t xml:space="preserve"> with the </w:t>
      </w:r>
      <w:r w:rsidRPr="00373688">
        <w:rPr>
          <w:rFonts w:ascii="Arial" w:hAnsi="Arial" w:cs="Arial"/>
          <w:i/>
          <w:iCs/>
        </w:rPr>
        <w:t>Human Rights Act 2004</w:t>
      </w:r>
      <w:r w:rsidR="000D758B" w:rsidRPr="00373688">
        <w:rPr>
          <w:rFonts w:ascii="Arial" w:hAnsi="Arial" w:cs="Arial"/>
          <w:i/>
          <w:iCs/>
        </w:rPr>
        <w:t>.</w:t>
      </w:r>
    </w:p>
    <w:p w14:paraId="66ABEB43" w14:textId="77777777" w:rsidR="00E574DD" w:rsidRPr="00373688" w:rsidRDefault="00E574DD" w:rsidP="00E574DD">
      <w:pPr>
        <w:rPr>
          <w:rFonts w:ascii="Arial" w:hAnsi="Arial" w:cs="Arial"/>
        </w:rPr>
      </w:pPr>
    </w:p>
    <w:p w14:paraId="6C6D5E27" w14:textId="77777777" w:rsidR="00E574DD" w:rsidRPr="00373688" w:rsidRDefault="00E574DD" w:rsidP="00E574DD">
      <w:pPr>
        <w:rPr>
          <w:rFonts w:ascii="Arial" w:hAnsi="Arial" w:cs="Arial"/>
        </w:rPr>
      </w:pPr>
    </w:p>
    <w:p w14:paraId="3AC1DED3" w14:textId="77777777" w:rsidR="00E574DD" w:rsidRPr="00373688" w:rsidRDefault="00E574DD" w:rsidP="00E574DD">
      <w:pPr>
        <w:rPr>
          <w:rFonts w:ascii="Arial" w:hAnsi="Arial" w:cs="Arial"/>
        </w:rPr>
      </w:pPr>
      <w:r w:rsidRPr="00373688">
        <w:rPr>
          <w:rFonts w:ascii="Arial" w:hAnsi="Arial" w:cs="Arial"/>
        </w:rPr>
        <w:t>………………………………………………….</w:t>
      </w:r>
    </w:p>
    <w:p w14:paraId="3A8E2AC8" w14:textId="6F2B0CF3" w:rsidR="00E574DD" w:rsidRPr="00373688" w:rsidRDefault="00343402" w:rsidP="00E574DD">
      <w:pPr>
        <w:rPr>
          <w:rFonts w:ascii="Arial" w:hAnsi="Arial" w:cs="Arial"/>
        </w:rPr>
      </w:pPr>
      <w:r w:rsidRPr="00373688">
        <w:rPr>
          <w:rFonts w:ascii="Arial" w:hAnsi="Arial" w:cs="Arial"/>
        </w:rPr>
        <w:t>Shane Rattenbury</w:t>
      </w:r>
      <w:r w:rsidR="00E574DD" w:rsidRPr="00373688">
        <w:rPr>
          <w:rFonts w:ascii="Arial" w:hAnsi="Arial" w:cs="Arial"/>
        </w:rPr>
        <w:t xml:space="preserve"> MLA</w:t>
      </w:r>
      <w:r w:rsidR="00E574DD" w:rsidRPr="00373688">
        <w:rPr>
          <w:rFonts w:ascii="Arial" w:hAnsi="Arial" w:cs="Arial"/>
        </w:rPr>
        <w:br/>
        <w:t>Attorney-General</w:t>
      </w:r>
    </w:p>
    <w:p w14:paraId="1578DA22" w14:textId="77777777" w:rsidR="006D53B2" w:rsidRPr="00373688" w:rsidRDefault="006D53B2" w:rsidP="006D53B2">
      <w:pPr>
        <w:spacing w:before="200"/>
        <w:rPr>
          <w:rFonts w:ascii="Arial" w:hAnsi="Arial" w:cs="Arial"/>
          <w:sz w:val="24"/>
          <w:szCs w:val="24"/>
        </w:rPr>
      </w:pPr>
    </w:p>
    <w:p w14:paraId="0E2E8CBE" w14:textId="50EB10EF" w:rsidR="00E76504" w:rsidRPr="00373688" w:rsidRDefault="008C76C4" w:rsidP="001931EF">
      <w:pPr>
        <w:pStyle w:val="Heading2"/>
        <w:pageBreakBefore/>
        <w:spacing w:before="240" w:after="240"/>
        <w:rPr>
          <w:rFonts w:cs="Arial"/>
          <w:szCs w:val="24"/>
        </w:rPr>
      </w:pPr>
      <w:r w:rsidRPr="00373688">
        <w:rPr>
          <w:rFonts w:cs="Arial"/>
          <w:szCs w:val="24"/>
        </w:rPr>
        <w:lastRenderedPageBreak/>
        <w:t>CLAUSE NOTES</w:t>
      </w:r>
    </w:p>
    <w:p w14:paraId="658A8880" w14:textId="413388D0" w:rsidR="00771B23" w:rsidRPr="00373688" w:rsidRDefault="00771B23" w:rsidP="00AE0380">
      <w:pPr>
        <w:pStyle w:val="Heading2"/>
        <w:rPr>
          <w:rFonts w:cs="Arial"/>
          <w:szCs w:val="24"/>
        </w:rPr>
      </w:pPr>
      <w:r w:rsidRPr="00373688">
        <w:rPr>
          <w:rFonts w:cs="Arial"/>
          <w:szCs w:val="24"/>
        </w:rPr>
        <w:t>Part 1</w:t>
      </w:r>
      <w:r w:rsidRPr="00373688">
        <w:rPr>
          <w:rFonts w:cs="Arial"/>
          <w:szCs w:val="24"/>
        </w:rPr>
        <w:tab/>
      </w:r>
      <w:r w:rsidRPr="00373688">
        <w:rPr>
          <w:rFonts w:cs="Arial"/>
          <w:szCs w:val="24"/>
        </w:rPr>
        <w:tab/>
        <w:t>Preliminary</w:t>
      </w:r>
    </w:p>
    <w:p w14:paraId="27FB735B" w14:textId="07059A83" w:rsidR="00C61B07" w:rsidRPr="00373688" w:rsidRDefault="00C61B07" w:rsidP="00C65E0C">
      <w:pPr>
        <w:pStyle w:val="Heading3"/>
        <w:rPr>
          <w:rFonts w:cs="Arial"/>
        </w:rPr>
      </w:pPr>
      <w:r w:rsidRPr="00373688">
        <w:rPr>
          <w:rFonts w:cs="Arial"/>
        </w:rPr>
        <w:t>Clause 1</w:t>
      </w:r>
      <w:r w:rsidRPr="00373688">
        <w:rPr>
          <w:rFonts w:cs="Arial"/>
        </w:rPr>
        <w:tab/>
        <w:t>Name of Act</w:t>
      </w:r>
    </w:p>
    <w:p w14:paraId="7D054C3B" w14:textId="57DF7149" w:rsidR="00511760" w:rsidRPr="00373688" w:rsidRDefault="00891C95" w:rsidP="00AE0380">
      <w:pPr>
        <w:rPr>
          <w:rFonts w:ascii="Arial" w:hAnsi="Arial" w:cs="Arial"/>
          <w:sz w:val="24"/>
          <w:szCs w:val="24"/>
        </w:rPr>
      </w:pPr>
      <w:r w:rsidRPr="00373688">
        <w:rPr>
          <w:rFonts w:ascii="Arial" w:hAnsi="Arial" w:cs="Arial"/>
          <w:sz w:val="24"/>
          <w:szCs w:val="24"/>
        </w:rPr>
        <w:t xml:space="preserve">This clause is a formal provision setting out the name of the Act as the </w:t>
      </w:r>
      <w:r w:rsidRPr="00373688">
        <w:rPr>
          <w:rFonts w:ascii="Arial" w:hAnsi="Arial" w:cs="Arial"/>
          <w:i/>
          <w:iCs/>
          <w:sz w:val="24"/>
          <w:szCs w:val="24"/>
        </w:rPr>
        <w:t>Justice and Community Safety Legislation Amendment Bill 2023 (No 2)</w:t>
      </w:r>
      <w:r w:rsidRPr="00373688">
        <w:rPr>
          <w:rFonts w:ascii="Arial" w:hAnsi="Arial" w:cs="Arial"/>
          <w:sz w:val="24"/>
          <w:szCs w:val="24"/>
        </w:rPr>
        <w:t xml:space="preserve"> (the </w:t>
      </w:r>
      <w:r w:rsidRPr="00373688">
        <w:rPr>
          <w:rFonts w:ascii="Arial" w:hAnsi="Arial" w:cs="Arial"/>
          <w:b/>
          <w:bCs/>
          <w:sz w:val="24"/>
          <w:szCs w:val="24"/>
        </w:rPr>
        <w:t>Act</w:t>
      </w:r>
      <w:r w:rsidRPr="00373688">
        <w:rPr>
          <w:rFonts w:ascii="Arial" w:hAnsi="Arial" w:cs="Arial"/>
          <w:sz w:val="24"/>
          <w:szCs w:val="24"/>
        </w:rPr>
        <w:t>).</w:t>
      </w:r>
    </w:p>
    <w:p w14:paraId="341827EE" w14:textId="63377EF0" w:rsidR="00C61B07" w:rsidRPr="00373688" w:rsidRDefault="00C61B07" w:rsidP="008C225D">
      <w:pPr>
        <w:pStyle w:val="Heading3"/>
        <w:rPr>
          <w:rFonts w:cs="Arial"/>
        </w:rPr>
      </w:pPr>
      <w:r w:rsidRPr="00373688">
        <w:rPr>
          <w:rFonts w:cs="Arial"/>
        </w:rPr>
        <w:t>Clause 2</w:t>
      </w:r>
      <w:r w:rsidRPr="00373688">
        <w:rPr>
          <w:rFonts w:cs="Arial"/>
        </w:rPr>
        <w:tab/>
        <w:t>Commencement</w:t>
      </w:r>
    </w:p>
    <w:p w14:paraId="73FB1925" w14:textId="77777777" w:rsidR="00891C95" w:rsidRPr="00373688" w:rsidRDefault="00891C95" w:rsidP="00AE0380">
      <w:pPr>
        <w:rPr>
          <w:rFonts w:ascii="Arial" w:hAnsi="Arial" w:cs="Arial"/>
          <w:sz w:val="24"/>
          <w:szCs w:val="24"/>
        </w:rPr>
      </w:pPr>
      <w:r w:rsidRPr="00373688">
        <w:rPr>
          <w:rFonts w:ascii="Arial" w:hAnsi="Arial" w:cs="Arial"/>
          <w:sz w:val="24"/>
          <w:szCs w:val="24"/>
        </w:rPr>
        <w:t>This clause provides for commencement of different provisions in the Act</w:t>
      </w:r>
      <w:r w:rsidR="00511760" w:rsidRPr="00373688">
        <w:rPr>
          <w:rFonts w:ascii="Arial" w:hAnsi="Arial" w:cs="Arial"/>
          <w:sz w:val="24"/>
          <w:szCs w:val="24"/>
        </w:rPr>
        <w:t>.</w:t>
      </w:r>
    </w:p>
    <w:p w14:paraId="630DB931" w14:textId="72DBC051" w:rsidR="00511760" w:rsidRPr="00373688" w:rsidRDefault="00891C95" w:rsidP="00AE0380">
      <w:pPr>
        <w:rPr>
          <w:rFonts w:ascii="Arial" w:hAnsi="Arial" w:cs="Arial"/>
          <w:sz w:val="24"/>
          <w:szCs w:val="24"/>
        </w:rPr>
      </w:pPr>
      <w:r w:rsidRPr="00373688">
        <w:rPr>
          <w:rFonts w:ascii="Arial" w:hAnsi="Arial" w:cs="Arial"/>
          <w:sz w:val="24"/>
          <w:szCs w:val="24"/>
        </w:rPr>
        <w:t xml:space="preserve">The provisions in the Act, except for those outlined below, commence on the day after the Act’s notification day. </w:t>
      </w:r>
      <w:r w:rsidR="00511760" w:rsidRPr="00373688">
        <w:rPr>
          <w:rFonts w:ascii="Arial" w:hAnsi="Arial" w:cs="Arial"/>
          <w:sz w:val="24"/>
          <w:szCs w:val="24"/>
        </w:rPr>
        <w:t xml:space="preserve"> </w:t>
      </w:r>
    </w:p>
    <w:p w14:paraId="7F92C4A4" w14:textId="5C985EDA" w:rsidR="00941345" w:rsidRPr="00373688" w:rsidRDefault="00E8748F" w:rsidP="00AE0380">
      <w:pPr>
        <w:rPr>
          <w:rFonts w:ascii="Arial" w:hAnsi="Arial" w:cs="Arial"/>
          <w:sz w:val="24"/>
          <w:szCs w:val="24"/>
        </w:rPr>
      </w:pPr>
      <w:r w:rsidRPr="00373688">
        <w:rPr>
          <w:rFonts w:ascii="Arial" w:hAnsi="Arial" w:cs="Arial"/>
          <w:sz w:val="24"/>
          <w:szCs w:val="24"/>
        </w:rPr>
        <w:t xml:space="preserve">Part 6 commences immediately after the commencement of the </w:t>
      </w:r>
      <w:r w:rsidRPr="00373688">
        <w:rPr>
          <w:rFonts w:ascii="Arial" w:hAnsi="Arial" w:cs="Arial"/>
          <w:i/>
          <w:iCs/>
          <w:sz w:val="24"/>
          <w:szCs w:val="24"/>
        </w:rPr>
        <w:t>Discrimination Amendment Act 2023</w:t>
      </w:r>
      <w:r w:rsidRPr="00373688">
        <w:rPr>
          <w:rFonts w:ascii="Arial" w:hAnsi="Arial" w:cs="Arial"/>
          <w:sz w:val="24"/>
          <w:szCs w:val="24"/>
        </w:rPr>
        <w:t>, section 9.</w:t>
      </w:r>
    </w:p>
    <w:p w14:paraId="44ADF350" w14:textId="395D800A" w:rsidR="00C13886" w:rsidRPr="00373688" w:rsidRDefault="00C13886" w:rsidP="00AE0380">
      <w:pPr>
        <w:rPr>
          <w:rFonts w:ascii="Arial" w:hAnsi="Arial" w:cs="Arial"/>
          <w:sz w:val="24"/>
          <w:szCs w:val="24"/>
        </w:rPr>
      </w:pPr>
      <w:r w:rsidRPr="00373688">
        <w:rPr>
          <w:rFonts w:ascii="Arial" w:hAnsi="Arial" w:cs="Arial"/>
          <w:sz w:val="24"/>
          <w:szCs w:val="24"/>
        </w:rPr>
        <w:t xml:space="preserve">Section </w:t>
      </w:r>
      <w:r w:rsidR="00FF4ADF" w:rsidRPr="00373688">
        <w:rPr>
          <w:rFonts w:ascii="Arial" w:hAnsi="Arial" w:cs="Arial"/>
          <w:sz w:val="24"/>
          <w:szCs w:val="24"/>
        </w:rPr>
        <w:t>5</w:t>
      </w:r>
      <w:r w:rsidR="003F108F">
        <w:rPr>
          <w:rFonts w:ascii="Arial" w:hAnsi="Arial" w:cs="Arial"/>
          <w:sz w:val="24"/>
          <w:szCs w:val="24"/>
        </w:rPr>
        <w:t>4</w:t>
      </w:r>
      <w:r w:rsidRPr="00373688">
        <w:rPr>
          <w:rFonts w:ascii="Arial" w:hAnsi="Arial" w:cs="Arial"/>
          <w:sz w:val="24"/>
          <w:szCs w:val="24"/>
        </w:rPr>
        <w:t xml:space="preserve"> commences by </w:t>
      </w:r>
      <w:r w:rsidR="001931EF" w:rsidRPr="00373688">
        <w:rPr>
          <w:rFonts w:ascii="Arial" w:hAnsi="Arial" w:cs="Arial"/>
          <w:sz w:val="24"/>
          <w:szCs w:val="24"/>
        </w:rPr>
        <w:t>M</w:t>
      </w:r>
      <w:r w:rsidRPr="00373688">
        <w:rPr>
          <w:rFonts w:ascii="Arial" w:hAnsi="Arial" w:cs="Arial"/>
          <w:sz w:val="24"/>
          <w:szCs w:val="24"/>
        </w:rPr>
        <w:t>inister</w:t>
      </w:r>
      <w:r w:rsidR="001931EF" w:rsidRPr="00373688">
        <w:rPr>
          <w:rFonts w:ascii="Arial" w:hAnsi="Arial" w:cs="Arial"/>
          <w:sz w:val="24"/>
          <w:szCs w:val="24"/>
        </w:rPr>
        <w:t xml:space="preserve">ial </w:t>
      </w:r>
      <w:r w:rsidRPr="00373688">
        <w:rPr>
          <w:rFonts w:ascii="Arial" w:hAnsi="Arial" w:cs="Arial"/>
          <w:sz w:val="24"/>
          <w:szCs w:val="24"/>
        </w:rPr>
        <w:t>notice. If section 49 has not commenced within 18 months beginning on th</w:t>
      </w:r>
      <w:r w:rsidR="001931EF" w:rsidRPr="00373688">
        <w:rPr>
          <w:rFonts w:ascii="Arial" w:hAnsi="Arial" w:cs="Arial"/>
          <w:sz w:val="24"/>
          <w:szCs w:val="24"/>
        </w:rPr>
        <w:t>e</w:t>
      </w:r>
      <w:r w:rsidRPr="00373688">
        <w:rPr>
          <w:rFonts w:ascii="Arial" w:hAnsi="Arial" w:cs="Arial"/>
          <w:sz w:val="24"/>
          <w:szCs w:val="24"/>
        </w:rPr>
        <w:t xml:space="preserve"> Act’s notification day, it automatically commences on the first day after that period. </w:t>
      </w:r>
      <w:r w:rsidR="001931EF" w:rsidRPr="00373688">
        <w:rPr>
          <w:rFonts w:ascii="Arial" w:hAnsi="Arial" w:cs="Arial"/>
          <w:sz w:val="24"/>
          <w:szCs w:val="24"/>
        </w:rPr>
        <w:t xml:space="preserve">The delayed commencement for section 49 (new section 32 in the </w:t>
      </w:r>
      <w:r w:rsidR="001931EF" w:rsidRPr="00373688">
        <w:rPr>
          <w:rFonts w:ascii="Arial" w:hAnsi="Arial" w:cs="Arial"/>
          <w:i/>
          <w:iCs/>
          <w:sz w:val="24"/>
          <w:szCs w:val="24"/>
        </w:rPr>
        <w:t>Wills Act 1968</w:t>
      </w:r>
      <w:r w:rsidR="001931EF" w:rsidRPr="00373688">
        <w:rPr>
          <w:rFonts w:ascii="Arial" w:hAnsi="Arial" w:cs="Arial"/>
          <w:sz w:val="24"/>
          <w:szCs w:val="24"/>
        </w:rPr>
        <w:t>) is intended to allow time for the transfer of information about Wills held by the Supreme Court to the Public Trustee and Guardian (</w:t>
      </w:r>
      <w:r w:rsidR="001931EF" w:rsidRPr="00373688">
        <w:rPr>
          <w:rFonts w:ascii="Arial" w:hAnsi="Arial" w:cs="Arial"/>
          <w:b/>
          <w:bCs/>
          <w:sz w:val="24"/>
          <w:szCs w:val="24"/>
        </w:rPr>
        <w:t>PTG</w:t>
      </w:r>
      <w:r w:rsidR="001931EF" w:rsidRPr="00373688">
        <w:rPr>
          <w:rFonts w:ascii="Arial" w:hAnsi="Arial" w:cs="Arial"/>
          <w:sz w:val="24"/>
          <w:szCs w:val="24"/>
        </w:rPr>
        <w:t>) for inclusion in the centralised Wills Register operated by the PTG.</w:t>
      </w:r>
    </w:p>
    <w:p w14:paraId="6F481DC6" w14:textId="0AEE93E4" w:rsidR="00E8748F" w:rsidRPr="00373688" w:rsidRDefault="00E8748F" w:rsidP="00AE0380">
      <w:pPr>
        <w:rPr>
          <w:rFonts w:ascii="Arial" w:hAnsi="Arial" w:cs="Arial"/>
          <w:sz w:val="24"/>
          <w:szCs w:val="24"/>
        </w:rPr>
      </w:pPr>
      <w:r w:rsidRPr="00373688">
        <w:rPr>
          <w:rFonts w:ascii="Arial" w:hAnsi="Arial" w:cs="Arial"/>
          <w:sz w:val="24"/>
          <w:szCs w:val="24"/>
        </w:rPr>
        <w:t xml:space="preserve">Schedule 1, Part 1.7 commences on the </w:t>
      </w:r>
      <w:r w:rsidR="003F108F">
        <w:rPr>
          <w:rFonts w:ascii="Arial" w:hAnsi="Arial" w:cs="Arial"/>
          <w:sz w:val="24"/>
          <w:szCs w:val="24"/>
        </w:rPr>
        <w:t xml:space="preserve">later of the </w:t>
      </w:r>
      <w:r w:rsidRPr="00373688">
        <w:rPr>
          <w:rFonts w:ascii="Arial" w:hAnsi="Arial" w:cs="Arial"/>
          <w:sz w:val="24"/>
          <w:szCs w:val="24"/>
        </w:rPr>
        <w:t xml:space="preserve">commencement of the </w:t>
      </w:r>
      <w:r w:rsidRPr="00373688">
        <w:rPr>
          <w:rFonts w:ascii="Arial" w:hAnsi="Arial" w:cs="Arial"/>
          <w:i/>
          <w:iCs/>
          <w:sz w:val="24"/>
          <w:szCs w:val="24"/>
        </w:rPr>
        <w:t>Planning (Consequential Amendments) Bill 2023</w:t>
      </w:r>
      <w:r w:rsidRPr="00373688">
        <w:rPr>
          <w:rFonts w:ascii="Arial" w:hAnsi="Arial" w:cs="Arial"/>
          <w:sz w:val="24"/>
          <w:szCs w:val="24"/>
        </w:rPr>
        <w:t>, part 1.40</w:t>
      </w:r>
      <w:r w:rsidR="003F108F">
        <w:rPr>
          <w:rFonts w:ascii="Arial" w:hAnsi="Arial" w:cs="Arial"/>
          <w:sz w:val="24"/>
          <w:szCs w:val="24"/>
        </w:rPr>
        <w:t xml:space="preserve"> and the commencement of this Act, section 3. </w:t>
      </w:r>
    </w:p>
    <w:p w14:paraId="5F4D47A7" w14:textId="29387BF0" w:rsidR="00771B23" w:rsidRPr="00373688" w:rsidRDefault="00771B23" w:rsidP="00771B23">
      <w:pPr>
        <w:pStyle w:val="Heading3"/>
        <w:rPr>
          <w:rFonts w:cs="Arial"/>
        </w:rPr>
      </w:pPr>
      <w:r w:rsidRPr="00373688">
        <w:rPr>
          <w:rFonts w:cs="Arial"/>
        </w:rPr>
        <w:t xml:space="preserve">Clause </w:t>
      </w:r>
      <w:r w:rsidR="00FF4ADF" w:rsidRPr="00373688">
        <w:rPr>
          <w:rFonts w:cs="Arial"/>
        </w:rPr>
        <w:t>3</w:t>
      </w:r>
      <w:r w:rsidRPr="00373688">
        <w:rPr>
          <w:rFonts w:cs="Arial"/>
        </w:rPr>
        <w:tab/>
        <w:t xml:space="preserve">Legislation amended </w:t>
      </w:r>
    </w:p>
    <w:p w14:paraId="2199412A" w14:textId="159AEE3F" w:rsidR="00511760" w:rsidRPr="00373688" w:rsidRDefault="00891C95" w:rsidP="00AE0380">
      <w:pPr>
        <w:rPr>
          <w:rFonts w:ascii="Arial" w:hAnsi="Arial" w:cs="Arial"/>
          <w:sz w:val="24"/>
          <w:szCs w:val="24"/>
        </w:rPr>
      </w:pPr>
      <w:r w:rsidRPr="00373688">
        <w:rPr>
          <w:rFonts w:ascii="Arial" w:hAnsi="Arial" w:cs="Arial"/>
          <w:sz w:val="24"/>
          <w:szCs w:val="24"/>
        </w:rPr>
        <w:t xml:space="preserve">This clause is a formal provision identifying that the Act amends the following legislation: </w:t>
      </w:r>
    </w:p>
    <w:p w14:paraId="356381BF"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ACT Civil and Administrative Tribunal Act 2008</w:t>
      </w:r>
    </w:p>
    <w:p w14:paraId="457559E6"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Administration and Probate Act 1929</w:t>
      </w:r>
    </w:p>
    <w:p w14:paraId="4206B169"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Associations Incorporation Act 1991</w:t>
      </w:r>
    </w:p>
    <w:p w14:paraId="15D0CF5B"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Casino Control Act 2006</w:t>
      </w:r>
    </w:p>
    <w:p w14:paraId="06AF911B"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Discrimination Act 1991</w:t>
      </w:r>
    </w:p>
    <w:p w14:paraId="185E7162"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Domestic Violence Agencies Act 1986</w:t>
      </w:r>
    </w:p>
    <w:p w14:paraId="7A307565"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Family Provision Act 1969</w:t>
      </w:r>
    </w:p>
    <w:p w14:paraId="301497C2"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Freedom of Information Act 2016</w:t>
      </w:r>
    </w:p>
    <w:p w14:paraId="210EAEE4"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Human Rights Commission Act 2005</w:t>
      </w:r>
    </w:p>
    <w:p w14:paraId="4B582A42"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Justices of the Peace Act 1989</w:t>
      </w:r>
    </w:p>
    <w:p w14:paraId="105A001E" w14:textId="5671EC72"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lastRenderedPageBreak/>
        <w:t>Lan</w:t>
      </w:r>
      <w:r w:rsidR="007D0764" w:rsidRPr="00373688">
        <w:rPr>
          <w:rFonts w:ascii="Arial" w:hAnsi="Arial" w:cs="Arial"/>
          <w:i/>
          <w:sz w:val="24"/>
          <w:szCs w:val="24"/>
        </w:rPr>
        <w:t>d</w:t>
      </w:r>
      <w:r w:rsidRPr="00373688">
        <w:rPr>
          <w:rFonts w:ascii="Arial" w:hAnsi="Arial" w:cs="Arial"/>
          <w:i/>
          <w:sz w:val="24"/>
          <w:szCs w:val="24"/>
        </w:rPr>
        <w:t xml:space="preserve"> Titles Act 1925</w:t>
      </w:r>
    </w:p>
    <w:p w14:paraId="67C34614"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Legal Profession Act 2006</w:t>
      </w:r>
    </w:p>
    <w:p w14:paraId="49645C89"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Residential Tenancies Act 1997</w:t>
      </w:r>
    </w:p>
    <w:p w14:paraId="2A3EC37F"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Residential Tenancies Regulation 1998</w:t>
      </w:r>
    </w:p>
    <w:p w14:paraId="44DE9CCE"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Supreme Court Act 1933</w:t>
      </w:r>
    </w:p>
    <w:p w14:paraId="2B32511F"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Trustee Act 1925</w:t>
      </w:r>
    </w:p>
    <w:p w14:paraId="445ED446" w14:textId="77777777" w:rsidR="00891C95" w:rsidRPr="00373688" w:rsidRDefault="00891C95">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Unit Titles (Management) Act 2011</w:t>
      </w:r>
    </w:p>
    <w:p w14:paraId="73B292B8" w14:textId="67BBDFA8" w:rsidR="00891C95" w:rsidRPr="00373688" w:rsidRDefault="00891C95" w:rsidP="00AE0380">
      <w:pPr>
        <w:pStyle w:val="ListParagraph"/>
        <w:numPr>
          <w:ilvl w:val="0"/>
          <w:numId w:val="5"/>
        </w:numPr>
        <w:spacing w:after="120"/>
        <w:ind w:right="-45"/>
        <w:jc w:val="both"/>
        <w:rPr>
          <w:rFonts w:ascii="Arial" w:hAnsi="Arial" w:cs="Arial"/>
          <w:i/>
          <w:sz w:val="24"/>
          <w:szCs w:val="24"/>
        </w:rPr>
      </w:pPr>
      <w:r w:rsidRPr="00373688">
        <w:rPr>
          <w:rFonts w:ascii="Arial" w:hAnsi="Arial" w:cs="Arial"/>
          <w:i/>
          <w:sz w:val="24"/>
          <w:szCs w:val="24"/>
        </w:rPr>
        <w:t>Wills Act 1968</w:t>
      </w:r>
    </w:p>
    <w:p w14:paraId="34DB333F" w14:textId="4E42E2AD" w:rsidR="00771B23" w:rsidRPr="00373688" w:rsidRDefault="00771B23" w:rsidP="00771B23">
      <w:pPr>
        <w:pStyle w:val="Heading3"/>
        <w:rPr>
          <w:rFonts w:cs="Arial"/>
        </w:rPr>
      </w:pPr>
      <w:r w:rsidRPr="00373688">
        <w:rPr>
          <w:rFonts w:cs="Arial"/>
        </w:rPr>
        <w:t xml:space="preserve">Clause </w:t>
      </w:r>
      <w:r w:rsidR="00FF4ADF" w:rsidRPr="00373688">
        <w:rPr>
          <w:rFonts w:cs="Arial"/>
        </w:rPr>
        <w:t>4</w:t>
      </w:r>
      <w:r w:rsidRPr="00373688">
        <w:rPr>
          <w:rFonts w:cs="Arial"/>
        </w:rPr>
        <w:tab/>
        <w:t>Legislation repealed</w:t>
      </w:r>
    </w:p>
    <w:p w14:paraId="47B1B39D" w14:textId="6D0196D7" w:rsidR="00890536" w:rsidRPr="00373688" w:rsidRDefault="00890536" w:rsidP="00890536">
      <w:pPr>
        <w:rPr>
          <w:rFonts w:ascii="Arial" w:hAnsi="Arial" w:cs="Arial"/>
          <w:sz w:val="24"/>
          <w:szCs w:val="24"/>
        </w:rPr>
      </w:pPr>
      <w:r w:rsidRPr="00373688">
        <w:rPr>
          <w:rFonts w:ascii="Arial" w:hAnsi="Arial" w:cs="Arial"/>
          <w:sz w:val="24"/>
          <w:szCs w:val="24"/>
        </w:rPr>
        <w:t xml:space="preserve">This clause is a formal provision identifying that the Act repeals notifiable instruments made under the following </w:t>
      </w:r>
      <w:r w:rsidR="00AB2ABC" w:rsidRPr="00373688">
        <w:rPr>
          <w:rFonts w:ascii="Arial" w:hAnsi="Arial" w:cs="Arial"/>
          <w:sz w:val="24"/>
          <w:szCs w:val="24"/>
        </w:rPr>
        <w:t>provisions</w:t>
      </w:r>
      <w:r w:rsidRPr="00373688">
        <w:rPr>
          <w:rFonts w:ascii="Arial" w:hAnsi="Arial" w:cs="Arial"/>
          <w:sz w:val="24"/>
          <w:szCs w:val="24"/>
        </w:rPr>
        <w:t>:</w:t>
      </w:r>
    </w:p>
    <w:p w14:paraId="2B4E7022" w14:textId="628EC7FD" w:rsidR="00890536" w:rsidRDefault="00890536">
      <w:pPr>
        <w:pStyle w:val="ListParagraph"/>
        <w:numPr>
          <w:ilvl w:val="0"/>
          <w:numId w:val="5"/>
        </w:numPr>
        <w:rPr>
          <w:rFonts w:ascii="Arial" w:hAnsi="Arial" w:cs="Arial"/>
          <w:sz w:val="24"/>
          <w:szCs w:val="24"/>
        </w:rPr>
      </w:pPr>
      <w:r w:rsidRPr="00373688">
        <w:rPr>
          <w:rFonts w:ascii="Arial" w:hAnsi="Arial" w:cs="Arial"/>
          <w:sz w:val="24"/>
          <w:szCs w:val="24"/>
        </w:rPr>
        <w:t xml:space="preserve">the </w:t>
      </w:r>
      <w:r w:rsidRPr="00373688">
        <w:rPr>
          <w:rFonts w:ascii="Arial" w:hAnsi="Arial" w:cs="Arial"/>
          <w:i/>
          <w:iCs/>
          <w:sz w:val="24"/>
          <w:szCs w:val="24"/>
        </w:rPr>
        <w:t>ACT Civil and Administrative Tribunal Act 2008</w:t>
      </w:r>
      <w:r w:rsidRPr="00373688">
        <w:rPr>
          <w:rFonts w:ascii="Arial" w:hAnsi="Arial" w:cs="Arial"/>
          <w:sz w:val="24"/>
          <w:szCs w:val="24"/>
        </w:rPr>
        <w:t>, section 117</w:t>
      </w:r>
      <w:r w:rsidR="00E066C4" w:rsidRPr="00373688">
        <w:rPr>
          <w:rFonts w:ascii="Arial" w:hAnsi="Arial" w:cs="Arial"/>
          <w:sz w:val="24"/>
          <w:szCs w:val="24"/>
        </w:rPr>
        <w:t>, and</w:t>
      </w:r>
    </w:p>
    <w:p w14:paraId="41372B9A" w14:textId="579940DC" w:rsidR="00FF4ADF" w:rsidRPr="00036FF0" w:rsidRDefault="00BE2ED8" w:rsidP="00036FF0">
      <w:pPr>
        <w:pStyle w:val="ListParagraph"/>
        <w:numPr>
          <w:ilvl w:val="0"/>
          <w:numId w:val="5"/>
        </w:numPr>
        <w:spacing w:after="240"/>
        <w:ind w:left="714" w:hanging="357"/>
        <w:rPr>
          <w:rFonts w:ascii="Arial" w:hAnsi="Arial" w:cs="Arial"/>
          <w:sz w:val="24"/>
          <w:szCs w:val="24"/>
        </w:rPr>
      </w:pPr>
      <w:r w:rsidRPr="00FF51A4">
        <w:rPr>
          <w:rFonts w:ascii="Arial" w:hAnsi="Arial" w:cs="Arial"/>
          <w:sz w:val="24"/>
          <w:szCs w:val="24"/>
        </w:rPr>
        <w:t xml:space="preserve">the </w:t>
      </w:r>
      <w:r w:rsidRPr="00FF51A4">
        <w:rPr>
          <w:rFonts w:ascii="Arial" w:hAnsi="Arial" w:cs="Arial"/>
          <w:i/>
          <w:iCs/>
          <w:sz w:val="24"/>
          <w:szCs w:val="24"/>
        </w:rPr>
        <w:t>Legal Profession Act 2006</w:t>
      </w:r>
      <w:r w:rsidRPr="00FF51A4">
        <w:rPr>
          <w:rFonts w:ascii="Arial" w:hAnsi="Arial" w:cs="Arial"/>
          <w:sz w:val="24"/>
          <w:szCs w:val="24"/>
        </w:rPr>
        <w:t>, section 587.</w:t>
      </w:r>
    </w:p>
    <w:p w14:paraId="05AEA6E1" w14:textId="750E3D3B" w:rsidR="00890536" w:rsidRPr="00373688" w:rsidRDefault="001931EF" w:rsidP="001931EF">
      <w:pPr>
        <w:rPr>
          <w:rFonts w:ascii="Arial" w:hAnsi="Arial" w:cs="Arial"/>
          <w:sz w:val="24"/>
          <w:szCs w:val="24"/>
        </w:rPr>
      </w:pPr>
      <w:r w:rsidRPr="00373688">
        <w:rPr>
          <w:rFonts w:ascii="Arial" w:hAnsi="Arial" w:cs="Arial"/>
          <w:sz w:val="24"/>
          <w:szCs w:val="24"/>
        </w:rPr>
        <w:t>Th</w:t>
      </w:r>
      <w:r w:rsidR="00036FF0">
        <w:rPr>
          <w:rFonts w:ascii="Arial" w:hAnsi="Arial" w:cs="Arial"/>
          <w:sz w:val="24"/>
          <w:szCs w:val="24"/>
        </w:rPr>
        <w:t>ese</w:t>
      </w:r>
      <w:r w:rsidRPr="00373688">
        <w:rPr>
          <w:rFonts w:ascii="Arial" w:hAnsi="Arial" w:cs="Arial"/>
          <w:sz w:val="24"/>
          <w:szCs w:val="24"/>
        </w:rPr>
        <w:t xml:space="preserve"> notifiable instrumen</w:t>
      </w:r>
      <w:r w:rsidR="00FF4ADF" w:rsidRPr="00373688">
        <w:rPr>
          <w:rFonts w:ascii="Arial" w:hAnsi="Arial" w:cs="Arial"/>
          <w:sz w:val="24"/>
          <w:szCs w:val="24"/>
        </w:rPr>
        <w:t>t</w:t>
      </w:r>
      <w:r w:rsidR="00036FF0">
        <w:rPr>
          <w:rFonts w:ascii="Arial" w:hAnsi="Arial" w:cs="Arial"/>
          <w:sz w:val="24"/>
          <w:szCs w:val="24"/>
        </w:rPr>
        <w:t>s are</w:t>
      </w:r>
      <w:r w:rsidR="00FF4ADF" w:rsidRPr="00373688">
        <w:rPr>
          <w:rFonts w:ascii="Arial" w:hAnsi="Arial" w:cs="Arial"/>
          <w:sz w:val="24"/>
          <w:szCs w:val="24"/>
        </w:rPr>
        <w:t xml:space="preserve"> </w:t>
      </w:r>
      <w:r w:rsidRPr="00373688">
        <w:rPr>
          <w:rFonts w:ascii="Arial" w:hAnsi="Arial" w:cs="Arial"/>
          <w:sz w:val="24"/>
          <w:szCs w:val="24"/>
        </w:rPr>
        <w:t xml:space="preserve">approved form made under these Acts by </w:t>
      </w:r>
      <w:r w:rsidR="00E066C4" w:rsidRPr="00373688">
        <w:rPr>
          <w:rFonts w:ascii="Arial" w:hAnsi="Arial" w:cs="Arial"/>
          <w:sz w:val="24"/>
          <w:szCs w:val="24"/>
        </w:rPr>
        <w:t>the ACT</w:t>
      </w:r>
      <w:r w:rsidR="00036FF0">
        <w:rPr>
          <w:rFonts w:ascii="Arial" w:hAnsi="Arial" w:cs="Arial"/>
          <w:sz w:val="24"/>
          <w:szCs w:val="24"/>
        </w:rPr>
        <w:t> </w:t>
      </w:r>
      <w:r w:rsidR="00E066C4" w:rsidRPr="00373688">
        <w:rPr>
          <w:rFonts w:ascii="Arial" w:hAnsi="Arial" w:cs="Arial"/>
          <w:sz w:val="24"/>
          <w:szCs w:val="24"/>
        </w:rPr>
        <w:t>Civil and Administrative Tribunal</w:t>
      </w:r>
      <w:r w:rsidR="00036FF0">
        <w:rPr>
          <w:rFonts w:ascii="Arial" w:hAnsi="Arial" w:cs="Arial"/>
          <w:sz w:val="24"/>
          <w:szCs w:val="24"/>
        </w:rPr>
        <w:t>, the ACT Law Society or the ACT Bar Association</w:t>
      </w:r>
      <w:r w:rsidR="00FF4ADF" w:rsidRPr="00373688">
        <w:rPr>
          <w:rFonts w:ascii="Arial" w:hAnsi="Arial" w:cs="Arial"/>
          <w:sz w:val="24"/>
          <w:szCs w:val="24"/>
        </w:rPr>
        <w:t xml:space="preserve">. </w:t>
      </w:r>
      <w:r w:rsidRPr="00373688">
        <w:rPr>
          <w:rFonts w:ascii="Arial" w:hAnsi="Arial" w:cs="Arial"/>
          <w:sz w:val="24"/>
          <w:szCs w:val="24"/>
        </w:rPr>
        <w:t>The Bill is removing the requirement for th</w:t>
      </w:r>
      <w:r w:rsidR="00036FF0">
        <w:rPr>
          <w:rFonts w:ascii="Arial" w:hAnsi="Arial" w:cs="Arial"/>
          <w:sz w:val="24"/>
          <w:szCs w:val="24"/>
        </w:rPr>
        <w:t>ese</w:t>
      </w:r>
      <w:r w:rsidRPr="00373688">
        <w:rPr>
          <w:rFonts w:ascii="Arial" w:hAnsi="Arial" w:cs="Arial"/>
          <w:sz w:val="24"/>
          <w:szCs w:val="24"/>
        </w:rPr>
        <w:t xml:space="preserve"> form</w:t>
      </w:r>
      <w:r w:rsidR="00036FF0">
        <w:rPr>
          <w:rFonts w:ascii="Arial" w:hAnsi="Arial" w:cs="Arial"/>
          <w:sz w:val="24"/>
          <w:szCs w:val="24"/>
        </w:rPr>
        <w:t>s</w:t>
      </w:r>
      <w:r w:rsidRPr="00373688">
        <w:rPr>
          <w:rFonts w:ascii="Arial" w:hAnsi="Arial" w:cs="Arial"/>
          <w:sz w:val="24"/>
          <w:szCs w:val="24"/>
        </w:rPr>
        <w:t xml:space="preserve"> to be notifiable instrument</w:t>
      </w:r>
      <w:r w:rsidR="00036FF0">
        <w:rPr>
          <w:rFonts w:ascii="Arial" w:hAnsi="Arial" w:cs="Arial"/>
          <w:sz w:val="24"/>
          <w:szCs w:val="24"/>
        </w:rPr>
        <w:t>s</w:t>
      </w:r>
      <w:r w:rsidRPr="00373688">
        <w:rPr>
          <w:rFonts w:ascii="Arial" w:hAnsi="Arial" w:cs="Arial"/>
          <w:sz w:val="24"/>
          <w:szCs w:val="24"/>
        </w:rPr>
        <w:t xml:space="preserve">. </w:t>
      </w:r>
    </w:p>
    <w:p w14:paraId="593A4861" w14:textId="503E5048" w:rsidR="00771B23" w:rsidRPr="00373688" w:rsidRDefault="00771B23" w:rsidP="00AE0380">
      <w:pPr>
        <w:pStyle w:val="Heading2"/>
        <w:rPr>
          <w:rFonts w:cs="Arial"/>
          <w:szCs w:val="24"/>
        </w:rPr>
      </w:pPr>
      <w:r w:rsidRPr="00373688">
        <w:rPr>
          <w:rFonts w:cs="Arial"/>
          <w:szCs w:val="24"/>
        </w:rPr>
        <w:t>Part 2</w:t>
      </w:r>
      <w:r w:rsidRPr="00373688">
        <w:rPr>
          <w:rFonts w:cs="Arial"/>
          <w:szCs w:val="24"/>
        </w:rPr>
        <w:tab/>
      </w:r>
      <w:r w:rsidRPr="00373688">
        <w:rPr>
          <w:rFonts w:cs="Arial"/>
          <w:szCs w:val="24"/>
        </w:rPr>
        <w:tab/>
        <w:t>ACT Civil and Administrative Tribunal Act 2008</w:t>
      </w:r>
    </w:p>
    <w:p w14:paraId="7C69F489" w14:textId="276AA7C2" w:rsidR="00771B23" w:rsidRPr="00373688" w:rsidRDefault="00771B23" w:rsidP="00AE0380">
      <w:pPr>
        <w:pStyle w:val="Heading3"/>
        <w:rPr>
          <w:rFonts w:cs="Arial"/>
        </w:rPr>
      </w:pPr>
      <w:r w:rsidRPr="00373688">
        <w:rPr>
          <w:rFonts w:cs="Arial"/>
        </w:rPr>
        <w:t xml:space="preserve">Clause </w:t>
      </w:r>
      <w:r w:rsidR="00FF4ADF" w:rsidRPr="00373688">
        <w:rPr>
          <w:rFonts w:cs="Arial"/>
        </w:rPr>
        <w:t>5</w:t>
      </w:r>
      <w:r w:rsidRPr="00373688">
        <w:rPr>
          <w:rFonts w:cs="Arial"/>
        </w:rPr>
        <w:tab/>
        <w:t>Approved forms</w:t>
      </w:r>
      <w:r w:rsidRPr="00373688">
        <w:rPr>
          <w:rFonts w:cs="Arial"/>
        </w:rPr>
        <w:br/>
      </w:r>
      <w:r w:rsidRPr="00373688">
        <w:rPr>
          <w:rFonts w:cs="Arial"/>
        </w:rPr>
        <w:tab/>
      </w:r>
      <w:r w:rsidRPr="00373688">
        <w:rPr>
          <w:rFonts w:cs="Arial"/>
        </w:rPr>
        <w:tab/>
        <w:t>Section 117 (3) and note</w:t>
      </w:r>
    </w:p>
    <w:p w14:paraId="3E142015" w14:textId="52DDC95B" w:rsidR="007633DB" w:rsidRPr="00373688" w:rsidRDefault="007633DB" w:rsidP="00E066C4">
      <w:pPr>
        <w:rPr>
          <w:rFonts w:ascii="Arial" w:hAnsi="Arial" w:cs="Arial"/>
          <w:sz w:val="24"/>
          <w:szCs w:val="24"/>
        </w:rPr>
      </w:pPr>
      <w:r w:rsidRPr="00373688">
        <w:rPr>
          <w:rFonts w:ascii="Arial" w:hAnsi="Arial" w:cs="Arial"/>
          <w:sz w:val="24"/>
          <w:szCs w:val="24"/>
        </w:rPr>
        <w:t>This clause omits section 117 (3) and its note. The requirement for approved forms to be notified is administratively burdensome for the Tribunal and does not support the future digitisation of the Tribunal. This omission will ensure the Tribunal can use ‘smart forms’ which are more accessible for users but cannot be notified on the ACT</w:t>
      </w:r>
      <w:r w:rsidR="00E066C4" w:rsidRPr="00373688">
        <w:rPr>
          <w:rFonts w:ascii="Arial" w:hAnsi="Arial" w:cs="Arial"/>
          <w:sz w:val="24"/>
          <w:szCs w:val="24"/>
        </w:rPr>
        <w:t> </w:t>
      </w:r>
      <w:r w:rsidRPr="00373688">
        <w:rPr>
          <w:rFonts w:ascii="Arial" w:hAnsi="Arial" w:cs="Arial"/>
          <w:sz w:val="24"/>
          <w:szCs w:val="24"/>
        </w:rPr>
        <w:t>Legislation Register.</w:t>
      </w:r>
    </w:p>
    <w:p w14:paraId="2618289E" w14:textId="60637DD5" w:rsidR="00771B23" w:rsidRPr="00373688" w:rsidRDefault="00771B23" w:rsidP="00AE0380">
      <w:pPr>
        <w:pStyle w:val="Heading2"/>
        <w:rPr>
          <w:rFonts w:cs="Arial"/>
          <w:szCs w:val="24"/>
        </w:rPr>
      </w:pPr>
      <w:r w:rsidRPr="00373688">
        <w:rPr>
          <w:rFonts w:cs="Arial"/>
          <w:szCs w:val="24"/>
        </w:rPr>
        <w:t>Part 3</w:t>
      </w:r>
      <w:r w:rsidRPr="00373688">
        <w:rPr>
          <w:rFonts w:cs="Arial"/>
          <w:szCs w:val="24"/>
        </w:rPr>
        <w:tab/>
      </w:r>
      <w:r w:rsidRPr="00373688">
        <w:rPr>
          <w:rFonts w:cs="Arial"/>
          <w:szCs w:val="24"/>
        </w:rPr>
        <w:tab/>
        <w:t>Administration and Probate Act 1929</w:t>
      </w:r>
    </w:p>
    <w:p w14:paraId="65BA8779" w14:textId="19AC1711" w:rsidR="00C07CA4" w:rsidRPr="00373688" w:rsidRDefault="00C07CA4" w:rsidP="00B67936">
      <w:pPr>
        <w:pStyle w:val="Heading3"/>
        <w:ind w:left="1440" w:hanging="1440"/>
        <w:rPr>
          <w:rFonts w:cs="Arial"/>
          <w:i/>
          <w:iCs/>
        </w:rPr>
      </w:pPr>
      <w:r w:rsidRPr="00373688">
        <w:rPr>
          <w:rFonts w:cs="Arial"/>
        </w:rPr>
        <w:t xml:space="preserve">Clause </w:t>
      </w:r>
      <w:r w:rsidR="00FF4ADF" w:rsidRPr="00373688">
        <w:rPr>
          <w:rFonts w:cs="Arial"/>
        </w:rPr>
        <w:t>6</w:t>
      </w:r>
      <w:r w:rsidRPr="00373688">
        <w:rPr>
          <w:rFonts w:cs="Arial"/>
        </w:rPr>
        <w:tab/>
        <w:t xml:space="preserve">Interpretation for pt 3A </w:t>
      </w:r>
      <w:r w:rsidR="00B67936" w:rsidRPr="00373688">
        <w:rPr>
          <w:rFonts w:cs="Arial"/>
        </w:rPr>
        <w:br/>
      </w:r>
      <w:r w:rsidRPr="00373688">
        <w:rPr>
          <w:rFonts w:cs="Arial"/>
        </w:rPr>
        <w:t xml:space="preserve">Section 44, definition of </w:t>
      </w:r>
      <w:r w:rsidRPr="00373688">
        <w:rPr>
          <w:rFonts w:cs="Arial"/>
          <w:i/>
          <w:iCs/>
        </w:rPr>
        <w:t>personal chattels</w:t>
      </w:r>
    </w:p>
    <w:p w14:paraId="752F8907" w14:textId="6D91C6D2" w:rsidR="00B67936" w:rsidRPr="00373688" w:rsidRDefault="00B67936" w:rsidP="00B67936">
      <w:pPr>
        <w:rPr>
          <w:rFonts w:ascii="Arial" w:hAnsi="Arial" w:cs="Arial"/>
          <w:sz w:val="24"/>
          <w:szCs w:val="24"/>
        </w:rPr>
      </w:pPr>
      <w:r w:rsidRPr="00373688">
        <w:rPr>
          <w:rFonts w:ascii="Arial" w:hAnsi="Arial" w:cs="Arial"/>
          <w:sz w:val="24"/>
          <w:szCs w:val="24"/>
        </w:rPr>
        <w:t xml:space="preserve">This clause substitutes a new definition of </w:t>
      </w:r>
      <w:r w:rsidRPr="00373688">
        <w:rPr>
          <w:rFonts w:ascii="Arial" w:hAnsi="Arial" w:cs="Arial"/>
          <w:i/>
          <w:iCs/>
          <w:sz w:val="24"/>
          <w:szCs w:val="24"/>
        </w:rPr>
        <w:t>personal chattels</w:t>
      </w:r>
      <w:r w:rsidRPr="00373688">
        <w:rPr>
          <w:rFonts w:ascii="Arial" w:hAnsi="Arial" w:cs="Arial"/>
          <w:sz w:val="24"/>
          <w:szCs w:val="24"/>
        </w:rPr>
        <w:t xml:space="preserve"> into section 44. The current definition is inclusive</w:t>
      </w:r>
      <w:r w:rsidR="00925E2A" w:rsidRPr="00373688">
        <w:rPr>
          <w:rFonts w:ascii="Arial" w:hAnsi="Arial" w:cs="Arial"/>
          <w:sz w:val="24"/>
          <w:szCs w:val="24"/>
        </w:rPr>
        <w:t>: it</w:t>
      </w:r>
      <w:r w:rsidRPr="00373688">
        <w:rPr>
          <w:rFonts w:ascii="Arial" w:hAnsi="Arial" w:cs="Arial"/>
          <w:sz w:val="24"/>
          <w:szCs w:val="24"/>
        </w:rPr>
        <w:t xml:space="preserve"> lists specific items that are </w:t>
      </w:r>
      <w:r w:rsidRPr="00373688">
        <w:rPr>
          <w:rFonts w:ascii="Arial" w:hAnsi="Arial" w:cs="Arial"/>
          <w:i/>
          <w:iCs/>
          <w:sz w:val="24"/>
          <w:szCs w:val="24"/>
        </w:rPr>
        <w:t>personal chattels</w:t>
      </w:r>
      <w:r w:rsidRPr="00373688">
        <w:rPr>
          <w:rFonts w:ascii="Arial" w:hAnsi="Arial" w:cs="Arial"/>
          <w:sz w:val="24"/>
          <w:szCs w:val="24"/>
        </w:rPr>
        <w:t xml:space="preserve"> (e.g. </w:t>
      </w:r>
      <w:proofErr w:type="spellStart"/>
      <w:r w:rsidRPr="00373688">
        <w:rPr>
          <w:rFonts w:ascii="Arial" w:hAnsi="Arial" w:cs="Arial"/>
          <w:sz w:val="24"/>
          <w:szCs w:val="24"/>
        </w:rPr>
        <w:t>china</w:t>
      </w:r>
      <w:proofErr w:type="spellEnd"/>
      <w:r w:rsidRPr="00373688">
        <w:rPr>
          <w:rFonts w:ascii="Arial" w:hAnsi="Arial" w:cs="Arial"/>
          <w:sz w:val="24"/>
          <w:szCs w:val="24"/>
        </w:rPr>
        <w:t xml:space="preserve">, jewellery, pictures). This can lead to uncertainty where a deceased person held property that does not readily fall within the items in the list. The new definition of </w:t>
      </w:r>
      <w:r w:rsidRPr="00373688">
        <w:rPr>
          <w:rFonts w:ascii="Arial" w:hAnsi="Arial" w:cs="Arial"/>
          <w:i/>
          <w:iCs/>
          <w:sz w:val="24"/>
          <w:szCs w:val="24"/>
        </w:rPr>
        <w:t>personal chattels</w:t>
      </w:r>
      <w:r w:rsidRPr="00373688">
        <w:rPr>
          <w:rFonts w:ascii="Arial" w:hAnsi="Arial" w:cs="Arial"/>
          <w:sz w:val="24"/>
          <w:szCs w:val="24"/>
        </w:rPr>
        <w:t xml:space="preserve"> is exclusive, such that any tangible personal property held by the deceased will be considered a chattel, except for listed exceptions.  </w:t>
      </w:r>
    </w:p>
    <w:p w14:paraId="747A915D" w14:textId="78B2284F" w:rsidR="00B67936" w:rsidRPr="00373688" w:rsidRDefault="00B67936" w:rsidP="00B67936">
      <w:pPr>
        <w:rPr>
          <w:rFonts w:ascii="Arial" w:hAnsi="Arial" w:cs="Arial"/>
          <w:sz w:val="24"/>
          <w:szCs w:val="24"/>
        </w:rPr>
      </w:pPr>
      <w:r w:rsidRPr="00373688">
        <w:rPr>
          <w:rFonts w:ascii="Arial" w:hAnsi="Arial" w:cs="Arial"/>
          <w:sz w:val="24"/>
          <w:szCs w:val="24"/>
        </w:rPr>
        <w:lastRenderedPageBreak/>
        <w:t>This amendment is intended to minimise ambiguity when distributing personal property of an intestate estate. It implements a recommendation from a national harmonisation report under the auspices of the Standing Council of Attorneys</w:t>
      </w:r>
      <w:r w:rsidRPr="00373688">
        <w:rPr>
          <w:rFonts w:ascii="Arial" w:hAnsi="Arial" w:cs="Arial"/>
          <w:sz w:val="24"/>
          <w:szCs w:val="24"/>
        </w:rPr>
        <w:noBreakHyphen/>
        <w:t xml:space="preserve">General (National Committee for Uniform Succession Laws, Report No.116, </w:t>
      </w:r>
      <w:r w:rsidRPr="00373688">
        <w:rPr>
          <w:rFonts w:ascii="Arial" w:hAnsi="Arial" w:cs="Arial"/>
          <w:i/>
          <w:iCs/>
          <w:sz w:val="24"/>
          <w:szCs w:val="24"/>
        </w:rPr>
        <w:t>Uniform Succession Laws: Intestacy</w:t>
      </w:r>
      <w:r w:rsidRPr="00373688">
        <w:rPr>
          <w:rFonts w:ascii="Arial" w:hAnsi="Arial" w:cs="Arial"/>
          <w:sz w:val="24"/>
          <w:szCs w:val="24"/>
        </w:rPr>
        <w:t>, 2007).</w:t>
      </w:r>
    </w:p>
    <w:p w14:paraId="53C2BA9C" w14:textId="5A56DE6E" w:rsidR="00C07CA4" w:rsidRPr="00373688" w:rsidRDefault="00C07CA4">
      <w:pPr>
        <w:pStyle w:val="Heading3"/>
        <w:rPr>
          <w:rFonts w:cs="Arial"/>
        </w:rPr>
      </w:pPr>
      <w:r w:rsidRPr="00373688">
        <w:rPr>
          <w:rFonts w:cs="Arial"/>
        </w:rPr>
        <w:t xml:space="preserve">Clause </w:t>
      </w:r>
      <w:r w:rsidR="00FF4ADF" w:rsidRPr="00373688">
        <w:rPr>
          <w:rFonts w:cs="Arial"/>
        </w:rPr>
        <w:t>7</w:t>
      </w:r>
      <w:r w:rsidRPr="00373688">
        <w:rPr>
          <w:rFonts w:cs="Arial"/>
        </w:rPr>
        <w:tab/>
        <w:t>New section 49DA</w:t>
      </w:r>
    </w:p>
    <w:p w14:paraId="103E62C0" w14:textId="23429FEE" w:rsidR="00B67936" w:rsidRPr="00373688" w:rsidRDefault="00B67936" w:rsidP="00B67936">
      <w:pPr>
        <w:rPr>
          <w:rFonts w:ascii="Arial" w:hAnsi="Arial" w:cs="Arial"/>
          <w:sz w:val="24"/>
          <w:szCs w:val="24"/>
        </w:rPr>
      </w:pPr>
      <w:r w:rsidRPr="00373688">
        <w:rPr>
          <w:rFonts w:ascii="Arial" w:hAnsi="Arial" w:cs="Arial"/>
          <w:sz w:val="24"/>
          <w:szCs w:val="24"/>
        </w:rPr>
        <w:t xml:space="preserve">This clause inserts a new provision that will govern how </w:t>
      </w:r>
      <w:r w:rsidR="00E177C3" w:rsidRPr="00373688">
        <w:rPr>
          <w:rFonts w:ascii="Arial" w:hAnsi="Arial" w:cs="Arial"/>
          <w:sz w:val="24"/>
          <w:szCs w:val="24"/>
        </w:rPr>
        <w:t xml:space="preserve">a person’s share in </w:t>
      </w:r>
      <w:r w:rsidRPr="00373688">
        <w:rPr>
          <w:rFonts w:ascii="Arial" w:hAnsi="Arial" w:cs="Arial"/>
          <w:sz w:val="24"/>
          <w:szCs w:val="24"/>
        </w:rPr>
        <w:t xml:space="preserve">an intestate estate is to be distributed when </w:t>
      </w:r>
      <w:r w:rsidR="00E177C3" w:rsidRPr="00373688">
        <w:rPr>
          <w:rFonts w:ascii="Arial" w:hAnsi="Arial" w:cs="Arial"/>
          <w:sz w:val="24"/>
          <w:szCs w:val="24"/>
        </w:rPr>
        <w:t>the</w:t>
      </w:r>
      <w:r w:rsidRPr="00373688">
        <w:rPr>
          <w:rFonts w:ascii="Arial" w:hAnsi="Arial" w:cs="Arial"/>
          <w:sz w:val="24"/>
          <w:szCs w:val="24"/>
        </w:rPr>
        <w:t xml:space="preserve"> person forfeits or disclaims their share. </w:t>
      </w:r>
    </w:p>
    <w:p w14:paraId="005722AB" w14:textId="399ED496" w:rsidR="00B67936" w:rsidRPr="00373688" w:rsidRDefault="00B67936" w:rsidP="00B67936">
      <w:pPr>
        <w:rPr>
          <w:rFonts w:ascii="Arial" w:hAnsi="Arial" w:cs="Arial"/>
          <w:sz w:val="24"/>
          <w:szCs w:val="24"/>
        </w:rPr>
      </w:pPr>
      <w:bookmarkStart w:id="4" w:name="_Hlk139985212"/>
      <w:r w:rsidRPr="00373688">
        <w:rPr>
          <w:rFonts w:ascii="Arial" w:hAnsi="Arial" w:cs="Arial"/>
          <w:sz w:val="24"/>
          <w:szCs w:val="24"/>
        </w:rPr>
        <w:t xml:space="preserve">The </w:t>
      </w:r>
      <w:r w:rsidRPr="00373688">
        <w:rPr>
          <w:rFonts w:ascii="Arial" w:hAnsi="Arial" w:cs="Arial"/>
          <w:i/>
          <w:iCs/>
          <w:sz w:val="24"/>
          <w:szCs w:val="24"/>
        </w:rPr>
        <w:t>A</w:t>
      </w:r>
      <w:r w:rsidR="00E066C4" w:rsidRPr="00373688">
        <w:rPr>
          <w:rFonts w:ascii="Arial" w:hAnsi="Arial" w:cs="Arial"/>
          <w:i/>
          <w:iCs/>
          <w:sz w:val="24"/>
          <w:szCs w:val="24"/>
        </w:rPr>
        <w:t>dministration and Probate</w:t>
      </w:r>
      <w:r w:rsidRPr="00373688">
        <w:rPr>
          <w:rFonts w:ascii="Arial" w:hAnsi="Arial" w:cs="Arial"/>
          <w:i/>
          <w:iCs/>
          <w:sz w:val="24"/>
          <w:szCs w:val="24"/>
        </w:rPr>
        <w:t xml:space="preserve"> Act</w:t>
      </w:r>
      <w:r w:rsidR="00E066C4" w:rsidRPr="00373688">
        <w:rPr>
          <w:rFonts w:ascii="Arial" w:hAnsi="Arial" w:cs="Arial"/>
          <w:i/>
          <w:iCs/>
          <w:sz w:val="24"/>
          <w:szCs w:val="24"/>
        </w:rPr>
        <w:t xml:space="preserve"> 1929</w:t>
      </w:r>
      <w:r w:rsidRPr="00373688">
        <w:rPr>
          <w:rFonts w:ascii="Arial" w:hAnsi="Arial" w:cs="Arial"/>
          <w:sz w:val="24"/>
          <w:szCs w:val="24"/>
        </w:rPr>
        <w:t xml:space="preserve"> currently has no rules to deal with the </w:t>
      </w:r>
      <w:r w:rsidR="00E066C4" w:rsidRPr="00373688">
        <w:rPr>
          <w:rFonts w:ascii="Arial" w:hAnsi="Arial" w:cs="Arial"/>
          <w:sz w:val="24"/>
          <w:szCs w:val="24"/>
        </w:rPr>
        <w:t>situation where</w:t>
      </w:r>
      <w:r w:rsidRPr="00373688">
        <w:rPr>
          <w:rFonts w:ascii="Arial" w:hAnsi="Arial" w:cs="Arial"/>
          <w:sz w:val="24"/>
          <w:szCs w:val="24"/>
        </w:rPr>
        <w:t xml:space="preserve"> a person disclaim</w:t>
      </w:r>
      <w:r w:rsidR="00E066C4" w:rsidRPr="00373688">
        <w:rPr>
          <w:rFonts w:ascii="Arial" w:hAnsi="Arial" w:cs="Arial"/>
          <w:sz w:val="24"/>
          <w:szCs w:val="24"/>
        </w:rPr>
        <w:t>s</w:t>
      </w:r>
      <w:r w:rsidRPr="00373688">
        <w:rPr>
          <w:rFonts w:ascii="Arial" w:hAnsi="Arial" w:cs="Arial"/>
          <w:sz w:val="24"/>
          <w:szCs w:val="24"/>
        </w:rPr>
        <w:t>, or refus</w:t>
      </w:r>
      <w:r w:rsidR="00E066C4" w:rsidRPr="00373688">
        <w:rPr>
          <w:rFonts w:ascii="Arial" w:hAnsi="Arial" w:cs="Arial"/>
          <w:sz w:val="24"/>
          <w:szCs w:val="24"/>
        </w:rPr>
        <w:t>es</w:t>
      </w:r>
      <w:r w:rsidRPr="00373688">
        <w:rPr>
          <w:rFonts w:ascii="Arial" w:hAnsi="Arial" w:cs="Arial"/>
          <w:sz w:val="24"/>
          <w:szCs w:val="24"/>
        </w:rPr>
        <w:t xml:space="preserve"> to accept, their interest in an intestate estate. There is similarly no rule in relation to forfeiture (the law requires a person to forfeit their inheritance where the person is criminally responsible for that person’s death).</w:t>
      </w:r>
      <w:bookmarkEnd w:id="4"/>
      <w:r w:rsidRPr="00373688">
        <w:rPr>
          <w:rFonts w:ascii="Arial" w:hAnsi="Arial" w:cs="Arial"/>
          <w:sz w:val="24"/>
          <w:szCs w:val="24"/>
        </w:rPr>
        <w:t xml:space="preserve"> This leads to uncertainty in these circumstances.</w:t>
      </w:r>
    </w:p>
    <w:p w14:paraId="1E4C9554" w14:textId="6C5A82DC" w:rsidR="00B67936" w:rsidRPr="00373688" w:rsidRDefault="00B67936" w:rsidP="00B67936">
      <w:pPr>
        <w:rPr>
          <w:rFonts w:ascii="Arial" w:hAnsi="Arial" w:cs="Arial"/>
          <w:sz w:val="24"/>
          <w:szCs w:val="24"/>
        </w:rPr>
      </w:pPr>
      <w:r w:rsidRPr="00373688">
        <w:rPr>
          <w:rFonts w:ascii="Arial" w:hAnsi="Arial" w:cs="Arial"/>
          <w:sz w:val="24"/>
          <w:szCs w:val="24"/>
        </w:rPr>
        <w:t xml:space="preserve">The new rule will provide that a person who disclaims or forfeits their share of an estate is treated as having predeceased the intestate. In effect, this means the person will be left out of consideration when distributing the estate, but their children may still inherit (rather than the disclaimer’s share passing to more remote relatives). </w:t>
      </w:r>
    </w:p>
    <w:p w14:paraId="1847D808" w14:textId="102EDC78" w:rsidR="00B67936" w:rsidRPr="00373688" w:rsidRDefault="00B67936" w:rsidP="00B67936">
      <w:pPr>
        <w:rPr>
          <w:rFonts w:ascii="Arial" w:hAnsi="Arial" w:cs="Arial"/>
          <w:sz w:val="24"/>
          <w:szCs w:val="24"/>
        </w:rPr>
      </w:pPr>
      <w:r w:rsidRPr="00373688">
        <w:rPr>
          <w:rFonts w:ascii="Arial" w:hAnsi="Arial" w:cs="Arial"/>
          <w:sz w:val="24"/>
          <w:szCs w:val="24"/>
        </w:rPr>
        <w:t>This amendment implements a recommendation from a national harmonisation report under the auspices of the Standing Council of Attorneys</w:t>
      </w:r>
      <w:r w:rsidRPr="00373688">
        <w:rPr>
          <w:rFonts w:ascii="Arial" w:hAnsi="Arial" w:cs="Arial"/>
          <w:sz w:val="24"/>
          <w:szCs w:val="24"/>
        </w:rPr>
        <w:noBreakHyphen/>
        <w:t xml:space="preserve">General (National Committee for Uniform Succession Laws, Report No.116, </w:t>
      </w:r>
      <w:r w:rsidRPr="00373688">
        <w:rPr>
          <w:rFonts w:ascii="Arial" w:hAnsi="Arial" w:cs="Arial"/>
          <w:i/>
          <w:iCs/>
          <w:sz w:val="24"/>
          <w:szCs w:val="24"/>
        </w:rPr>
        <w:t>Uniform Succession Laws: Intestacy</w:t>
      </w:r>
      <w:r w:rsidRPr="00373688">
        <w:rPr>
          <w:rFonts w:ascii="Arial" w:hAnsi="Arial" w:cs="Arial"/>
          <w:sz w:val="24"/>
          <w:szCs w:val="24"/>
        </w:rPr>
        <w:t>, 2007).</w:t>
      </w:r>
    </w:p>
    <w:p w14:paraId="5AB77254" w14:textId="1AEEE401" w:rsidR="00C07CA4" w:rsidRPr="00373688" w:rsidRDefault="00C07CA4" w:rsidP="00C07CA4">
      <w:pPr>
        <w:pStyle w:val="Heading3"/>
        <w:rPr>
          <w:rFonts w:cs="Arial"/>
        </w:rPr>
      </w:pPr>
      <w:r w:rsidRPr="00373688">
        <w:rPr>
          <w:rFonts w:cs="Arial"/>
        </w:rPr>
        <w:t xml:space="preserve">Clause </w:t>
      </w:r>
      <w:r w:rsidR="00FF4ADF" w:rsidRPr="00373688">
        <w:rPr>
          <w:rFonts w:cs="Arial"/>
        </w:rPr>
        <w:t>8</w:t>
      </w:r>
      <w:r w:rsidRPr="00373688">
        <w:rPr>
          <w:rFonts w:cs="Arial"/>
        </w:rPr>
        <w:tab/>
        <w:t>Section 64</w:t>
      </w:r>
    </w:p>
    <w:p w14:paraId="2CA75368" w14:textId="20A5840A" w:rsidR="00E177C3" w:rsidRPr="00373688" w:rsidRDefault="00E177C3" w:rsidP="00E177C3">
      <w:pPr>
        <w:rPr>
          <w:rFonts w:ascii="Arial" w:hAnsi="Arial" w:cs="Arial"/>
          <w:sz w:val="24"/>
          <w:szCs w:val="24"/>
        </w:rPr>
      </w:pPr>
      <w:r w:rsidRPr="00373688">
        <w:rPr>
          <w:rFonts w:ascii="Arial" w:hAnsi="Arial" w:cs="Arial"/>
          <w:sz w:val="24"/>
          <w:szCs w:val="24"/>
        </w:rPr>
        <w:t>This clause substitutes new section 64 to clarify and improve the process pursuant to which the executor or administrator of an estate can issue a public notice of intention to distribute the estate. The public notice process facilitates the identification of potential claimants against the estate so their claims may be assessed prior to the estate being distributed.</w:t>
      </w:r>
      <w:r w:rsidR="006678CE" w:rsidRPr="00373688">
        <w:rPr>
          <w:rFonts w:ascii="Arial" w:hAnsi="Arial" w:cs="Arial"/>
          <w:sz w:val="24"/>
          <w:szCs w:val="24"/>
        </w:rPr>
        <w:t xml:space="preserve"> Where the executor or administrator issues a public notice under section 64, they will be indemnified from liability in respect of any claims not notified.</w:t>
      </w:r>
    </w:p>
    <w:p w14:paraId="339E4E4E" w14:textId="60F709BB" w:rsidR="00E177C3" w:rsidRPr="00373688" w:rsidRDefault="00E177C3" w:rsidP="00E177C3">
      <w:pPr>
        <w:rPr>
          <w:rFonts w:ascii="Arial" w:hAnsi="Arial" w:cs="Arial"/>
          <w:sz w:val="24"/>
          <w:szCs w:val="24"/>
        </w:rPr>
      </w:pPr>
      <w:r w:rsidRPr="00373688">
        <w:rPr>
          <w:rFonts w:ascii="Arial" w:hAnsi="Arial" w:cs="Arial"/>
          <w:sz w:val="24"/>
          <w:szCs w:val="24"/>
        </w:rPr>
        <w:t xml:space="preserve">The new section 64 has been updated </w:t>
      </w:r>
      <w:r w:rsidR="006678CE" w:rsidRPr="00373688">
        <w:rPr>
          <w:rFonts w:ascii="Arial" w:hAnsi="Arial" w:cs="Arial"/>
          <w:sz w:val="24"/>
          <w:szCs w:val="24"/>
        </w:rPr>
        <w:t>as follows</w:t>
      </w:r>
      <w:r w:rsidRPr="00373688">
        <w:rPr>
          <w:rFonts w:ascii="Arial" w:hAnsi="Arial" w:cs="Arial"/>
          <w:sz w:val="24"/>
          <w:szCs w:val="24"/>
        </w:rPr>
        <w:t>:</w:t>
      </w:r>
    </w:p>
    <w:p w14:paraId="1F6DB629" w14:textId="46A4FEEE" w:rsidR="00E177C3" w:rsidRPr="00373688" w:rsidRDefault="006678CE" w:rsidP="00E177C3">
      <w:pPr>
        <w:numPr>
          <w:ilvl w:val="0"/>
          <w:numId w:val="9"/>
        </w:numPr>
        <w:rPr>
          <w:rFonts w:ascii="Arial" w:hAnsi="Arial" w:cs="Arial"/>
          <w:sz w:val="24"/>
          <w:szCs w:val="24"/>
        </w:rPr>
      </w:pPr>
      <w:r w:rsidRPr="00373688">
        <w:rPr>
          <w:rFonts w:ascii="Arial" w:hAnsi="Arial" w:cs="Arial"/>
          <w:sz w:val="24"/>
          <w:szCs w:val="24"/>
        </w:rPr>
        <w:t>The provision confirms that the</w:t>
      </w:r>
      <w:r w:rsidR="00E177C3" w:rsidRPr="00373688">
        <w:rPr>
          <w:rFonts w:ascii="Arial" w:hAnsi="Arial" w:cs="Arial"/>
          <w:sz w:val="24"/>
          <w:szCs w:val="24"/>
        </w:rPr>
        <w:t xml:space="preserve"> public notice process is optional and not mandatory.</w:t>
      </w:r>
    </w:p>
    <w:p w14:paraId="5735C0FC" w14:textId="79DE34D7" w:rsidR="00E177C3" w:rsidRPr="00373688" w:rsidRDefault="006678CE" w:rsidP="00E177C3">
      <w:pPr>
        <w:numPr>
          <w:ilvl w:val="0"/>
          <w:numId w:val="9"/>
        </w:numPr>
        <w:rPr>
          <w:rFonts w:ascii="Arial" w:hAnsi="Arial" w:cs="Arial"/>
          <w:sz w:val="24"/>
          <w:szCs w:val="24"/>
        </w:rPr>
      </w:pPr>
      <w:r w:rsidRPr="00373688">
        <w:rPr>
          <w:rFonts w:ascii="Arial" w:hAnsi="Arial" w:cs="Arial"/>
          <w:sz w:val="24"/>
          <w:szCs w:val="24"/>
        </w:rPr>
        <w:t>The</w:t>
      </w:r>
      <w:r w:rsidR="00E177C3" w:rsidRPr="00373688">
        <w:rPr>
          <w:rFonts w:ascii="Arial" w:hAnsi="Arial" w:cs="Arial"/>
          <w:sz w:val="24"/>
          <w:szCs w:val="24"/>
        </w:rPr>
        <w:t xml:space="preserve"> notice period</w:t>
      </w:r>
      <w:r w:rsidRPr="00373688">
        <w:rPr>
          <w:rFonts w:ascii="Arial" w:hAnsi="Arial" w:cs="Arial"/>
          <w:sz w:val="24"/>
          <w:szCs w:val="24"/>
        </w:rPr>
        <w:t xml:space="preserve"> required</w:t>
      </w:r>
      <w:r w:rsidR="00E177C3" w:rsidRPr="00373688">
        <w:rPr>
          <w:rFonts w:ascii="Arial" w:hAnsi="Arial" w:cs="Arial"/>
          <w:sz w:val="24"/>
          <w:szCs w:val="24"/>
        </w:rPr>
        <w:t xml:space="preserve"> where a public notice is issued is </w:t>
      </w:r>
      <w:r w:rsidRPr="00373688">
        <w:rPr>
          <w:rFonts w:ascii="Arial" w:hAnsi="Arial" w:cs="Arial"/>
          <w:sz w:val="24"/>
          <w:szCs w:val="24"/>
        </w:rPr>
        <w:t xml:space="preserve">set as </w:t>
      </w:r>
      <w:r w:rsidR="00E177C3" w:rsidRPr="00373688">
        <w:rPr>
          <w:rFonts w:ascii="Arial" w:hAnsi="Arial" w:cs="Arial"/>
          <w:sz w:val="24"/>
          <w:szCs w:val="24"/>
        </w:rPr>
        <w:t>1 month (</w:t>
      </w:r>
      <w:r w:rsidRPr="00373688">
        <w:rPr>
          <w:rFonts w:ascii="Arial" w:hAnsi="Arial" w:cs="Arial"/>
          <w:sz w:val="24"/>
          <w:szCs w:val="24"/>
        </w:rPr>
        <w:t xml:space="preserve">for </w:t>
      </w:r>
      <w:r w:rsidR="00E177C3" w:rsidRPr="00373688">
        <w:rPr>
          <w:rFonts w:ascii="Arial" w:hAnsi="Arial" w:cs="Arial"/>
          <w:sz w:val="24"/>
          <w:szCs w:val="24"/>
        </w:rPr>
        <w:t>consisten</w:t>
      </w:r>
      <w:r w:rsidRPr="00373688">
        <w:rPr>
          <w:rFonts w:ascii="Arial" w:hAnsi="Arial" w:cs="Arial"/>
          <w:sz w:val="24"/>
          <w:szCs w:val="24"/>
        </w:rPr>
        <w:t>cy</w:t>
      </w:r>
      <w:r w:rsidR="00E177C3" w:rsidRPr="00373688">
        <w:rPr>
          <w:rFonts w:ascii="Arial" w:hAnsi="Arial" w:cs="Arial"/>
          <w:sz w:val="24"/>
          <w:szCs w:val="24"/>
        </w:rPr>
        <w:t xml:space="preserve"> with similar notice requirements in other aspects of ACT succession law).</w:t>
      </w:r>
    </w:p>
    <w:p w14:paraId="172EFCD4" w14:textId="4D3C9030" w:rsidR="00E177C3" w:rsidRPr="00373688" w:rsidRDefault="006678CE" w:rsidP="00E177C3">
      <w:pPr>
        <w:numPr>
          <w:ilvl w:val="0"/>
          <w:numId w:val="9"/>
        </w:numPr>
        <w:rPr>
          <w:rFonts w:ascii="Arial" w:hAnsi="Arial" w:cs="Arial"/>
          <w:sz w:val="24"/>
          <w:szCs w:val="24"/>
        </w:rPr>
      </w:pPr>
      <w:r w:rsidRPr="00373688">
        <w:rPr>
          <w:rFonts w:ascii="Arial" w:hAnsi="Arial" w:cs="Arial"/>
          <w:sz w:val="24"/>
          <w:szCs w:val="24"/>
        </w:rPr>
        <w:t>The</w:t>
      </w:r>
      <w:r w:rsidR="00E177C3" w:rsidRPr="00373688">
        <w:rPr>
          <w:rFonts w:ascii="Arial" w:hAnsi="Arial" w:cs="Arial"/>
          <w:sz w:val="24"/>
          <w:szCs w:val="24"/>
        </w:rPr>
        <w:t xml:space="preserve"> timeframe within which the executor or administrator may distribute the estate</w:t>
      </w:r>
      <w:r w:rsidRPr="00373688">
        <w:rPr>
          <w:rFonts w:ascii="Arial" w:hAnsi="Arial" w:cs="Arial"/>
          <w:sz w:val="24"/>
          <w:szCs w:val="24"/>
        </w:rPr>
        <w:t xml:space="preserve"> is amended</w:t>
      </w:r>
      <w:r w:rsidR="00E177C3" w:rsidRPr="00373688">
        <w:rPr>
          <w:rFonts w:ascii="Arial" w:hAnsi="Arial" w:cs="Arial"/>
          <w:sz w:val="24"/>
          <w:szCs w:val="24"/>
        </w:rPr>
        <w:t xml:space="preserve">, so that it is the later of the end of the period fixed in the </w:t>
      </w:r>
      <w:r w:rsidR="00E177C3" w:rsidRPr="00373688">
        <w:rPr>
          <w:rFonts w:ascii="Arial" w:hAnsi="Arial" w:cs="Arial"/>
          <w:sz w:val="24"/>
          <w:szCs w:val="24"/>
        </w:rPr>
        <w:lastRenderedPageBreak/>
        <w:t xml:space="preserve">notice, or 6 months after the day that probate or administration is granted (rather than 6 months after the day of death). This is for consistency with the timeframe for claims under the </w:t>
      </w:r>
      <w:r w:rsidR="00E177C3" w:rsidRPr="00373688">
        <w:rPr>
          <w:rFonts w:ascii="Arial" w:hAnsi="Arial" w:cs="Arial"/>
          <w:i/>
          <w:iCs/>
          <w:sz w:val="24"/>
          <w:szCs w:val="24"/>
        </w:rPr>
        <w:t>Family Provision Act 1969</w:t>
      </w:r>
      <w:r w:rsidR="00E177C3" w:rsidRPr="00373688">
        <w:rPr>
          <w:rFonts w:ascii="Arial" w:hAnsi="Arial" w:cs="Arial"/>
          <w:sz w:val="24"/>
          <w:szCs w:val="24"/>
        </w:rPr>
        <w:t>.</w:t>
      </w:r>
    </w:p>
    <w:p w14:paraId="6D500ACD" w14:textId="54C31D0D" w:rsidR="00E177C3" w:rsidRPr="00373688" w:rsidRDefault="006678CE" w:rsidP="00E177C3">
      <w:pPr>
        <w:numPr>
          <w:ilvl w:val="0"/>
          <w:numId w:val="9"/>
        </w:numPr>
        <w:rPr>
          <w:rFonts w:ascii="Arial" w:hAnsi="Arial" w:cs="Arial"/>
          <w:sz w:val="24"/>
          <w:szCs w:val="24"/>
        </w:rPr>
      </w:pPr>
      <w:r w:rsidRPr="00373688">
        <w:rPr>
          <w:rFonts w:ascii="Arial" w:hAnsi="Arial" w:cs="Arial"/>
          <w:sz w:val="24"/>
          <w:szCs w:val="24"/>
        </w:rPr>
        <w:t>The</w:t>
      </w:r>
      <w:r w:rsidR="00E177C3" w:rsidRPr="00373688">
        <w:rPr>
          <w:rFonts w:ascii="Arial" w:hAnsi="Arial" w:cs="Arial"/>
          <w:sz w:val="24"/>
          <w:szCs w:val="24"/>
        </w:rPr>
        <w:t xml:space="preserve"> requirement for executors to run searches on the Births, Deaths and Marriages Register prior to issuing the public notice</w:t>
      </w:r>
      <w:r w:rsidRPr="00373688">
        <w:rPr>
          <w:rFonts w:ascii="Arial" w:hAnsi="Arial" w:cs="Arial"/>
          <w:sz w:val="24"/>
          <w:szCs w:val="24"/>
        </w:rPr>
        <w:t xml:space="preserve"> has been removed</w:t>
      </w:r>
      <w:r w:rsidR="00E177C3" w:rsidRPr="00373688">
        <w:rPr>
          <w:rFonts w:ascii="Arial" w:hAnsi="Arial" w:cs="Arial"/>
          <w:sz w:val="24"/>
          <w:szCs w:val="24"/>
        </w:rPr>
        <w:t>, as these are of partial utility, being limited to the ACT.</w:t>
      </w:r>
    </w:p>
    <w:p w14:paraId="0B1D872E" w14:textId="4C8829B0" w:rsidR="006678CE" w:rsidRPr="00373688" w:rsidRDefault="006678CE" w:rsidP="006678CE">
      <w:pPr>
        <w:rPr>
          <w:rFonts w:ascii="Arial" w:hAnsi="Arial" w:cs="Arial"/>
          <w:sz w:val="24"/>
          <w:szCs w:val="24"/>
        </w:rPr>
      </w:pPr>
      <w:r w:rsidRPr="00373688">
        <w:rPr>
          <w:rFonts w:ascii="Arial" w:hAnsi="Arial" w:cs="Arial"/>
          <w:sz w:val="24"/>
          <w:szCs w:val="24"/>
        </w:rPr>
        <w:t>These amendments will make it easier for executors and administrators to utilise the public notice process under section 64 in appropriate cases.</w:t>
      </w:r>
    </w:p>
    <w:p w14:paraId="68E055F7" w14:textId="3DE7ECFD" w:rsidR="00C07CA4" w:rsidRPr="00373688" w:rsidRDefault="00C07CA4" w:rsidP="00AE0380">
      <w:pPr>
        <w:pStyle w:val="Heading3"/>
        <w:ind w:left="1440" w:hanging="1440"/>
        <w:rPr>
          <w:rFonts w:cs="Arial"/>
        </w:rPr>
      </w:pPr>
      <w:r w:rsidRPr="00373688">
        <w:rPr>
          <w:rFonts w:cs="Arial"/>
        </w:rPr>
        <w:t xml:space="preserve">Clause </w:t>
      </w:r>
      <w:r w:rsidR="00FF4ADF" w:rsidRPr="00373688">
        <w:rPr>
          <w:rFonts w:cs="Arial"/>
        </w:rPr>
        <w:t>9</w:t>
      </w:r>
      <w:r w:rsidRPr="00373688">
        <w:rPr>
          <w:rFonts w:cs="Arial"/>
        </w:rPr>
        <w:tab/>
        <w:t xml:space="preserve">People entitled to inspect will of deceased person </w:t>
      </w:r>
      <w:r w:rsidRPr="00373688">
        <w:rPr>
          <w:rFonts w:cs="Arial"/>
        </w:rPr>
        <w:br/>
        <w:t xml:space="preserve">Section 126 (3), definition of </w:t>
      </w:r>
      <w:r w:rsidRPr="00373688">
        <w:rPr>
          <w:rFonts w:cs="Arial"/>
          <w:i/>
          <w:iCs/>
        </w:rPr>
        <w:t>interested person</w:t>
      </w:r>
      <w:r w:rsidRPr="00373688">
        <w:rPr>
          <w:rFonts w:cs="Arial"/>
        </w:rPr>
        <w:t>, new paragraph (j)</w:t>
      </w:r>
    </w:p>
    <w:p w14:paraId="1DA3C817" w14:textId="2883E957" w:rsidR="00E177C3" w:rsidRPr="00373688" w:rsidRDefault="00E177C3" w:rsidP="00E177C3">
      <w:pPr>
        <w:rPr>
          <w:rFonts w:ascii="Arial" w:hAnsi="Arial" w:cs="Arial"/>
          <w:sz w:val="24"/>
          <w:szCs w:val="24"/>
        </w:rPr>
      </w:pPr>
      <w:r w:rsidRPr="00373688">
        <w:rPr>
          <w:rFonts w:ascii="Arial" w:hAnsi="Arial" w:cs="Arial"/>
          <w:sz w:val="24"/>
          <w:szCs w:val="24"/>
        </w:rPr>
        <w:t>This clause amends section 126 (3) to provide for regulations to prescribe additional classes of person who are entitled to inspect a will of a deceased person.</w:t>
      </w:r>
    </w:p>
    <w:p w14:paraId="04D5197D" w14:textId="79499805" w:rsidR="00C07CA4" w:rsidRPr="00373688" w:rsidRDefault="00C07CA4">
      <w:pPr>
        <w:pStyle w:val="Heading3"/>
        <w:rPr>
          <w:rFonts w:cs="Arial"/>
        </w:rPr>
      </w:pPr>
      <w:r w:rsidRPr="00373688">
        <w:rPr>
          <w:rFonts w:cs="Arial"/>
        </w:rPr>
        <w:t>Clause 1</w:t>
      </w:r>
      <w:r w:rsidR="00FF4ADF" w:rsidRPr="00373688">
        <w:rPr>
          <w:rFonts w:cs="Arial"/>
        </w:rPr>
        <w:t>0</w:t>
      </w:r>
      <w:r w:rsidRPr="00373688">
        <w:rPr>
          <w:rFonts w:cs="Arial"/>
        </w:rPr>
        <w:tab/>
        <w:t>New section 12</w:t>
      </w:r>
      <w:r w:rsidR="00FF4ADF" w:rsidRPr="00373688">
        <w:rPr>
          <w:rFonts w:cs="Arial"/>
        </w:rPr>
        <w:t>9</w:t>
      </w:r>
    </w:p>
    <w:p w14:paraId="02E1CE9E" w14:textId="221FB02A" w:rsidR="00C07CA4" w:rsidRPr="00373688" w:rsidRDefault="00C07CA4" w:rsidP="00AE0380">
      <w:pPr>
        <w:rPr>
          <w:rFonts w:ascii="Arial" w:hAnsi="Arial" w:cs="Arial"/>
          <w:sz w:val="24"/>
          <w:szCs w:val="24"/>
        </w:rPr>
      </w:pPr>
      <w:r w:rsidRPr="00373688">
        <w:rPr>
          <w:rFonts w:ascii="Arial" w:hAnsi="Arial" w:cs="Arial"/>
          <w:sz w:val="24"/>
          <w:szCs w:val="24"/>
        </w:rPr>
        <w:t>This clause inserts a general regulation making power which is already contemplated by the Act but does not exist.</w:t>
      </w:r>
    </w:p>
    <w:p w14:paraId="1E5BDC76" w14:textId="2E43B8BE" w:rsidR="006678CE" w:rsidRPr="00373688" w:rsidRDefault="00771B23" w:rsidP="006678CE">
      <w:pPr>
        <w:pStyle w:val="Heading2"/>
        <w:rPr>
          <w:rFonts w:cs="Arial"/>
          <w:szCs w:val="24"/>
        </w:rPr>
      </w:pPr>
      <w:r w:rsidRPr="00373688">
        <w:rPr>
          <w:rFonts w:cs="Arial"/>
          <w:szCs w:val="24"/>
        </w:rPr>
        <w:t>Part 4</w:t>
      </w:r>
      <w:r w:rsidRPr="00373688">
        <w:rPr>
          <w:rFonts w:cs="Arial"/>
          <w:szCs w:val="24"/>
        </w:rPr>
        <w:tab/>
      </w:r>
      <w:r w:rsidRPr="00373688">
        <w:rPr>
          <w:rFonts w:cs="Arial"/>
          <w:szCs w:val="24"/>
        </w:rPr>
        <w:tab/>
        <w:t>Associations Incorporation Act 199</w:t>
      </w:r>
      <w:r w:rsidR="00FF4ADF" w:rsidRPr="00373688">
        <w:rPr>
          <w:rFonts w:cs="Arial"/>
          <w:szCs w:val="24"/>
        </w:rPr>
        <w:t>1</w:t>
      </w:r>
    </w:p>
    <w:p w14:paraId="61CC7A9E" w14:textId="681E4325" w:rsidR="00C07CA4" w:rsidRPr="00373688" w:rsidRDefault="00C07CA4" w:rsidP="00AE0380">
      <w:pPr>
        <w:pStyle w:val="Heading3"/>
        <w:rPr>
          <w:rFonts w:cs="Arial"/>
        </w:rPr>
      </w:pPr>
      <w:r w:rsidRPr="00373688">
        <w:rPr>
          <w:rFonts w:cs="Arial"/>
        </w:rPr>
        <w:t>Clause 1</w:t>
      </w:r>
      <w:r w:rsidR="00FF4ADF" w:rsidRPr="00373688">
        <w:rPr>
          <w:rFonts w:cs="Arial"/>
        </w:rPr>
        <w:t>1</w:t>
      </w:r>
      <w:r w:rsidRPr="00373688">
        <w:rPr>
          <w:rFonts w:cs="Arial"/>
        </w:rPr>
        <w:tab/>
        <w:t>Offences against Act – application of Criminal code etc</w:t>
      </w:r>
      <w:r w:rsidRPr="00373688">
        <w:rPr>
          <w:rFonts w:cs="Arial"/>
        </w:rPr>
        <w:br/>
      </w:r>
      <w:r w:rsidRPr="00373688">
        <w:rPr>
          <w:rFonts w:cs="Arial"/>
        </w:rPr>
        <w:tab/>
      </w:r>
      <w:r w:rsidRPr="00373688">
        <w:rPr>
          <w:rFonts w:cs="Arial"/>
        </w:rPr>
        <w:tab/>
        <w:t>Section 3A, note 1, new dot point</w:t>
      </w:r>
    </w:p>
    <w:p w14:paraId="10C5DBCF" w14:textId="4CE2325D" w:rsidR="006678CE" w:rsidRPr="00373688" w:rsidRDefault="006678CE" w:rsidP="006678CE">
      <w:pPr>
        <w:rPr>
          <w:rFonts w:ascii="Arial" w:hAnsi="Arial" w:cs="Arial"/>
          <w:sz w:val="24"/>
          <w:szCs w:val="24"/>
        </w:rPr>
      </w:pPr>
      <w:r w:rsidRPr="00373688">
        <w:rPr>
          <w:rFonts w:ascii="Arial" w:hAnsi="Arial" w:cs="Arial"/>
          <w:sz w:val="24"/>
          <w:szCs w:val="24"/>
        </w:rPr>
        <w:t xml:space="preserve">This clause amends the note in section 3A to confirm that the </w:t>
      </w:r>
      <w:r w:rsidRPr="00373688">
        <w:rPr>
          <w:rFonts w:ascii="Arial" w:hAnsi="Arial" w:cs="Arial"/>
          <w:i/>
          <w:iCs/>
          <w:sz w:val="24"/>
          <w:szCs w:val="24"/>
        </w:rPr>
        <w:t xml:space="preserve">Criminal Code 2002 </w:t>
      </w:r>
      <w:r w:rsidRPr="00373688">
        <w:rPr>
          <w:rFonts w:ascii="Arial" w:hAnsi="Arial" w:cs="Arial"/>
          <w:sz w:val="24"/>
          <w:szCs w:val="24"/>
        </w:rPr>
        <w:t>applies to the offence in section 79 of failing to lodge statements and reports with the Registrar-General on request.</w:t>
      </w:r>
    </w:p>
    <w:p w14:paraId="7398AC77" w14:textId="7A417000" w:rsidR="00C07CA4" w:rsidRPr="00373688" w:rsidRDefault="00C07CA4">
      <w:pPr>
        <w:pStyle w:val="Heading3"/>
        <w:rPr>
          <w:rFonts w:cs="Arial"/>
        </w:rPr>
      </w:pPr>
      <w:r w:rsidRPr="00373688">
        <w:rPr>
          <w:rFonts w:cs="Arial"/>
        </w:rPr>
        <w:t>Clause 1</w:t>
      </w:r>
      <w:r w:rsidR="00FF4ADF" w:rsidRPr="00373688">
        <w:rPr>
          <w:rFonts w:cs="Arial"/>
        </w:rPr>
        <w:t>2</w:t>
      </w:r>
      <w:r w:rsidRPr="00373688">
        <w:rPr>
          <w:rFonts w:cs="Arial"/>
        </w:rPr>
        <w:tab/>
        <w:t>Sections 79 and 80</w:t>
      </w:r>
    </w:p>
    <w:p w14:paraId="22E4BF96" w14:textId="06C6842B" w:rsidR="00925E2A" w:rsidRPr="00373688" w:rsidRDefault="00925E2A" w:rsidP="00925E2A">
      <w:pPr>
        <w:rPr>
          <w:rFonts w:ascii="Arial" w:hAnsi="Arial" w:cs="Arial"/>
          <w:sz w:val="24"/>
          <w:szCs w:val="24"/>
        </w:rPr>
      </w:pPr>
      <w:r w:rsidRPr="00373688">
        <w:rPr>
          <w:rFonts w:ascii="Arial" w:hAnsi="Arial" w:cs="Arial"/>
          <w:sz w:val="24"/>
          <w:szCs w:val="24"/>
        </w:rPr>
        <w:t xml:space="preserve">Currently, incorporated associations are required to have an independent third party check their annual </w:t>
      </w:r>
      <w:r w:rsidR="001255F3" w:rsidRPr="00373688">
        <w:rPr>
          <w:rFonts w:ascii="Arial" w:hAnsi="Arial" w:cs="Arial"/>
          <w:sz w:val="24"/>
          <w:szCs w:val="24"/>
        </w:rPr>
        <w:t xml:space="preserve">returns (annual </w:t>
      </w:r>
      <w:r w:rsidRPr="00373688">
        <w:rPr>
          <w:rFonts w:ascii="Arial" w:hAnsi="Arial" w:cs="Arial"/>
          <w:sz w:val="24"/>
          <w:szCs w:val="24"/>
        </w:rPr>
        <w:t>financial statements</w:t>
      </w:r>
      <w:r w:rsidR="001255F3" w:rsidRPr="00373688">
        <w:rPr>
          <w:rFonts w:ascii="Arial" w:hAnsi="Arial" w:cs="Arial"/>
          <w:sz w:val="24"/>
          <w:szCs w:val="24"/>
        </w:rPr>
        <w:t>)</w:t>
      </w:r>
      <w:r w:rsidRPr="00373688">
        <w:rPr>
          <w:rFonts w:ascii="Arial" w:hAnsi="Arial" w:cs="Arial"/>
          <w:sz w:val="24"/>
          <w:szCs w:val="24"/>
        </w:rPr>
        <w:t>, under s</w:t>
      </w:r>
      <w:r w:rsidR="001255F3" w:rsidRPr="00373688">
        <w:rPr>
          <w:rFonts w:ascii="Arial" w:hAnsi="Arial" w:cs="Arial"/>
          <w:sz w:val="24"/>
          <w:szCs w:val="24"/>
        </w:rPr>
        <w:t>ection</w:t>
      </w:r>
      <w:r w:rsidRPr="00373688">
        <w:rPr>
          <w:rFonts w:ascii="Arial" w:hAnsi="Arial" w:cs="Arial"/>
          <w:sz w:val="24"/>
          <w:szCs w:val="24"/>
        </w:rPr>
        <w:t xml:space="preserve"> 74 of the </w:t>
      </w:r>
      <w:r w:rsidRPr="00373688">
        <w:rPr>
          <w:rFonts w:ascii="Arial" w:hAnsi="Arial" w:cs="Arial"/>
          <w:i/>
          <w:iCs/>
          <w:sz w:val="24"/>
          <w:szCs w:val="24"/>
        </w:rPr>
        <w:t>Associations Incorporation Act 1991</w:t>
      </w:r>
      <w:r w:rsidRPr="00373688">
        <w:rPr>
          <w:rFonts w:ascii="Arial" w:hAnsi="Arial" w:cs="Arial"/>
          <w:sz w:val="24"/>
          <w:szCs w:val="24"/>
        </w:rPr>
        <w:t xml:space="preserve">. The third party is either a reviewer (for small associations) or an auditor (for medium or large associations). </w:t>
      </w:r>
    </w:p>
    <w:p w14:paraId="13F87BF0" w14:textId="2433D434" w:rsidR="00925E2A" w:rsidRPr="00373688" w:rsidRDefault="00925E2A" w:rsidP="00925E2A">
      <w:pPr>
        <w:rPr>
          <w:rFonts w:ascii="Arial" w:hAnsi="Arial" w:cs="Arial"/>
          <w:sz w:val="24"/>
          <w:szCs w:val="24"/>
        </w:rPr>
      </w:pPr>
      <w:r w:rsidRPr="00373688">
        <w:rPr>
          <w:rFonts w:ascii="Arial" w:hAnsi="Arial" w:cs="Arial"/>
          <w:sz w:val="24"/>
          <w:szCs w:val="24"/>
        </w:rPr>
        <w:t xml:space="preserve">This clause substitutes new sections 79 and 80, so that incorporated associations are no longer required to lodge their annual </w:t>
      </w:r>
      <w:r w:rsidR="001255F3" w:rsidRPr="00373688">
        <w:rPr>
          <w:rFonts w:ascii="Arial" w:hAnsi="Arial" w:cs="Arial"/>
          <w:sz w:val="24"/>
          <w:szCs w:val="24"/>
        </w:rPr>
        <w:t>returns</w:t>
      </w:r>
      <w:r w:rsidRPr="00373688">
        <w:rPr>
          <w:rFonts w:ascii="Arial" w:hAnsi="Arial" w:cs="Arial"/>
          <w:sz w:val="24"/>
          <w:szCs w:val="24"/>
        </w:rPr>
        <w:t xml:space="preserve"> (as reviewed or audited) with the Registrar</w:t>
      </w:r>
      <w:r w:rsidRPr="00373688">
        <w:rPr>
          <w:rFonts w:ascii="Arial" w:hAnsi="Arial" w:cs="Arial"/>
          <w:sz w:val="24"/>
          <w:szCs w:val="24"/>
        </w:rPr>
        <w:noBreakHyphen/>
        <w:t xml:space="preserve">General after the end of the financial year. </w:t>
      </w:r>
    </w:p>
    <w:p w14:paraId="6F4AB5C4" w14:textId="69BBA2C1" w:rsidR="001255F3" w:rsidRPr="00373688" w:rsidRDefault="00925E2A" w:rsidP="00925E2A">
      <w:pPr>
        <w:rPr>
          <w:rFonts w:ascii="Arial" w:hAnsi="Arial" w:cs="Arial"/>
          <w:sz w:val="24"/>
          <w:szCs w:val="24"/>
        </w:rPr>
      </w:pPr>
      <w:r w:rsidRPr="00373688">
        <w:rPr>
          <w:rFonts w:ascii="Arial" w:hAnsi="Arial" w:cs="Arial"/>
          <w:sz w:val="24"/>
          <w:szCs w:val="24"/>
        </w:rPr>
        <w:t>The</w:t>
      </w:r>
      <w:r w:rsidR="001255F3" w:rsidRPr="00373688">
        <w:rPr>
          <w:rFonts w:ascii="Arial" w:hAnsi="Arial" w:cs="Arial"/>
          <w:sz w:val="24"/>
          <w:szCs w:val="24"/>
        </w:rPr>
        <w:t xml:space="preserve"> removal of the</w:t>
      </w:r>
      <w:r w:rsidRPr="00373688">
        <w:rPr>
          <w:rFonts w:ascii="Arial" w:hAnsi="Arial" w:cs="Arial"/>
          <w:sz w:val="24"/>
          <w:szCs w:val="24"/>
        </w:rPr>
        <w:t xml:space="preserve"> lodgement requirement </w:t>
      </w:r>
      <w:r w:rsidR="001255F3" w:rsidRPr="00373688">
        <w:rPr>
          <w:rFonts w:ascii="Arial" w:hAnsi="Arial" w:cs="Arial"/>
          <w:sz w:val="24"/>
          <w:szCs w:val="24"/>
        </w:rPr>
        <w:t xml:space="preserve">is a red-tape reduction measure for </w:t>
      </w:r>
      <w:r w:rsidRPr="00373688">
        <w:rPr>
          <w:rFonts w:ascii="Arial" w:hAnsi="Arial" w:cs="Arial"/>
          <w:sz w:val="24"/>
          <w:szCs w:val="24"/>
        </w:rPr>
        <w:t xml:space="preserve">associations </w:t>
      </w:r>
      <w:r w:rsidR="001255F3" w:rsidRPr="00373688">
        <w:rPr>
          <w:rFonts w:ascii="Arial" w:hAnsi="Arial" w:cs="Arial"/>
          <w:sz w:val="24"/>
          <w:szCs w:val="24"/>
        </w:rPr>
        <w:t>(</w:t>
      </w:r>
      <w:r w:rsidRPr="00373688">
        <w:rPr>
          <w:rFonts w:ascii="Arial" w:hAnsi="Arial" w:cs="Arial"/>
          <w:sz w:val="24"/>
          <w:szCs w:val="24"/>
        </w:rPr>
        <w:t>a</w:t>
      </w:r>
      <w:r w:rsidR="001255F3" w:rsidRPr="00373688">
        <w:rPr>
          <w:rFonts w:ascii="Arial" w:hAnsi="Arial" w:cs="Arial"/>
          <w:sz w:val="24"/>
          <w:szCs w:val="24"/>
        </w:rPr>
        <w:t>nd minimises administrative burden</w:t>
      </w:r>
      <w:r w:rsidRPr="00373688">
        <w:rPr>
          <w:rFonts w:ascii="Arial" w:hAnsi="Arial" w:cs="Arial"/>
          <w:sz w:val="24"/>
          <w:szCs w:val="24"/>
        </w:rPr>
        <w:t xml:space="preserve"> </w:t>
      </w:r>
      <w:r w:rsidR="001255F3" w:rsidRPr="00373688">
        <w:rPr>
          <w:rFonts w:ascii="Arial" w:hAnsi="Arial" w:cs="Arial"/>
          <w:sz w:val="24"/>
          <w:szCs w:val="24"/>
        </w:rPr>
        <w:t>on</w:t>
      </w:r>
      <w:r w:rsidRPr="00373688">
        <w:rPr>
          <w:rFonts w:ascii="Arial" w:hAnsi="Arial" w:cs="Arial"/>
          <w:sz w:val="24"/>
          <w:szCs w:val="24"/>
        </w:rPr>
        <w:t xml:space="preserve"> </w:t>
      </w:r>
      <w:r w:rsidR="001255F3" w:rsidRPr="00373688">
        <w:rPr>
          <w:rFonts w:ascii="Arial" w:hAnsi="Arial" w:cs="Arial"/>
          <w:sz w:val="24"/>
          <w:szCs w:val="24"/>
        </w:rPr>
        <w:t xml:space="preserve">Access </w:t>
      </w:r>
      <w:r w:rsidRPr="00373688">
        <w:rPr>
          <w:rFonts w:ascii="Arial" w:hAnsi="Arial" w:cs="Arial"/>
          <w:sz w:val="24"/>
          <w:szCs w:val="24"/>
        </w:rPr>
        <w:t>Canberra</w:t>
      </w:r>
      <w:r w:rsidR="001255F3" w:rsidRPr="00373688">
        <w:rPr>
          <w:rFonts w:ascii="Arial" w:hAnsi="Arial" w:cs="Arial"/>
          <w:sz w:val="24"/>
          <w:szCs w:val="24"/>
        </w:rPr>
        <w:t>). Incorporated associations will still be required to complete their annual returns, and have them reviewed or audited, under section 74.</w:t>
      </w:r>
    </w:p>
    <w:p w14:paraId="544F33DC" w14:textId="0EB08119" w:rsidR="001255F3" w:rsidRPr="00373688" w:rsidRDefault="001255F3" w:rsidP="00925E2A">
      <w:pPr>
        <w:rPr>
          <w:rFonts w:ascii="Arial" w:hAnsi="Arial" w:cs="Arial"/>
          <w:sz w:val="24"/>
          <w:szCs w:val="24"/>
        </w:rPr>
      </w:pPr>
      <w:r w:rsidRPr="00373688">
        <w:rPr>
          <w:rFonts w:ascii="Arial" w:hAnsi="Arial" w:cs="Arial"/>
          <w:sz w:val="24"/>
          <w:szCs w:val="24"/>
        </w:rPr>
        <w:t>New section 79 will instead require that incorporated associations must lodge annual returns</w:t>
      </w:r>
      <w:r w:rsidR="00E066C4" w:rsidRPr="00373688">
        <w:rPr>
          <w:rFonts w:ascii="Arial" w:hAnsi="Arial" w:cs="Arial"/>
          <w:sz w:val="24"/>
          <w:szCs w:val="24"/>
        </w:rPr>
        <w:t xml:space="preserve"> </w:t>
      </w:r>
      <w:r w:rsidR="00036FF0">
        <w:rPr>
          <w:rFonts w:ascii="Arial" w:hAnsi="Arial" w:cs="Arial"/>
          <w:sz w:val="24"/>
          <w:szCs w:val="24"/>
        </w:rPr>
        <w:t xml:space="preserve">for any financial year that ended within the last 7 years, </w:t>
      </w:r>
      <w:r w:rsidR="00E066C4" w:rsidRPr="00373688">
        <w:rPr>
          <w:rFonts w:ascii="Arial" w:hAnsi="Arial" w:cs="Arial"/>
          <w:sz w:val="24"/>
          <w:szCs w:val="24"/>
        </w:rPr>
        <w:t>within 2 weeks</w:t>
      </w:r>
      <w:r w:rsidRPr="00373688">
        <w:rPr>
          <w:rFonts w:ascii="Arial" w:hAnsi="Arial" w:cs="Arial"/>
          <w:sz w:val="24"/>
          <w:szCs w:val="24"/>
        </w:rPr>
        <w:t xml:space="preserve"> if </w:t>
      </w:r>
      <w:r w:rsidRPr="00373688">
        <w:rPr>
          <w:rFonts w:ascii="Arial" w:hAnsi="Arial" w:cs="Arial"/>
          <w:sz w:val="24"/>
          <w:szCs w:val="24"/>
        </w:rPr>
        <w:lastRenderedPageBreak/>
        <w:t>requested by the Registrar-General. This is a risk mitigation measure that will enable the Registrar-General to investigate where there is any evidence that an incorporated association is not properly preparing their annual returns or having them reviewed or audited.</w:t>
      </w:r>
    </w:p>
    <w:p w14:paraId="48F9B462" w14:textId="73D1210F" w:rsidR="00925E2A" w:rsidRPr="00373688" w:rsidRDefault="00925E2A" w:rsidP="00925E2A">
      <w:pPr>
        <w:rPr>
          <w:rFonts w:ascii="Arial" w:hAnsi="Arial" w:cs="Arial"/>
          <w:sz w:val="24"/>
          <w:szCs w:val="24"/>
        </w:rPr>
      </w:pPr>
      <w:r w:rsidRPr="00373688">
        <w:rPr>
          <w:rFonts w:ascii="Arial" w:hAnsi="Arial" w:cs="Arial"/>
          <w:sz w:val="24"/>
          <w:szCs w:val="24"/>
        </w:rPr>
        <w:t xml:space="preserve">The penalty unit </w:t>
      </w:r>
      <w:r w:rsidR="001255F3" w:rsidRPr="00373688">
        <w:rPr>
          <w:rFonts w:ascii="Arial" w:hAnsi="Arial" w:cs="Arial"/>
          <w:sz w:val="24"/>
          <w:szCs w:val="24"/>
        </w:rPr>
        <w:t xml:space="preserve">for failure to comply with a request from the Registrar-General </w:t>
      </w:r>
      <w:r w:rsidRPr="00373688">
        <w:rPr>
          <w:rFonts w:ascii="Arial" w:hAnsi="Arial" w:cs="Arial"/>
          <w:sz w:val="24"/>
          <w:szCs w:val="24"/>
        </w:rPr>
        <w:t>has remained unchanged</w:t>
      </w:r>
      <w:r w:rsidR="001255F3" w:rsidRPr="00373688">
        <w:rPr>
          <w:rFonts w:ascii="Arial" w:hAnsi="Arial" w:cs="Arial"/>
          <w:sz w:val="24"/>
          <w:szCs w:val="24"/>
        </w:rPr>
        <w:t xml:space="preserve"> from the previous offence of failing to lodge annual returns.</w:t>
      </w:r>
    </w:p>
    <w:p w14:paraId="33561158" w14:textId="2B549E65" w:rsidR="00C07CA4" w:rsidRPr="00373688" w:rsidRDefault="00C07CA4">
      <w:pPr>
        <w:pStyle w:val="Heading3"/>
        <w:rPr>
          <w:rFonts w:cs="Arial"/>
        </w:rPr>
      </w:pPr>
      <w:r w:rsidRPr="00373688">
        <w:rPr>
          <w:rFonts w:cs="Arial"/>
        </w:rPr>
        <w:t>Clause 1</w:t>
      </w:r>
      <w:r w:rsidR="00FF4ADF" w:rsidRPr="00373688">
        <w:rPr>
          <w:rFonts w:cs="Arial"/>
        </w:rPr>
        <w:t>3</w:t>
      </w:r>
      <w:r w:rsidRPr="00373688">
        <w:rPr>
          <w:rFonts w:cs="Arial"/>
        </w:rPr>
        <w:tab/>
        <w:t>Cancellation of Incorporation</w:t>
      </w:r>
      <w:r w:rsidRPr="00373688">
        <w:rPr>
          <w:rFonts w:cs="Arial"/>
        </w:rPr>
        <w:br/>
      </w:r>
      <w:r w:rsidRPr="00373688">
        <w:rPr>
          <w:rFonts w:cs="Arial"/>
        </w:rPr>
        <w:tab/>
      </w:r>
      <w:r w:rsidRPr="00373688">
        <w:rPr>
          <w:rFonts w:cs="Arial"/>
        </w:rPr>
        <w:tab/>
        <w:t>Section 93 (1) (e) and (f)</w:t>
      </w:r>
    </w:p>
    <w:p w14:paraId="2CADD722" w14:textId="152767F9" w:rsidR="00036FF0" w:rsidRDefault="00925E2A" w:rsidP="00925E2A">
      <w:pPr>
        <w:rPr>
          <w:rFonts w:ascii="Arial" w:hAnsi="Arial" w:cs="Arial"/>
          <w:sz w:val="24"/>
          <w:szCs w:val="24"/>
        </w:rPr>
      </w:pPr>
      <w:r w:rsidRPr="00373688">
        <w:rPr>
          <w:rFonts w:ascii="Arial" w:hAnsi="Arial" w:cs="Arial"/>
          <w:sz w:val="24"/>
          <w:szCs w:val="24"/>
        </w:rPr>
        <w:t>This is a consequential amendment to clause 1</w:t>
      </w:r>
      <w:r w:rsidR="00036FF0">
        <w:rPr>
          <w:rFonts w:ascii="Arial" w:hAnsi="Arial" w:cs="Arial"/>
          <w:sz w:val="24"/>
          <w:szCs w:val="24"/>
        </w:rPr>
        <w:t>2</w:t>
      </w:r>
      <w:r w:rsidRPr="00373688">
        <w:rPr>
          <w:rFonts w:ascii="Arial" w:hAnsi="Arial" w:cs="Arial"/>
          <w:sz w:val="24"/>
          <w:szCs w:val="24"/>
        </w:rPr>
        <w:t>.</w:t>
      </w:r>
      <w:r w:rsidR="001255F3" w:rsidRPr="00373688">
        <w:rPr>
          <w:rFonts w:ascii="Arial" w:hAnsi="Arial" w:cs="Arial"/>
          <w:sz w:val="24"/>
          <w:szCs w:val="24"/>
        </w:rPr>
        <w:t xml:space="preserve"> Currently, failing to lodge annual returns with the Registrar-General for 2 years, or lodging annual returns for 3 years with an auditor or reviewer report that states that that compliance with the Act cannot be determined, </w:t>
      </w:r>
      <w:r w:rsidR="002B7B36">
        <w:rPr>
          <w:rFonts w:ascii="Arial" w:hAnsi="Arial" w:cs="Arial"/>
          <w:sz w:val="24"/>
          <w:szCs w:val="24"/>
        </w:rPr>
        <w:t>are</w:t>
      </w:r>
      <w:r w:rsidR="001255F3" w:rsidRPr="00373688">
        <w:rPr>
          <w:rFonts w:ascii="Arial" w:hAnsi="Arial" w:cs="Arial"/>
          <w:sz w:val="24"/>
          <w:szCs w:val="24"/>
        </w:rPr>
        <w:t xml:space="preserve"> ground</w:t>
      </w:r>
      <w:r w:rsidR="002B7B36">
        <w:rPr>
          <w:rFonts w:ascii="Arial" w:hAnsi="Arial" w:cs="Arial"/>
          <w:sz w:val="24"/>
          <w:szCs w:val="24"/>
        </w:rPr>
        <w:t>s</w:t>
      </w:r>
      <w:r w:rsidR="001255F3" w:rsidRPr="00373688">
        <w:rPr>
          <w:rFonts w:ascii="Arial" w:hAnsi="Arial" w:cs="Arial"/>
          <w:sz w:val="24"/>
          <w:szCs w:val="24"/>
        </w:rPr>
        <w:t xml:space="preserve"> for the Registrar-General to commence </w:t>
      </w:r>
      <w:r w:rsidR="00BE23B7" w:rsidRPr="00373688">
        <w:rPr>
          <w:rFonts w:ascii="Arial" w:hAnsi="Arial" w:cs="Arial"/>
          <w:sz w:val="24"/>
          <w:szCs w:val="24"/>
        </w:rPr>
        <w:t xml:space="preserve">the </w:t>
      </w:r>
      <w:r w:rsidR="001255F3" w:rsidRPr="00373688">
        <w:rPr>
          <w:rFonts w:ascii="Arial" w:hAnsi="Arial" w:cs="Arial"/>
          <w:sz w:val="24"/>
          <w:szCs w:val="24"/>
        </w:rPr>
        <w:t>process</w:t>
      </w:r>
      <w:r w:rsidR="00BE23B7" w:rsidRPr="00373688">
        <w:rPr>
          <w:rFonts w:ascii="Arial" w:hAnsi="Arial" w:cs="Arial"/>
          <w:sz w:val="24"/>
          <w:szCs w:val="24"/>
        </w:rPr>
        <w:t xml:space="preserve"> of</w:t>
      </w:r>
      <w:r w:rsidR="001255F3" w:rsidRPr="00373688">
        <w:rPr>
          <w:rFonts w:ascii="Arial" w:hAnsi="Arial" w:cs="Arial"/>
          <w:sz w:val="24"/>
          <w:szCs w:val="24"/>
        </w:rPr>
        <w:t xml:space="preserve"> cancelling an association’s incorporation</w:t>
      </w:r>
      <w:r w:rsidR="00BE23B7" w:rsidRPr="00373688">
        <w:rPr>
          <w:rFonts w:ascii="Arial" w:hAnsi="Arial" w:cs="Arial"/>
          <w:sz w:val="24"/>
          <w:szCs w:val="24"/>
        </w:rPr>
        <w:t xml:space="preserve">. </w:t>
      </w:r>
    </w:p>
    <w:p w14:paraId="61FF55A8" w14:textId="3CEFD749" w:rsidR="00925E2A" w:rsidRPr="002B7B36" w:rsidRDefault="00BE23B7" w:rsidP="00925E2A">
      <w:pPr>
        <w:rPr>
          <w:rFonts w:ascii="Arial" w:hAnsi="Arial" w:cs="Arial"/>
          <w:sz w:val="24"/>
          <w:szCs w:val="24"/>
        </w:rPr>
      </w:pPr>
      <w:r w:rsidRPr="00373688">
        <w:rPr>
          <w:rFonts w:ascii="Arial" w:hAnsi="Arial" w:cs="Arial"/>
          <w:sz w:val="24"/>
          <w:szCs w:val="24"/>
        </w:rPr>
        <w:t xml:space="preserve">This clause updates section 93 so that this process may instead be engaged where </w:t>
      </w:r>
      <w:r w:rsidRPr="002B7B36">
        <w:rPr>
          <w:rFonts w:ascii="Arial" w:hAnsi="Arial" w:cs="Arial"/>
          <w:sz w:val="24"/>
          <w:szCs w:val="24"/>
        </w:rPr>
        <w:t>an association</w:t>
      </w:r>
      <w:r w:rsidR="00036FF0" w:rsidRPr="002B7B36">
        <w:rPr>
          <w:rFonts w:ascii="Arial" w:hAnsi="Arial" w:cs="Arial"/>
          <w:sz w:val="24"/>
          <w:szCs w:val="24"/>
        </w:rPr>
        <w:t xml:space="preserve"> has not lodged annual returns as required by the Director-General</w:t>
      </w:r>
      <w:r w:rsidR="002B7B36" w:rsidRPr="002B7B36">
        <w:rPr>
          <w:rFonts w:ascii="Arial" w:hAnsi="Arial" w:cs="Arial"/>
          <w:sz w:val="24"/>
          <w:szCs w:val="24"/>
        </w:rPr>
        <w:t>, or has lodged such returns in relation to the last 3 years and a reviewer or auditor has been unable to determine if the association has been complying with the Act.</w:t>
      </w:r>
    </w:p>
    <w:p w14:paraId="7373D5E2" w14:textId="0C9A649B" w:rsidR="00C07CA4" w:rsidRPr="002B7B36" w:rsidRDefault="00C07CA4">
      <w:pPr>
        <w:pStyle w:val="Heading3"/>
        <w:rPr>
          <w:rFonts w:cs="Arial"/>
        </w:rPr>
      </w:pPr>
      <w:r w:rsidRPr="002B7B36">
        <w:rPr>
          <w:rFonts w:cs="Arial"/>
        </w:rPr>
        <w:t>Clause 1</w:t>
      </w:r>
      <w:r w:rsidR="00FF4ADF" w:rsidRPr="002B7B36">
        <w:rPr>
          <w:rFonts w:cs="Arial"/>
        </w:rPr>
        <w:t>4</w:t>
      </w:r>
      <w:r w:rsidRPr="002B7B36">
        <w:rPr>
          <w:rFonts w:cs="Arial"/>
        </w:rPr>
        <w:tab/>
        <w:t>Section 93 (3) (e)</w:t>
      </w:r>
    </w:p>
    <w:p w14:paraId="079E0FD0" w14:textId="1AC04870" w:rsidR="00925E2A" w:rsidRDefault="00925E2A" w:rsidP="00925E2A">
      <w:pPr>
        <w:rPr>
          <w:rFonts w:ascii="Arial" w:hAnsi="Arial" w:cs="Arial"/>
          <w:sz w:val="24"/>
          <w:szCs w:val="24"/>
        </w:rPr>
      </w:pPr>
      <w:r w:rsidRPr="002B7B36">
        <w:rPr>
          <w:rFonts w:ascii="Arial" w:hAnsi="Arial" w:cs="Arial"/>
          <w:sz w:val="24"/>
          <w:szCs w:val="24"/>
        </w:rPr>
        <w:t>This is a consequential amendment to clause</w:t>
      </w:r>
      <w:r w:rsidR="002B7B36" w:rsidRPr="002B7B36">
        <w:rPr>
          <w:rFonts w:ascii="Arial" w:hAnsi="Arial" w:cs="Arial"/>
          <w:sz w:val="24"/>
          <w:szCs w:val="24"/>
        </w:rPr>
        <w:t>s</w:t>
      </w:r>
      <w:r w:rsidRPr="002B7B36">
        <w:rPr>
          <w:rFonts w:ascii="Arial" w:hAnsi="Arial" w:cs="Arial"/>
          <w:sz w:val="24"/>
          <w:szCs w:val="24"/>
        </w:rPr>
        <w:t xml:space="preserve"> 1</w:t>
      </w:r>
      <w:r w:rsidR="002B7B36" w:rsidRPr="002B7B36">
        <w:rPr>
          <w:rFonts w:ascii="Arial" w:hAnsi="Arial" w:cs="Arial"/>
          <w:sz w:val="24"/>
          <w:szCs w:val="24"/>
        </w:rPr>
        <w:t>2 and 13</w:t>
      </w:r>
      <w:r w:rsidRPr="002B7B36">
        <w:rPr>
          <w:rFonts w:ascii="Arial" w:hAnsi="Arial" w:cs="Arial"/>
          <w:sz w:val="24"/>
          <w:szCs w:val="24"/>
        </w:rPr>
        <w:t>.</w:t>
      </w:r>
      <w:r w:rsidR="002B7B36">
        <w:rPr>
          <w:rFonts w:ascii="Arial" w:hAnsi="Arial" w:cs="Arial"/>
          <w:sz w:val="24"/>
          <w:szCs w:val="24"/>
        </w:rPr>
        <w:t xml:space="preserve"> Currently, section 93 (3) allows the Registrar-General (after following the notice requirements in the Act) to cancel an association’s incorporation, unless the Registrar</w:t>
      </w:r>
      <w:r w:rsidR="002B7B36">
        <w:rPr>
          <w:rFonts w:ascii="Arial" w:hAnsi="Arial" w:cs="Arial"/>
          <w:sz w:val="24"/>
          <w:szCs w:val="24"/>
        </w:rPr>
        <w:noBreakHyphen/>
        <w:t>General is satisfied of certain matters. Those matters include whether the association has lodged annual returns.</w:t>
      </w:r>
    </w:p>
    <w:p w14:paraId="4F292D61" w14:textId="592E09BE" w:rsidR="002B7B36" w:rsidRPr="002B7B36" w:rsidRDefault="002B7B36" w:rsidP="00925E2A">
      <w:pPr>
        <w:rPr>
          <w:rFonts w:ascii="Arial" w:hAnsi="Arial" w:cs="Arial"/>
          <w:sz w:val="24"/>
          <w:szCs w:val="24"/>
        </w:rPr>
      </w:pPr>
      <w:r>
        <w:rPr>
          <w:rFonts w:ascii="Arial" w:hAnsi="Arial" w:cs="Arial"/>
          <w:sz w:val="24"/>
          <w:szCs w:val="24"/>
        </w:rPr>
        <w:t>The Bill will update section 93 (3) (e) so that the Registrar-General may cancel</w:t>
      </w:r>
      <w:r w:rsidRPr="002B7B36">
        <w:rPr>
          <w:rFonts w:ascii="Arial" w:hAnsi="Arial" w:cs="Arial"/>
          <w:sz w:val="24"/>
          <w:szCs w:val="24"/>
        </w:rPr>
        <w:t xml:space="preserve"> </w:t>
      </w:r>
      <w:r>
        <w:rPr>
          <w:rFonts w:ascii="Arial" w:hAnsi="Arial" w:cs="Arial"/>
          <w:sz w:val="24"/>
          <w:szCs w:val="24"/>
        </w:rPr>
        <w:t>an association’s incorporation</w:t>
      </w:r>
      <w:r w:rsidRPr="002B7B36">
        <w:rPr>
          <w:rFonts w:ascii="Arial" w:hAnsi="Arial" w:cs="Arial"/>
          <w:sz w:val="24"/>
          <w:szCs w:val="24"/>
        </w:rPr>
        <w:t xml:space="preserve"> </w:t>
      </w:r>
      <w:r>
        <w:rPr>
          <w:rFonts w:ascii="Arial" w:hAnsi="Arial" w:cs="Arial"/>
          <w:sz w:val="24"/>
          <w:szCs w:val="24"/>
        </w:rPr>
        <w:t>unless the Registrar</w:t>
      </w:r>
      <w:r>
        <w:rPr>
          <w:rFonts w:ascii="Arial" w:hAnsi="Arial" w:cs="Arial"/>
          <w:sz w:val="24"/>
          <w:szCs w:val="24"/>
        </w:rPr>
        <w:noBreakHyphen/>
        <w:t>General is satisfied that the association has lodged annual returns pursuant to a request under the revised section 79, and where those returns have not been confirmed as compliant with the Act, that the association has taken reasonable steps to make sure that their returns will be compliant in future.</w:t>
      </w:r>
    </w:p>
    <w:p w14:paraId="50057C05" w14:textId="6687E9C1" w:rsidR="00FF4ADF" w:rsidRPr="002B7B36" w:rsidRDefault="00FF4ADF">
      <w:pPr>
        <w:pStyle w:val="Heading3"/>
        <w:rPr>
          <w:rFonts w:cs="Arial"/>
        </w:rPr>
      </w:pPr>
      <w:r w:rsidRPr="002B7B36">
        <w:rPr>
          <w:rFonts w:cs="Arial"/>
        </w:rPr>
        <w:t>Clause 15</w:t>
      </w:r>
      <w:r w:rsidRPr="002B7B36">
        <w:rPr>
          <w:rFonts w:cs="Arial"/>
        </w:rPr>
        <w:tab/>
        <w:t>New section 93 (9)</w:t>
      </w:r>
    </w:p>
    <w:p w14:paraId="071F6C74" w14:textId="0BD471E7" w:rsidR="00FF4ADF" w:rsidRPr="00373688" w:rsidRDefault="00FF4ADF" w:rsidP="00FF4ADF">
      <w:pPr>
        <w:rPr>
          <w:rFonts w:ascii="Arial" w:hAnsi="Arial" w:cs="Arial"/>
          <w:sz w:val="24"/>
          <w:szCs w:val="24"/>
        </w:rPr>
      </w:pPr>
      <w:r w:rsidRPr="002B7B36">
        <w:rPr>
          <w:rFonts w:ascii="Arial" w:hAnsi="Arial" w:cs="Arial"/>
          <w:sz w:val="24"/>
          <w:szCs w:val="24"/>
        </w:rPr>
        <w:t>This clause is a consequential amendment to clause</w:t>
      </w:r>
      <w:r w:rsidR="002B7B36" w:rsidRPr="002B7B36">
        <w:rPr>
          <w:rFonts w:ascii="Arial" w:hAnsi="Arial" w:cs="Arial"/>
          <w:sz w:val="24"/>
          <w:szCs w:val="24"/>
        </w:rPr>
        <w:t>s 12 and</w:t>
      </w:r>
      <w:r w:rsidRPr="002B7B36">
        <w:rPr>
          <w:rFonts w:ascii="Arial" w:hAnsi="Arial" w:cs="Arial"/>
          <w:sz w:val="24"/>
          <w:szCs w:val="24"/>
        </w:rPr>
        <w:t xml:space="preserve"> 13. This clause inserts a new definition for annual accounts documents. Annual accounts documents are defined to mean the documents </w:t>
      </w:r>
      <w:r w:rsidR="002B7B36" w:rsidRPr="002B7B36">
        <w:rPr>
          <w:rFonts w:ascii="Arial" w:hAnsi="Arial" w:cs="Arial"/>
          <w:sz w:val="24"/>
          <w:szCs w:val="24"/>
        </w:rPr>
        <w:t>mentioned in</w:t>
      </w:r>
      <w:r w:rsidRPr="002B7B36">
        <w:rPr>
          <w:rFonts w:ascii="Arial" w:hAnsi="Arial" w:cs="Arial"/>
          <w:sz w:val="24"/>
          <w:szCs w:val="24"/>
        </w:rPr>
        <w:t xml:space="preserve"> section 79 (1).</w:t>
      </w:r>
    </w:p>
    <w:p w14:paraId="0699DEBA" w14:textId="220451BD" w:rsidR="00C07CA4" w:rsidRPr="00373688" w:rsidRDefault="00C07CA4">
      <w:pPr>
        <w:pStyle w:val="Heading3"/>
        <w:rPr>
          <w:rFonts w:cs="Arial"/>
          <w:i/>
          <w:iCs/>
        </w:rPr>
      </w:pPr>
      <w:r w:rsidRPr="00373688">
        <w:rPr>
          <w:rFonts w:cs="Arial"/>
        </w:rPr>
        <w:t>Clause 16</w:t>
      </w:r>
      <w:r w:rsidRPr="00373688">
        <w:rPr>
          <w:rFonts w:cs="Arial"/>
        </w:rPr>
        <w:tab/>
        <w:t xml:space="preserve">Dictionary, definition of </w:t>
      </w:r>
      <w:r w:rsidRPr="00373688">
        <w:rPr>
          <w:rFonts w:cs="Arial"/>
          <w:i/>
          <w:iCs/>
        </w:rPr>
        <w:t>annual return</w:t>
      </w:r>
    </w:p>
    <w:p w14:paraId="1AC089D7" w14:textId="1295267E" w:rsidR="00925E2A" w:rsidRPr="00373688" w:rsidRDefault="00925E2A" w:rsidP="00925E2A">
      <w:pPr>
        <w:rPr>
          <w:rFonts w:ascii="Arial" w:hAnsi="Arial" w:cs="Arial"/>
          <w:sz w:val="24"/>
          <w:szCs w:val="24"/>
        </w:rPr>
      </w:pPr>
      <w:r w:rsidRPr="00373688">
        <w:rPr>
          <w:rFonts w:ascii="Arial" w:hAnsi="Arial" w:cs="Arial"/>
          <w:sz w:val="24"/>
          <w:szCs w:val="24"/>
        </w:rPr>
        <w:t xml:space="preserve">This is a consequential </w:t>
      </w:r>
      <w:r w:rsidRPr="002B7B36">
        <w:rPr>
          <w:rFonts w:ascii="Arial" w:hAnsi="Arial" w:cs="Arial"/>
          <w:sz w:val="24"/>
          <w:szCs w:val="24"/>
        </w:rPr>
        <w:t>amendment to clause 1</w:t>
      </w:r>
      <w:r w:rsidR="00F0045B">
        <w:rPr>
          <w:rFonts w:ascii="Arial" w:hAnsi="Arial" w:cs="Arial"/>
          <w:sz w:val="24"/>
          <w:szCs w:val="24"/>
        </w:rPr>
        <w:t>5.</w:t>
      </w:r>
      <w:r w:rsidR="00FF4ADF" w:rsidRPr="002B7B36">
        <w:rPr>
          <w:rFonts w:ascii="Arial" w:hAnsi="Arial" w:cs="Arial"/>
          <w:sz w:val="24"/>
          <w:szCs w:val="24"/>
        </w:rPr>
        <w:t xml:space="preserve"> This clause omits the definition of </w:t>
      </w:r>
      <w:r w:rsidR="00FF4ADF" w:rsidRPr="002B7B36">
        <w:rPr>
          <w:rFonts w:ascii="Arial" w:hAnsi="Arial" w:cs="Arial"/>
          <w:i/>
          <w:iCs/>
          <w:sz w:val="24"/>
          <w:szCs w:val="24"/>
        </w:rPr>
        <w:t>annual return</w:t>
      </w:r>
      <w:r w:rsidR="00FF4ADF" w:rsidRPr="002B7B36">
        <w:rPr>
          <w:rFonts w:ascii="Arial" w:hAnsi="Arial" w:cs="Arial"/>
          <w:sz w:val="24"/>
          <w:szCs w:val="24"/>
        </w:rPr>
        <w:t xml:space="preserve"> as it is now defined in new section 93 (9).</w:t>
      </w:r>
      <w:r w:rsidR="00FF4ADF" w:rsidRPr="00373688">
        <w:rPr>
          <w:rFonts w:ascii="Arial" w:hAnsi="Arial" w:cs="Arial"/>
          <w:sz w:val="24"/>
          <w:szCs w:val="24"/>
        </w:rPr>
        <w:t xml:space="preserve"> </w:t>
      </w:r>
    </w:p>
    <w:p w14:paraId="2942EAE9" w14:textId="09D0045C" w:rsidR="00771B23" w:rsidRPr="00373688" w:rsidRDefault="00771B23">
      <w:pPr>
        <w:pStyle w:val="Heading2"/>
        <w:rPr>
          <w:rFonts w:cs="Arial"/>
          <w:szCs w:val="24"/>
        </w:rPr>
      </w:pPr>
      <w:r w:rsidRPr="00373688">
        <w:rPr>
          <w:rFonts w:cs="Arial"/>
          <w:szCs w:val="24"/>
        </w:rPr>
        <w:lastRenderedPageBreak/>
        <w:t>Part 5</w:t>
      </w:r>
      <w:r w:rsidRPr="00373688">
        <w:rPr>
          <w:rFonts w:cs="Arial"/>
          <w:szCs w:val="24"/>
        </w:rPr>
        <w:tab/>
      </w:r>
      <w:r w:rsidRPr="00373688">
        <w:rPr>
          <w:rFonts w:cs="Arial"/>
          <w:szCs w:val="24"/>
        </w:rPr>
        <w:tab/>
        <w:t>Casino Control Act 2006</w:t>
      </w:r>
    </w:p>
    <w:p w14:paraId="530E13EE" w14:textId="35C0D441" w:rsidR="00C07CA4" w:rsidRPr="00373688" w:rsidRDefault="00C07CA4" w:rsidP="00C07CA4">
      <w:pPr>
        <w:pStyle w:val="Heading3"/>
        <w:rPr>
          <w:rFonts w:cs="Arial"/>
        </w:rPr>
      </w:pPr>
      <w:r w:rsidRPr="00373688">
        <w:rPr>
          <w:rFonts w:cs="Arial"/>
        </w:rPr>
        <w:t>Clause 17</w:t>
      </w:r>
      <w:r w:rsidRPr="00373688">
        <w:rPr>
          <w:rFonts w:cs="Arial"/>
        </w:rPr>
        <w:tab/>
        <w:t>Dictionary, definition of financial year</w:t>
      </w:r>
    </w:p>
    <w:p w14:paraId="372F2D69" w14:textId="31D9E051" w:rsidR="006678CE" w:rsidRPr="00373688" w:rsidRDefault="006678CE" w:rsidP="00AE0380">
      <w:pPr>
        <w:rPr>
          <w:rFonts w:ascii="Arial" w:hAnsi="Arial" w:cs="Arial"/>
          <w:sz w:val="24"/>
          <w:szCs w:val="24"/>
        </w:rPr>
      </w:pPr>
      <w:bookmarkStart w:id="5" w:name="_Hlk139977604"/>
      <w:r w:rsidRPr="00373688">
        <w:rPr>
          <w:rFonts w:ascii="Arial" w:hAnsi="Arial" w:cs="Arial"/>
          <w:sz w:val="24"/>
          <w:szCs w:val="24"/>
        </w:rPr>
        <w:t xml:space="preserve">Currently, the </w:t>
      </w:r>
      <w:r w:rsidRPr="00373688">
        <w:rPr>
          <w:rFonts w:ascii="Arial" w:hAnsi="Arial" w:cs="Arial"/>
          <w:i/>
          <w:iCs/>
          <w:sz w:val="24"/>
          <w:szCs w:val="24"/>
        </w:rPr>
        <w:t>Casino Control Act 2006</w:t>
      </w:r>
      <w:r w:rsidRPr="00373688">
        <w:rPr>
          <w:rFonts w:ascii="Arial" w:hAnsi="Arial" w:cs="Arial"/>
          <w:sz w:val="24"/>
          <w:szCs w:val="24"/>
        </w:rPr>
        <w:t xml:space="preserve"> defines </w:t>
      </w:r>
      <w:r w:rsidRPr="00373688">
        <w:rPr>
          <w:rFonts w:ascii="Arial" w:hAnsi="Arial" w:cs="Arial"/>
          <w:i/>
          <w:iCs/>
          <w:sz w:val="24"/>
          <w:szCs w:val="24"/>
        </w:rPr>
        <w:t>financial year</w:t>
      </w:r>
      <w:r w:rsidRPr="00373688">
        <w:rPr>
          <w:rFonts w:ascii="Arial" w:hAnsi="Arial" w:cs="Arial"/>
          <w:sz w:val="24"/>
          <w:szCs w:val="24"/>
        </w:rPr>
        <w:t xml:space="preserve"> to mean a period of 12 months ending on 31 December. </w:t>
      </w:r>
      <w:bookmarkEnd w:id="5"/>
    </w:p>
    <w:p w14:paraId="419B8473" w14:textId="186CEEB3" w:rsidR="00C07CA4" w:rsidRPr="00373688" w:rsidRDefault="00C07CA4" w:rsidP="00AE0380">
      <w:pPr>
        <w:rPr>
          <w:rFonts w:ascii="Arial" w:hAnsi="Arial" w:cs="Arial"/>
          <w:sz w:val="24"/>
          <w:szCs w:val="24"/>
        </w:rPr>
      </w:pPr>
      <w:r w:rsidRPr="00373688">
        <w:rPr>
          <w:rFonts w:ascii="Arial" w:hAnsi="Arial" w:cs="Arial"/>
          <w:sz w:val="24"/>
          <w:szCs w:val="24"/>
        </w:rPr>
        <w:t xml:space="preserve">This clause amends the definition of </w:t>
      </w:r>
      <w:r w:rsidRPr="00373688">
        <w:rPr>
          <w:rFonts w:ascii="Arial" w:hAnsi="Arial" w:cs="Arial"/>
          <w:i/>
          <w:iCs/>
          <w:sz w:val="24"/>
          <w:szCs w:val="24"/>
        </w:rPr>
        <w:t>financial year</w:t>
      </w:r>
      <w:r w:rsidRPr="00373688">
        <w:rPr>
          <w:rFonts w:ascii="Arial" w:hAnsi="Arial" w:cs="Arial"/>
          <w:sz w:val="24"/>
          <w:szCs w:val="24"/>
        </w:rPr>
        <w:t xml:space="preserve"> to mean a period </w:t>
      </w:r>
      <w:r w:rsidR="002F643B" w:rsidRPr="00373688">
        <w:rPr>
          <w:rFonts w:ascii="Arial" w:hAnsi="Arial" w:cs="Arial"/>
          <w:sz w:val="24"/>
          <w:szCs w:val="24"/>
        </w:rPr>
        <w:t xml:space="preserve">prescribed by </w:t>
      </w:r>
      <w:r w:rsidR="005B57EA" w:rsidRPr="00373688">
        <w:rPr>
          <w:rFonts w:ascii="Arial" w:hAnsi="Arial" w:cs="Arial"/>
          <w:sz w:val="24"/>
          <w:szCs w:val="24"/>
        </w:rPr>
        <w:t xml:space="preserve">regulation </w:t>
      </w:r>
      <w:r w:rsidR="002F643B" w:rsidRPr="00373688">
        <w:rPr>
          <w:rFonts w:ascii="Arial" w:hAnsi="Arial" w:cs="Arial"/>
          <w:sz w:val="24"/>
          <w:szCs w:val="24"/>
        </w:rPr>
        <w:t xml:space="preserve">or a period of </w:t>
      </w:r>
      <w:r w:rsidRPr="00373688">
        <w:rPr>
          <w:rFonts w:ascii="Arial" w:hAnsi="Arial" w:cs="Arial"/>
          <w:sz w:val="24"/>
          <w:szCs w:val="24"/>
        </w:rPr>
        <w:t>12 months beginning on 1 July</w:t>
      </w:r>
      <w:r w:rsidR="002F643B" w:rsidRPr="00373688">
        <w:rPr>
          <w:rFonts w:ascii="Arial" w:hAnsi="Arial" w:cs="Arial"/>
          <w:sz w:val="24"/>
          <w:szCs w:val="24"/>
        </w:rPr>
        <w:t xml:space="preserve">, </w:t>
      </w:r>
      <w:r w:rsidRPr="00373688">
        <w:rPr>
          <w:rFonts w:ascii="Arial" w:hAnsi="Arial" w:cs="Arial"/>
          <w:sz w:val="24"/>
          <w:szCs w:val="24"/>
        </w:rPr>
        <w:t xml:space="preserve">in line with the definition in the </w:t>
      </w:r>
      <w:r w:rsidRPr="00373688">
        <w:rPr>
          <w:rFonts w:ascii="Arial" w:hAnsi="Arial" w:cs="Arial"/>
          <w:i/>
          <w:iCs/>
          <w:sz w:val="24"/>
          <w:szCs w:val="24"/>
        </w:rPr>
        <w:t>Legislation Act 2001</w:t>
      </w:r>
      <w:r w:rsidRPr="00373688">
        <w:rPr>
          <w:rFonts w:ascii="Arial" w:hAnsi="Arial" w:cs="Arial"/>
          <w:sz w:val="24"/>
          <w:szCs w:val="24"/>
        </w:rPr>
        <w:t xml:space="preserve">. </w:t>
      </w:r>
    </w:p>
    <w:p w14:paraId="4AFC4B44" w14:textId="0BAE6C78" w:rsidR="00771B23" w:rsidRPr="00373688" w:rsidRDefault="00771B23">
      <w:pPr>
        <w:pStyle w:val="Heading2"/>
        <w:rPr>
          <w:rFonts w:cs="Arial"/>
          <w:szCs w:val="24"/>
        </w:rPr>
      </w:pPr>
      <w:r w:rsidRPr="00373688">
        <w:rPr>
          <w:rFonts w:cs="Arial"/>
          <w:szCs w:val="24"/>
        </w:rPr>
        <w:t>Part 6</w:t>
      </w:r>
      <w:r w:rsidRPr="00373688">
        <w:rPr>
          <w:rFonts w:cs="Arial"/>
          <w:szCs w:val="24"/>
        </w:rPr>
        <w:tab/>
      </w:r>
      <w:r w:rsidRPr="00373688">
        <w:rPr>
          <w:rFonts w:cs="Arial"/>
          <w:szCs w:val="24"/>
        </w:rPr>
        <w:tab/>
        <w:t xml:space="preserve">Discrimination Act </w:t>
      </w:r>
      <w:r w:rsidR="00FF4ADF" w:rsidRPr="00373688">
        <w:rPr>
          <w:rFonts w:cs="Arial"/>
          <w:szCs w:val="24"/>
        </w:rPr>
        <w:t>1991</w:t>
      </w:r>
    </w:p>
    <w:p w14:paraId="40474CF8" w14:textId="260DFA7B" w:rsidR="00771B23" w:rsidRPr="00373688" w:rsidRDefault="00771B23" w:rsidP="00AE0380">
      <w:pPr>
        <w:pStyle w:val="Heading3"/>
        <w:rPr>
          <w:rFonts w:cs="Arial"/>
        </w:rPr>
      </w:pPr>
      <w:r w:rsidRPr="00373688">
        <w:rPr>
          <w:rFonts w:cs="Arial"/>
        </w:rPr>
        <w:t>Clause 18</w:t>
      </w:r>
      <w:r w:rsidRPr="00373688">
        <w:rPr>
          <w:rFonts w:cs="Arial"/>
        </w:rPr>
        <w:tab/>
        <w:t>Religious bodies</w:t>
      </w:r>
      <w:r w:rsidRPr="00373688">
        <w:rPr>
          <w:rFonts w:cs="Arial"/>
        </w:rPr>
        <w:br/>
      </w:r>
      <w:r w:rsidRPr="00373688">
        <w:rPr>
          <w:rFonts w:cs="Arial"/>
        </w:rPr>
        <w:tab/>
      </w:r>
      <w:r w:rsidRPr="00373688">
        <w:rPr>
          <w:rFonts w:cs="Arial"/>
        </w:rPr>
        <w:tab/>
        <w:t>New section 32 (1) (</w:t>
      </w:r>
      <w:proofErr w:type="spellStart"/>
      <w:r w:rsidRPr="00373688">
        <w:rPr>
          <w:rFonts w:cs="Arial"/>
        </w:rPr>
        <w:t>ea</w:t>
      </w:r>
      <w:proofErr w:type="spellEnd"/>
      <w:r w:rsidRPr="00373688">
        <w:rPr>
          <w:rFonts w:cs="Arial"/>
        </w:rPr>
        <w:t>)</w:t>
      </w:r>
    </w:p>
    <w:p w14:paraId="014F1608" w14:textId="3D364A9B" w:rsidR="00E066C4" w:rsidRPr="00373688" w:rsidRDefault="00E066C4" w:rsidP="00E066C4">
      <w:pPr>
        <w:rPr>
          <w:rFonts w:ascii="Arial" w:hAnsi="Arial" w:cs="Arial"/>
          <w:sz w:val="24"/>
          <w:szCs w:val="24"/>
        </w:rPr>
      </w:pPr>
      <w:r w:rsidRPr="00373688">
        <w:rPr>
          <w:rFonts w:ascii="Arial" w:hAnsi="Arial" w:cs="Arial"/>
          <w:sz w:val="24"/>
          <w:szCs w:val="24"/>
        </w:rPr>
        <w:t>This clause inserts new section 32 (1) (</w:t>
      </w:r>
      <w:proofErr w:type="spellStart"/>
      <w:r w:rsidRPr="00373688">
        <w:rPr>
          <w:rFonts w:ascii="Arial" w:hAnsi="Arial" w:cs="Arial"/>
          <w:sz w:val="24"/>
          <w:szCs w:val="24"/>
        </w:rPr>
        <w:t>ea</w:t>
      </w:r>
      <w:proofErr w:type="spellEnd"/>
      <w:r w:rsidRPr="00373688">
        <w:rPr>
          <w:rFonts w:ascii="Arial" w:hAnsi="Arial" w:cs="Arial"/>
          <w:sz w:val="24"/>
          <w:szCs w:val="24"/>
        </w:rPr>
        <w:t xml:space="preserve">) into the </w:t>
      </w:r>
      <w:r w:rsidR="004E1F53" w:rsidRPr="00373688">
        <w:rPr>
          <w:rFonts w:ascii="Arial" w:hAnsi="Arial" w:cs="Arial"/>
          <w:i/>
          <w:iCs/>
          <w:sz w:val="24"/>
          <w:szCs w:val="24"/>
        </w:rPr>
        <w:t>Discrimination</w:t>
      </w:r>
      <w:r w:rsidR="00562B69" w:rsidRPr="00373688">
        <w:rPr>
          <w:rFonts w:ascii="Arial" w:hAnsi="Arial" w:cs="Arial"/>
          <w:i/>
          <w:iCs/>
          <w:sz w:val="24"/>
          <w:szCs w:val="24"/>
        </w:rPr>
        <w:t xml:space="preserve"> Amendment</w:t>
      </w:r>
      <w:r w:rsidR="004E1F53" w:rsidRPr="00373688">
        <w:rPr>
          <w:rFonts w:ascii="Arial" w:hAnsi="Arial" w:cs="Arial"/>
          <w:i/>
          <w:iCs/>
          <w:sz w:val="24"/>
          <w:szCs w:val="24"/>
        </w:rPr>
        <w:t xml:space="preserve"> Act </w:t>
      </w:r>
      <w:r w:rsidR="00562B69" w:rsidRPr="00373688">
        <w:rPr>
          <w:rFonts w:ascii="Arial" w:hAnsi="Arial" w:cs="Arial"/>
          <w:i/>
          <w:iCs/>
          <w:sz w:val="24"/>
          <w:szCs w:val="24"/>
        </w:rPr>
        <w:t>2023</w:t>
      </w:r>
      <w:r w:rsidR="004E1F53" w:rsidRPr="00373688">
        <w:rPr>
          <w:rFonts w:ascii="Arial" w:hAnsi="Arial" w:cs="Arial"/>
          <w:i/>
          <w:iCs/>
          <w:sz w:val="24"/>
          <w:szCs w:val="24"/>
        </w:rPr>
        <w:t xml:space="preserve">. </w:t>
      </w:r>
      <w:r w:rsidR="004E1F53" w:rsidRPr="00373688">
        <w:rPr>
          <w:rFonts w:ascii="Arial" w:hAnsi="Arial" w:cs="Arial"/>
          <w:sz w:val="24"/>
          <w:szCs w:val="24"/>
        </w:rPr>
        <w:t>This amendment is further to recent reforms which narrowed certain exceptions for religious bodies to better protect equality rights for other individuals</w:t>
      </w:r>
      <w:r w:rsidR="00562B69" w:rsidRPr="00373688">
        <w:rPr>
          <w:rFonts w:ascii="Arial" w:hAnsi="Arial" w:cs="Arial"/>
          <w:sz w:val="24"/>
          <w:szCs w:val="24"/>
        </w:rPr>
        <w:t>, and moved religious bodies exceptions to the same section for ease of navigation</w:t>
      </w:r>
      <w:r w:rsidR="004E1F53" w:rsidRPr="00373688">
        <w:rPr>
          <w:rFonts w:ascii="Arial" w:hAnsi="Arial" w:cs="Arial"/>
          <w:sz w:val="24"/>
          <w:szCs w:val="24"/>
        </w:rPr>
        <w:t xml:space="preserve">. </w:t>
      </w:r>
      <w:r w:rsidR="00562B69" w:rsidRPr="00373688">
        <w:rPr>
          <w:rFonts w:ascii="Arial" w:hAnsi="Arial" w:cs="Arial"/>
          <w:sz w:val="24"/>
          <w:szCs w:val="24"/>
        </w:rPr>
        <w:t>This section is a</w:t>
      </w:r>
      <w:r w:rsidR="007426F8" w:rsidRPr="00373688">
        <w:rPr>
          <w:rFonts w:ascii="Arial" w:hAnsi="Arial" w:cs="Arial"/>
          <w:sz w:val="24"/>
          <w:szCs w:val="24"/>
        </w:rPr>
        <w:t xml:space="preserve"> special measures </w:t>
      </w:r>
      <w:r w:rsidR="00562B69" w:rsidRPr="00373688">
        <w:rPr>
          <w:rFonts w:ascii="Arial" w:hAnsi="Arial" w:cs="Arial"/>
          <w:sz w:val="24"/>
          <w:szCs w:val="24"/>
        </w:rPr>
        <w:t xml:space="preserve">exception from discrimination law for religious bodies who provide accommodation for members of a relevant class of people. Currently this section is located in section 32(4) which means that it is not clear that religious bodies whose sole or main purpose is a commercial purpose are </w:t>
      </w:r>
      <w:r w:rsidR="007426F8" w:rsidRPr="00373688">
        <w:rPr>
          <w:rFonts w:ascii="Arial" w:hAnsi="Arial" w:cs="Arial"/>
          <w:sz w:val="24"/>
          <w:szCs w:val="24"/>
        </w:rPr>
        <w:t>excluded from the relying on this</w:t>
      </w:r>
      <w:r w:rsidR="00562B69" w:rsidRPr="00373688">
        <w:rPr>
          <w:rFonts w:ascii="Arial" w:hAnsi="Arial" w:cs="Arial"/>
          <w:sz w:val="24"/>
          <w:szCs w:val="24"/>
        </w:rPr>
        <w:t xml:space="preserve"> exception. </w:t>
      </w:r>
      <w:r w:rsidR="007426F8" w:rsidRPr="00373688">
        <w:rPr>
          <w:rFonts w:ascii="Arial" w:hAnsi="Arial" w:cs="Arial"/>
          <w:sz w:val="24"/>
          <w:szCs w:val="24"/>
        </w:rPr>
        <w:t>This amendment</w:t>
      </w:r>
      <w:r w:rsidR="004E1F53" w:rsidRPr="00373688">
        <w:rPr>
          <w:rFonts w:ascii="Arial" w:hAnsi="Arial" w:cs="Arial"/>
          <w:sz w:val="24"/>
          <w:szCs w:val="24"/>
        </w:rPr>
        <w:t xml:space="preserve"> clarif</w:t>
      </w:r>
      <w:r w:rsidR="007426F8" w:rsidRPr="00373688">
        <w:rPr>
          <w:rFonts w:ascii="Arial" w:hAnsi="Arial" w:cs="Arial"/>
          <w:sz w:val="24"/>
          <w:szCs w:val="24"/>
        </w:rPr>
        <w:t>ies</w:t>
      </w:r>
      <w:r w:rsidR="004E1F53" w:rsidRPr="00373688">
        <w:rPr>
          <w:rFonts w:ascii="Arial" w:hAnsi="Arial" w:cs="Arial"/>
          <w:sz w:val="24"/>
          <w:szCs w:val="24"/>
        </w:rPr>
        <w:t xml:space="preserve"> that </w:t>
      </w:r>
      <w:r w:rsidR="00961909" w:rsidRPr="00373688">
        <w:rPr>
          <w:rFonts w:ascii="Arial" w:hAnsi="Arial" w:cs="Arial"/>
          <w:sz w:val="24"/>
          <w:szCs w:val="24"/>
        </w:rPr>
        <w:t xml:space="preserve">the exception does not apply to religious bodies </w:t>
      </w:r>
      <w:r w:rsidR="004E1F53" w:rsidRPr="00373688">
        <w:rPr>
          <w:rFonts w:ascii="Arial" w:hAnsi="Arial" w:cs="Arial"/>
          <w:sz w:val="24"/>
          <w:szCs w:val="24"/>
        </w:rPr>
        <w:t>whose sole or main purpose is commercial</w:t>
      </w:r>
      <w:r w:rsidR="00961909" w:rsidRPr="00373688">
        <w:rPr>
          <w:rFonts w:ascii="Arial" w:hAnsi="Arial" w:cs="Arial"/>
          <w:sz w:val="24"/>
          <w:szCs w:val="24"/>
        </w:rPr>
        <w:t>.</w:t>
      </w:r>
    </w:p>
    <w:p w14:paraId="798C375B" w14:textId="0BEF57B1" w:rsidR="00771B23" w:rsidRPr="00373688" w:rsidRDefault="00771B23" w:rsidP="00AE0380">
      <w:pPr>
        <w:pStyle w:val="Heading2"/>
        <w:rPr>
          <w:rFonts w:cs="Arial"/>
          <w:szCs w:val="24"/>
        </w:rPr>
      </w:pPr>
      <w:r w:rsidRPr="00373688">
        <w:rPr>
          <w:rFonts w:cs="Arial"/>
          <w:szCs w:val="24"/>
        </w:rPr>
        <w:t>Part 7</w:t>
      </w:r>
      <w:r w:rsidRPr="00373688">
        <w:rPr>
          <w:rFonts w:cs="Arial"/>
          <w:szCs w:val="24"/>
        </w:rPr>
        <w:tab/>
      </w:r>
      <w:r w:rsidRPr="00373688">
        <w:rPr>
          <w:rFonts w:cs="Arial"/>
          <w:szCs w:val="24"/>
        </w:rPr>
        <w:tab/>
        <w:t>Domestic Violence Agencies Act 1986</w:t>
      </w:r>
    </w:p>
    <w:p w14:paraId="624DC81C" w14:textId="1B95469B" w:rsidR="00771B23" w:rsidRPr="00373688" w:rsidRDefault="00771B23">
      <w:pPr>
        <w:pStyle w:val="Heading3"/>
        <w:rPr>
          <w:rFonts w:cs="Arial"/>
        </w:rPr>
      </w:pPr>
      <w:r w:rsidRPr="00373688">
        <w:rPr>
          <w:rFonts w:cs="Arial"/>
        </w:rPr>
        <w:t>Clause 19</w:t>
      </w:r>
      <w:r w:rsidRPr="00373688">
        <w:rPr>
          <w:rFonts w:cs="Arial"/>
        </w:rPr>
        <w:tab/>
        <w:t>New section 19</w:t>
      </w:r>
    </w:p>
    <w:p w14:paraId="48C27B67" w14:textId="42C8B554" w:rsidR="007506E9" w:rsidRPr="00373688" w:rsidRDefault="007506E9" w:rsidP="00AE0380">
      <w:pPr>
        <w:rPr>
          <w:rFonts w:ascii="Arial" w:hAnsi="Arial" w:cs="Arial"/>
          <w:sz w:val="24"/>
          <w:szCs w:val="24"/>
        </w:rPr>
      </w:pPr>
      <w:r w:rsidRPr="00373688">
        <w:rPr>
          <w:rFonts w:ascii="Arial" w:hAnsi="Arial" w:cs="Arial"/>
          <w:sz w:val="24"/>
          <w:szCs w:val="24"/>
        </w:rPr>
        <w:t>This clause inserts a general regulation making power which is already contemplated by the Act but does not exist.</w:t>
      </w:r>
    </w:p>
    <w:p w14:paraId="6FB3B990" w14:textId="1FCDE513" w:rsidR="00771B23" w:rsidRPr="00373688" w:rsidRDefault="00771B23" w:rsidP="00AE0380">
      <w:pPr>
        <w:pStyle w:val="Heading2"/>
        <w:rPr>
          <w:rFonts w:cs="Arial"/>
          <w:szCs w:val="24"/>
        </w:rPr>
      </w:pPr>
      <w:r w:rsidRPr="00373688">
        <w:rPr>
          <w:rFonts w:cs="Arial"/>
          <w:szCs w:val="24"/>
        </w:rPr>
        <w:t xml:space="preserve">Part 8 </w:t>
      </w:r>
      <w:r w:rsidRPr="00373688">
        <w:rPr>
          <w:rFonts w:cs="Arial"/>
          <w:szCs w:val="24"/>
        </w:rPr>
        <w:tab/>
        <w:t>Family Provision Act 1969</w:t>
      </w:r>
    </w:p>
    <w:p w14:paraId="3A816A6F" w14:textId="23093541" w:rsidR="00C07CA4" w:rsidRPr="00373688" w:rsidRDefault="00C07CA4" w:rsidP="00AE0380">
      <w:pPr>
        <w:pStyle w:val="Heading3"/>
        <w:rPr>
          <w:rFonts w:cs="Arial"/>
        </w:rPr>
      </w:pPr>
      <w:r w:rsidRPr="00373688">
        <w:rPr>
          <w:rFonts w:cs="Arial"/>
        </w:rPr>
        <w:t>Clause 20</w:t>
      </w:r>
      <w:r w:rsidRPr="00373688">
        <w:rPr>
          <w:rFonts w:cs="Arial"/>
        </w:rPr>
        <w:tab/>
        <w:t>Eligibility</w:t>
      </w:r>
      <w:r w:rsidRPr="00373688">
        <w:rPr>
          <w:rFonts w:cs="Arial"/>
        </w:rPr>
        <w:br/>
      </w:r>
      <w:r w:rsidRPr="00373688">
        <w:rPr>
          <w:rFonts w:cs="Arial"/>
        </w:rPr>
        <w:tab/>
      </w:r>
      <w:r w:rsidRPr="00373688">
        <w:rPr>
          <w:rFonts w:cs="Arial"/>
        </w:rPr>
        <w:tab/>
        <w:t>Section 7 (3)</w:t>
      </w:r>
      <w:r w:rsidR="002B7B36">
        <w:rPr>
          <w:rFonts w:cs="Arial"/>
        </w:rPr>
        <w:t xml:space="preserve"> (b)</w:t>
      </w:r>
    </w:p>
    <w:p w14:paraId="3A8C2AB6" w14:textId="77777777" w:rsidR="006678CE" w:rsidRPr="00373688" w:rsidRDefault="006678CE" w:rsidP="006678CE">
      <w:pPr>
        <w:rPr>
          <w:rFonts w:ascii="Arial" w:hAnsi="Arial" w:cs="Arial"/>
          <w:sz w:val="24"/>
          <w:szCs w:val="24"/>
        </w:rPr>
      </w:pPr>
      <w:bookmarkStart w:id="6" w:name="_Hlk139988666"/>
      <w:r w:rsidRPr="00373688">
        <w:rPr>
          <w:rFonts w:ascii="Arial" w:hAnsi="Arial" w:cs="Arial"/>
          <w:sz w:val="24"/>
          <w:szCs w:val="24"/>
        </w:rPr>
        <w:t xml:space="preserve">Section 7 of the </w:t>
      </w:r>
      <w:r w:rsidRPr="00373688">
        <w:rPr>
          <w:rFonts w:ascii="Arial" w:hAnsi="Arial" w:cs="Arial"/>
          <w:i/>
          <w:iCs/>
          <w:sz w:val="24"/>
          <w:szCs w:val="24"/>
        </w:rPr>
        <w:t>Family Provision Act 1969</w:t>
      </w:r>
      <w:r w:rsidRPr="00373688">
        <w:rPr>
          <w:rFonts w:ascii="Arial" w:hAnsi="Arial" w:cs="Arial"/>
          <w:sz w:val="24"/>
          <w:szCs w:val="24"/>
        </w:rPr>
        <w:t xml:space="preserve"> specifies the persons who are entitled to make application to the Supreme Court for provision out of the estate of a deceased person.</w:t>
      </w:r>
      <w:bookmarkEnd w:id="6"/>
      <w:r w:rsidRPr="00373688">
        <w:rPr>
          <w:rFonts w:ascii="Arial" w:hAnsi="Arial" w:cs="Arial"/>
          <w:sz w:val="24"/>
          <w:szCs w:val="24"/>
        </w:rPr>
        <w:t xml:space="preserve"> </w:t>
      </w:r>
    </w:p>
    <w:p w14:paraId="25A2178D" w14:textId="7E8CFEFC" w:rsidR="006678CE" w:rsidRPr="00373688" w:rsidRDefault="006678CE" w:rsidP="006678CE">
      <w:pPr>
        <w:rPr>
          <w:rFonts w:ascii="Arial" w:hAnsi="Arial" w:cs="Arial"/>
          <w:sz w:val="24"/>
          <w:szCs w:val="24"/>
        </w:rPr>
      </w:pPr>
      <w:r w:rsidRPr="00373688">
        <w:rPr>
          <w:rFonts w:ascii="Arial" w:hAnsi="Arial" w:cs="Arial"/>
          <w:sz w:val="24"/>
          <w:szCs w:val="24"/>
        </w:rPr>
        <w:t>This clause will</w:t>
      </w:r>
      <w:r w:rsidR="002B7B36">
        <w:rPr>
          <w:rFonts w:ascii="Arial" w:hAnsi="Arial" w:cs="Arial"/>
          <w:sz w:val="24"/>
          <w:szCs w:val="24"/>
        </w:rPr>
        <w:t xml:space="preserve"> substitute</w:t>
      </w:r>
      <w:r w:rsidRPr="00373688">
        <w:rPr>
          <w:rFonts w:ascii="Arial" w:hAnsi="Arial" w:cs="Arial"/>
          <w:sz w:val="24"/>
          <w:szCs w:val="24"/>
        </w:rPr>
        <w:t xml:space="preserve"> section 7(3)</w:t>
      </w:r>
      <w:r w:rsidR="002B7B36">
        <w:rPr>
          <w:rFonts w:ascii="Arial" w:hAnsi="Arial" w:cs="Arial"/>
          <w:sz w:val="24"/>
          <w:szCs w:val="24"/>
        </w:rPr>
        <w:t xml:space="preserve"> (b)</w:t>
      </w:r>
      <w:r w:rsidRPr="00373688">
        <w:rPr>
          <w:rFonts w:ascii="Arial" w:hAnsi="Arial" w:cs="Arial"/>
          <w:sz w:val="24"/>
          <w:szCs w:val="24"/>
        </w:rPr>
        <w:t xml:space="preserve"> to make it clear that a grandchild may only make a claim on the estate of a deceased grandparent where they were dependent on that grandparent immediately prior to their death (unless their parent who was a child of the deceased is no longer alive). This will </w:t>
      </w:r>
      <w:r w:rsidR="00BE23B7" w:rsidRPr="00373688">
        <w:rPr>
          <w:rFonts w:ascii="Arial" w:hAnsi="Arial" w:cs="Arial"/>
          <w:sz w:val="24"/>
          <w:szCs w:val="24"/>
        </w:rPr>
        <w:t>make</w:t>
      </w:r>
      <w:r w:rsidRPr="00373688">
        <w:rPr>
          <w:rFonts w:ascii="Arial" w:hAnsi="Arial" w:cs="Arial"/>
          <w:sz w:val="24"/>
          <w:szCs w:val="24"/>
        </w:rPr>
        <w:t xml:space="preserve"> ACT succession law</w:t>
      </w:r>
      <w:r w:rsidR="00BE23B7" w:rsidRPr="00373688">
        <w:rPr>
          <w:rFonts w:ascii="Arial" w:hAnsi="Arial" w:cs="Arial"/>
          <w:sz w:val="24"/>
          <w:szCs w:val="24"/>
        </w:rPr>
        <w:t xml:space="preserve"> clearer and fairer and align it</w:t>
      </w:r>
      <w:r w:rsidRPr="00373688">
        <w:rPr>
          <w:rFonts w:ascii="Arial" w:hAnsi="Arial" w:cs="Arial"/>
          <w:sz w:val="24"/>
          <w:szCs w:val="24"/>
        </w:rPr>
        <w:t xml:space="preserve"> with other Australian jurisdictions.</w:t>
      </w:r>
    </w:p>
    <w:p w14:paraId="60BF87B3" w14:textId="677D35DD" w:rsidR="00771B23" w:rsidRPr="00373688" w:rsidRDefault="00771B23">
      <w:pPr>
        <w:pStyle w:val="Heading2"/>
        <w:rPr>
          <w:rFonts w:cs="Arial"/>
          <w:szCs w:val="24"/>
        </w:rPr>
      </w:pPr>
      <w:r w:rsidRPr="00373688">
        <w:rPr>
          <w:rFonts w:cs="Arial"/>
          <w:szCs w:val="24"/>
        </w:rPr>
        <w:lastRenderedPageBreak/>
        <w:t>Part 9</w:t>
      </w:r>
      <w:r w:rsidRPr="00373688">
        <w:rPr>
          <w:rFonts w:cs="Arial"/>
          <w:szCs w:val="24"/>
        </w:rPr>
        <w:tab/>
      </w:r>
      <w:r w:rsidRPr="00373688">
        <w:rPr>
          <w:rFonts w:cs="Arial"/>
          <w:szCs w:val="24"/>
        </w:rPr>
        <w:tab/>
        <w:t>Freedom of Information Act 2016</w:t>
      </w:r>
    </w:p>
    <w:p w14:paraId="1EEEC39B" w14:textId="3AF8E7D8" w:rsidR="007506E9" w:rsidRPr="00373688" w:rsidRDefault="007506E9" w:rsidP="007506E9">
      <w:pPr>
        <w:pStyle w:val="Heading3"/>
        <w:rPr>
          <w:rFonts w:cs="Arial"/>
        </w:rPr>
      </w:pPr>
      <w:r w:rsidRPr="00373688">
        <w:rPr>
          <w:rFonts w:cs="Arial"/>
        </w:rPr>
        <w:t>Clause 21</w:t>
      </w:r>
      <w:r w:rsidRPr="00373688">
        <w:rPr>
          <w:rFonts w:cs="Arial"/>
        </w:rPr>
        <w:tab/>
      </w:r>
      <w:r w:rsidR="00FF51A4">
        <w:rPr>
          <w:rFonts w:cs="Arial"/>
        </w:rPr>
        <w:t>Section 68</w:t>
      </w:r>
    </w:p>
    <w:p w14:paraId="60D2B3EC" w14:textId="4F30E2FA" w:rsidR="007506E9" w:rsidRPr="00373688" w:rsidRDefault="007506E9" w:rsidP="007506E9">
      <w:pPr>
        <w:rPr>
          <w:rFonts w:ascii="Arial" w:hAnsi="Arial" w:cs="Arial"/>
          <w:sz w:val="24"/>
          <w:szCs w:val="24"/>
        </w:rPr>
      </w:pPr>
      <w:r w:rsidRPr="00373688">
        <w:rPr>
          <w:rFonts w:ascii="Arial" w:hAnsi="Arial" w:cs="Arial"/>
          <w:sz w:val="24"/>
          <w:szCs w:val="24"/>
        </w:rPr>
        <w:t xml:space="preserve">This clause amends section 68 of the </w:t>
      </w:r>
      <w:r w:rsidRPr="00373688">
        <w:rPr>
          <w:rFonts w:ascii="Arial" w:hAnsi="Arial" w:cs="Arial"/>
          <w:i/>
          <w:iCs/>
          <w:sz w:val="24"/>
          <w:szCs w:val="24"/>
        </w:rPr>
        <w:t>Freedom of Information Act 2016</w:t>
      </w:r>
      <w:r w:rsidRPr="00373688">
        <w:rPr>
          <w:rFonts w:ascii="Arial" w:hAnsi="Arial" w:cs="Arial"/>
          <w:sz w:val="24"/>
          <w:szCs w:val="24"/>
        </w:rPr>
        <w:t xml:space="preserve"> (</w:t>
      </w:r>
      <w:r w:rsidRPr="00373688">
        <w:rPr>
          <w:rFonts w:ascii="Arial" w:hAnsi="Arial" w:cs="Arial"/>
          <w:b/>
          <w:bCs/>
          <w:sz w:val="24"/>
          <w:szCs w:val="24"/>
        </w:rPr>
        <w:t>FOI Act</w:t>
      </w:r>
      <w:r w:rsidRPr="00373688">
        <w:rPr>
          <w:rFonts w:ascii="Arial" w:hAnsi="Arial" w:cs="Arial"/>
          <w:sz w:val="24"/>
          <w:szCs w:val="24"/>
        </w:rPr>
        <w:t xml:space="preserve">) to provide that the ACT Ombudsman may access information in respect of which legal professional privilege is claimed, when reviewing freedom of information decisions. This amendment provides clarity on the </w:t>
      </w:r>
      <w:r w:rsidR="00DE4BBF" w:rsidRPr="00373688">
        <w:rPr>
          <w:rFonts w:ascii="Arial" w:hAnsi="Arial" w:cs="Arial"/>
          <w:sz w:val="24"/>
          <w:szCs w:val="24"/>
        </w:rPr>
        <w:t xml:space="preserve">current </w:t>
      </w:r>
      <w:r w:rsidRPr="00373688">
        <w:rPr>
          <w:rFonts w:ascii="Arial" w:hAnsi="Arial" w:cs="Arial"/>
          <w:sz w:val="24"/>
          <w:szCs w:val="24"/>
        </w:rPr>
        <w:t xml:space="preserve">requirements of the FOI Act and supports the ACT Ombudsman </w:t>
      </w:r>
      <w:r w:rsidR="00AE509D" w:rsidRPr="00373688">
        <w:rPr>
          <w:rFonts w:ascii="Arial" w:hAnsi="Arial" w:cs="Arial"/>
          <w:sz w:val="24"/>
          <w:szCs w:val="24"/>
        </w:rPr>
        <w:t xml:space="preserve">to </w:t>
      </w:r>
      <w:r w:rsidRPr="00373688">
        <w:rPr>
          <w:rFonts w:ascii="Arial" w:hAnsi="Arial" w:cs="Arial"/>
          <w:sz w:val="24"/>
          <w:szCs w:val="24"/>
        </w:rPr>
        <w:t>exercis</w:t>
      </w:r>
      <w:r w:rsidR="00AE509D" w:rsidRPr="00373688">
        <w:rPr>
          <w:rFonts w:ascii="Arial" w:hAnsi="Arial" w:cs="Arial"/>
          <w:sz w:val="24"/>
          <w:szCs w:val="24"/>
        </w:rPr>
        <w:t>e</w:t>
      </w:r>
      <w:r w:rsidRPr="00373688">
        <w:rPr>
          <w:rFonts w:ascii="Arial" w:hAnsi="Arial" w:cs="Arial"/>
          <w:sz w:val="24"/>
          <w:szCs w:val="24"/>
        </w:rPr>
        <w:t xml:space="preserve"> their statutory functions effectively. </w:t>
      </w:r>
    </w:p>
    <w:p w14:paraId="62612EC2" w14:textId="36566ECD" w:rsidR="00771B23" w:rsidRPr="00373688" w:rsidRDefault="00771B23" w:rsidP="00771B23">
      <w:pPr>
        <w:pStyle w:val="Heading2"/>
        <w:rPr>
          <w:rFonts w:cs="Arial"/>
          <w:szCs w:val="24"/>
        </w:rPr>
      </w:pPr>
      <w:r w:rsidRPr="00373688">
        <w:rPr>
          <w:rFonts w:cs="Arial"/>
          <w:szCs w:val="24"/>
        </w:rPr>
        <w:t>Part 10</w:t>
      </w:r>
      <w:r w:rsidRPr="00373688">
        <w:rPr>
          <w:rFonts w:cs="Arial"/>
          <w:szCs w:val="24"/>
        </w:rPr>
        <w:tab/>
        <w:t>Human Rights Commission Act 2005</w:t>
      </w:r>
    </w:p>
    <w:p w14:paraId="41C69963" w14:textId="09FD5712" w:rsidR="00C07CA4" w:rsidRPr="00373688" w:rsidRDefault="00C07CA4" w:rsidP="00AE509D">
      <w:pPr>
        <w:pStyle w:val="Heading3"/>
        <w:rPr>
          <w:rFonts w:cs="Arial"/>
        </w:rPr>
      </w:pPr>
      <w:r w:rsidRPr="00373688">
        <w:rPr>
          <w:rFonts w:cs="Arial"/>
        </w:rPr>
        <w:t>Clause 2</w:t>
      </w:r>
      <w:r w:rsidR="00FF4ADF" w:rsidRPr="00373688">
        <w:rPr>
          <w:rFonts w:cs="Arial"/>
        </w:rPr>
        <w:t>2</w:t>
      </w:r>
      <w:r w:rsidRPr="00373688">
        <w:rPr>
          <w:rFonts w:cs="Arial"/>
        </w:rPr>
        <w:tab/>
        <w:t>Commission’s obligation to be prompt and efficient</w:t>
      </w:r>
      <w:r w:rsidRPr="00373688">
        <w:rPr>
          <w:rFonts w:cs="Arial"/>
        </w:rPr>
        <w:br/>
      </w:r>
      <w:r w:rsidRPr="00373688">
        <w:rPr>
          <w:rFonts w:cs="Arial"/>
        </w:rPr>
        <w:tab/>
      </w:r>
      <w:r w:rsidRPr="00373688">
        <w:rPr>
          <w:rFonts w:cs="Arial"/>
        </w:rPr>
        <w:tab/>
        <w:t>New section 45 (5)</w:t>
      </w:r>
    </w:p>
    <w:p w14:paraId="589C24F5" w14:textId="55833898" w:rsidR="00BF0A59" w:rsidRPr="00373688" w:rsidRDefault="00BF0A59" w:rsidP="00373688">
      <w:pPr>
        <w:rPr>
          <w:rFonts w:ascii="Arial" w:hAnsi="Arial" w:cs="Arial"/>
        </w:rPr>
      </w:pPr>
      <w:r w:rsidRPr="00373688">
        <w:rPr>
          <w:rFonts w:ascii="Arial" w:hAnsi="Arial" w:cs="Arial"/>
          <w:sz w:val="24"/>
          <w:szCs w:val="24"/>
        </w:rPr>
        <w:t>This clause inserts new section 45(5) to allow the Commission to notify the complainant orally that a vulnerable person complaint will be considered as a commission-initiated consideration (</w:t>
      </w:r>
      <w:r w:rsidRPr="00373688">
        <w:rPr>
          <w:rFonts w:ascii="Arial" w:hAnsi="Arial" w:cs="Arial"/>
          <w:b/>
          <w:bCs/>
          <w:sz w:val="24"/>
          <w:szCs w:val="24"/>
        </w:rPr>
        <w:t>CIC</w:t>
      </w:r>
      <w:r w:rsidRPr="00373688">
        <w:rPr>
          <w:rFonts w:ascii="Arial" w:hAnsi="Arial" w:cs="Arial"/>
          <w:sz w:val="24"/>
          <w:szCs w:val="24"/>
        </w:rPr>
        <w:t xml:space="preserve">), and, where there is a risk to the vulnerable person, to dispense with the requirement to notify the parties to the complaint that the CIC will be considered. </w:t>
      </w:r>
    </w:p>
    <w:p w14:paraId="2F598A23" w14:textId="12AB255B" w:rsidR="00C07CA4" w:rsidRPr="00373688" w:rsidRDefault="00C07CA4">
      <w:pPr>
        <w:pStyle w:val="Heading3"/>
        <w:rPr>
          <w:rFonts w:cs="Arial"/>
        </w:rPr>
      </w:pPr>
      <w:r w:rsidRPr="00373688">
        <w:rPr>
          <w:rFonts w:cs="Arial"/>
        </w:rPr>
        <w:t>Clause 2</w:t>
      </w:r>
      <w:r w:rsidR="00FF4ADF" w:rsidRPr="00373688">
        <w:rPr>
          <w:rFonts w:cs="Arial"/>
        </w:rPr>
        <w:t>3</w:t>
      </w:r>
      <w:r w:rsidRPr="00373688">
        <w:rPr>
          <w:rFonts w:cs="Arial"/>
        </w:rPr>
        <w:tab/>
        <w:t>Consideration without complaint or appropriate complainant</w:t>
      </w:r>
      <w:r w:rsidRPr="00373688">
        <w:rPr>
          <w:rFonts w:cs="Arial"/>
        </w:rPr>
        <w:br/>
      </w:r>
      <w:r w:rsidRPr="00373688">
        <w:rPr>
          <w:rFonts w:cs="Arial"/>
        </w:rPr>
        <w:tab/>
      </w:r>
      <w:r w:rsidRPr="00373688">
        <w:rPr>
          <w:rFonts w:cs="Arial"/>
        </w:rPr>
        <w:tab/>
        <w:t>Section 48 (2)</w:t>
      </w:r>
    </w:p>
    <w:p w14:paraId="46C4E8FD" w14:textId="62F14F6A" w:rsidR="00BF0A59" w:rsidRPr="00373688" w:rsidRDefault="00BF0A59" w:rsidP="00373688">
      <w:pPr>
        <w:rPr>
          <w:rFonts w:ascii="Arial" w:hAnsi="Arial" w:cs="Arial"/>
        </w:rPr>
      </w:pPr>
      <w:r w:rsidRPr="00373688">
        <w:rPr>
          <w:rFonts w:ascii="Arial" w:hAnsi="Arial" w:cs="Arial"/>
          <w:sz w:val="24"/>
          <w:szCs w:val="24"/>
        </w:rPr>
        <w:t xml:space="preserve">This clause is a technical amendment to make it clear that the commission may consider a vulnerable person complaint as a CIC. </w:t>
      </w:r>
    </w:p>
    <w:p w14:paraId="706FA354" w14:textId="70FEED09" w:rsidR="00C07CA4" w:rsidRPr="00373688" w:rsidRDefault="00C07CA4">
      <w:pPr>
        <w:pStyle w:val="Heading3"/>
        <w:rPr>
          <w:rFonts w:cs="Arial"/>
        </w:rPr>
      </w:pPr>
      <w:r w:rsidRPr="00373688">
        <w:rPr>
          <w:rFonts w:cs="Arial"/>
        </w:rPr>
        <w:t>Clause 2</w:t>
      </w:r>
      <w:r w:rsidR="00FF4ADF" w:rsidRPr="00373688">
        <w:rPr>
          <w:rFonts w:cs="Arial"/>
        </w:rPr>
        <w:t>4</w:t>
      </w:r>
      <w:r w:rsidRPr="00373688">
        <w:rPr>
          <w:rFonts w:cs="Arial"/>
        </w:rPr>
        <w:tab/>
        <w:t>Section 51A heading</w:t>
      </w:r>
    </w:p>
    <w:p w14:paraId="2DBC8E0A" w14:textId="021F00C3" w:rsidR="00BF0A59" w:rsidRPr="00373688" w:rsidRDefault="00BF0A59" w:rsidP="00373688">
      <w:pPr>
        <w:rPr>
          <w:rFonts w:ascii="Arial" w:hAnsi="Arial" w:cs="Arial"/>
        </w:rPr>
      </w:pPr>
      <w:r w:rsidRPr="00373688">
        <w:rPr>
          <w:rFonts w:ascii="Arial" w:hAnsi="Arial" w:cs="Arial"/>
          <w:sz w:val="24"/>
          <w:szCs w:val="24"/>
        </w:rPr>
        <w:t>This clause updates the heading of section 51A to refer to the referral of children and young people service complaints as advocacy matters</w:t>
      </w:r>
      <w:r w:rsidR="002B7B36">
        <w:rPr>
          <w:rFonts w:ascii="Arial" w:hAnsi="Arial" w:cs="Arial"/>
          <w:sz w:val="24"/>
          <w:szCs w:val="24"/>
        </w:rPr>
        <w:t>,</w:t>
      </w:r>
      <w:r w:rsidRPr="00373688">
        <w:rPr>
          <w:rFonts w:ascii="Arial" w:hAnsi="Arial" w:cs="Arial"/>
          <w:sz w:val="24"/>
          <w:szCs w:val="24"/>
        </w:rPr>
        <w:t xml:space="preserve"> to distinguish it from new section 51B.  </w:t>
      </w:r>
    </w:p>
    <w:p w14:paraId="4FC5C64C" w14:textId="77E4CF66" w:rsidR="00C07CA4" w:rsidRPr="00373688" w:rsidRDefault="00C07CA4">
      <w:pPr>
        <w:pStyle w:val="Heading3"/>
        <w:rPr>
          <w:rFonts w:cs="Arial"/>
        </w:rPr>
      </w:pPr>
      <w:r w:rsidRPr="00373688">
        <w:rPr>
          <w:rFonts w:cs="Arial"/>
        </w:rPr>
        <w:t>Clause 2</w:t>
      </w:r>
      <w:r w:rsidR="00FF4ADF" w:rsidRPr="00373688">
        <w:rPr>
          <w:rFonts w:cs="Arial"/>
        </w:rPr>
        <w:t>5</w:t>
      </w:r>
      <w:r w:rsidRPr="00373688">
        <w:rPr>
          <w:rFonts w:cs="Arial"/>
        </w:rPr>
        <w:tab/>
        <w:t>New section 51B</w:t>
      </w:r>
    </w:p>
    <w:p w14:paraId="48D68325" w14:textId="2ABBFBAF" w:rsidR="00BF0A59" w:rsidRPr="00373688" w:rsidRDefault="00BF0A59" w:rsidP="00373688">
      <w:pPr>
        <w:rPr>
          <w:rFonts w:ascii="Arial" w:hAnsi="Arial" w:cs="Arial"/>
        </w:rPr>
      </w:pPr>
      <w:r w:rsidRPr="00373688">
        <w:rPr>
          <w:rFonts w:ascii="Arial" w:hAnsi="Arial" w:cs="Arial"/>
          <w:sz w:val="24"/>
          <w:szCs w:val="24"/>
        </w:rPr>
        <w:t xml:space="preserve">This clause creates a clear pathway for the disability and community services commissioner to refer a vulnerable person complaint, or a matter that forms part of the complaint, to the public advocate for advocacy if satisfied it is appropriate. </w:t>
      </w:r>
    </w:p>
    <w:p w14:paraId="09277404" w14:textId="7FBD092F" w:rsidR="00FF4ADF" w:rsidRPr="00293803" w:rsidRDefault="00FF4ADF">
      <w:pPr>
        <w:pStyle w:val="Heading3"/>
        <w:rPr>
          <w:rFonts w:cs="Arial"/>
        </w:rPr>
      </w:pPr>
      <w:bookmarkStart w:id="7" w:name="_Hlk143257247"/>
      <w:r w:rsidRPr="00293803">
        <w:rPr>
          <w:rFonts w:cs="Arial"/>
        </w:rPr>
        <w:t>Clause 26</w:t>
      </w:r>
      <w:r w:rsidRPr="00293803">
        <w:rPr>
          <w:rFonts w:cs="Arial"/>
        </w:rPr>
        <w:tab/>
        <w:t>Referral to appropriate statutory office-holder</w:t>
      </w:r>
      <w:r w:rsidRPr="00293803">
        <w:rPr>
          <w:rFonts w:cs="Arial"/>
        </w:rPr>
        <w:br/>
      </w:r>
      <w:r w:rsidRPr="00293803">
        <w:rPr>
          <w:rFonts w:cs="Arial"/>
        </w:rPr>
        <w:tab/>
      </w:r>
      <w:r w:rsidRPr="00293803">
        <w:rPr>
          <w:rFonts w:cs="Arial"/>
        </w:rPr>
        <w:tab/>
        <w:t>Section 52A (4)</w:t>
      </w:r>
    </w:p>
    <w:p w14:paraId="12165A8B" w14:textId="3FF0F582" w:rsidR="00293803" w:rsidRPr="00293803" w:rsidRDefault="00293803" w:rsidP="00293803">
      <w:pPr>
        <w:rPr>
          <w:rFonts w:ascii="Arial" w:hAnsi="Arial" w:cs="Arial"/>
          <w:sz w:val="24"/>
          <w:szCs w:val="24"/>
        </w:rPr>
      </w:pPr>
      <w:r w:rsidRPr="00293803">
        <w:rPr>
          <w:rFonts w:ascii="Arial" w:hAnsi="Arial" w:cs="Arial"/>
          <w:sz w:val="24"/>
          <w:szCs w:val="24"/>
        </w:rPr>
        <w:t>This clause is a consequential amendment, which updates section 52A (4) so that it refers to new section 51B as well as section 51A. The intention is to make it clear that the general referral pathway to appropriate statutory office-holders in section 52A is in addition to, and does not limit, the more specific referral pathways in sections 51A and 51B.</w:t>
      </w:r>
    </w:p>
    <w:bookmarkEnd w:id="7"/>
    <w:p w14:paraId="07AF7D23" w14:textId="2E7EE1CA" w:rsidR="00C07CA4" w:rsidRPr="00373688" w:rsidRDefault="00C07CA4">
      <w:pPr>
        <w:pStyle w:val="Heading3"/>
        <w:rPr>
          <w:rFonts w:cs="Arial"/>
        </w:rPr>
      </w:pPr>
      <w:r w:rsidRPr="00373688">
        <w:rPr>
          <w:rFonts w:cs="Arial"/>
        </w:rPr>
        <w:lastRenderedPageBreak/>
        <w:t>Clause 2</w:t>
      </w:r>
      <w:r w:rsidR="00FF4ADF" w:rsidRPr="00373688">
        <w:rPr>
          <w:rFonts w:cs="Arial"/>
        </w:rPr>
        <w:t>7</w:t>
      </w:r>
      <w:r w:rsidRPr="00373688">
        <w:rPr>
          <w:rFonts w:cs="Arial"/>
        </w:rPr>
        <w:tab/>
        <w:t>Dealing with vulnerable person complaints</w:t>
      </w:r>
      <w:r w:rsidRPr="00373688">
        <w:rPr>
          <w:rFonts w:cs="Arial"/>
        </w:rPr>
        <w:br/>
      </w:r>
      <w:r w:rsidRPr="00373688">
        <w:rPr>
          <w:rFonts w:cs="Arial"/>
        </w:rPr>
        <w:tab/>
      </w:r>
      <w:r w:rsidRPr="00373688">
        <w:rPr>
          <w:rFonts w:cs="Arial"/>
        </w:rPr>
        <w:tab/>
        <w:t>New section 52B (2)</w:t>
      </w:r>
      <w:r w:rsidR="00293803">
        <w:rPr>
          <w:rFonts w:cs="Arial"/>
        </w:rPr>
        <w:t xml:space="preserve"> (b)</w:t>
      </w:r>
    </w:p>
    <w:p w14:paraId="48F67110" w14:textId="336A5331" w:rsidR="00BF0A59" w:rsidRPr="00373688" w:rsidRDefault="00BB0FA7" w:rsidP="00373688">
      <w:pPr>
        <w:rPr>
          <w:rFonts w:ascii="Arial" w:hAnsi="Arial" w:cs="Arial"/>
        </w:rPr>
      </w:pPr>
      <w:r w:rsidRPr="00373688">
        <w:rPr>
          <w:rFonts w:ascii="Arial" w:hAnsi="Arial" w:cs="Arial"/>
          <w:sz w:val="24"/>
          <w:szCs w:val="24"/>
        </w:rPr>
        <w:t xml:space="preserve">This clause expands the circumstances under which the commission need not seek or obtain consent from the vulnerable person to include where there is a </w:t>
      </w:r>
      <w:r w:rsidR="007C5E79" w:rsidRPr="00373688">
        <w:rPr>
          <w:rFonts w:ascii="Arial" w:hAnsi="Arial" w:cs="Arial"/>
          <w:sz w:val="24"/>
          <w:szCs w:val="24"/>
        </w:rPr>
        <w:t>risk of harm to the vulnerable person</w:t>
      </w:r>
      <w:r w:rsidRPr="00373688">
        <w:rPr>
          <w:rFonts w:ascii="Arial" w:hAnsi="Arial" w:cs="Arial"/>
          <w:sz w:val="24"/>
          <w:szCs w:val="24"/>
        </w:rPr>
        <w:t xml:space="preserve">, where the person is not capable of giving free or voluntary consent or where the commission cannot access the person to seek their consent. </w:t>
      </w:r>
    </w:p>
    <w:p w14:paraId="7CD8C1C1" w14:textId="6DDDEBE6" w:rsidR="003E3F1E" w:rsidRPr="00373688" w:rsidRDefault="003E3F1E">
      <w:pPr>
        <w:pStyle w:val="Heading3"/>
        <w:rPr>
          <w:rFonts w:cs="Arial"/>
        </w:rPr>
      </w:pPr>
      <w:r w:rsidRPr="00373688">
        <w:rPr>
          <w:rFonts w:cs="Arial"/>
        </w:rPr>
        <w:t>Clause 2</w:t>
      </w:r>
      <w:r w:rsidR="00FF4ADF" w:rsidRPr="00373688">
        <w:rPr>
          <w:rFonts w:cs="Arial"/>
        </w:rPr>
        <w:t>8</w:t>
      </w:r>
      <w:r w:rsidRPr="00373688">
        <w:rPr>
          <w:rFonts w:cs="Arial"/>
        </w:rPr>
        <w:tab/>
        <w:t>Commission-initiated reports</w:t>
      </w:r>
      <w:r w:rsidRPr="00373688">
        <w:rPr>
          <w:rFonts w:cs="Arial"/>
        </w:rPr>
        <w:br/>
      </w:r>
      <w:r w:rsidRPr="00373688">
        <w:rPr>
          <w:rFonts w:cs="Arial"/>
        </w:rPr>
        <w:tab/>
      </w:r>
      <w:r w:rsidRPr="00373688">
        <w:rPr>
          <w:rFonts w:cs="Arial"/>
        </w:rPr>
        <w:tab/>
        <w:t>Section 84 (1), new example</w:t>
      </w:r>
    </w:p>
    <w:p w14:paraId="3FFA9745" w14:textId="0EE652F7" w:rsidR="00201CF7" w:rsidRPr="00373688" w:rsidRDefault="00201CF7" w:rsidP="00373688">
      <w:pPr>
        <w:rPr>
          <w:rFonts w:ascii="Arial" w:hAnsi="Arial" w:cs="Arial"/>
        </w:rPr>
      </w:pPr>
      <w:r w:rsidRPr="00373688">
        <w:rPr>
          <w:rFonts w:ascii="Arial" w:hAnsi="Arial" w:cs="Arial"/>
          <w:sz w:val="24"/>
          <w:szCs w:val="24"/>
        </w:rPr>
        <w:t>This clause inserts a</w:t>
      </w:r>
      <w:r w:rsidR="00F54EFF" w:rsidRPr="00373688">
        <w:rPr>
          <w:rFonts w:ascii="Arial" w:hAnsi="Arial" w:cs="Arial"/>
          <w:sz w:val="24"/>
          <w:szCs w:val="24"/>
        </w:rPr>
        <w:t xml:space="preserve"> new </w:t>
      </w:r>
      <w:r w:rsidRPr="00373688">
        <w:rPr>
          <w:rFonts w:ascii="Arial" w:hAnsi="Arial" w:cs="Arial"/>
          <w:sz w:val="24"/>
          <w:szCs w:val="24"/>
        </w:rPr>
        <w:t xml:space="preserve">example of the types of situations </w:t>
      </w:r>
      <w:r w:rsidR="00F54EFF" w:rsidRPr="00373688">
        <w:rPr>
          <w:rFonts w:ascii="Arial" w:hAnsi="Arial" w:cs="Arial"/>
          <w:sz w:val="24"/>
          <w:szCs w:val="24"/>
        </w:rPr>
        <w:t xml:space="preserve">where the commission may give a commission-initiated report to anyone the commission considers appropriate. The example makes it clear that the commission may give a commission-initiated report </w:t>
      </w:r>
      <w:r w:rsidR="00376ADB" w:rsidRPr="00373688">
        <w:rPr>
          <w:rFonts w:ascii="Arial" w:hAnsi="Arial" w:cs="Arial"/>
          <w:sz w:val="24"/>
          <w:szCs w:val="24"/>
        </w:rPr>
        <w:t xml:space="preserve">about a vulnerable person complaint </w:t>
      </w:r>
      <w:r w:rsidR="00F54EFF" w:rsidRPr="00373688">
        <w:rPr>
          <w:rFonts w:ascii="Arial" w:hAnsi="Arial" w:cs="Arial"/>
          <w:sz w:val="24"/>
          <w:szCs w:val="24"/>
        </w:rPr>
        <w:t xml:space="preserve">to the ACT Civil and Administrative Tribunal which has powers to, on its own initiative, </w:t>
      </w:r>
      <w:r w:rsidR="00376ADB" w:rsidRPr="00373688">
        <w:rPr>
          <w:rFonts w:ascii="Arial" w:hAnsi="Arial" w:cs="Arial"/>
          <w:sz w:val="24"/>
          <w:szCs w:val="24"/>
        </w:rPr>
        <w:t xml:space="preserve">hold a hearing to consider the appointment of a guardian or manager or make an order about an enduring power of attorney. </w:t>
      </w:r>
    </w:p>
    <w:p w14:paraId="621E16A1" w14:textId="7C4E880D" w:rsidR="00771B23" w:rsidRPr="00373688" w:rsidRDefault="00771B23">
      <w:pPr>
        <w:pStyle w:val="Heading2"/>
        <w:rPr>
          <w:rFonts w:cs="Arial"/>
          <w:szCs w:val="24"/>
        </w:rPr>
      </w:pPr>
      <w:r w:rsidRPr="00373688">
        <w:rPr>
          <w:rFonts w:cs="Arial"/>
          <w:szCs w:val="24"/>
        </w:rPr>
        <w:t>Part 11</w:t>
      </w:r>
      <w:r w:rsidRPr="00373688">
        <w:rPr>
          <w:rFonts w:cs="Arial"/>
          <w:szCs w:val="24"/>
        </w:rPr>
        <w:tab/>
        <w:t>Justice of the Peace Act 1989</w:t>
      </w:r>
    </w:p>
    <w:p w14:paraId="79C4FC39" w14:textId="659EFCB9" w:rsidR="007506E9" w:rsidRPr="00373688" w:rsidRDefault="007506E9" w:rsidP="007506E9">
      <w:pPr>
        <w:pStyle w:val="Heading3"/>
        <w:rPr>
          <w:rFonts w:cs="Arial"/>
        </w:rPr>
      </w:pPr>
      <w:r w:rsidRPr="00373688">
        <w:rPr>
          <w:rFonts w:cs="Arial"/>
        </w:rPr>
        <w:t xml:space="preserve">Clause </w:t>
      </w:r>
      <w:r w:rsidR="00FF4ADF" w:rsidRPr="00373688">
        <w:rPr>
          <w:rFonts w:cs="Arial"/>
        </w:rPr>
        <w:t>29</w:t>
      </w:r>
      <w:r w:rsidRPr="00373688">
        <w:rPr>
          <w:rFonts w:cs="Arial"/>
        </w:rPr>
        <w:tab/>
        <w:t>New section 9</w:t>
      </w:r>
    </w:p>
    <w:p w14:paraId="183E9ABF" w14:textId="21807992" w:rsidR="007506E9" w:rsidRPr="00373688" w:rsidRDefault="007506E9" w:rsidP="00AE509D">
      <w:pPr>
        <w:rPr>
          <w:rFonts w:ascii="Arial" w:hAnsi="Arial" w:cs="Arial"/>
          <w:szCs w:val="24"/>
        </w:rPr>
      </w:pPr>
      <w:r w:rsidRPr="00373688">
        <w:rPr>
          <w:rFonts w:ascii="Arial" w:hAnsi="Arial" w:cs="Arial"/>
          <w:sz w:val="24"/>
          <w:szCs w:val="24"/>
        </w:rPr>
        <w:t>This clause inserts a general regulation making power which is already contemplated by the Act but does not exist.</w:t>
      </w:r>
    </w:p>
    <w:p w14:paraId="2F0CF117" w14:textId="5525A4C4" w:rsidR="00771B23" w:rsidRPr="00373688" w:rsidRDefault="00771B23">
      <w:pPr>
        <w:pStyle w:val="Heading2"/>
        <w:rPr>
          <w:rFonts w:cs="Arial"/>
          <w:szCs w:val="24"/>
        </w:rPr>
      </w:pPr>
      <w:r w:rsidRPr="00373688">
        <w:rPr>
          <w:rFonts w:cs="Arial"/>
          <w:szCs w:val="24"/>
        </w:rPr>
        <w:t>Part 12</w:t>
      </w:r>
      <w:r w:rsidRPr="00373688">
        <w:rPr>
          <w:rFonts w:cs="Arial"/>
          <w:szCs w:val="24"/>
        </w:rPr>
        <w:tab/>
        <w:t>Land Titles Act 1925</w:t>
      </w:r>
    </w:p>
    <w:p w14:paraId="29BC270C" w14:textId="4697E04F" w:rsidR="00C07CA4" w:rsidRPr="00373688" w:rsidRDefault="00C07CA4" w:rsidP="00C07CA4">
      <w:pPr>
        <w:pStyle w:val="Heading3"/>
        <w:rPr>
          <w:rFonts w:cs="Arial"/>
        </w:rPr>
      </w:pPr>
      <w:r w:rsidRPr="00373688">
        <w:rPr>
          <w:rFonts w:cs="Arial"/>
        </w:rPr>
        <w:t>Clause 3</w:t>
      </w:r>
      <w:r w:rsidR="00FF4ADF" w:rsidRPr="00373688">
        <w:rPr>
          <w:rFonts w:cs="Arial"/>
        </w:rPr>
        <w:t>0</w:t>
      </w:r>
      <w:r w:rsidRPr="00373688">
        <w:rPr>
          <w:rFonts w:cs="Arial"/>
        </w:rPr>
        <w:tab/>
        <w:t>Crown grants and certain Crown leases under Act</w:t>
      </w:r>
      <w:r w:rsidRPr="00373688">
        <w:rPr>
          <w:rFonts w:cs="Arial"/>
        </w:rPr>
        <w:br/>
      </w:r>
      <w:r w:rsidRPr="00373688">
        <w:rPr>
          <w:rFonts w:cs="Arial"/>
        </w:rPr>
        <w:tab/>
      </w:r>
      <w:r w:rsidRPr="00373688">
        <w:rPr>
          <w:rFonts w:cs="Arial"/>
        </w:rPr>
        <w:tab/>
        <w:t>Section 17 (1)</w:t>
      </w:r>
    </w:p>
    <w:p w14:paraId="3232CB6E" w14:textId="0C3A60D0" w:rsidR="00C07CA4" w:rsidRPr="00373688" w:rsidRDefault="00C07CA4" w:rsidP="00C07CA4">
      <w:pPr>
        <w:rPr>
          <w:rFonts w:ascii="Arial" w:hAnsi="Arial" w:cs="Arial"/>
          <w:sz w:val="24"/>
          <w:szCs w:val="24"/>
        </w:rPr>
      </w:pPr>
      <w:r w:rsidRPr="00373688">
        <w:rPr>
          <w:rFonts w:ascii="Arial" w:hAnsi="Arial" w:cs="Arial"/>
          <w:sz w:val="24"/>
          <w:szCs w:val="24"/>
        </w:rPr>
        <w:t xml:space="preserve">This clause amends section 17 (1) by removing the requirement to provide grants of Crown leasehold in duplicate. As the ACT Government continues to increase its ability to deal electronically with land title transactions, this requirement is no longer necessary. </w:t>
      </w:r>
    </w:p>
    <w:p w14:paraId="61B30D28" w14:textId="6071749B" w:rsidR="00C07CA4" w:rsidRPr="00373688" w:rsidRDefault="00C07CA4" w:rsidP="00C07CA4">
      <w:pPr>
        <w:pStyle w:val="Heading3"/>
        <w:rPr>
          <w:rFonts w:cs="Arial"/>
        </w:rPr>
      </w:pPr>
      <w:r w:rsidRPr="00373688">
        <w:rPr>
          <w:rFonts w:cs="Arial"/>
        </w:rPr>
        <w:t>Clause 3</w:t>
      </w:r>
      <w:r w:rsidR="00FF4ADF" w:rsidRPr="00373688">
        <w:rPr>
          <w:rFonts w:cs="Arial"/>
        </w:rPr>
        <w:t>1</w:t>
      </w:r>
      <w:r w:rsidRPr="00373688">
        <w:rPr>
          <w:rFonts w:cs="Arial"/>
        </w:rPr>
        <w:tab/>
        <w:t>Section 17 (2)</w:t>
      </w:r>
      <w:r w:rsidR="00293803">
        <w:rPr>
          <w:rFonts w:cs="Arial"/>
        </w:rPr>
        <w:t xml:space="preserve"> and</w:t>
      </w:r>
      <w:r w:rsidRPr="00373688">
        <w:rPr>
          <w:rFonts w:cs="Arial"/>
        </w:rPr>
        <w:t xml:space="preserve"> note</w:t>
      </w:r>
    </w:p>
    <w:p w14:paraId="2D0C9B56" w14:textId="5487971D" w:rsidR="00C07CA4" w:rsidRPr="00373688" w:rsidRDefault="007A6E65" w:rsidP="00C07CA4">
      <w:pPr>
        <w:rPr>
          <w:rFonts w:ascii="Arial" w:hAnsi="Arial" w:cs="Arial"/>
          <w:sz w:val="24"/>
          <w:szCs w:val="24"/>
        </w:rPr>
      </w:pPr>
      <w:r w:rsidRPr="00373688">
        <w:rPr>
          <w:rFonts w:ascii="Arial" w:hAnsi="Arial" w:cs="Arial"/>
          <w:sz w:val="24"/>
          <w:szCs w:val="24"/>
        </w:rPr>
        <w:t xml:space="preserve">This is a consequential amendment to </w:t>
      </w:r>
      <w:r w:rsidR="00AE509D" w:rsidRPr="00373688">
        <w:rPr>
          <w:rFonts w:ascii="Arial" w:hAnsi="Arial" w:cs="Arial"/>
          <w:sz w:val="24"/>
          <w:szCs w:val="24"/>
        </w:rPr>
        <w:t>clause 3</w:t>
      </w:r>
      <w:r w:rsidR="00675551">
        <w:rPr>
          <w:rFonts w:ascii="Arial" w:hAnsi="Arial" w:cs="Arial"/>
          <w:sz w:val="24"/>
          <w:szCs w:val="24"/>
        </w:rPr>
        <w:t>0</w:t>
      </w:r>
      <w:r w:rsidR="00AE509D" w:rsidRPr="00373688">
        <w:rPr>
          <w:rFonts w:ascii="Arial" w:hAnsi="Arial" w:cs="Arial"/>
          <w:sz w:val="24"/>
          <w:szCs w:val="24"/>
        </w:rPr>
        <w:t xml:space="preserve">. </w:t>
      </w:r>
      <w:r w:rsidRPr="00373688">
        <w:rPr>
          <w:rFonts w:ascii="Arial" w:hAnsi="Arial" w:cs="Arial"/>
          <w:sz w:val="24"/>
          <w:szCs w:val="24"/>
        </w:rPr>
        <w:t>T</w:t>
      </w:r>
      <w:r w:rsidR="00C07CA4" w:rsidRPr="00373688">
        <w:rPr>
          <w:rFonts w:ascii="Arial" w:hAnsi="Arial" w:cs="Arial"/>
          <w:sz w:val="24"/>
          <w:szCs w:val="24"/>
        </w:rPr>
        <w:t xml:space="preserve">his clause amends section 17 (2) </w:t>
      </w:r>
      <w:r w:rsidR="00D86AB3" w:rsidRPr="00373688">
        <w:rPr>
          <w:rFonts w:ascii="Arial" w:hAnsi="Arial" w:cs="Arial"/>
          <w:sz w:val="24"/>
          <w:szCs w:val="24"/>
        </w:rPr>
        <w:t xml:space="preserve">to provide that the registrar-general must tell the grantee, in writing, about the </w:t>
      </w:r>
      <w:r w:rsidRPr="00373688">
        <w:rPr>
          <w:rFonts w:ascii="Arial" w:hAnsi="Arial" w:cs="Arial"/>
          <w:sz w:val="24"/>
          <w:szCs w:val="24"/>
        </w:rPr>
        <w:t>registration as there is no longer a requirement to provide grants of Crown leasehold in duplicate.</w:t>
      </w:r>
      <w:r w:rsidRPr="00373688" w:rsidDel="007A6E65">
        <w:rPr>
          <w:rFonts w:ascii="Arial" w:hAnsi="Arial" w:cs="Arial"/>
          <w:sz w:val="24"/>
          <w:szCs w:val="24"/>
        </w:rPr>
        <w:t xml:space="preserve"> </w:t>
      </w:r>
    </w:p>
    <w:p w14:paraId="3B726503" w14:textId="0CF347D5" w:rsidR="00D86AB3" w:rsidRPr="00373688" w:rsidRDefault="00D86AB3" w:rsidP="00C07CA4">
      <w:pPr>
        <w:rPr>
          <w:rFonts w:ascii="Arial" w:hAnsi="Arial" w:cs="Arial"/>
          <w:sz w:val="24"/>
          <w:szCs w:val="24"/>
        </w:rPr>
      </w:pPr>
      <w:r w:rsidRPr="00373688">
        <w:rPr>
          <w:rFonts w:ascii="Arial" w:hAnsi="Arial" w:cs="Arial"/>
          <w:sz w:val="24"/>
          <w:szCs w:val="24"/>
        </w:rPr>
        <w:t>The clause also removes the note as it is no longer</w:t>
      </w:r>
      <w:r w:rsidR="00AE509D" w:rsidRPr="00373688">
        <w:rPr>
          <w:rFonts w:ascii="Arial" w:hAnsi="Arial" w:cs="Arial"/>
          <w:sz w:val="24"/>
          <w:szCs w:val="24"/>
        </w:rPr>
        <w:t xml:space="preserve"> standard drafting</w:t>
      </w:r>
      <w:r w:rsidRPr="00373688">
        <w:rPr>
          <w:rFonts w:ascii="Arial" w:hAnsi="Arial" w:cs="Arial"/>
          <w:sz w:val="24"/>
          <w:szCs w:val="24"/>
        </w:rPr>
        <w:t xml:space="preserve"> practice to include notes about fee determinations. </w:t>
      </w:r>
    </w:p>
    <w:p w14:paraId="57B009FB" w14:textId="753EA436" w:rsidR="00C07CA4" w:rsidRPr="00373688" w:rsidRDefault="00C07CA4" w:rsidP="00C07CA4">
      <w:pPr>
        <w:pStyle w:val="Heading3"/>
        <w:rPr>
          <w:rFonts w:cs="Arial"/>
        </w:rPr>
      </w:pPr>
      <w:r w:rsidRPr="00373688">
        <w:rPr>
          <w:rFonts w:cs="Arial"/>
        </w:rPr>
        <w:lastRenderedPageBreak/>
        <w:t>Clause 3</w:t>
      </w:r>
      <w:r w:rsidR="00FF4ADF" w:rsidRPr="00373688">
        <w:rPr>
          <w:rFonts w:cs="Arial"/>
        </w:rPr>
        <w:t>2</w:t>
      </w:r>
      <w:r w:rsidRPr="00373688">
        <w:rPr>
          <w:rFonts w:cs="Arial"/>
        </w:rPr>
        <w:tab/>
        <w:t>Section 17 (3)</w:t>
      </w:r>
    </w:p>
    <w:p w14:paraId="19A8560B" w14:textId="21211D41" w:rsidR="00D86AB3" w:rsidRPr="00373688" w:rsidRDefault="007A6E65" w:rsidP="00D86AB3">
      <w:pPr>
        <w:rPr>
          <w:rFonts w:ascii="Arial" w:hAnsi="Arial" w:cs="Arial"/>
          <w:sz w:val="24"/>
          <w:szCs w:val="24"/>
        </w:rPr>
      </w:pPr>
      <w:r w:rsidRPr="00373688">
        <w:rPr>
          <w:rFonts w:ascii="Arial" w:hAnsi="Arial" w:cs="Arial"/>
          <w:sz w:val="24"/>
          <w:szCs w:val="24"/>
        </w:rPr>
        <w:t xml:space="preserve">This is a consequential amendment to </w:t>
      </w:r>
      <w:r w:rsidR="00AE509D" w:rsidRPr="00373688">
        <w:rPr>
          <w:rFonts w:ascii="Arial" w:hAnsi="Arial" w:cs="Arial"/>
          <w:sz w:val="24"/>
          <w:szCs w:val="24"/>
        </w:rPr>
        <w:t>clause 3</w:t>
      </w:r>
      <w:r w:rsidR="00675551">
        <w:rPr>
          <w:rFonts w:ascii="Arial" w:hAnsi="Arial" w:cs="Arial"/>
          <w:sz w:val="24"/>
          <w:szCs w:val="24"/>
        </w:rPr>
        <w:t>0</w:t>
      </w:r>
      <w:r w:rsidR="00AE509D" w:rsidRPr="00373688">
        <w:rPr>
          <w:rFonts w:ascii="Arial" w:hAnsi="Arial" w:cs="Arial"/>
          <w:sz w:val="24"/>
          <w:szCs w:val="24"/>
        </w:rPr>
        <w:t xml:space="preserve">. </w:t>
      </w:r>
      <w:r w:rsidR="00D86AB3" w:rsidRPr="00373688">
        <w:rPr>
          <w:rFonts w:ascii="Arial" w:hAnsi="Arial" w:cs="Arial"/>
          <w:sz w:val="24"/>
          <w:szCs w:val="24"/>
        </w:rPr>
        <w:t xml:space="preserve">As there is no longer a requirement to provide grants of Crown leasehold in duplicate, this clause amends section 17 (3) by omitting the words ‘either part of’. </w:t>
      </w:r>
    </w:p>
    <w:p w14:paraId="177BD6ED" w14:textId="12A53C24" w:rsidR="00C07CA4" w:rsidRPr="00373688" w:rsidRDefault="00C07CA4" w:rsidP="00C07CA4">
      <w:pPr>
        <w:pStyle w:val="Heading3"/>
        <w:rPr>
          <w:rFonts w:cs="Arial"/>
        </w:rPr>
      </w:pPr>
      <w:r w:rsidRPr="00373688">
        <w:rPr>
          <w:rFonts w:cs="Arial"/>
        </w:rPr>
        <w:t>Clause 3</w:t>
      </w:r>
      <w:r w:rsidR="00FF4ADF" w:rsidRPr="00373688">
        <w:rPr>
          <w:rFonts w:cs="Arial"/>
        </w:rPr>
        <w:t>3</w:t>
      </w:r>
      <w:r w:rsidRPr="00373688">
        <w:rPr>
          <w:rFonts w:cs="Arial"/>
        </w:rPr>
        <w:tab/>
        <w:t>Sections 20 and 35</w:t>
      </w:r>
    </w:p>
    <w:p w14:paraId="202EE3D3" w14:textId="6200F806" w:rsidR="00C07CA4" w:rsidRPr="00373688" w:rsidRDefault="00D05CBE" w:rsidP="00AE509D">
      <w:pPr>
        <w:rPr>
          <w:rFonts w:ascii="Arial" w:hAnsi="Arial" w:cs="Arial"/>
          <w:sz w:val="24"/>
          <w:szCs w:val="24"/>
        </w:rPr>
      </w:pPr>
      <w:r w:rsidRPr="00373688">
        <w:rPr>
          <w:rFonts w:ascii="Arial" w:hAnsi="Arial" w:cs="Arial"/>
          <w:sz w:val="24"/>
          <w:szCs w:val="24"/>
        </w:rPr>
        <w:t xml:space="preserve">This is a consequential amendment to the amendment to </w:t>
      </w:r>
      <w:r w:rsidR="00AE509D" w:rsidRPr="00373688">
        <w:rPr>
          <w:rFonts w:ascii="Arial" w:hAnsi="Arial" w:cs="Arial"/>
          <w:sz w:val="24"/>
          <w:szCs w:val="24"/>
        </w:rPr>
        <w:t>clause 3</w:t>
      </w:r>
      <w:r w:rsidR="00675551">
        <w:rPr>
          <w:rFonts w:ascii="Arial" w:hAnsi="Arial" w:cs="Arial"/>
          <w:sz w:val="24"/>
          <w:szCs w:val="24"/>
        </w:rPr>
        <w:t>0</w:t>
      </w:r>
      <w:r w:rsidR="00AE509D" w:rsidRPr="00373688">
        <w:rPr>
          <w:rFonts w:ascii="Arial" w:hAnsi="Arial" w:cs="Arial"/>
          <w:sz w:val="24"/>
          <w:szCs w:val="24"/>
        </w:rPr>
        <w:t>.</w:t>
      </w:r>
      <w:r w:rsidRPr="00373688">
        <w:rPr>
          <w:rFonts w:ascii="Arial" w:hAnsi="Arial" w:cs="Arial"/>
          <w:sz w:val="24"/>
          <w:szCs w:val="24"/>
        </w:rPr>
        <w:t xml:space="preserve"> </w:t>
      </w:r>
      <w:r w:rsidR="00D86AB3" w:rsidRPr="00373688">
        <w:rPr>
          <w:rFonts w:ascii="Arial" w:hAnsi="Arial" w:cs="Arial"/>
          <w:sz w:val="24"/>
          <w:szCs w:val="24"/>
        </w:rPr>
        <w:t xml:space="preserve">As there is no longer a requirement to provide grants of Crown leasehold in duplicate, this clause amends sections 20 and 35 by omitting the words ‘duplicate or’. </w:t>
      </w:r>
    </w:p>
    <w:p w14:paraId="41777F22" w14:textId="251A6A81" w:rsidR="00771B23" w:rsidRPr="00373688" w:rsidRDefault="00771B23">
      <w:pPr>
        <w:pStyle w:val="Heading2"/>
        <w:rPr>
          <w:rFonts w:cs="Arial"/>
          <w:szCs w:val="24"/>
        </w:rPr>
      </w:pPr>
      <w:r w:rsidRPr="00373688">
        <w:rPr>
          <w:rFonts w:cs="Arial"/>
          <w:szCs w:val="24"/>
        </w:rPr>
        <w:t>Part 13</w:t>
      </w:r>
      <w:r w:rsidRPr="00373688">
        <w:rPr>
          <w:rFonts w:cs="Arial"/>
          <w:szCs w:val="24"/>
        </w:rPr>
        <w:tab/>
        <w:t>Legal Profession Act 2006</w:t>
      </w:r>
    </w:p>
    <w:p w14:paraId="1ABD32B8" w14:textId="60C39F14" w:rsidR="00C07CA4" w:rsidRPr="00373688" w:rsidRDefault="00C07CA4">
      <w:pPr>
        <w:pStyle w:val="Heading3"/>
        <w:rPr>
          <w:rFonts w:cs="Arial"/>
        </w:rPr>
      </w:pPr>
      <w:r w:rsidRPr="00373688">
        <w:rPr>
          <w:rFonts w:cs="Arial"/>
        </w:rPr>
        <w:t>Clause 3</w:t>
      </w:r>
      <w:r w:rsidR="00FF4ADF" w:rsidRPr="00373688">
        <w:rPr>
          <w:rFonts w:cs="Arial"/>
        </w:rPr>
        <w:t>4</w:t>
      </w:r>
      <w:r w:rsidRPr="00373688">
        <w:rPr>
          <w:rFonts w:cs="Arial"/>
        </w:rPr>
        <w:tab/>
        <w:t>Approved forms – councils</w:t>
      </w:r>
      <w:r w:rsidRPr="00373688">
        <w:rPr>
          <w:rFonts w:cs="Arial"/>
        </w:rPr>
        <w:br/>
      </w:r>
      <w:r w:rsidRPr="00373688">
        <w:rPr>
          <w:rFonts w:cs="Arial"/>
        </w:rPr>
        <w:tab/>
      </w:r>
      <w:r w:rsidRPr="00373688">
        <w:rPr>
          <w:rFonts w:cs="Arial"/>
        </w:rPr>
        <w:tab/>
        <w:t>Section 587 (3) and note</w:t>
      </w:r>
    </w:p>
    <w:p w14:paraId="2BB428D6" w14:textId="0C5D87B1" w:rsidR="00CF5864" w:rsidRPr="00373688" w:rsidRDefault="00CF5CDE" w:rsidP="00AE509D">
      <w:pPr>
        <w:rPr>
          <w:rFonts w:ascii="Arial" w:hAnsi="Arial" w:cs="Arial"/>
          <w:sz w:val="24"/>
          <w:szCs w:val="24"/>
        </w:rPr>
      </w:pPr>
      <w:r w:rsidRPr="00373688">
        <w:rPr>
          <w:rFonts w:ascii="Arial" w:hAnsi="Arial" w:cs="Arial"/>
          <w:sz w:val="24"/>
          <w:szCs w:val="24"/>
        </w:rPr>
        <w:t xml:space="preserve">This clause omits section 587 (3) and its note. </w:t>
      </w:r>
      <w:r w:rsidR="00D2376C" w:rsidRPr="00373688">
        <w:rPr>
          <w:rFonts w:ascii="Arial" w:hAnsi="Arial" w:cs="Arial"/>
          <w:sz w:val="24"/>
          <w:szCs w:val="24"/>
        </w:rPr>
        <w:t xml:space="preserve">Section 587 (3) requires approved forms to be notified on the ACT Legislation Register. </w:t>
      </w:r>
      <w:r w:rsidRPr="00373688">
        <w:rPr>
          <w:rFonts w:ascii="Arial" w:hAnsi="Arial" w:cs="Arial"/>
          <w:sz w:val="24"/>
          <w:szCs w:val="24"/>
        </w:rPr>
        <w:t>Th</w:t>
      </w:r>
      <w:r w:rsidR="00D2376C" w:rsidRPr="00373688">
        <w:rPr>
          <w:rFonts w:ascii="Arial" w:hAnsi="Arial" w:cs="Arial"/>
          <w:sz w:val="24"/>
          <w:szCs w:val="24"/>
        </w:rPr>
        <w:t>is</w:t>
      </w:r>
      <w:r w:rsidRPr="00373688">
        <w:rPr>
          <w:rFonts w:ascii="Arial" w:hAnsi="Arial" w:cs="Arial"/>
          <w:sz w:val="24"/>
          <w:szCs w:val="24"/>
        </w:rPr>
        <w:t xml:space="preserve"> requirement is administratively burdensome </w:t>
      </w:r>
      <w:r w:rsidR="00DB5356" w:rsidRPr="00373688">
        <w:rPr>
          <w:rFonts w:ascii="Arial" w:hAnsi="Arial" w:cs="Arial"/>
          <w:sz w:val="24"/>
          <w:szCs w:val="24"/>
        </w:rPr>
        <w:t>and reduces flexibility for the councils</w:t>
      </w:r>
      <w:r w:rsidR="00293803">
        <w:rPr>
          <w:rFonts w:ascii="Arial" w:hAnsi="Arial" w:cs="Arial"/>
          <w:sz w:val="24"/>
          <w:szCs w:val="24"/>
        </w:rPr>
        <w:t xml:space="preserve"> of the ACT Law Society and ACT Bar Association</w:t>
      </w:r>
      <w:r w:rsidR="00DB5356" w:rsidRPr="00373688">
        <w:rPr>
          <w:rFonts w:ascii="Arial" w:hAnsi="Arial" w:cs="Arial"/>
          <w:sz w:val="24"/>
          <w:szCs w:val="24"/>
        </w:rPr>
        <w:t xml:space="preserve"> to amend and create new approved forms. Removing this requirement will streamline processes for the council</w:t>
      </w:r>
      <w:r w:rsidR="00AE509D" w:rsidRPr="00373688">
        <w:rPr>
          <w:rFonts w:ascii="Arial" w:hAnsi="Arial" w:cs="Arial"/>
          <w:sz w:val="24"/>
          <w:szCs w:val="24"/>
        </w:rPr>
        <w:t>s</w:t>
      </w:r>
      <w:r w:rsidR="00DB5356" w:rsidRPr="00373688">
        <w:rPr>
          <w:rFonts w:ascii="Arial" w:hAnsi="Arial" w:cs="Arial"/>
          <w:sz w:val="24"/>
          <w:szCs w:val="24"/>
        </w:rPr>
        <w:t xml:space="preserve"> and </w:t>
      </w:r>
      <w:r w:rsidR="00490D60" w:rsidRPr="00373688">
        <w:rPr>
          <w:rFonts w:ascii="Arial" w:hAnsi="Arial" w:cs="Arial"/>
          <w:sz w:val="24"/>
          <w:szCs w:val="24"/>
        </w:rPr>
        <w:t xml:space="preserve">support any future changes to utilising ‘smart forms’ which are unable to be notified on the Legislation Register. </w:t>
      </w:r>
    </w:p>
    <w:p w14:paraId="6B22C5A3" w14:textId="67DAAC5C" w:rsidR="00771B23" w:rsidRPr="00373688" w:rsidRDefault="00771B23">
      <w:pPr>
        <w:pStyle w:val="Heading2"/>
        <w:rPr>
          <w:rFonts w:cs="Arial"/>
          <w:szCs w:val="24"/>
        </w:rPr>
      </w:pPr>
      <w:r w:rsidRPr="00373688">
        <w:rPr>
          <w:rFonts w:cs="Arial"/>
          <w:szCs w:val="24"/>
        </w:rPr>
        <w:t xml:space="preserve">Part 14 </w:t>
      </w:r>
      <w:r w:rsidRPr="00373688">
        <w:rPr>
          <w:rFonts w:cs="Arial"/>
          <w:szCs w:val="24"/>
        </w:rPr>
        <w:tab/>
        <w:t>Residential Tenancies Act 1997</w:t>
      </w:r>
    </w:p>
    <w:p w14:paraId="0C4710C7" w14:textId="1F7B1261" w:rsidR="00A96813" w:rsidRPr="00373688" w:rsidRDefault="00A96813" w:rsidP="00A96813">
      <w:pPr>
        <w:pStyle w:val="Heading3"/>
        <w:rPr>
          <w:rFonts w:cs="Arial"/>
        </w:rPr>
      </w:pPr>
      <w:r w:rsidRPr="00373688">
        <w:rPr>
          <w:rFonts w:cs="Arial"/>
        </w:rPr>
        <w:t>Clause 3</w:t>
      </w:r>
      <w:r w:rsidR="00FF4ADF" w:rsidRPr="00373688">
        <w:rPr>
          <w:rFonts w:cs="Arial"/>
        </w:rPr>
        <w:t>5</w:t>
      </w:r>
      <w:r w:rsidRPr="00373688">
        <w:rPr>
          <w:rFonts w:cs="Arial"/>
        </w:rPr>
        <w:tab/>
        <w:t>Terms included in residential tenancies agreement</w:t>
      </w:r>
      <w:r w:rsidRPr="00373688">
        <w:rPr>
          <w:rFonts w:cs="Arial"/>
        </w:rPr>
        <w:br/>
      </w:r>
      <w:r w:rsidRPr="00373688">
        <w:rPr>
          <w:rFonts w:cs="Arial"/>
        </w:rPr>
        <w:tab/>
      </w:r>
      <w:r w:rsidRPr="00373688">
        <w:rPr>
          <w:rFonts w:cs="Arial"/>
        </w:rPr>
        <w:tab/>
        <w:t>Section 8 (1) (c)</w:t>
      </w:r>
    </w:p>
    <w:p w14:paraId="66A1D12C" w14:textId="0E89AA26" w:rsidR="00293803" w:rsidRPr="00373688" w:rsidRDefault="00A96813" w:rsidP="00AE509D">
      <w:pPr>
        <w:rPr>
          <w:rFonts w:ascii="Arial" w:hAnsi="Arial" w:cs="Arial"/>
          <w:sz w:val="24"/>
          <w:szCs w:val="24"/>
        </w:rPr>
      </w:pPr>
      <w:r w:rsidRPr="00373688">
        <w:rPr>
          <w:rFonts w:ascii="Arial" w:hAnsi="Arial" w:cs="Arial"/>
          <w:sz w:val="24"/>
          <w:szCs w:val="24"/>
        </w:rPr>
        <w:t xml:space="preserve">This </w:t>
      </w:r>
      <w:r w:rsidR="00293803">
        <w:rPr>
          <w:rFonts w:ascii="Arial" w:hAnsi="Arial" w:cs="Arial"/>
          <w:sz w:val="24"/>
          <w:szCs w:val="24"/>
        </w:rPr>
        <w:t xml:space="preserve">is a </w:t>
      </w:r>
      <w:r w:rsidR="00065E7B" w:rsidRPr="00373688">
        <w:rPr>
          <w:rFonts w:ascii="Arial" w:hAnsi="Arial" w:cs="Arial"/>
          <w:sz w:val="24"/>
          <w:szCs w:val="24"/>
        </w:rPr>
        <w:t xml:space="preserve">technical </w:t>
      </w:r>
      <w:r w:rsidRPr="00373688">
        <w:rPr>
          <w:rFonts w:ascii="Arial" w:hAnsi="Arial" w:cs="Arial"/>
          <w:sz w:val="24"/>
          <w:szCs w:val="24"/>
        </w:rPr>
        <w:t>amendment</w:t>
      </w:r>
      <w:r w:rsidR="00293803">
        <w:rPr>
          <w:rFonts w:ascii="Arial" w:hAnsi="Arial" w:cs="Arial"/>
          <w:sz w:val="24"/>
          <w:szCs w:val="24"/>
        </w:rPr>
        <w:t xml:space="preserve"> to make the word “clause” in section 8 (1) (c) plural. This</w:t>
      </w:r>
      <w:r w:rsidRPr="00373688">
        <w:rPr>
          <w:rFonts w:ascii="Arial" w:hAnsi="Arial" w:cs="Arial"/>
          <w:sz w:val="24"/>
          <w:szCs w:val="24"/>
        </w:rPr>
        <w:t xml:space="preserve"> is consequential </w:t>
      </w:r>
      <w:r w:rsidR="00065E7B" w:rsidRPr="00373688">
        <w:rPr>
          <w:rFonts w:ascii="Arial" w:hAnsi="Arial" w:cs="Arial"/>
          <w:sz w:val="24"/>
          <w:szCs w:val="24"/>
        </w:rPr>
        <w:t xml:space="preserve">to </w:t>
      </w:r>
      <w:r w:rsidR="00AE509D" w:rsidRPr="00373688">
        <w:rPr>
          <w:rFonts w:ascii="Arial" w:hAnsi="Arial" w:cs="Arial"/>
          <w:sz w:val="24"/>
          <w:szCs w:val="24"/>
        </w:rPr>
        <w:t>clause 4</w:t>
      </w:r>
      <w:r w:rsidR="00C372F5">
        <w:rPr>
          <w:rFonts w:ascii="Arial" w:hAnsi="Arial" w:cs="Arial"/>
          <w:sz w:val="24"/>
          <w:szCs w:val="24"/>
        </w:rPr>
        <w:t>2</w:t>
      </w:r>
      <w:r w:rsidR="00AE509D" w:rsidRPr="00373688">
        <w:rPr>
          <w:rFonts w:ascii="Arial" w:hAnsi="Arial" w:cs="Arial"/>
          <w:sz w:val="24"/>
          <w:szCs w:val="24"/>
        </w:rPr>
        <w:t xml:space="preserve"> which inserts new clause 106A into the Standard</w:t>
      </w:r>
      <w:r w:rsidR="00293803">
        <w:rPr>
          <w:rFonts w:ascii="Arial" w:hAnsi="Arial" w:cs="Arial"/>
          <w:sz w:val="24"/>
          <w:szCs w:val="24"/>
        </w:rPr>
        <w:t> </w:t>
      </w:r>
      <w:r w:rsidR="00AE509D" w:rsidRPr="00373688">
        <w:rPr>
          <w:rFonts w:ascii="Arial" w:hAnsi="Arial" w:cs="Arial"/>
          <w:sz w:val="24"/>
          <w:szCs w:val="24"/>
        </w:rPr>
        <w:t xml:space="preserve">Terms. </w:t>
      </w:r>
    </w:p>
    <w:p w14:paraId="0A32176A" w14:textId="6009B25B" w:rsidR="001E4D50" w:rsidRDefault="001E4D50" w:rsidP="001E4D50">
      <w:pPr>
        <w:pStyle w:val="Heading3"/>
        <w:ind w:left="1440" w:hanging="1440"/>
        <w:rPr>
          <w:rFonts w:cs="Arial"/>
          <w:i/>
          <w:iCs/>
        </w:rPr>
      </w:pPr>
      <w:r w:rsidRPr="00675551">
        <w:rPr>
          <w:rFonts w:cs="Arial"/>
        </w:rPr>
        <w:t>Clause 3</w:t>
      </w:r>
      <w:r w:rsidR="00C372F5" w:rsidRPr="00675551">
        <w:rPr>
          <w:rFonts w:cs="Arial"/>
        </w:rPr>
        <w:t>6</w:t>
      </w:r>
      <w:r w:rsidRPr="00146F33">
        <w:rPr>
          <w:rFonts w:cs="Arial"/>
        </w:rPr>
        <w:tab/>
        <w:t xml:space="preserve">Section 8 (4), new definition of </w:t>
      </w:r>
      <w:r w:rsidRPr="00146F33">
        <w:rPr>
          <w:rFonts w:cs="Arial"/>
          <w:i/>
          <w:iCs/>
        </w:rPr>
        <w:t>temporary housing assistance termination clauses</w:t>
      </w:r>
    </w:p>
    <w:p w14:paraId="79222977" w14:textId="619811CE" w:rsidR="00146F33" w:rsidRPr="00146F33" w:rsidRDefault="00146F33" w:rsidP="00146F33">
      <w:pPr>
        <w:rPr>
          <w:bCs/>
        </w:rPr>
      </w:pPr>
      <w:r>
        <w:rPr>
          <w:rFonts w:ascii="Arial" w:eastAsiaTheme="majorEastAsia" w:hAnsi="Arial" w:cs="Arial"/>
          <w:bCs/>
          <w:sz w:val="24"/>
          <w:szCs w:val="24"/>
        </w:rPr>
        <w:t xml:space="preserve">This clause </w:t>
      </w:r>
      <w:r w:rsidR="00C372F5">
        <w:rPr>
          <w:rFonts w:ascii="Arial" w:eastAsiaTheme="majorEastAsia" w:hAnsi="Arial" w:cs="Arial"/>
          <w:bCs/>
          <w:sz w:val="24"/>
          <w:szCs w:val="24"/>
        </w:rPr>
        <w:t>substitutes</w:t>
      </w:r>
      <w:r>
        <w:rPr>
          <w:rFonts w:ascii="Arial" w:eastAsiaTheme="majorEastAsia" w:hAnsi="Arial" w:cs="Arial"/>
          <w:bCs/>
          <w:sz w:val="24"/>
          <w:szCs w:val="24"/>
        </w:rPr>
        <w:t xml:space="preserve"> a new definition of </w:t>
      </w:r>
      <w:r w:rsidRPr="00146F33">
        <w:rPr>
          <w:rFonts w:ascii="Arial" w:eastAsiaTheme="majorEastAsia" w:hAnsi="Arial" w:cs="Arial"/>
          <w:bCs/>
          <w:i/>
          <w:iCs/>
          <w:sz w:val="24"/>
          <w:szCs w:val="24"/>
        </w:rPr>
        <w:t>temporary housing assistance termination clauses</w:t>
      </w:r>
      <w:r>
        <w:rPr>
          <w:rFonts w:ascii="Arial" w:eastAsiaTheme="majorEastAsia" w:hAnsi="Arial" w:cs="Arial"/>
          <w:bCs/>
          <w:sz w:val="24"/>
          <w:szCs w:val="24"/>
        </w:rPr>
        <w:t>. This</w:t>
      </w:r>
      <w:r w:rsidR="00EB1313">
        <w:rPr>
          <w:rFonts w:ascii="Arial" w:eastAsiaTheme="majorEastAsia" w:hAnsi="Arial" w:cs="Arial"/>
          <w:bCs/>
          <w:sz w:val="24"/>
          <w:szCs w:val="24"/>
        </w:rPr>
        <w:t xml:space="preserve"> is a minor</w:t>
      </w:r>
      <w:r>
        <w:rPr>
          <w:rFonts w:ascii="Arial" w:eastAsiaTheme="majorEastAsia" w:hAnsi="Arial" w:cs="Arial"/>
          <w:bCs/>
          <w:sz w:val="24"/>
          <w:szCs w:val="24"/>
        </w:rPr>
        <w:t xml:space="preserve"> amendment </w:t>
      </w:r>
      <w:r w:rsidR="00EB1313">
        <w:rPr>
          <w:rFonts w:ascii="Arial" w:eastAsiaTheme="majorEastAsia" w:hAnsi="Arial" w:cs="Arial"/>
          <w:bCs/>
          <w:sz w:val="24"/>
          <w:szCs w:val="24"/>
        </w:rPr>
        <w:t xml:space="preserve">to make the definition plural and </w:t>
      </w:r>
      <w:r>
        <w:rPr>
          <w:rFonts w:ascii="Arial" w:eastAsiaTheme="majorEastAsia" w:hAnsi="Arial" w:cs="Arial"/>
          <w:bCs/>
          <w:sz w:val="24"/>
          <w:szCs w:val="24"/>
        </w:rPr>
        <w:t xml:space="preserve">is consequential to </w:t>
      </w:r>
      <w:r w:rsidR="00293803" w:rsidRPr="00373688">
        <w:rPr>
          <w:rFonts w:ascii="Arial" w:hAnsi="Arial" w:cs="Arial"/>
          <w:sz w:val="24"/>
          <w:szCs w:val="24"/>
        </w:rPr>
        <w:t>clause 4</w:t>
      </w:r>
      <w:r w:rsidR="00C372F5">
        <w:rPr>
          <w:rFonts w:ascii="Arial" w:hAnsi="Arial" w:cs="Arial"/>
          <w:sz w:val="24"/>
          <w:szCs w:val="24"/>
        </w:rPr>
        <w:t>2</w:t>
      </w:r>
      <w:r w:rsidR="00293803" w:rsidRPr="00373688">
        <w:rPr>
          <w:rFonts w:ascii="Arial" w:hAnsi="Arial" w:cs="Arial"/>
          <w:sz w:val="24"/>
          <w:szCs w:val="24"/>
        </w:rPr>
        <w:t xml:space="preserve"> which inserts new clause 106A into the Standard</w:t>
      </w:r>
      <w:r w:rsidR="00293803">
        <w:rPr>
          <w:rFonts w:ascii="Arial" w:hAnsi="Arial" w:cs="Arial"/>
          <w:sz w:val="24"/>
          <w:szCs w:val="24"/>
        </w:rPr>
        <w:t> </w:t>
      </w:r>
      <w:r w:rsidR="00293803" w:rsidRPr="00373688">
        <w:rPr>
          <w:rFonts w:ascii="Arial" w:hAnsi="Arial" w:cs="Arial"/>
          <w:sz w:val="24"/>
          <w:szCs w:val="24"/>
        </w:rPr>
        <w:t>Terms.</w:t>
      </w:r>
    </w:p>
    <w:p w14:paraId="7B873A0F" w14:textId="43C96E5C" w:rsidR="001E4D50" w:rsidRDefault="001E4D50" w:rsidP="001E4D50">
      <w:pPr>
        <w:pStyle w:val="Heading3"/>
        <w:rPr>
          <w:rFonts w:cs="Arial"/>
        </w:rPr>
      </w:pPr>
      <w:r w:rsidRPr="00146F33">
        <w:rPr>
          <w:rFonts w:cs="Arial"/>
        </w:rPr>
        <w:t>Clause 3</w:t>
      </w:r>
      <w:r w:rsidR="00C372F5">
        <w:rPr>
          <w:rFonts w:cs="Arial"/>
        </w:rPr>
        <w:t>7</w:t>
      </w:r>
      <w:r w:rsidRPr="00146F33">
        <w:rPr>
          <w:rFonts w:cs="Arial"/>
        </w:rPr>
        <w:tab/>
        <w:t>Lessor’s obligations</w:t>
      </w:r>
      <w:r w:rsidRPr="00146F33">
        <w:rPr>
          <w:rFonts w:cs="Arial"/>
        </w:rPr>
        <w:br/>
      </w:r>
      <w:r w:rsidRPr="00146F33">
        <w:rPr>
          <w:rFonts w:cs="Arial"/>
        </w:rPr>
        <w:tab/>
      </w:r>
      <w:r w:rsidRPr="00146F33">
        <w:rPr>
          <w:rFonts w:cs="Arial"/>
        </w:rPr>
        <w:tab/>
        <w:t>New section 12 (3) (ha)</w:t>
      </w:r>
    </w:p>
    <w:p w14:paraId="5FC6ACFA" w14:textId="79A0A49F" w:rsidR="00146F33" w:rsidRDefault="00146F33" w:rsidP="00146F33">
      <w:pPr>
        <w:rPr>
          <w:rFonts w:ascii="Arial" w:hAnsi="Arial" w:cs="Arial"/>
          <w:sz w:val="24"/>
          <w:szCs w:val="24"/>
        </w:rPr>
      </w:pPr>
      <w:r w:rsidRPr="00146F33">
        <w:rPr>
          <w:rFonts w:ascii="Arial" w:hAnsi="Arial" w:cs="Arial"/>
          <w:sz w:val="24"/>
          <w:szCs w:val="24"/>
        </w:rPr>
        <w:t xml:space="preserve">This </w:t>
      </w:r>
      <w:r w:rsidR="00477BBD">
        <w:rPr>
          <w:rFonts w:ascii="Arial" w:hAnsi="Arial" w:cs="Arial"/>
          <w:sz w:val="24"/>
          <w:szCs w:val="24"/>
        </w:rPr>
        <w:t>amendment</w:t>
      </w:r>
      <w:r w:rsidRPr="00146F33">
        <w:rPr>
          <w:rFonts w:ascii="Arial" w:hAnsi="Arial" w:cs="Arial"/>
          <w:sz w:val="24"/>
          <w:szCs w:val="24"/>
        </w:rPr>
        <w:t xml:space="preserve"> </w:t>
      </w:r>
      <w:r>
        <w:rPr>
          <w:rFonts w:ascii="Arial" w:hAnsi="Arial" w:cs="Arial"/>
          <w:sz w:val="24"/>
          <w:szCs w:val="24"/>
        </w:rPr>
        <w:t xml:space="preserve">is consequential to </w:t>
      </w:r>
      <w:r w:rsidR="00293803">
        <w:rPr>
          <w:rFonts w:ascii="Arial" w:hAnsi="Arial" w:cs="Arial"/>
          <w:sz w:val="24"/>
          <w:szCs w:val="24"/>
        </w:rPr>
        <w:t>clause 4</w:t>
      </w:r>
      <w:r w:rsidR="00C372F5">
        <w:rPr>
          <w:rFonts w:ascii="Arial" w:hAnsi="Arial" w:cs="Arial"/>
          <w:sz w:val="24"/>
          <w:szCs w:val="24"/>
        </w:rPr>
        <w:t>2</w:t>
      </w:r>
      <w:r w:rsidR="00293803">
        <w:rPr>
          <w:rFonts w:ascii="Arial" w:hAnsi="Arial" w:cs="Arial"/>
          <w:sz w:val="24"/>
          <w:szCs w:val="24"/>
        </w:rPr>
        <w:t xml:space="preserve"> </w:t>
      </w:r>
      <w:r w:rsidR="00293803" w:rsidRPr="00373688">
        <w:rPr>
          <w:rFonts w:ascii="Arial" w:hAnsi="Arial" w:cs="Arial"/>
          <w:sz w:val="24"/>
          <w:szCs w:val="24"/>
        </w:rPr>
        <w:t>which inserts new clause 106A into the Standard</w:t>
      </w:r>
      <w:r w:rsidR="00293803">
        <w:rPr>
          <w:rFonts w:ascii="Arial" w:hAnsi="Arial" w:cs="Arial"/>
          <w:sz w:val="24"/>
          <w:szCs w:val="24"/>
        </w:rPr>
        <w:t> </w:t>
      </w:r>
      <w:r w:rsidR="00293803" w:rsidRPr="00373688">
        <w:rPr>
          <w:rFonts w:ascii="Arial" w:hAnsi="Arial" w:cs="Arial"/>
          <w:sz w:val="24"/>
          <w:szCs w:val="24"/>
        </w:rPr>
        <w:t>Terms.</w:t>
      </w:r>
    </w:p>
    <w:p w14:paraId="2DC69F20" w14:textId="216C5A2C" w:rsidR="00293803" w:rsidRPr="00146F33" w:rsidRDefault="00293803" w:rsidP="00146F33">
      <w:pPr>
        <w:rPr>
          <w:rFonts w:ascii="Arial" w:hAnsi="Arial" w:cs="Arial"/>
          <w:sz w:val="24"/>
          <w:szCs w:val="24"/>
        </w:rPr>
      </w:pPr>
      <w:r w:rsidRPr="00373688">
        <w:rPr>
          <w:rFonts w:ascii="Arial" w:hAnsi="Arial" w:cs="Arial"/>
          <w:sz w:val="24"/>
          <w:szCs w:val="24"/>
        </w:rPr>
        <w:t xml:space="preserve">This amendment inserts new subsection 12 (3) (ha), which requires that where a tenant is receiving temporary housing assistance, the lessor (the Commissioner for </w:t>
      </w:r>
      <w:r w:rsidRPr="00373688">
        <w:rPr>
          <w:rFonts w:ascii="Arial" w:hAnsi="Arial" w:cs="Arial"/>
          <w:sz w:val="24"/>
          <w:szCs w:val="24"/>
        </w:rPr>
        <w:lastRenderedPageBreak/>
        <w:t>Social Housing) must provide to the tenant a statement explaining that their tenancy may be terminated on 26 weeks’ notice if the tenant does not apply for ongoing housing assistance within 6 weeks. This is an important safeguard for tenants, to ensure they are aware of the need to apply for ongoing housing assistance and that otherwise their tenancy may be terminated.</w:t>
      </w:r>
    </w:p>
    <w:p w14:paraId="70D66399" w14:textId="69986DE8" w:rsidR="00C07CA4" w:rsidRPr="00373688" w:rsidRDefault="00C07CA4">
      <w:pPr>
        <w:pStyle w:val="Heading3"/>
        <w:rPr>
          <w:rFonts w:cs="Arial"/>
        </w:rPr>
      </w:pPr>
      <w:r w:rsidRPr="00373688">
        <w:rPr>
          <w:rFonts w:cs="Arial"/>
        </w:rPr>
        <w:t>Clause 3</w:t>
      </w:r>
      <w:r w:rsidR="00C372F5">
        <w:rPr>
          <w:rFonts w:cs="Arial"/>
        </w:rPr>
        <w:t>8</w:t>
      </w:r>
      <w:r w:rsidRPr="00373688">
        <w:rPr>
          <w:rFonts w:cs="Arial"/>
        </w:rPr>
        <w:tab/>
        <w:t>Payment of bond money into trust account</w:t>
      </w:r>
      <w:r w:rsidRPr="00373688">
        <w:rPr>
          <w:rFonts w:cs="Arial"/>
        </w:rPr>
        <w:br/>
      </w:r>
      <w:r w:rsidRPr="00373688">
        <w:rPr>
          <w:rFonts w:cs="Arial"/>
        </w:rPr>
        <w:tab/>
      </w:r>
      <w:r w:rsidRPr="00373688">
        <w:rPr>
          <w:rFonts w:cs="Arial"/>
        </w:rPr>
        <w:tab/>
        <w:t>Section 27 (2)</w:t>
      </w:r>
    </w:p>
    <w:p w14:paraId="6C9BE466" w14:textId="580ACD13" w:rsidR="00065E7B" w:rsidRPr="00373688" w:rsidRDefault="00AD0996" w:rsidP="00065E7B">
      <w:pPr>
        <w:rPr>
          <w:rFonts w:ascii="Arial" w:hAnsi="Arial" w:cs="Arial"/>
          <w:sz w:val="24"/>
          <w:szCs w:val="24"/>
        </w:rPr>
      </w:pPr>
      <w:r w:rsidRPr="00373688">
        <w:rPr>
          <w:rFonts w:ascii="Arial" w:hAnsi="Arial" w:cs="Arial"/>
          <w:sz w:val="24"/>
          <w:szCs w:val="24"/>
        </w:rPr>
        <w:t xml:space="preserve">This amendment corrects a cross-referencing error in the Act. </w:t>
      </w:r>
    </w:p>
    <w:p w14:paraId="031D7204" w14:textId="371651CA" w:rsidR="001E4D50" w:rsidRPr="00146F33" w:rsidRDefault="001E4D50" w:rsidP="001E4D50">
      <w:pPr>
        <w:pStyle w:val="Heading3"/>
        <w:ind w:left="1440" w:hanging="1440"/>
        <w:rPr>
          <w:rFonts w:cs="Arial"/>
          <w:i/>
          <w:iCs/>
        </w:rPr>
      </w:pPr>
      <w:r w:rsidRPr="00146F33">
        <w:rPr>
          <w:rFonts w:cs="Arial"/>
        </w:rPr>
        <w:t xml:space="preserve">Clause </w:t>
      </w:r>
      <w:r w:rsidR="00C372F5">
        <w:rPr>
          <w:rFonts w:cs="Arial"/>
        </w:rPr>
        <w:t>39</w:t>
      </w:r>
      <w:r w:rsidRPr="00146F33">
        <w:rPr>
          <w:rFonts w:cs="Arial"/>
        </w:rPr>
        <w:tab/>
        <w:t>No breach of standard residential tenancy terms</w:t>
      </w:r>
      <w:r w:rsidRPr="00146F33">
        <w:rPr>
          <w:rFonts w:cs="Arial"/>
        </w:rPr>
        <w:br/>
        <w:t xml:space="preserve">Section 47 (6), definition of </w:t>
      </w:r>
      <w:r w:rsidRPr="00146F33">
        <w:rPr>
          <w:rFonts w:cs="Arial"/>
          <w:i/>
          <w:iCs/>
        </w:rPr>
        <w:t>temporary housing assistance termination clause</w:t>
      </w:r>
    </w:p>
    <w:p w14:paraId="05F7A30F" w14:textId="77777777" w:rsidR="00C372F5" w:rsidRPr="00146F33" w:rsidRDefault="00C372F5" w:rsidP="00C372F5">
      <w:pPr>
        <w:rPr>
          <w:rFonts w:ascii="Arial" w:hAnsi="Arial" w:cs="Arial"/>
          <w:sz w:val="24"/>
          <w:szCs w:val="24"/>
        </w:rPr>
      </w:pPr>
      <w:r>
        <w:rPr>
          <w:rFonts w:ascii="Arial" w:hAnsi="Arial" w:cs="Arial"/>
          <w:sz w:val="24"/>
          <w:szCs w:val="24"/>
        </w:rPr>
        <w:t xml:space="preserve">This clause substitutes section 47 (6) and makes minor amendments to present the definitions as singular. </w:t>
      </w:r>
      <w:r>
        <w:rPr>
          <w:rFonts w:ascii="Arial" w:eastAsiaTheme="majorEastAsia" w:hAnsi="Arial" w:cs="Arial"/>
          <w:bCs/>
          <w:sz w:val="24"/>
          <w:szCs w:val="24"/>
        </w:rPr>
        <w:t xml:space="preserve"> </w:t>
      </w:r>
    </w:p>
    <w:p w14:paraId="40B78393" w14:textId="4B002729" w:rsidR="00C07CA4" w:rsidRPr="00373688" w:rsidRDefault="00C07CA4">
      <w:pPr>
        <w:pStyle w:val="Heading3"/>
        <w:rPr>
          <w:rFonts w:cs="Arial"/>
        </w:rPr>
      </w:pPr>
      <w:r w:rsidRPr="00373688">
        <w:rPr>
          <w:rFonts w:cs="Arial"/>
        </w:rPr>
        <w:t xml:space="preserve">Clause </w:t>
      </w:r>
      <w:r w:rsidR="001E4D50" w:rsidRPr="00373688">
        <w:rPr>
          <w:rFonts w:cs="Arial"/>
        </w:rPr>
        <w:t>4</w:t>
      </w:r>
      <w:r w:rsidR="00C372F5">
        <w:rPr>
          <w:rFonts w:cs="Arial"/>
        </w:rPr>
        <w:t>0</w:t>
      </w:r>
      <w:r w:rsidRPr="00373688">
        <w:rPr>
          <w:rFonts w:cs="Arial"/>
        </w:rPr>
        <w:tab/>
        <w:t>New section 163A</w:t>
      </w:r>
    </w:p>
    <w:p w14:paraId="23ADB27D" w14:textId="054FF451" w:rsidR="00146B42" w:rsidRPr="00373688" w:rsidRDefault="00146B42" w:rsidP="00146B42">
      <w:pPr>
        <w:rPr>
          <w:rFonts w:ascii="Arial" w:hAnsi="Arial" w:cs="Arial"/>
          <w:sz w:val="24"/>
          <w:szCs w:val="24"/>
        </w:rPr>
      </w:pPr>
      <w:r w:rsidRPr="00373688">
        <w:rPr>
          <w:rFonts w:ascii="Arial" w:hAnsi="Arial" w:cs="Arial"/>
          <w:sz w:val="24"/>
          <w:szCs w:val="24"/>
        </w:rPr>
        <w:t>This amendment inserts a new transitional provision in</w:t>
      </w:r>
      <w:r w:rsidR="00123369" w:rsidRPr="00373688">
        <w:rPr>
          <w:rFonts w:ascii="Arial" w:hAnsi="Arial" w:cs="Arial"/>
          <w:sz w:val="24"/>
          <w:szCs w:val="24"/>
        </w:rPr>
        <w:t>to</w:t>
      </w:r>
      <w:r w:rsidRPr="00373688">
        <w:rPr>
          <w:rFonts w:ascii="Arial" w:hAnsi="Arial" w:cs="Arial"/>
          <w:sz w:val="24"/>
          <w:szCs w:val="24"/>
        </w:rPr>
        <w:t xml:space="preserve"> the Act. </w:t>
      </w:r>
    </w:p>
    <w:p w14:paraId="675C6D56" w14:textId="6035A02B" w:rsidR="00123369" w:rsidRPr="00373688" w:rsidRDefault="00123369" w:rsidP="00146B42">
      <w:pPr>
        <w:rPr>
          <w:rFonts w:ascii="Arial" w:hAnsi="Arial" w:cs="Arial"/>
          <w:sz w:val="24"/>
          <w:szCs w:val="24"/>
        </w:rPr>
      </w:pPr>
      <w:r w:rsidRPr="00373688">
        <w:rPr>
          <w:rFonts w:ascii="Arial" w:hAnsi="Arial" w:cs="Arial"/>
          <w:sz w:val="24"/>
          <w:szCs w:val="24"/>
        </w:rPr>
        <w:t>A key aim of the 2023 reforms was to remove all forms of ‘no cause evictions’ from ACT law. However, due to technicalities under the Act in how the standard residential tenancy terms apply to fixed term tenancies, as opposed to periodic tenancies, there is some doubt as to whether the 2023 reforms effectively removed ‘no cause evictions’ from fixed term tenancies.</w:t>
      </w:r>
    </w:p>
    <w:p w14:paraId="044E6E76" w14:textId="675D1298" w:rsidR="00123369" w:rsidRPr="00373688" w:rsidRDefault="00123369" w:rsidP="00146B42">
      <w:pPr>
        <w:rPr>
          <w:rFonts w:ascii="Arial" w:hAnsi="Arial" w:cs="Arial"/>
          <w:sz w:val="24"/>
          <w:szCs w:val="24"/>
        </w:rPr>
      </w:pPr>
      <w:r w:rsidRPr="00373688">
        <w:rPr>
          <w:rFonts w:ascii="Arial" w:hAnsi="Arial" w:cs="Arial"/>
          <w:sz w:val="24"/>
          <w:szCs w:val="24"/>
        </w:rPr>
        <w:t>For the avoidance of doubt, this amendment clarifies that no cause evictions are removed from all fixed term tenancies from 1 April 2023.</w:t>
      </w:r>
    </w:p>
    <w:p w14:paraId="4477B2F7" w14:textId="5B2B88C9" w:rsidR="00C07CA4" w:rsidRPr="00373688" w:rsidRDefault="00C07CA4">
      <w:pPr>
        <w:pStyle w:val="Heading3"/>
        <w:rPr>
          <w:rFonts w:cs="Arial"/>
        </w:rPr>
      </w:pPr>
      <w:r w:rsidRPr="00373688">
        <w:rPr>
          <w:rFonts w:cs="Arial"/>
        </w:rPr>
        <w:t xml:space="preserve">Clause </w:t>
      </w:r>
      <w:r w:rsidR="003E3F1E" w:rsidRPr="00373688">
        <w:rPr>
          <w:rFonts w:cs="Arial"/>
        </w:rPr>
        <w:t>4</w:t>
      </w:r>
      <w:r w:rsidR="00C372F5">
        <w:rPr>
          <w:rFonts w:cs="Arial"/>
        </w:rPr>
        <w:t>1</w:t>
      </w:r>
      <w:r w:rsidRPr="00373688">
        <w:rPr>
          <w:rFonts w:cs="Arial"/>
        </w:rPr>
        <w:tab/>
        <w:t>Standard residential tenancy terms</w:t>
      </w:r>
      <w:r w:rsidRPr="00373688">
        <w:rPr>
          <w:rFonts w:cs="Arial"/>
        </w:rPr>
        <w:br/>
      </w:r>
      <w:r w:rsidRPr="00373688">
        <w:rPr>
          <w:rFonts w:cs="Arial"/>
        </w:rPr>
        <w:tab/>
      </w:r>
      <w:r w:rsidRPr="00373688">
        <w:rPr>
          <w:rFonts w:cs="Arial"/>
        </w:rPr>
        <w:tab/>
        <w:t>Schedule 1, clause 98</w:t>
      </w:r>
    </w:p>
    <w:p w14:paraId="71508C15" w14:textId="6C4615D8" w:rsidR="00FD0D67" w:rsidRPr="00373688" w:rsidRDefault="000E4F1D" w:rsidP="00FD0D67">
      <w:pPr>
        <w:tabs>
          <w:tab w:val="left" w:pos="425"/>
        </w:tabs>
        <w:spacing w:before="240"/>
        <w:rPr>
          <w:rFonts w:ascii="Arial" w:hAnsi="Arial" w:cs="Arial"/>
          <w:sz w:val="24"/>
          <w:szCs w:val="24"/>
        </w:rPr>
      </w:pPr>
      <w:r w:rsidRPr="00373688">
        <w:rPr>
          <w:rFonts w:ascii="Arial" w:hAnsi="Arial" w:cs="Arial"/>
          <w:sz w:val="24"/>
          <w:szCs w:val="24"/>
        </w:rPr>
        <w:t xml:space="preserve">This amendment </w:t>
      </w:r>
      <w:r w:rsidR="00814BB6" w:rsidRPr="00373688">
        <w:rPr>
          <w:rFonts w:ascii="Arial" w:hAnsi="Arial" w:cs="Arial"/>
          <w:sz w:val="24"/>
          <w:szCs w:val="24"/>
        </w:rPr>
        <w:t>clarifies the</w:t>
      </w:r>
      <w:r w:rsidRPr="00373688">
        <w:rPr>
          <w:rFonts w:ascii="Arial" w:hAnsi="Arial" w:cs="Arial"/>
          <w:sz w:val="24"/>
          <w:szCs w:val="24"/>
        </w:rPr>
        <w:t xml:space="preserve"> rules around service of notices. </w:t>
      </w:r>
      <w:r w:rsidR="00FD0D67" w:rsidRPr="00373688">
        <w:rPr>
          <w:rFonts w:ascii="Arial" w:hAnsi="Arial" w:cs="Arial"/>
          <w:sz w:val="24"/>
          <w:szCs w:val="24"/>
        </w:rPr>
        <w:t xml:space="preserve">The amendment inserts new clause 98 and requires that at the commencement of a tenancy, lessors and tenants must give </w:t>
      </w:r>
      <w:r w:rsidR="00F76C7E" w:rsidRPr="00373688">
        <w:rPr>
          <w:rFonts w:ascii="Arial" w:hAnsi="Arial" w:cs="Arial"/>
          <w:sz w:val="24"/>
          <w:szCs w:val="24"/>
        </w:rPr>
        <w:t>each other</w:t>
      </w:r>
      <w:r w:rsidR="00FD0D67" w:rsidRPr="00373688">
        <w:rPr>
          <w:rFonts w:ascii="Arial" w:hAnsi="Arial" w:cs="Arial"/>
          <w:sz w:val="24"/>
          <w:szCs w:val="24"/>
        </w:rPr>
        <w:t xml:space="preserve">: an address for the service of termination notices, and an address for the service of any other notice. </w:t>
      </w:r>
      <w:r w:rsidR="00992162" w:rsidRPr="00373688">
        <w:rPr>
          <w:rFonts w:ascii="Arial" w:hAnsi="Arial" w:cs="Arial"/>
          <w:sz w:val="24"/>
          <w:szCs w:val="24"/>
        </w:rPr>
        <w:t>The law requires that notices to vacate must be served personally or via post (and cannot be served via email).</w:t>
      </w:r>
    </w:p>
    <w:p w14:paraId="37576D6B" w14:textId="15233899" w:rsidR="00FF79E0" w:rsidRPr="00373688" w:rsidRDefault="00FD0D67" w:rsidP="00992162">
      <w:pPr>
        <w:tabs>
          <w:tab w:val="left" w:pos="425"/>
        </w:tabs>
        <w:spacing w:before="240"/>
        <w:rPr>
          <w:rFonts w:ascii="Arial" w:hAnsi="Arial" w:cs="Arial"/>
          <w:sz w:val="24"/>
          <w:szCs w:val="24"/>
        </w:rPr>
      </w:pPr>
      <w:r w:rsidRPr="00373688">
        <w:rPr>
          <w:rFonts w:ascii="Arial" w:hAnsi="Arial" w:cs="Arial"/>
          <w:sz w:val="24"/>
          <w:szCs w:val="24"/>
        </w:rPr>
        <w:t>This change is intended to highlight at the outset for the parties the difference between termination notices, and other types of notices (e.g. notices of routine inspections and notices to remedy).</w:t>
      </w:r>
      <w:r w:rsidR="00992162" w:rsidRPr="00373688">
        <w:rPr>
          <w:rFonts w:ascii="Arial" w:hAnsi="Arial" w:cs="Arial"/>
          <w:sz w:val="24"/>
          <w:szCs w:val="24"/>
        </w:rPr>
        <w:t xml:space="preserve"> </w:t>
      </w:r>
      <w:r w:rsidRPr="00373688">
        <w:rPr>
          <w:rFonts w:ascii="Arial" w:hAnsi="Arial" w:cs="Arial"/>
          <w:sz w:val="24"/>
          <w:szCs w:val="24"/>
        </w:rPr>
        <w:t xml:space="preserve">This </w:t>
      </w:r>
      <w:bookmarkStart w:id="8" w:name="_Hlk140140193"/>
      <w:r w:rsidRPr="00373688">
        <w:rPr>
          <w:rFonts w:ascii="Arial" w:hAnsi="Arial" w:cs="Arial"/>
          <w:sz w:val="24"/>
          <w:szCs w:val="24"/>
        </w:rPr>
        <w:t>promot</w:t>
      </w:r>
      <w:r w:rsidR="00992162" w:rsidRPr="00373688">
        <w:rPr>
          <w:rFonts w:ascii="Arial" w:hAnsi="Arial" w:cs="Arial"/>
          <w:sz w:val="24"/>
          <w:szCs w:val="24"/>
        </w:rPr>
        <w:t>es</w:t>
      </w:r>
      <w:r w:rsidRPr="00373688">
        <w:rPr>
          <w:rFonts w:ascii="Arial" w:hAnsi="Arial" w:cs="Arial"/>
          <w:sz w:val="24"/>
          <w:szCs w:val="24"/>
        </w:rPr>
        <w:t xml:space="preserve"> awareness of the stricter service rule for termination notices, while permitting flexibility for other types of notices.</w:t>
      </w:r>
      <w:bookmarkEnd w:id="8"/>
    </w:p>
    <w:p w14:paraId="1266D5EC" w14:textId="3C85E543" w:rsidR="00C07CA4" w:rsidRPr="00373688" w:rsidRDefault="00C07CA4">
      <w:pPr>
        <w:pStyle w:val="Heading3"/>
        <w:rPr>
          <w:rFonts w:cs="Arial"/>
        </w:rPr>
      </w:pPr>
      <w:r w:rsidRPr="00373688">
        <w:rPr>
          <w:rFonts w:cs="Arial"/>
        </w:rPr>
        <w:t>Clause 4</w:t>
      </w:r>
      <w:r w:rsidR="00C372F5">
        <w:rPr>
          <w:rFonts w:cs="Arial"/>
        </w:rPr>
        <w:t>2</w:t>
      </w:r>
      <w:r w:rsidRPr="00373688">
        <w:rPr>
          <w:rFonts w:cs="Arial"/>
        </w:rPr>
        <w:tab/>
        <w:t>Schedule 2, new clause 106A</w:t>
      </w:r>
    </w:p>
    <w:p w14:paraId="3B510061" w14:textId="3BA9063A" w:rsidR="00992162" w:rsidRPr="00373688" w:rsidRDefault="00992162" w:rsidP="0008679A">
      <w:pPr>
        <w:rPr>
          <w:rFonts w:ascii="Arial" w:hAnsi="Arial" w:cs="Arial"/>
          <w:sz w:val="24"/>
          <w:szCs w:val="24"/>
        </w:rPr>
      </w:pPr>
      <w:r w:rsidRPr="00373688">
        <w:rPr>
          <w:rFonts w:ascii="Arial" w:hAnsi="Arial" w:cs="Arial"/>
          <w:sz w:val="24"/>
          <w:szCs w:val="24"/>
        </w:rPr>
        <w:t xml:space="preserve">This clause inserts new clause 106A into Schedule 2 of the Act, to rectify an oversight in the </w:t>
      </w:r>
      <w:r w:rsidRPr="00373688">
        <w:rPr>
          <w:rFonts w:ascii="Arial" w:hAnsi="Arial" w:cs="Arial"/>
          <w:i/>
          <w:iCs/>
          <w:sz w:val="24"/>
          <w:szCs w:val="24"/>
        </w:rPr>
        <w:t>Residential Tenancies Legislation Amendment Act 2023</w:t>
      </w:r>
      <w:r w:rsidRPr="00373688">
        <w:rPr>
          <w:rFonts w:ascii="Arial" w:hAnsi="Arial" w:cs="Arial"/>
          <w:sz w:val="24"/>
          <w:szCs w:val="24"/>
        </w:rPr>
        <w:t>.</w:t>
      </w:r>
    </w:p>
    <w:p w14:paraId="18D4B5B7" w14:textId="2374EA3E" w:rsidR="0058748E" w:rsidRPr="00373688" w:rsidRDefault="0008679A" w:rsidP="0008679A">
      <w:pPr>
        <w:rPr>
          <w:rFonts w:ascii="Arial" w:hAnsi="Arial" w:cs="Arial"/>
          <w:sz w:val="24"/>
          <w:szCs w:val="24"/>
        </w:rPr>
      </w:pPr>
      <w:r w:rsidRPr="00373688">
        <w:rPr>
          <w:rFonts w:ascii="Arial" w:hAnsi="Arial" w:cs="Arial"/>
          <w:sz w:val="24"/>
          <w:szCs w:val="24"/>
        </w:rPr>
        <w:lastRenderedPageBreak/>
        <w:t xml:space="preserve">The 2023 </w:t>
      </w:r>
      <w:r w:rsidR="00992162" w:rsidRPr="00373688">
        <w:rPr>
          <w:rFonts w:ascii="Arial" w:hAnsi="Arial" w:cs="Arial"/>
          <w:sz w:val="24"/>
          <w:szCs w:val="24"/>
        </w:rPr>
        <w:t>Amendment Act</w:t>
      </w:r>
      <w:r w:rsidRPr="00373688">
        <w:rPr>
          <w:rFonts w:ascii="Arial" w:hAnsi="Arial" w:cs="Arial"/>
          <w:sz w:val="24"/>
          <w:szCs w:val="24"/>
        </w:rPr>
        <w:t xml:space="preserve"> created new grounds for the Commissioner for Social Housing </w:t>
      </w:r>
      <w:r w:rsidR="0058748E" w:rsidRPr="00373688">
        <w:rPr>
          <w:rFonts w:ascii="Arial" w:hAnsi="Arial" w:cs="Arial"/>
          <w:sz w:val="24"/>
          <w:szCs w:val="24"/>
        </w:rPr>
        <w:t xml:space="preserve">(the </w:t>
      </w:r>
      <w:r w:rsidR="0058748E" w:rsidRPr="00373688">
        <w:rPr>
          <w:rFonts w:ascii="Arial" w:hAnsi="Arial" w:cs="Arial"/>
          <w:b/>
          <w:bCs/>
          <w:sz w:val="24"/>
          <w:szCs w:val="24"/>
        </w:rPr>
        <w:t>Commissioner</w:t>
      </w:r>
      <w:r w:rsidR="0058748E" w:rsidRPr="00373688">
        <w:rPr>
          <w:rFonts w:ascii="Arial" w:hAnsi="Arial" w:cs="Arial"/>
          <w:sz w:val="24"/>
          <w:szCs w:val="24"/>
        </w:rPr>
        <w:t xml:space="preserve">) </w:t>
      </w:r>
      <w:r w:rsidRPr="00373688">
        <w:rPr>
          <w:rFonts w:ascii="Arial" w:hAnsi="Arial" w:cs="Arial"/>
          <w:sz w:val="24"/>
          <w:szCs w:val="24"/>
        </w:rPr>
        <w:t xml:space="preserve">to terminate tenancies, to promote the efficient management of public housing stock, following the removal of ‘no cause’ evictions which the Commissioner used in limited circumstances. One of those new grounds permits the Commissioner to terminate a tenancy where a person is receiving temporary housing assistance but is found not to be eligible for ongoing assistance under Housing ACT legislation. Temporary housing assistance is used following a breakdown in tenancy situation, such as where a tenant dies and another resident remains in the property. </w:t>
      </w:r>
    </w:p>
    <w:p w14:paraId="643EC607" w14:textId="0CAB917A" w:rsidR="0058748E" w:rsidRPr="00373688" w:rsidRDefault="0058748E" w:rsidP="0058748E">
      <w:pPr>
        <w:tabs>
          <w:tab w:val="left" w:pos="425"/>
        </w:tabs>
        <w:spacing w:before="240"/>
        <w:rPr>
          <w:rFonts w:ascii="Arial" w:hAnsi="Arial" w:cs="Arial"/>
          <w:sz w:val="24"/>
          <w:szCs w:val="24"/>
        </w:rPr>
      </w:pPr>
      <w:r w:rsidRPr="00373688">
        <w:rPr>
          <w:rFonts w:ascii="Arial" w:hAnsi="Arial" w:cs="Arial"/>
          <w:sz w:val="24"/>
          <w:szCs w:val="24"/>
        </w:rPr>
        <w:t xml:space="preserve">However, the </w:t>
      </w:r>
      <w:r w:rsidR="00992162" w:rsidRPr="00373688">
        <w:rPr>
          <w:rFonts w:ascii="Arial" w:hAnsi="Arial" w:cs="Arial"/>
          <w:sz w:val="24"/>
          <w:szCs w:val="24"/>
        </w:rPr>
        <w:t xml:space="preserve">2023 Amendment Act </w:t>
      </w:r>
      <w:r w:rsidRPr="00373688">
        <w:rPr>
          <w:rFonts w:ascii="Arial" w:hAnsi="Arial" w:cs="Arial"/>
          <w:sz w:val="24"/>
          <w:szCs w:val="24"/>
        </w:rPr>
        <w:t>did not provide for the situation where a person who is receiving temporary housing assistance fails to apply for ongoing assistance, despite being required by the Commissioner for Social Housing to do so. In such circumstances, the Commissioner cannot assess the person’s eligibility. It is important for the Commissioner to be able to end the tenancy, so the property may be reallocated to a person who is eligible for assistance.</w:t>
      </w:r>
    </w:p>
    <w:p w14:paraId="5582F720" w14:textId="1F9C478A" w:rsidR="0008679A" w:rsidRPr="00373688" w:rsidRDefault="0008679A" w:rsidP="0008679A">
      <w:pPr>
        <w:rPr>
          <w:rFonts w:ascii="Arial" w:hAnsi="Arial" w:cs="Arial"/>
          <w:sz w:val="24"/>
          <w:szCs w:val="24"/>
        </w:rPr>
      </w:pPr>
      <w:r w:rsidRPr="00373688">
        <w:rPr>
          <w:rFonts w:ascii="Arial" w:hAnsi="Arial" w:cs="Arial"/>
          <w:sz w:val="24"/>
          <w:szCs w:val="24"/>
        </w:rPr>
        <w:t xml:space="preserve">This amendment clarifies that if a tenant in public housing who is receiving temporary housing assistance does not apply for ongoing housing assistance within </w:t>
      </w:r>
      <w:r w:rsidR="0058748E" w:rsidRPr="00373688">
        <w:rPr>
          <w:rFonts w:ascii="Arial" w:hAnsi="Arial" w:cs="Arial"/>
          <w:sz w:val="24"/>
          <w:szCs w:val="24"/>
        </w:rPr>
        <w:t>6 weeks</w:t>
      </w:r>
      <w:r w:rsidR="00992162" w:rsidRPr="00373688">
        <w:rPr>
          <w:rFonts w:ascii="Arial" w:hAnsi="Arial" w:cs="Arial"/>
          <w:sz w:val="24"/>
          <w:szCs w:val="24"/>
        </w:rPr>
        <w:t xml:space="preserve"> after the start of the temporary housing assistance</w:t>
      </w:r>
      <w:r w:rsidRPr="00373688">
        <w:rPr>
          <w:rFonts w:ascii="Arial" w:hAnsi="Arial" w:cs="Arial"/>
          <w:sz w:val="24"/>
          <w:szCs w:val="24"/>
        </w:rPr>
        <w:t>, then the Commissioner can issue them with a notice to vacate the property</w:t>
      </w:r>
      <w:r w:rsidR="00992162" w:rsidRPr="00373688">
        <w:rPr>
          <w:rFonts w:ascii="Arial" w:hAnsi="Arial" w:cs="Arial"/>
          <w:sz w:val="24"/>
          <w:szCs w:val="24"/>
        </w:rPr>
        <w:t xml:space="preserve"> within 26 weeks</w:t>
      </w:r>
      <w:r w:rsidRPr="00373688">
        <w:rPr>
          <w:rFonts w:ascii="Arial" w:hAnsi="Arial" w:cs="Arial"/>
          <w:sz w:val="24"/>
          <w:szCs w:val="24"/>
        </w:rPr>
        <w:t>.</w:t>
      </w:r>
      <w:r w:rsidR="00D8793D" w:rsidRPr="00373688">
        <w:rPr>
          <w:rFonts w:ascii="Arial" w:hAnsi="Arial" w:cs="Arial"/>
          <w:sz w:val="24"/>
          <w:szCs w:val="24"/>
        </w:rPr>
        <w:t xml:space="preserve"> If the tenant applies for ongoing housing assistance in this period, and the Commissioner determines that they are not eligible for assistance, the Commissioner may give the tenant a second notice to vacate for the later of: the end of the 26 week notice period under the first notice to vacate, or 12 weeks.</w:t>
      </w:r>
    </w:p>
    <w:p w14:paraId="5D702D44" w14:textId="678085C8" w:rsidR="0008679A" w:rsidRPr="00373688" w:rsidRDefault="0008679A" w:rsidP="0008679A">
      <w:pPr>
        <w:rPr>
          <w:rFonts w:ascii="Arial" w:hAnsi="Arial" w:cs="Arial"/>
          <w:sz w:val="24"/>
          <w:szCs w:val="24"/>
        </w:rPr>
      </w:pPr>
      <w:r w:rsidRPr="00373688">
        <w:rPr>
          <w:rFonts w:ascii="Arial" w:hAnsi="Arial" w:cs="Arial"/>
          <w:sz w:val="24"/>
          <w:szCs w:val="24"/>
        </w:rPr>
        <w:t xml:space="preserve">The amendment </w:t>
      </w:r>
      <w:r w:rsidR="00D8793D" w:rsidRPr="00373688">
        <w:rPr>
          <w:rFonts w:ascii="Arial" w:hAnsi="Arial" w:cs="Arial"/>
          <w:sz w:val="24"/>
          <w:szCs w:val="24"/>
        </w:rPr>
        <w:t>provides</w:t>
      </w:r>
      <w:r w:rsidRPr="00373688">
        <w:rPr>
          <w:rFonts w:ascii="Arial" w:hAnsi="Arial" w:cs="Arial"/>
          <w:sz w:val="24"/>
          <w:szCs w:val="24"/>
        </w:rPr>
        <w:t xml:space="preserve"> safeguards for tenants</w:t>
      </w:r>
      <w:r w:rsidR="00992162" w:rsidRPr="00373688">
        <w:rPr>
          <w:rFonts w:ascii="Arial" w:hAnsi="Arial" w:cs="Arial"/>
          <w:sz w:val="24"/>
          <w:szCs w:val="24"/>
        </w:rPr>
        <w:t xml:space="preserve">, </w:t>
      </w:r>
      <w:r w:rsidRPr="00373688">
        <w:rPr>
          <w:rFonts w:ascii="Arial" w:hAnsi="Arial" w:cs="Arial"/>
          <w:sz w:val="24"/>
          <w:szCs w:val="24"/>
        </w:rPr>
        <w:t>which include a requirement for the notice to vacate to include the detail of legal and advocacy support services</w:t>
      </w:r>
      <w:r w:rsidR="00992162" w:rsidRPr="00373688">
        <w:rPr>
          <w:rFonts w:ascii="Arial" w:hAnsi="Arial" w:cs="Arial"/>
          <w:sz w:val="24"/>
          <w:szCs w:val="24"/>
        </w:rPr>
        <w:t xml:space="preserve"> and provision for the notice to vacate to be automatically withdrawn where the tenant applies for ongoing housing assistance within the 26 week notice period</w:t>
      </w:r>
      <w:r w:rsidRPr="00373688">
        <w:rPr>
          <w:rFonts w:ascii="Arial" w:hAnsi="Arial" w:cs="Arial"/>
          <w:sz w:val="24"/>
          <w:szCs w:val="24"/>
        </w:rPr>
        <w:t xml:space="preserve">. </w:t>
      </w:r>
    </w:p>
    <w:p w14:paraId="556D2479" w14:textId="0E096A95" w:rsidR="00C07CA4" w:rsidRPr="00373688" w:rsidRDefault="00C07CA4">
      <w:pPr>
        <w:pStyle w:val="Heading3"/>
        <w:rPr>
          <w:rFonts w:cs="Arial"/>
        </w:rPr>
      </w:pPr>
      <w:r w:rsidRPr="00373688">
        <w:rPr>
          <w:rFonts w:cs="Arial"/>
        </w:rPr>
        <w:t>Clause 4</w:t>
      </w:r>
      <w:r w:rsidR="00C372F5">
        <w:rPr>
          <w:rFonts w:cs="Arial"/>
        </w:rPr>
        <w:t>3</w:t>
      </w:r>
      <w:r w:rsidRPr="00373688">
        <w:rPr>
          <w:rFonts w:cs="Arial"/>
        </w:rPr>
        <w:tab/>
        <w:t>Schedule 2, clause 107 (1) to (3)</w:t>
      </w:r>
    </w:p>
    <w:p w14:paraId="5F0FC59F" w14:textId="0473E05D" w:rsidR="00B346DC" w:rsidRPr="00373688" w:rsidRDefault="00BB70DE" w:rsidP="00B346DC">
      <w:pPr>
        <w:rPr>
          <w:rFonts w:ascii="Arial" w:hAnsi="Arial" w:cs="Arial"/>
          <w:sz w:val="24"/>
          <w:szCs w:val="24"/>
        </w:rPr>
      </w:pPr>
      <w:r w:rsidRPr="00373688">
        <w:rPr>
          <w:rFonts w:ascii="Arial" w:hAnsi="Arial" w:cs="Arial"/>
          <w:sz w:val="24"/>
          <w:szCs w:val="24"/>
        </w:rPr>
        <w:t xml:space="preserve">For clarity of interpretation, this amendment makes minor and technical changes to the layout of the provision and </w:t>
      </w:r>
      <w:r w:rsidR="00B346DC" w:rsidRPr="00373688">
        <w:rPr>
          <w:rFonts w:ascii="Arial" w:hAnsi="Arial" w:cs="Arial"/>
          <w:sz w:val="24"/>
          <w:szCs w:val="24"/>
        </w:rPr>
        <w:t xml:space="preserve">substitutes ‘lessor’ with ‘housing commissioner’. </w:t>
      </w:r>
    </w:p>
    <w:p w14:paraId="3C7BB1BC" w14:textId="39262A20" w:rsidR="001E4D50" w:rsidRDefault="001E4D50">
      <w:pPr>
        <w:pStyle w:val="Heading3"/>
        <w:rPr>
          <w:rFonts w:cs="Arial"/>
        </w:rPr>
      </w:pPr>
      <w:r w:rsidRPr="00FF51A4">
        <w:rPr>
          <w:rFonts w:cs="Arial"/>
        </w:rPr>
        <w:t>Clause 4</w:t>
      </w:r>
      <w:r w:rsidR="00C372F5">
        <w:rPr>
          <w:rFonts w:cs="Arial"/>
        </w:rPr>
        <w:t>4</w:t>
      </w:r>
      <w:r w:rsidRPr="00FF51A4">
        <w:rPr>
          <w:rFonts w:cs="Arial"/>
        </w:rPr>
        <w:tab/>
        <w:t xml:space="preserve">Dictionary, definition of </w:t>
      </w:r>
      <w:r w:rsidRPr="00FF51A4">
        <w:rPr>
          <w:rFonts w:cs="Arial"/>
          <w:i/>
          <w:iCs/>
        </w:rPr>
        <w:t>defective termination notice</w:t>
      </w:r>
      <w:r w:rsidRPr="00FF51A4">
        <w:rPr>
          <w:rFonts w:cs="Arial"/>
        </w:rPr>
        <w:t xml:space="preserve">, </w:t>
      </w:r>
      <w:r w:rsidRPr="00FF51A4">
        <w:rPr>
          <w:rFonts w:cs="Arial"/>
        </w:rPr>
        <w:br/>
      </w:r>
      <w:r w:rsidRPr="00FF51A4">
        <w:rPr>
          <w:rFonts w:cs="Arial"/>
        </w:rPr>
        <w:tab/>
      </w:r>
      <w:r w:rsidRPr="00FF51A4">
        <w:rPr>
          <w:rFonts w:cs="Arial"/>
        </w:rPr>
        <w:tab/>
        <w:t>paragraph (c), new notes</w:t>
      </w:r>
    </w:p>
    <w:p w14:paraId="4D4615CD" w14:textId="71805DD2" w:rsidR="00FF51A4" w:rsidRPr="0037048D" w:rsidRDefault="00FF51A4" w:rsidP="00FF51A4">
      <w:pPr>
        <w:rPr>
          <w:rFonts w:ascii="Arial" w:hAnsi="Arial" w:cs="Arial"/>
          <w:sz w:val="24"/>
          <w:szCs w:val="24"/>
        </w:rPr>
      </w:pPr>
      <w:r w:rsidRPr="0037048D">
        <w:rPr>
          <w:rFonts w:ascii="Arial" w:hAnsi="Arial" w:cs="Arial"/>
          <w:sz w:val="24"/>
          <w:szCs w:val="24"/>
        </w:rPr>
        <w:t xml:space="preserve">This clause inserts a new note in the dictionary under the definition of </w:t>
      </w:r>
      <w:r w:rsidRPr="0037048D">
        <w:rPr>
          <w:rFonts w:ascii="Arial" w:hAnsi="Arial" w:cs="Arial"/>
          <w:i/>
          <w:iCs/>
          <w:sz w:val="24"/>
          <w:szCs w:val="24"/>
        </w:rPr>
        <w:t>defective termination notice</w:t>
      </w:r>
      <w:r w:rsidRPr="0037048D">
        <w:rPr>
          <w:rFonts w:ascii="Arial" w:hAnsi="Arial" w:cs="Arial"/>
          <w:sz w:val="24"/>
          <w:szCs w:val="24"/>
        </w:rPr>
        <w:t>. The purpose of this note is to draw the reader</w:t>
      </w:r>
      <w:r w:rsidR="00477BBD">
        <w:rPr>
          <w:rFonts w:ascii="Arial" w:hAnsi="Arial" w:cs="Arial"/>
          <w:sz w:val="24"/>
          <w:szCs w:val="24"/>
        </w:rPr>
        <w:t>’</w:t>
      </w:r>
      <w:r w:rsidRPr="0037048D">
        <w:rPr>
          <w:rFonts w:ascii="Arial" w:hAnsi="Arial" w:cs="Arial"/>
          <w:sz w:val="24"/>
          <w:szCs w:val="24"/>
        </w:rPr>
        <w:t>s attention to the potential for subordinate legislation</w:t>
      </w:r>
      <w:r w:rsidR="00477BBD">
        <w:rPr>
          <w:rFonts w:ascii="Arial" w:hAnsi="Arial" w:cs="Arial"/>
          <w:sz w:val="24"/>
          <w:szCs w:val="24"/>
        </w:rPr>
        <w:t xml:space="preserve">, including the </w:t>
      </w:r>
      <w:r w:rsidR="00477BBD">
        <w:rPr>
          <w:rFonts w:ascii="Arial" w:hAnsi="Arial" w:cs="Arial"/>
          <w:i/>
          <w:iCs/>
          <w:sz w:val="24"/>
          <w:szCs w:val="24"/>
        </w:rPr>
        <w:t>Residential Tenancies Regulation 1998</w:t>
      </w:r>
      <w:r w:rsidR="00477BBD">
        <w:rPr>
          <w:rFonts w:ascii="Arial" w:hAnsi="Arial" w:cs="Arial"/>
          <w:sz w:val="24"/>
          <w:szCs w:val="24"/>
        </w:rPr>
        <w:t>,</w:t>
      </w:r>
      <w:r w:rsidRPr="0037048D">
        <w:rPr>
          <w:rFonts w:ascii="Arial" w:hAnsi="Arial" w:cs="Arial"/>
          <w:sz w:val="24"/>
          <w:szCs w:val="24"/>
        </w:rPr>
        <w:t xml:space="preserve"> to</w:t>
      </w:r>
      <w:r w:rsidR="00477BBD">
        <w:rPr>
          <w:rFonts w:ascii="Arial" w:hAnsi="Arial" w:cs="Arial"/>
          <w:sz w:val="24"/>
          <w:szCs w:val="24"/>
        </w:rPr>
        <w:t xml:space="preserve"> contain rules that</w:t>
      </w:r>
      <w:r w:rsidRPr="0037048D">
        <w:rPr>
          <w:rFonts w:ascii="Arial" w:hAnsi="Arial" w:cs="Arial"/>
          <w:sz w:val="24"/>
          <w:szCs w:val="24"/>
        </w:rPr>
        <w:t xml:space="preserve"> apply to provisions in the Act. </w:t>
      </w:r>
    </w:p>
    <w:p w14:paraId="0F4D1724" w14:textId="1B7D8C5C" w:rsidR="005D6FE6" w:rsidRPr="00373688" w:rsidRDefault="00771B23" w:rsidP="005D6FE6">
      <w:pPr>
        <w:pStyle w:val="Heading2"/>
        <w:rPr>
          <w:rFonts w:cs="Arial"/>
          <w:szCs w:val="24"/>
        </w:rPr>
      </w:pPr>
      <w:r w:rsidRPr="00373688">
        <w:rPr>
          <w:rFonts w:cs="Arial"/>
          <w:szCs w:val="24"/>
        </w:rPr>
        <w:lastRenderedPageBreak/>
        <w:t>Part 15</w:t>
      </w:r>
      <w:r w:rsidRPr="00373688">
        <w:rPr>
          <w:rFonts w:cs="Arial"/>
          <w:szCs w:val="24"/>
        </w:rPr>
        <w:tab/>
        <w:t>Residential Tenancies Regulation 1998</w:t>
      </w:r>
    </w:p>
    <w:p w14:paraId="4B8428EB" w14:textId="72B09E5F" w:rsidR="00C07CA4" w:rsidRPr="00373688" w:rsidRDefault="00C07CA4">
      <w:pPr>
        <w:pStyle w:val="Heading3"/>
        <w:rPr>
          <w:rFonts w:cs="Arial"/>
          <w:i/>
          <w:iCs/>
        </w:rPr>
      </w:pPr>
      <w:r w:rsidRPr="00373688">
        <w:rPr>
          <w:rFonts w:cs="Arial"/>
        </w:rPr>
        <w:t>Clause 4</w:t>
      </w:r>
      <w:r w:rsidR="00C372F5">
        <w:rPr>
          <w:rFonts w:cs="Arial"/>
        </w:rPr>
        <w:t>5</w:t>
      </w:r>
      <w:r w:rsidRPr="00373688">
        <w:rPr>
          <w:rFonts w:cs="Arial"/>
        </w:rPr>
        <w:tab/>
      </w:r>
      <w:r w:rsidR="001E4D50" w:rsidRPr="00373688">
        <w:rPr>
          <w:rFonts w:cs="Arial"/>
        </w:rPr>
        <w:t>Section 5A</w:t>
      </w:r>
    </w:p>
    <w:p w14:paraId="101B45FC" w14:textId="62419FD7" w:rsidR="00037E47" w:rsidRPr="00373688" w:rsidRDefault="005A0F94" w:rsidP="00037E47">
      <w:pPr>
        <w:tabs>
          <w:tab w:val="left" w:pos="425"/>
        </w:tabs>
        <w:spacing w:before="240"/>
        <w:rPr>
          <w:rFonts w:ascii="Arial" w:hAnsi="Arial" w:cs="Arial"/>
          <w:sz w:val="24"/>
          <w:szCs w:val="24"/>
        </w:rPr>
      </w:pPr>
      <w:r w:rsidRPr="00373688">
        <w:rPr>
          <w:rFonts w:ascii="Arial" w:hAnsi="Arial" w:cs="Arial"/>
          <w:sz w:val="24"/>
          <w:szCs w:val="24"/>
        </w:rPr>
        <w:t>This amendment</w:t>
      </w:r>
      <w:r w:rsidR="00477BBD">
        <w:rPr>
          <w:rFonts w:ascii="Arial" w:hAnsi="Arial" w:cs="Arial"/>
          <w:sz w:val="24"/>
          <w:szCs w:val="24"/>
        </w:rPr>
        <w:t xml:space="preserve"> substitutes new section 5A, to</w:t>
      </w:r>
      <w:r w:rsidRPr="00373688">
        <w:rPr>
          <w:rFonts w:ascii="Arial" w:hAnsi="Arial" w:cs="Arial"/>
          <w:sz w:val="24"/>
          <w:szCs w:val="24"/>
        </w:rPr>
        <w:t xml:space="preserve"> </w:t>
      </w:r>
      <w:r w:rsidR="00037E47" w:rsidRPr="00373688">
        <w:rPr>
          <w:rFonts w:ascii="Arial" w:hAnsi="Arial" w:cs="Arial"/>
          <w:sz w:val="24"/>
          <w:szCs w:val="24"/>
        </w:rPr>
        <w:t>clarif</w:t>
      </w:r>
      <w:r w:rsidR="00477BBD">
        <w:rPr>
          <w:rFonts w:ascii="Arial" w:hAnsi="Arial" w:cs="Arial"/>
          <w:sz w:val="24"/>
          <w:szCs w:val="24"/>
        </w:rPr>
        <w:t>y</w:t>
      </w:r>
      <w:r w:rsidR="00037E47" w:rsidRPr="00373688">
        <w:rPr>
          <w:rFonts w:ascii="Arial" w:hAnsi="Arial" w:cs="Arial"/>
          <w:sz w:val="24"/>
          <w:szCs w:val="24"/>
        </w:rPr>
        <w:t xml:space="preserve"> the rules around rent increases in periodic tenancies. </w:t>
      </w:r>
    </w:p>
    <w:p w14:paraId="1BA1072E" w14:textId="040A534A" w:rsidR="005D6FE6" w:rsidRPr="00373688" w:rsidRDefault="00037E47" w:rsidP="00037E47">
      <w:pPr>
        <w:tabs>
          <w:tab w:val="left" w:pos="425"/>
        </w:tabs>
        <w:spacing w:before="240"/>
        <w:rPr>
          <w:rFonts w:ascii="Arial" w:hAnsi="Arial" w:cs="Arial"/>
          <w:sz w:val="24"/>
          <w:szCs w:val="24"/>
        </w:rPr>
      </w:pPr>
      <w:r w:rsidRPr="00373688">
        <w:rPr>
          <w:rFonts w:ascii="Arial" w:hAnsi="Arial" w:cs="Arial"/>
          <w:sz w:val="24"/>
          <w:szCs w:val="24"/>
        </w:rPr>
        <w:t>Currently, the formula in the Regulation does not confirm the end date to be used in the calculation of the prescribed amount. Because landlords must give tenants 8</w:t>
      </w:r>
      <w:r w:rsidR="00477BBD">
        <w:rPr>
          <w:rFonts w:ascii="Arial" w:hAnsi="Arial" w:cs="Arial"/>
          <w:sz w:val="24"/>
          <w:szCs w:val="24"/>
        </w:rPr>
        <w:t> </w:t>
      </w:r>
      <w:r w:rsidRPr="00373688">
        <w:rPr>
          <w:rFonts w:ascii="Arial" w:hAnsi="Arial" w:cs="Arial"/>
          <w:sz w:val="24"/>
          <w:szCs w:val="24"/>
        </w:rPr>
        <w:t xml:space="preserve">weeks’ notice of a proposed rent increase, it is unclear whether the landlord may seek to rely on the increase in CPI </w:t>
      </w:r>
      <w:r w:rsidR="00477BBD">
        <w:rPr>
          <w:rFonts w:ascii="Arial" w:hAnsi="Arial" w:cs="Arial"/>
          <w:sz w:val="24"/>
          <w:szCs w:val="24"/>
        </w:rPr>
        <w:t>using the most recently published CPI data</w:t>
      </w:r>
      <w:r w:rsidRPr="00373688">
        <w:rPr>
          <w:rFonts w:ascii="Arial" w:hAnsi="Arial" w:cs="Arial"/>
          <w:sz w:val="24"/>
          <w:szCs w:val="24"/>
        </w:rPr>
        <w:t xml:space="preserve"> </w:t>
      </w:r>
      <w:r w:rsidR="00477BBD">
        <w:rPr>
          <w:rFonts w:ascii="Arial" w:hAnsi="Arial" w:cs="Arial"/>
          <w:sz w:val="24"/>
          <w:szCs w:val="24"/>
        </w:rPr>
        <w:t>at</w:t>
      </w:r>
      <w:r w:rsidRPr="00373688">
        <w:rPr>
          <w:rFonts w:ascii="Arial" w:hAnsi="Arial" w:cs="Arial"/>
          <w:sz w:val="24"/>
          <w:szCs w:val="24"/>
        </w:rPr>
        <w:t xml:space="preserve"> the point at which the notice is issued, or </w:t>
      </w:r>
      <w:r w:rsidR="00477BBD">
        <w:rPr>
          <w:rFonts w:ascii="Arial" w:hAnsi="Arial" w:cs="Arial"/>
          <w:sz w:val="24"/>
          <w:szCs w:val="24"/>
        </w:rPr>
        <w:t>at</w:t>
      </w:r>
      <w:r w:rsidRPr="00373688">
        <w:rPr>
          <w:rFonts w:ascii="Arial" w:hAnsi="Arial" w:cs="Arial"/>
          <w:sz w:val="24"/>
          <w:szCs w:val="24"/>
        </w:rPr>
        <w:t xml:space="preserve"> the</w:t>
      </w:r>
      <w:r w:rsidR="00477BBD">
        <w:rPr>
          <w:rFonts w:ascii="Arial" w:hAnsi="Arial" w:cs="Arial"/>
          <w:sz w:val="24"/>
          <w:szCs w:val="24"/>
        </w:rPr>
        <w:t xml:space="preserve"> point when the</w:t>
      </w:r>
      <w:r w:rsidRPr="00373688">
        <w:rPr>
          <w:rFonts w:ascii="Arial" w:hAnsi="Arial" w:cs="Arial"/>
          <w:sz w:val="24"/>
          <w:szCs w:val="24"/>
        </w:rPr>
        <w:t xml:space="preserve"> rent increase takes effect. This amendment confirms that the correct date to be used when calculating the prescribed amount is the date the rent increase notice is issued. </w:t>
      </w:r>
    </w:p>
    <w:p w14:paraId="5CF47F3B" w14:textId="3B102229" w:rsidR="006A6929" w:rsidRPr="00373688" w:rsidRDefault="00771B23" w:rsidP="00AE509D">
      <w:pPr>
        <w:pStyle w:val="Heading2"/>
        <w:rPr>
          <w:rFonts w:cs="Arial"/>
          <w:szCs w:val="24"/>
        </w:rPr>
      </w:pPr>
      <w:r w:rsidRPr="00373688">
        <w:rPr>
          <w:rFonts w:cs="Arial"/>
          <w:szCs w:val="24"/>
        </w:rPr>
        <w:t>Part 16</w:t>
      </w:r>
      <w:r w:rsidRPr="00373688">
        <w:rPr>
          <w:rFonts w:cs="Arial"/>
          <w:szCs w:val="24"/>
        </w:rPr>
        <w:tab/>
        <w:t>Supreme Court Act 1933</w:t>
      </w:r>
    </w:p>
    <w:p w14:paraId="6A8E7AE3" w14:textId="2D45F8EB" w:rsidR="00C07CA4" w:rsidRPr="00373688" w:rsidRDefault="00C07CA4" w:rsidP="00D8793D">
      <w:pPr>
        <w:pStyle w:val="Heading3"/>
        <w:ind w:left="1440" w:hanging="1440"/>
        <w:rPr>
          <w:rFonts w:cs="Arial"/>
        </w:rPr>
      </w:pPr>
      <w:r w:rsidRPr="00373688">
        <w:rPr>
          <w:rFonts w:cs="Arial"/>
        </w:rPr>
        <w:t>Clause 4</w:t>
      </w:r>
      <w:r w:rsidR="00C372F5">
        <w:rPr>
          <w:rFonts w:cs="Arial"/>
        </w:rPr>
        <w:t>6</w:t>
      </w:r>
      <w:r w:rsidRPr="00373688">
        <w:rPr>
          <w:rFonts w:cs="Arial"/>
        </w:rPr>
        <w:tab/>
      </w:r>
      <w:r w:rsidR="00D8793D" w:rsidRPr="00373688">
        <w:rPr>
          <w:rFonts w:cs="Arial"/>
        </w:rPr>
        <w:t>Vexatious litigants</w:t>
      </w:r>
      <w:r w:rsidR="00D8793D" w:rsidRPr="00373688">
        <w:rPr>
          <w:rFonts w:cs="Arial"/>
        </w:rPr>
        <w:br/>
      </w:r>
      <w:r w:rsidRPr="00373688">
        <w:rPr>
          <w:rFonts w:cs="Arial"/>
        </w:rPr>
        <w:t>Section 67A (3) and (4)</w:t>
      </w:r>
    </w:p>
    <w:p w14:paraId="5C94DC6E" w14:textId="2A88599E" w:rsidR="00516CF2" w:rsidRPr="00373688" w:rsidRDefault="00516CF2" w:rsidP="00AE509D">
      <w:pPr>
        <w:rPr>
          <w:rFonts w:ascii="Arial" w:hAnsi="Arial" w:cs="Arial"/>
        </w:rPr>
      </w:pPr>
      <w:r w:rsidRPr="00373688">
        <w:rPr>
          <w:rFonts w:ascii="Arial" w:hAnsi="Arial" w:cs="Arial"/>
          <w:sz w:val="24"/>
          <w:szCs w:val="24"/>
        </w:rPr>
        <w:t xml:space="preserve">This clause omits section 67A (3) and (4). Section 48 of the </w:t>
      </w:r>
      <w:r w:rsidRPr="00373688">
        <w:rPr>
          <w:rFonts w:ascii="Arial" w:hAnsi="Arial" w:cs="Arial"/>
          <w:i/>
          <w:iCs/>
          <w:sz w:val="24"/>
          <w:szCs w:val="24"/>
        </w:rPr>
        <w:t>Legislation Act 2001</w:t>
      </w:r>
      <w:r w:rsidRPr="00373688">
        <w:rPr>
          <w:rFonts w:ascii="Arial" w:hAnsi="Arial" w:cs="Arial"/>
          <w:sz w:val="24"/>
          <w:szCs w:val="24"/>
        </w:rPr>
        <w:t xml:space="preserve"> provides general provisions governing notifiable instruments and these requirements are duplicated in section 67A (3) and (4). To ensure consistency across the statute book, these provisions will be omitted</w:t>
      </w:r>
      <w:r w:rsidR="00D8793D" w:rsidRPr="00373688">
        <w:rPr>
          <w:rFonts w:ascii="Arial" w:hAnsi="Arial" w:cs="Arial"/>
          <w:sz w:val="24"/>
          <w:szCs w:val="24"/>
        </w:rPr>
        <w:t>,</w:t>
      </w:r>
      <w:r w:rsidRPr="00373688">
        <w:rPr>
          <w:rFonts w:ascii="Arial" w:hAnsi="Arial" w:cs="Arial"/>
          <w:sz w:val="24"/>
          <w:szCs w:val="24"/>
        </w:rPr>
        <w:t xml:space="preserve"> with the new note inserted in clause 4</w:t>
      </w:r>
      <w:r w:rsidR="00675551">
        <w:rPr>
          <w:rFonts w:ascii="Arial" w:hAnsi="Arial" w:cs="Arial"/>
          <w:sz w:val="24"/>
          <w:szCs w:val="24"/>
        </w:rPr>
        <w:t>7</w:t>
      </w:r>
      <w:r w:rsidRPr="00373688">
        <w:rPr>
          <w:rFonts w:ascii="Arial" w:hAnsi="Arial" w:cs="Arial"/>
          <w:sz w:val="24"/>
          <w:szCs w:val="24"/>
        </w:rPr>
        <w:t xml:space="preserve"> of the </w:t>
      </w:r>
      <w:r w:rsidR="00F426A1" w:rsidRPr="00373688">
        <w:rPr>
          <w:rFonts w:ascii="Arial" w:hAnsi="Arial" w:cs="Arial"/>
          <w:sz w:val="24"/>
          <w:szCs w:val="24"/>
        </w:rPr>
        <w:t xml:space="preserve">Bill indicating these powers are contained in section 48 of the Legislation Act. </w:t>
      </w:r>
    </w:p>
    <w:p w14:paraId="1C71EEB0" w14:textId="56EE32C2" w:rsidR="00C07CA4" w:rsidRPr="00373688" w:rsidRDefault="00C07CA4">
      <w:pPr>
        <w:pStyle w:val="Heading3"/>
        <w:rPr>
          <w:rFonts w:cs="Arial"/>
        </w:rPr>
      </w:pPr>
      <w:r w:rsidRPr="00373688">
        <w:rPr>
          <w:rFonts w:cs="Arial"/>
        </w:rPr>
        <w:t>Clause 4</w:t>
      </w:r>
      <w:r w:rsidR="00C372F5">
        <w:rPr>
          <w:rFonts w:cs="Arial"/>
        </w:rPr>
        <w:t>7</w:t>
      </w:r>
      <w:r w:rsidRPr="00373688">
        <w:rPr>
          <w:rFonts w:cs="Arial"/>
        </w:rPr>
        <w:tab/>
        <w:t xml:space="preserve">Section 67A (10) </w:t>
      </w:r>
      <w:r w:rsidR="001E4D50" w:rsidRPr="00373688">
        <w:rPr>
          <w:rFonts w:cs="Arial"/>
        </w:rPr>
        <w:t>and</w:t>
      </w:r>
      <w:r w:rsidRPr="00373688">
        <w:rPr>
          <w:rFonts w:cs="Arial"/>
        </w:rPr>
        <w:t xml:space="preserve"> note</w:t>
      </w:r>
    </w:p>
    <w:p w14:paraId="0E19C446" w14:textId="254EF3ED" w:rsidR="00AB5A6D" w:rsidRPr="00373688" w:rsidRDefault="00A538EC" w:rsidP="00AB5A6D">
      <w:pPr>
        <w:rPr>
          <w:rFonts w:ascii="Arial" w:hAnsi="Arial" w:cs="Arial"/>
          <w:sz w:val="24"/>
          <w:szCs w:val="24"/>
        </w:rPr>
      </w:pPr>
      <w:r w:rsidRPr="00373688">
        <w:rPr>
          <w:rFonts w:ascii="Arial" w:hAnsi="Arial" w:cs="Arial"/>
          <w:sz w:val="24"/>
          <w:szCs w:val="24"/>
        </w:rPr>
        <w:t>This clause substitutes section 67A (1</w:t>
      </w:r>
      <w:r w:rsidR="00E53189" w:rsidRPr="00373688">
        <w:rPr>
          <w:rFonts w:ascii="Arial" w:hAnsi="Arial" w:cs="Arial"/>
          <w:sz w:val="24"/>
          <w:szCs w:val="24"/>
        </w:rPr>
        <w:t>0</w:t>
      </w:r>
      <w:r w:rsidRPr="00373688">
        <w:rPr>
          <w:rFonts w:ascii="Arial" w:hAnsi="Arial" w:cs="Arial"/>
          <w:sz w:val="24"/>
          <w:szCs w:val="24"/>
        </w:rPr>
        <w:t xml:space="preserve">) and its note. </w:t>
      </w:r>
      <w:r w:rsidR="00F40038" w:rsidRPr="00373688">
        <w:rPr>
          <w:rFonts w:ascii="Arial" w:hAnsi="Arial" w:cs="Arial"/>
          <w:sz w:val="24"/>
          <w:szCs w:val="24"/>
        </w:rPr>
        <w:t>The current drafting of section</w:t>
      </w:r>
      <w:r w:rsidR="00D8793D" w:rsidRPr="00373688">
        <w:rPr>
          <w:rFonts w:ascii="Arial" w:hAnsi="Arial" w:cs="Arial"/>
          <w:sz w:val="24"/>
          <w:szCs w:val="24"/>
        </w:rPr>
        <w:t> </w:t>
      </w:r>
      <w:r w:rsidR="00F40038" w:rsidRPr="00373688">
        <w:rPr>
          <w:rFonts w:ascii="Arial" w:hAnsi="Arial" w:cs="Arial"/>
          <w:sz w:val="24"/>
          <w:szCs w:val="24"/>
        </w:rPr>
        <w:t xml:space="preserve">67A (10) requires a court order making, varying or revoking a declaration of a person as a vexatious litigant to be a notifiable instrument, subject to any order of the court. </w:t>
      </w:r>
    </w:p>
    <w:p w14:paraId="29E5C0AF" w14:textId="0E0A6D3E" w:rsidR="00F40038" w:rsidRPr="00373688" w:rsidRDefault="00F40038">
      <w:pPr>
        <w:rPr>
          <w:rFonts w:ascii="Arial" w:hAnsi="Arial" w:cs="Arial"/>
          <w:sz w:val="24"/>
          <w:szCs w:val="24"/>
        </w:rPr>
      </w:pPr>
      <w:r w:rsidRPr="00373688">
        <w:rPr>
          <w:rFonts w:ascii="Arial" w:hAnsi="Arial" w:cs="Arial"/>
          <w:sz w:val="24"/>
          <w:szCs w:val="24"/>
        </w:rPr>
        <w:t xml:space="preserve">This amendment clarifies that only </w:t>
      </w:r>
      <w:r w:rsidR="00D8793D" w:rsidRPr="00373688">
        <w:rPr>
          <w:rFonts w:ascii="Arial" w:hAnsi="Arial" w:cs="Arial"/>
          <w:sz w:val="24"/>
          <w:szCs w:val="24"/>
        </w:rPr>
        <w:t>the</w:t>
      </w:r>
      <w:r w:rsidRPr="00373688">
        <w:rPr>
          <w:rFonts w:ascii="Arial" w:hAnsi="Arial" w:cs="Arial"/>
          <w:sz w:val="24"/>
          <w:szCs w:val="24"/>
        </w:rPr>
        <w:t xml:space="preserve"> declaration, and not a</w:t>
      </w:r>
      <w:r w:rsidR="00D55F1E" w:rsidRPr="00373688">
        <w:rPr>
          <w:rFonts w:ascii="Arial" w:hAnsi="Arial" w:cs="Arial"/>
          <w:sz w:val="24"/>
          <w:szCs w:val="24"/>
        </w:rPr>
        <w:t xml:space="preserve">n order of the court, should be notified. This will promote efficiency for the Supreme Court to be able to declare people as vexatious litigants and make it easier for the Court to update notifiable instruments if further conditions are imposed on a vexatious litigant, or if the declaration should apply to more matters. </w:t>
      </w:r>
    </w:p>
    <w:p w14:paraId="3D086EA0" w14:textId="3260B0BC" w:rsidR="00E53189" w:rsidRPr="00373688" w:rsidRDefault="00E53189" w:rsidP="00E53189">
      <w:pPr>
        <w:rPr>
          <w:rFonts w:ascii="Arial" w:hAnsi="Arial" w:cs="Arial"/>
          <w:sz w:val="24"/>
          <w:szCs w:val="24"/>
        </w:rPr>
      </w:pPr>
      <w:r w:rsidRPr="00373688">
        <w:rPr>
          <w:rFonts w:ascii="Arial" w:hAnsi="Arial" w:cs="Arial"/>
          <w:sz w:val="24"/>
          <w:szCs w:val="24"/>
        </w:rPr>
        <w:t xml:space="preserve">This clause </w:t>
      </w:r>
      <w:r w:rsidR="00B92752" w:rsidRPr="00373688">
        <w:rPr>
          <w:rFonts w:ascii="Arial" w:hAnsi="Arial" w:cs="Arial"/>
          <w:sz w:val="24"/>
          <w:szCs w:val="24"/>
        </w:rPr>
        <w:t xml:space="preserve">also </w:t>
      </w:r>
      <w:r w:rsidRPr="00373688">
        <w:rPr>
          <w:rFonts w:ascii="Arial" w:hAnsi="Arial" w:cs="Arial"/>
          <w:sz w:val="24"/>
          <w:szCs w:val="24"/>
        </w:rPr>
        <w:t>inserts a new note in section 67A (</w:t>
      </w:r>
      <w:r w:rsidR="00B92752" w:rsidRPr="00373688">
        <w:rPr>
          <w:rFonts w:ascii="Arial" w:hAnsi="Arial" w:cs="Arial"/>
          <w:sz w:val="24"/>
          <w:szCs w:val="24"/>
        </w:rPr>
        <w:t>10</w:t>
      </w:r>
      <w:r w:rsidRPr="00373688">
        <w:rPr>
          <w:rFonts w:ascii="Arial" w:hAnsi="Arial" w:cs="Arial"/>
          <w:sz w:val="24"/>
          <w:szCs w:val="24"/>
        </w:rPr>
        <w:t xml:space="preserve">) to support the changes being made in </w:t>
      </w:r>
      <w:r w:rsidR="00F0045B">
        <w:rPr>
          <w:rFonts w:ascii="Arial" w:hAnsi="Arial" w:cs="Arial"/>
          <w:sz w:val="24"/>
          <w:szCs w:val="24"/>
        </w:rPr>
        <w:t>c</w:t>
      </w:r>
      <w:r w:rsidRPr="00373688">
        <w:rPr>
          <w:rFonts w:ascii="Arial" w:hAnsi="Arial" w:cs="Arial"/>
          <w:sz w:val="24"/>
          <w:szCs w:val="24"/>
        </w:rPr>
        <w:t>lause 4</w:t>
      </w:r>
      <w:r w:rsidR="00675551">
        <w:rPr>
          <w:rFonts w:ascii="Arial" w:hAnsi="Arial" w:cs="Arial"/>
          <w:sz w:val="24"/>
          <w:szCs w:val="24"/>
        </w:rPr>
        <w:t>6</w:t>
      </w:r>
      <w:r w:rsidRPr="00373688">
        <w:rPr>
          <w:rFonts w:ascii="Arial" w:hAnsi="Arial" w:cs="Arial"/>
          <w:sz w:val="24"/>
          <w:szCs w:val="24"/>
        </w:rPr>
        <w:t xml:space="preserve"> to omit sections 67A (3) and (4).</w:t>
      </w:r>
    </w:p>
    <w:p w14:paraId="0111C8A3" w14:textId="1406ACFB" w:rsidR="00E53189" w:rsidRPr="00373688" w:rsidRDefault="00E53189" w:rsidP="00AE509D">
      <w:pPr>
        <w:rPr>
          <w:rFonts w:ascii="Arial" w:hAnsi="Arial" w:cs="Arial"/>
          <w:sz w:val="24"/>
          <w:szCs w:val="24"/>
        </w:rPr>
      </w:pPr>
      <w:r w:rsidRPr="00373688">
        <w:rPr>
          <w:rFonts w:ascii="Arial" w:hAnsi="Arial" w:cs="Arial"/>
          <w:sz w:val="24"/>
          <w:szCs w:val="24"/>
        </w:rPr>
        <w:t xml:space="preserve">This note is being introduced to ensure any individuals who read this provision, such as individuals who may have been declared a self-represented litigant, can understand the provisions governing a declaration and understand that a declaration can include certain conditions, or only apply to a particular matter.   </w:t>
      </w:r>
    </w:p>
    <w:p w14:paraId="40ADD0B7" w14:textId="029F304A" w:rsidR="00771B23" w:rsidRPr="00373688" w:rsidRDefault="00771B23">
      <w:pPr>
        <w:pStyle w:val="Heading2"/>
        <w:rPr>
          <w:rFonts w:cs="Arial"/>
          <w:szCs w:val="24"/>
        </w:rPr>
      </w:pPr>
      <w:r w:rsidRPr="00373688">
        <w:rPr>
          <w:rFonts w:cs="Arial"/>
          <w:szCs w:val="24"/>
        </w:rPr>
        <w:lastRenderedPageBreak/>
        <w:t>Part 17</w:t>
      </w:r>
      <w:r w:rsidRPr="00373688">
        <w:rPr>
          <w:rFonts w:cs="Arial"/>
          <w:szCs w:val="24"/>
        </w:rPr>
        <w:tab/>
        <w:t>Trustee Act 1925</w:t>
      </w:r>
    </w:p>
    <w:p w14:paraId="2DBE957B" w14:textId="1AE31062" w:rsidR="00C07CA4" w:rsidRPr="00373688" w:rsidRDefault="00C07CA4">
      <w:pPr>
        <w:pStyle w:val="Heading3"/>
        <w:rPr>
          <w:rFonts w:cs="Arial"/>
        </w:rPr>
      </w:pPr>
      <w:r w:rsidRPr="00373688">
        <w:rPr>
          <w:rFonts w:cs="Arial"/>
        </w:rPr>
        <w:t xml:space="preserve">Clause </w:t>
      </w:r>
      <w:r w:rsidR="00C372F5">
        <w:rPr>
          <w:rFonts w:cs="Arial"/>
        </w:rPr>
        <w:t>48</w:t>
      </w:r>
      <w:r w:rsidRPr="00373688">
        <w:rPr>
          <w:rFonts w:cs="Arial"/>
        </w:rPr>
        <w:tab/>
        <w:t>Distribution after notice</w:t>
      </w:r>
      <w:r w:rsidRPr="00373688">
        <w:rPr>
          <w:rFonts w:cs="Arial"/>
        </w:rPr>
        <w:br/>
      </w:r>
      <w:r w:rsidRPr="00373688">
        <w:rPr>
          <w:rFonts w:cs="Arial"/>
        </w:rPr>
        <w:tab/>
      </w:r>
      <w:r w:rsidRPr="00373688">
        <w:rPr>
          <w:rFonts w:cs="Arial"/>
        </w:rPr>
        <w:tab/>
        <w:t>Section 60 (2)</w:t>
      </w:r>
    </w:p>
    <w:p w14:paraId="6194F6F5" w14:textId="35450F44" w:rsidR="00BE23B7" w:rsidRPr="00373688" w:rsidRDefault="00BE23B7" w:rsidP="00BE23B7">
      <w:pPr>
        <w:rPr>
          <w:rFonts w:ascii="Arial" w:hAnsi="Arial" w:cs="Arial"/>
          <w:sz w:val="24"/>
          <w:szCs w:val="24"/>
        </w:rPr>
      </w:pPr>
      <w:r w:rsidRPr="00373688">
        <w:rPr>
          <w:rFonts w:ascii="Arial" w:hAnsi="Arial" w:cs="Arial"/>
          <w:sz w:val="24"/>
          <w:szCs w:val="24"/>
        </w:rPr>
        <w:t xml:space="preserve">This clause updates the wording of section 60 (2) of the </w:t>
      </w:r>
      <w:r w:rsidRPr="00373688">
        <w:rPr>
          <w:rFonts w:ascii="Arial" w:hAnsi="Arial" w:cs="Arial"/>
          <w:i/>
          <w:iCs/>
          <w:sz w:val="24"/>
          <w:szCs w:val="24"/>
        </w:rPr>
        <w:t>Trustee Act 1925</w:t>
      </w:r>
      <w:r w:rsidRPr="00373688">
        <w:rPr>
          <w:rFonts w:ascii="Arial" w:hAnsi="Arial" w:cs="Arial"/>
          <w:sz w:val="24"/>
          <w:szCs w:val="24"/>
        </w:rPr>
        <w:t xml:space="preserve">, which refers to section 64 of the </w:t>
      </w:r>
      <w:r w:rsidRPr="00373688">
        <w:rPr>
          <w:rFonts w:ascii="Arial" w:hAnsi="Arial" w:cs="Arial"/>
          <w:i/>
          <w:iCs/>
          <w:sz w:val="24"/>
          <w:szCs w:val="24"/>
        </w:rPr>
        <w:t>Administration and Probate Act 1929</w:t>
      </w:r>
      <w:r w:rsidRPr="00373688">
        <w:rPr>
          <w:rFonts w:ascii="Arial" w:hAnsi="Arial" w:cs="Arial"/>
          <w:sz w:val="24"/>
          <w:szCs w:val="24"/>
        </w:rPr>
        <w:t xml:space="preserve">, so that it is clear that the public notice process in section 64 is optional and not mandatory. This is a minor consequential amendment to clause </w:t>
      </w:r>
      <w:r w:rsidR="00477BBD">
        <w:rPr>
          <w:rFonts w:ascii="Arial" w:hAnsi="Arial" w:cs="Arial"/>
          <w:sz w:val="24"/>
          <w:szCs w:val="24"/>
        </w:rPr>
        <w:t>8</w:t>
      </w:r>
      <w:r w:rsidRPr="00373688">
        <w:rPr>
          <w:rFonts w:ascii="Arial" w:hAnsi="Arial" w:cs="Arial"/>
          <w:sz w:val="24"/>
          <w:szCs w:val="24"/>
        </w:rPr>
        <w:t>.</w:t>
      </w:r>
    </w:p>
    <w:p w14:paraId="5D5095FF" w14:textId="0438F871" w:rsidR="00771B23" w:rsidRPr="00373688" w:rsidRDefault="00771B23">
      <w:pPr>
        <w:pStyle w:val="Heading2"/>
        <w:rPr>
          <w:rFonts w:cs="Arial"/>
          <w:szCs w:val="24"/>
        </w:rPr>
      </w:pPr>
      <w:r w:rsidRPr="00373688">
        <w:rPr>
          <w:rFonts w:cs="Arial"/>
          <w:szCs w:val="24"/>
        </w:rPr>
        <w:t>Part 18</w:t>
      </w:r>
      <w:r w:rsidRPr="00373688">
        <w:rPr>
          <w:rFonts w:cs="Arial"/>
          <w:szCs w:val="24"/>
        </w:rPr>
        <w:tab/>
        <w:t>Unit Titles (Management) Act 2011</w:t>
      </w:r>
    </w:p>
    <w:p w14:paraId="6C099884" w14:textId="669C45FA" w:rsidR="00C07CA4" w:rsidRPr="00373688" w:rsidRDefault="00C07CA4" w:rsidP="00BE23B7">
      <w:pPr>
        <w:pStyle w:val="Heading3"/>
        <w:rPr>
          <w:rFonts w:cs="Arial"/>
        </w:rPr>
      </w:pPr>
      <w:r w:rsidRPr="00373688">
        <w:rPr>
          <w:rFonts w:cs="Arial"/>
        </w:rPr>
        <w:t xml:space="preserve">Clause </w:t>
      </w:r>
      <w:r w:rsidR="00C372F5">
        <w:rPr>
          <w:rFonts w:cs="Arial"/>
        </w:rPr>
        <w:t>49</w:t>
      </w:r>
      <w:r w:rsidRPr="00373688">
        <w:rPr>
          <w:rFonts w:cs="Arial"/>
        </w:rPr>
        <w:tab/>
        <w:t>Notice of reduced quorum decisions and adjournments</w:t>
      </w:r>
      <w:r w:rsidRPr="00373688">
        <w:rPr>
          <w:rFonts w:cs="Arial"/>
        </w:rPr>
        <w:br/>
      </w:r>
      <w:r w:rsidRPr="00373688">
        <w:rPr>
          <w:rFonts w:cs="Arial"/>
        </w:rPr>
        <w:tab/>
      </w:r>
      <w:r w:rsidRPr="00373688">
        <w:rPr>
          <w:rFonts w:cs="Arial"/>
        </w:rPr>
        <w:tab/>
        <w:t>Section</w:t>
      </w:r>
      <w:r w:rsidR="001E4D50" w:rsidRPr="00373688">
        <w:rPr>
          <w:rFonts w:cs="Arial"/>
        </w:rPr>
        <w:t xml:space="preserve"> 3, section</w:t>
      </w:r>
      <w:r w:rsidRPr="00373688">
        <w:rPr>
          <w:rFonts w:cs="Arial"/>
        </w:rPr>
        <w:t xml:space="preserve"> 3.10 (1)</w:t>
      </w:r>
    </w:p>
    <w:p w14:paraId="7542A90C" w14:textId="1F526187" w:rsidR="009E284F" w:rsidRPr="00373688" w:rsidRDefault="00A4228A" w:rsidP="009E284F">
      <w:pPr>
        <w:rPr>
          <w:rFonts w:ascii="Arial" w:hAnsi="Arial" w:cs="Arial"/>
          <w:sz w:val="24"/>
          <w:szCs w:val="24"/>
        </w:rPr>
      </w:pPr>
      <w:r w:rsidRPr="00373688">
        <w:rPr>
          <w:rFonts w:ascii="Arial" w:hAnsi="Arial" w:cs="Arial"/>
          <w:sz w:val="24"/>
          <w:szCs w:val="24"/>
        </w:rPr>
        <w:t>Schedule 3</w:t>
      </w:r>
      <w:r w:rsidR="0063132F" w:rsidRPr="00373688">
        <w:rPr>
          <w:rFonts w:ascii="Arial" w:hAnsi="Arial" w:cs="Arial"/>
          <w:sz w:val="24"/>
          <w:szCs w:val="24"/>
        </w:rPr>
        <w:t>, section 3.10</w:t>
      </w:r>
      <w:r w:rsidRPr="00373688">
        <w:rPr>
          <w:rFonts w:ascii="Arial" w:hAnsi="Arial" w:cs="Arial"/>
          <w:sz w:val="24"/>
          <w:szCs w:val="24"/>
        </w:rPr>
        <w:t xml:space="preserve"> of the </w:t>
      </w:r>
      <w:r w:rsidRPr="00373688">
        <w:rPr>
          <w:rFonts w:ascii="Arial" w:hAnsi="Arial" w:cs="Arial"/>
          <w:i/>
          <w:iCs/>
          <w:sz w:val="24"/>
          <w:szCs w:val="24"/>
        </w:rPr>
        <w:t>Unit Titles (Management) Act 2011</w:t>
      </w:r>
      <w:r w:rsidRPr="00373688">
        <w:rPr>
          <w:rFonts w:ascii="Arial" w:hAnsi="Arial" w:cs="Arial"/>
          <w:sz w:val="24"/>
          <w:szCs w:val="24"/>
        </w:rPr>
        <w:t xml:space="preserve"> (</w:t>
      </w:r>
      <w:r w:rsidRPr="00373688">
        <w:rPr>
          <w:rFonts w:ascii="Arial" w:hAnsi="Arial" w:cs="Arial"/>
          <w:b/>
          <w:bCs/>
          <w:sz w:val="24"/>
          <w:szCs w:val="24"/>
        </w:rPr>
        <w:t>UTMA</w:t>
      </w:r>
      <w:r w:rsidRPr="00373688">
        <w:rPr>
          <w:rFonts w:ascii="Arial" w:hAnsi="Arial" w:cs="Arial"/>
          <w:sz w:val="24"/>
          <w:szCs w:val="24"/>
        </w:rPr>
        <w:t>) imposes strict notice requirements for decisions made at reduced quorum meetings of an owners</w:t>
      </w:r>
      <w:r w:rsidR="00B12381" w:rsidRPr="00373688">
        <w:rPr>
          <w:rFonts w:ascii="Arial" w:hAnsi="Arial" w:cs="Arial"/>
          <w:sz w:val="24"/>
          <w:szCs w:val="24"/>
        </w:rPr>
        <w:t>’</w:t>
      </w:r>
      <w:r w:rsidRPr="00373688">
        <w:rPr>
          <w:rFonts w:ascii="Arial" w:hAnsi="Arial" w:cs="Arial"/>
          <w:sz w:val="24"/>
          <w:szCs w:val="24"/>
        </w:rPr>
        <w:t xml:space="preserve"> corporation. </w:t>
      </w:r>
      <w:r w:rsidR="00D8793D" w:rsidRPr="00373688">
        <w:rPr>
          <w:rFonts w:ascii="Arial" w:hAnsi="Arial" w:cs="Arial"/>
          <w:sz w:val="24"/>
          <w:szCs w:val="24"/>
        </w:rPr>
        <w:t xml:space="preserve">Stakeholders have advised that in </w:t>
      </w:r>
      <w:r w:rsidR="0063132F" w:rsidRPr="00373688">
        <w:rPr>
          <w:rFonts w:ascii="Arial" w:hAnsi="Arial" w:cs="Arial"/>
          <w:sz w:val="24"/>
          <w:szCs w:val="24"/>
        </w:rPr>
        <w:t>many</w:t>
      </w:r>
      <w:r w:rsidR="00D8793D" w:rsidRPr="00373688">
        <w:rPr>
          <w:rFonts w:ascii="Arial" w:hAnsi="Arial" w:cs="Arial"/>
          <w:sz w:val="24"/>
          <w:szCs w:val="24"/>
        </w:rPr>
        <w:t xml:space="preserve"> unit-titled buildings, it is very difficult to get quorum (as many apartment owners do not attend meetings) and that, in practice, reduced quorum meetings are the norm.</w:t>
      </w:r>
    </w:p>
    <w:p w14:paraId="24A635CE" w14:textId="3B0A33BD" w:rsidR="0063132F" w:rsidRPr="00373688" w:rsidRDefault="00A4228A" w:rsidP="009E284F">
      <w:pPr>
        <w:rPr>
          <w:rFonts w:ascii="Arial" w:hAnsi="Arial" w:cs="Arial"/>
          <w:sz w:val="24"/>
          <w:szCs w:val="24"/>
        </w:rPr>
      </w:pPr>
      <w:r w:rsidRPr="00373688">
        <w:rPr>
          <w:rFonts w:ascii="Arial" w:hAnsi="Arial" w:cs="Arial"/>
          <w:sz w:val="24"/>
          <w:szCs w:val="24"/>
        </w:rPr>
        <w:t xml:space="preserve">Currently, the UTMA provides that unit owners must receive notice of decisions made at a reduced quorum meeting </w:t>
      </w:r>
      <w:r w:rsidR="001B5AA7" w:rsidRPr="00373688">
        <w:rPr>
          <w:rFonts w:ascii="Arial" w:hAnsi="Arial" w:cs="Arial"/>
          <w:sz w:val="24"/>
          <w:szCs w:val="24"/>
        </w:rPr>
        <w:t>of an owners</w:t>
      </w:r>
      <w:r w:rsidR="00B12381" w:rsidRPr="00373688">
        <w:rPr>
          <w:rFonts w:ascii="Arial" w:hAnsi="Arial" w:cs="Arial"/>
          <w:sz w:val="24"/>
          <w:szCs w:val="24"/>
        </w:rPr>
        <w:t>’</w:t>
      </w:r>
      <w:r w:rsidR="001B5AA7" w:rsidRPr="00373688">
        <w:rPr>
          <w:rFonts w:ascii="Arial" w:hAnsi="Arial" w:cs="Arial"/>
          <w:sz w:val="24"/>
          <w:szCs w:val="24"/>
        </w:rPr>
        <w:t xml:space="preserve"> corporation </w:t>
      </w:r>
      <w:r w:rsidRPr="00373688">
        <w:rPr>
          <w:rFonts w:ascii="Arial" w:hAnsi="Arial" w:cs="Arial"/>
          <w:sz w:val="24"/>
          <w:szCs w:val="24"/>
        </w:rPr>
        <w:t>within 7 days after the meeting. The purpose of this is to enable owners to challenge the reduced quorum decision</w:t>
      </w:r>
      <w:r w:rsidR="0063132F" w:rsidRPr="00373688">
        <w:rPr>
          <w:rFonts w:ascii="Arial" w:hAnsi="Arial" w:cs="Arial"/>
          <w:sz w:val="24"/>
          <w:szCs w:val="24"/>
        </w:rPr>
        <w:t>, pursuant to the petition process in section 3.11 in Schedule 3</w:t>
      </w:r>
      <w:r w:rsidRPr="00373688">
        <w:rPr>
          <w:rFonts w:ascii="Arial" w:hAnsi="Arial" w:cs="Arial"/>
          <w:sz w:val="24"/>
          <w:szCs w:val="24"/>
        </w:rPr>
        <w:t xml:space="preserve">. </w:t>
      </w:r>
      <w:r w:rsidR="00D8793D" w:rsidRPr="00373688">
        <w:rPr>
          <w:rFonts w:ascii="Arial" w:hAnsi="Arial" w:cs="Arial"/>
          <w:sz w:val="24"/>
          <w:szCs w:val="24"/>
        </w:rPr>
        <w:t xml:space="preserve">Stakeholder feedback indicates that in practice, owners very rarely do so. </w:t>
      </w:r>
      <w:r w:rsidRPr="00373688">
        <w:rPr>
          <w:rFonts w:ascii="Arial" w:hAnsi="Arial" w:cs="Arial"/>
          <w:sz w:val="24"/>
          <w:szCs w:val="24"/>
        </w:rPr>
        <w:t xml:space="preserve">However, where </w:t>
      </w:r>
      <w:r w:rsidR="0063132F" w:rsidRPr="00373688">
        <w:rPr>
          <w:rFonts w:ascii="Arial" w:hAnsi="Arial" w:cs="Arial"/>
          <w:sz w:val="24"/>
          <w:szCs w:val="24"/>
        </w:rPr>
        <w:t xml:space="preserve">an owner does not provide an </w:t>
      </w:r>
      <w:r w:rsidRPr="00373688">
        <w:rPr>
          <w:rFonts w:ascii="Arial" w:hAnsi="Arial" w:cs="Arial"/>
          <w:sz w:val="24"/>
          <w:szCs w:val="24"/>
        </w:rPr>
        <w:t>email address for service of notices</w:t>
      </w:r>
      <w:r w:rsidR="0063132F" w:rsidRPr="00373688">
        <w:rPr>
          <w:rFonts w:ascii="Arial" w:hAnsi="Arial" w:cs="Arial"/>
          <w:sz w:val="24"/>
          <w:szCs w:val="24"/>
        </w:rPr>
        <w:t>,</w:t>
      </w:r>
      <w:r w:rsidRPr="00373688">
        <w:rPr>
          <w:rFonts w:ascii="Arial" w:hAnsi="Arial" w:cs="Arial"/>
          <w:sz w:val="24"/>
          <w:szCs w:val="24"/>
        </w:rPr>
        <w:t xml:space="preserve"> </w:t>
      </w:r>
      <w:r w:rsidR="0063132F" w:rsidRPr="00373688">
        <w:rPr>
          <w:rFonts w:ascii="Arial" w:hAnsi="Arial" w:cs="Arial"/>
          <w:sz w:val="24"/>
          <w:szCs w:val="24"/>
        </w:rPr>
        <w:t>this notice requirement is extremely difficult for owners</w:t>
      </w:r>
      <w:r w:rsidR="00B12381" w:rsidRPr="00373688">
        <w:rPr>
          <w:rFonts w:ascii="Arial" w:hAnsi="Arial" w:cs="Arial"/>
          <w:sz w:val="24"/>
          <w:szCs w:val="24"/>
        </w:rPr>
        <w:t>’</w:t>
      </w:r>
      <w:r w:rsidR="0063132F" w:rsidRPr="00373688">
        <w:rPr>
          <w:rFonts w:ascii="Arial" w:hAnsi="Arial" w:cs="Arial"/>
          <w:sz w:val="24"/>
          <w:szCs w:val="24"/>
        </w:rPr>
        <w:t xml:space="preserve"> corporations to meet,</w:t>
      </w:r>
      <w:r w:rsidRPr="00373688">
        <w:rPr>
          <w:rFonts w:ascii="Arial" w:hAnsi="Arial" w:cs="Arial"/>
          <w:sz w:val="24"/>
          <w:szCs w:val="24"/>
        </w:rPr>
        <w:t xml:space="preserve"> due to legislative </w:t>
      </w:r>
      <w:r w:rsidR="001B5AA7" w:rsidRPr="00373688">
        <w:rPr>
          <w:rFonts w:ascii="Arial" w:hAnsi="Arial" w:cs="Arial"/>
          <w:sz w:val="24"/>
          <w:szCs w:val="24"/>
        </w:rPr>
        <w:t xml:space="preserve">presumptions </w:t>
      </w:r>
      <w:r w:rsidRPr="00373688">
        <w:rPr>
          <w:rFonts w:ascii="Arial" w:hAnsi="Arial" w:cs="Arial"/>
          <w:sz w:val="24"/>
          <w:szCs w:val="24"/>
        </w:rPr>
        <w:t xml:space="preserve">that notices sent by post are received in 7 days. </w:t>
      </w:r>
    </w:p>
    <w:p w14:paraId="02F1C22D" w14:textId="42E302CF" w:rsidR="0063132F" w:rsidRPr="00373688" w:rsidRDefault="0063132F" w:rsidP="009E284F">
      <w:pPr>
        <w:rPr>
          <w:rFonts w:ascii="Arial" w:hAnsi="Arial" w:cs="Arial"/>
          <w:sz w:val="24"/>
          <w:szCs w:val="24"/>
        </w:rPr>
      </w:pPr>
      <w:r w:rsidRPr="00373688">
        <w:rPr>
          <w:rFonts w:ascii="Arial" w:hAnsi="Arial" w:cs="Arial"/>
          <w:sz w:val="24"/>
          <w:szCs w:val="24"/>
        </w:rPr>
        <w:t>A recent Tribunal decision (</w:t>
      </w:r>
      <w:proofErr w:type="spellStart"/>
      <w:r w:rsidRPr="00373688">
        <w:rPr>
          <w:rFonts w:ascii="Arial" w:hAnsi="Arial" w:cs="Arial"/>
          <w:i/>
          <w:iCs/>
          <w:sz w:val="24"/>
          <w:szCs w:val="24"/>
        </w:rPr>
        <w:t>Spedding</w:t>
      </w:r>
      <w:proofErr w:type="spellEnd"/>
      <w:r w:rsidRPr="00373688">
        <w:rPr>
          <w:rFonts w:ascii="Arial" w:hAnsi="Arial" w:cs="Arial"/>
          <w:i/>
          <w:iCs/>
          <w:sz w:val="24"/>
          <w:szCs w:val="24"/>
        </w:rPr>
        <w:t xml:space="preserve"> V The Owners – Units Plan 3941 (Unit Titles) </w:t>
      </w:r>
      <w:r w:rsidRPr="00373688">
        <w:rPr>
          <w:rFonts w:ascii="Arial" w:hAnsi="Arial" w:cs="Arial"/>
          <w:sz w:val="24"/>
          <w:szCs w:val="24"/>
        </w:rPr>
        <w:t xml:space="preserve">[2022] ACAT 49) confirmed that the UTMA rules operate to invalidate any decisions made at reduced quorum </w:t>
      </w:r>
      <w:r w:rsidR="00B12381" w:rsidRPr="00373688">
        <w:rPr>
          <w:rFonts w:ascii="Arial" w:hAnsi="Arial" w:cs="Arial"/>
          <w:sz w:val="24"/>
          <w:szCs w:val="24"/>
        </w:rPr>
        <w:t>owners’ corporation</w:t>
      </w:r>
      <w:r w:rsidRPr="00373688">
        <w:rPr>
          <w:rFonts w:ascii="Arial" w:hAnsi="Arial" w:cs="Arial"/>
          <w:sz w:val="24"/>
          <w:szCs w:val="24"/>
        </w:rPr>
        <w:t xml:space="preserve"> meetings if the notice requirement is not met. </w:t>
      </w:r>
    </w:p>
    <w:p w14:paraId="1E728C0A" w14:textId="4DC1CAE3" w:rsidR="001B5AA7" w:rsidRPr="00373688" w:rsidRDefault="0063132F" w:rsidP="009E284F">
      <w:pPr>
        <w:rPr>
          <w:rFonts w:ascii="Arial" w:hAnsi="Arial" w:cs="Arial"/>
          <w:sz w:val="24"/>
          <w:szCs w:val="24"/>
        </w:rPr>
      </w:pPr>
      <w:r w:rsidRPr="00373688">
        <w:rPr>
          <w:rFonts w:ascii="Arial" w:hAnsi="Arial" w:cs="Arial"/>
          <w:sz w:val="24"/>
          <w:szCs w:val="24"/>
        </w:rPr>
        <w:t>To support the effective operation of owners</w:t>
      </w:r>
      <w:r w:rsidR="00B12381" w:rsidRPr="00373688">
        <w:rPr>
          <w:rFonts w:ascii="Arial" w:hAnsi="Arial" w:cs="Arial"/>
          <w:sz w:val="24"/>
          <w:szCs w:val="24"/>
        </w:rPr>
        <w:t>’</w:t>
      </w:r>
      <w:r w:rsidRPr="00373688">
        <w:rPr>
          <w:rFonts w:ascii="Arial" w:hAnsi="Arial" w:cs="Arial"/>
          <w:sz w:val="24"/>
          <w:szCs w:val="24"/>
        </w:rPr>
        <w:t xml:space="preserve"> corporations and minimise the risk of reduced quorum decisions being found to be invalid, the Bill will </w:t>
      </w:r>
      <w:r w:rsidR="001B5AA7" w:rsidRPr="00373688">
        <w:rPr>
          <w:rFonts w:ascii="Arial" w:hAnsi="Arial" w:cs="Arial"/>
          <w:sz w:val="24"/>
          <w:szCs w:val="24"/>
        </w:rPr>
        <w:t>increas</w:t>
      </w:r>
      <w:r w:rsidRPr="00373688">
        <w:rPr>
          <w:rFonts w:ascii="Arial" w:hAnsi="Arial" w:cs="Arial"/>
          <w:sz w:val="24"/>
          <w:szCs w:val="24"/>
        </w:rPr>
        <w:t>e</w:t>
      </w:r>
      <w:r w:rsidR="001B5AA7" w:rsidRPr="00373688">
        <w:rPr>
          <w:rFonts w:ascii="Arial" w:hAnsi="Arial" w:cs="Arial"/>
          <w:sz w:val="24"/>
          <w:szCs w:val="24"/>
        </w:rPr>
        <w:t xml:space="preserve"> the timeframe for notices of a reduced quorum decision </w:t>
      </w:r>
      <w:r w:rsidRPr="00373688">
        <w:rPr>
          <w:rFonts w:ascii="Arial" w:hAnsi="Arial" w:cs="Arial"/>
          <w:sz w:val="24"/>
          <w:szCs w:val="24"/>
        </w:rPr>
        <w:t xml:space="preserve">to be sent </w:t>
      </w:r>
      <w:r w:rsidR="001B5AA7" w:rsidRPr="00373688">
        <w:rPr>
          <w:rFonts w:ascii="Arial" w:hAnsi="Arial" w:cs="Arial"/>
          <w:sz w:val="24"/>
          <w:szCs w:val="24"/>
        </w:rPr>
        <w:t>from 7 days to 14</w:t>
      </w:r>
      <w:r w:rsidRPr="00373688">
        <w:rPr>
          <w:rFonts w:ascii="Arial" w:hAnsi="Arial" w:cs="Arial"/>
          <w:sz w:val="24"/>
          <w:szCs w:val="24"/>
        </w:rPr>
        <w:t> </w:t>
      </w:r>
      <w:r w:rsidR="001B5AA7" w:rsidRPr="00373688">
        <w:rPr>
          <w:rFonts w:ascii="Arial" w:hAnsi="Arial" w:cs="Arial"/>
          <w:sz w:val="24"/>
          <w:szCs w:val="24"/>
        </w:rPr>
        <w:t xml:space="preserve">days. </w:t>
      </w:r>
    </w:p>
    <w:p w14:paraId="56BD7D07" w14:textId="754D84C1" w:rsidR="0063132F" w:rsidRPr="00373688" w:rsidRDefault="0063132F" w:rsidP="009E284F">
      <w:pPr>
        <w:rPr>
          <w:rFonts w:ascii="Arial" w:hAnsi="Arial" w:cs="Arial"/>
          <w:sz w:val="24"/>
          <w:szCs w:val="24"/>
        </w:rPr>
      </w:pPr>
      <w:r w:rsidRPr="00373688">
        <w:rPr>
          <w:rFonts w:ascii="Arial" w:hAnsi="Arial" w:cs="Arial"/>
          <w:sz w:val="24"/>
          <w:szCs w:val="24"/>
        </w:rPr>
        <w:t>Unit owners will retain the ability to institute a petition disallowing a reduced quorum decision within 28 days of it being made, pursuant to section 3.11 in Schedule 3.</w:t>
      </w:r>
    </w:p>
    <w:p w14:paraId="5C6CE056" w14:textId="7C0ABDBE" w:rsidR="00C07CA4" w:rsidRPr="00373688" w:rsidRDefault="00C07CA4">
      <w:pPr>
        <w:pStyle w:val="Heading3"/>
        <w:rPr>
          <w:rFonts w:cs="Arial"/>
        </w:rPr>
      </w:pPr>
      <w:r w:rsidRPr="00373688">
        <w:rPr>
          <w:rFonts w:cs="Arial"/>
        </w:rPr>
        <w:t xml:space="preserve">Clause </w:t>
      </w:r>
      <w:r w:rsidR="00C372F5">
        <w:rPr>
          <w:rFonts w:cs="Arial"/>
        </w:rPr>
        <w:t>50</w:t>
      </w:r>
      <w:r w:rsidRPr="00373688">
        <w:rPr>
          <w:rFonts w:cs="Arial"/>
        </w:rPr>
        <w:tab/>
        <w:t>New section 3.10 (1A)</w:t>
      </w:r>
    </w:p>
    <w:p w14:paraId="6783B726" w14:textId="5D632EE5" w:rsidR="001B5AA7" w:rsidRPr="00373688" w:rsidRDefault="0063132F" w:rsidP="001B5AA7">
      <w:pPr>
        <w:rPr>
          <w:rFonts w:ascii="Arial" w:hAnsi="Arial" w:cs="Arial"/>
          <w:sz w:val="24"/>
          <w:szCs w:val="24"/>
        </w:rPr>
      </w:pPr>
      <w:r w:rsidRPr="00373688">
        <w:rPr>
          <w:rFonts w:ascii="Arial" w:hAnsi="Arial" w:cs="Arial"/>
          <w:sz w:val="24"/>
          <w:szCs w:val="24"/>
        </w:rPr>
        <w:t>As outlined in relation to clause 4</w:t>
      </w:r>
      <w:r w:rsidR="00B321F2">
        <w:rPr>
          <w:rFonts w:ascii="Arial" w:hAnsi="Arial" w:cs="Arial"/>
          <w:sz w:val="24"/>
          <w:szCs w:val="24"/>
        </w:rPr>
        <w:t>9</w:t>
      </w:r>
      <w:r w:rsidRPr="00373688">
        <w:rPr>
          <w:rFonts w:ascii="Arial" w:hAnsi="Arial" w:cs="Arial"/>
          <w:sz w:val="24"/>
          <w:szCs w:val="24"/>
        </w:rPr>
        <w:t>, the Bill amends the requirements for owners</w:t>
      </w:r>
      <w:r w:rsidR="00B12381" w:rsidRPr="00373688">
        <w:rPr>
          <w:rFonts w:ascii="Arial" w:hAnsi="Arial" w:cs="Arial"/>
          <w:sz w:val="24"/>
          <w:szCs w:val="24"/>
        </w:rPr>
        <w:t>’</w:t>
      </w:r>
      <w:r w:rsidRPr="00373688">
        <w:rPr>
          <w:rFonts w:ascii="Arial" w:hAnsi="Arial" w:cs="Arial"/>
          <w:sz w:val="24"/>
          <w:szCs w:val="24"/>
        </w:rPr>
        <w:t xml:space="preserve"> corporations to give notice of reduced quorum decisions</w:t>
      </w:r>
      <w:r w:rsidR="00B12381" w:rsidRPr="00373688">
        <w:rPr>
          <w:rFonts w:ascii="Arial" w:hAnsi="Arial" w:cs="Arial"/>
          <w:sz w:val="24"/>
          <w:szCs w:val="24"/>
        </w:rPr>
        <w:t xml:space="preserve"> to improve certainty and minimise the risk of owners’ corporation decisions being held invalid</w:t>
      </w:r>
      <w:r w:rsidRPr="00373688">
        <w:rPr>
          <w:rFonts w:ascii="Arial" w:hAnsi="Arial" w:cs="Arial"/>
          <w:sz w:val="24"/>
          <w:szCs w:val="24"/>
        </w:rPr>
        <w:t xml:space="preserve">. </w:t>
      </w:r>
      <w:r w:rsidR="00B12381" w:rsidRPr="00373688">
        <w:rPr>
          <w:rFonts w:ascii="Arial" w:hAnsi="Arial" w:cs="Arial"/>
          <w:sz w:val="24"/>
          <w:szCs w:val="24"/>
        </w:rPr>
        <w:t xml:space="preserve">To this end, </w:t>
      </w:r>
      <w:r w:rsidR="00B12381" w:rsidRPr="00373688">
        <w:rPr>
          <w:rFonts w:ascii="Arial" w:hAnsi="Arial" w:cs="Arial"/>
          <w:sz w:val="24"/>
          <w:szCs w:val="24"/>
        </w:rPr>
        <w:lastRenderedPageBreak/>
        <w:t>t</w:t>
      </w:r>
      <w:r w:rsidRPr="00373688">
        <w:rPr>
          <w:rFonts w:ascii="Arial" w:hAnsi="Arial" w:cs="Arial"/>
          <w:sz w:val="24"/>
          <w:szCs w:val="24"/>
        </w:rPr>
        <w:t>h</w:t>
      </w:r>
      <w:r w:rsidR="00B12381" w:rsidRPr="00373688">
        <w:rPr>
          <w:rFonts w:ascii="Arial" w:hAnsi="Arial" w:cs="Arial"/>
          <w:sz w:val="24"/>
          <w:szCs w:val="24"/>
        </w:rPr>
        <w:t>is clause</w:t>
      </w:r>
      <w:r w:rsidRPr="00373688">
        <w:rPr>
          <w:rFonts w:ascii="Arial" w:hAnsi="Arial" w:cs="Arial"/>
          <w:sz w:val="24"/>
          <w:szCs w:val="24"/>
        </w:rPr>
        <w:t xml:space="preserve"> </w:t>
      </w:r>
      <w:r w:rsidR="00B12381" w:rsidRPr="00373688">
        <w:rPr>
          <w:rFonts w:ascii="Arial" w:hAnsi="Arial" w:cs="Arial"/>
          <w:sz w:val="24"/>
          <w:szCs w:val="24"/>
        </w:rPr>
        <w:t>amends section 3.10 (1A) to</w:t>
      </w:r>
      <w:r w:rsidRPr="00373688">
        <w:rPr>
          <w:rFonts w:ascii="Arial" w:hAnsi="Arial" w:cs="Arial"/>
          <w:sz w:val="24"/>
          <w:szCs w:val="24"/>
        </w:rPr>
        <w:t xml:space="preserve"> provide that the timeframe</w:t>
      </w:r>
      <w:r w:rsidR="00B12381" w:rsidRPr="00373688">
        <w:rPr>
          <w:rFonts w:ascii="Arial" w:hAnsi="Arial" w:cs="Arial"/>
          <w:sz w:val="24"/>
          <w:szCs w:val="24"/>
        </w:rPr>
        <w:t xml:space="preserve"> for notifying unit owners of a reduced quorum decision</w:t>
      </w:r>
      <w:r w:rsidRPr="00373688">
        <w:rPr>
          <w:rFonts w:ascii="Arial" w:hAnsi="Arial" w:cs="Arial"/>
          <w:sz w:val="24"/>
          <w:szCs w:val="24"/>
        </w:rPr>
        <w:t xml:space="preserve"> is met when the notice is sent, rather than when it is received.</w:t>
      </w:r>
    </w:p>
    <w:p w14:paraId="3BB3908B" w14:textId="691A1956" w:rsidR="00771B23" w:rsidRPr="003C1CA6" w:rsidRDefault="00771B23">
      <w:pPr>
        <w:pStyle w:val="Heading2"/>
        <w:rPr>
          <w:rFonts w:cs="Arial"/>
          <w:szCs w:val="24"/>
        </w:rPr>
      </w:pPr>
      <w:r w:rsidRPr="003C1CA6">
        <w:rPr>
          <w:rFonts w:cs="Arial"/>
          <w:szCs w:val="24"/>
        </w:rPr>
        <w:t>Part 19</w:t>
      </w:r>
      <w:r w:rsidRPr="003C1CA6">
        <w:rPr>
          <w:rFonts w:cs="Arial"/>
          <w:szCs w:val="24"/>
        </w:rPr>
        <w:tab/>
        <w:t>Wills Act 1968</w:t>
      </w:r>
    </w:p>
    <w:p w14:paraId="04BFA078" w14:textId="73847A4D" w:rsidR="001E4D50" w:rsidRPr="003C1CA6" w:rsidRDefault="001E4D50" w:rsidP="001E4D50">
      <w:pPr>
        <w:pStyle w:val="Heading3"/>
        <w:ind w:left="1440" w:hanging="1440"/>
        <w:rPr>
          <w:rFonts w:cs="Arial"/>
        </w:rPr>
      </w:pPr>
      <w:r w:rsidRPr="003C1CA6">
        <w:rPr>
          <w:rFonts w:cs="Arial"/>
        </w:rPr>
        <w:t>Clause 5</w:t>
      </w:r>
      <w:r w:rsidR="00C372F5">
        <w:rPr>
          <w:rFonts w:cs="Arial"/>
        </w:rPr>
        <w:t>1</w:t>
      </w:r>
      <w:r w:rsidRPr="003C1CA6">
        <w:rPr>
          <w:rFonts w:cs="Arial"/>
        </w:rPr>
        <w:tab/>
        <w:t>Court may authorise will to be made, altered or revoked for person without testamentary capacity</w:t>
      </w:r>
      <w:r w:rsidRPr="003C1CA6">
        <w:rPr>
          <w:rFonts w:cs="Arial"/>
        </w:rPr>
        <w:br/>
        <w:t>Section 16A (6)</w:t>
      </w:r>
    </w:p>
    <w:p w14:paraId="00B59B34" w14:textId="626071C3" w:rsidR="00E85D2B" w:rsidRPr="003C1CA6" w:rsidRDefault="00E85D2B" w:rsidP="00E85D2B">
      <w:pPr>
        <w:rPr>
          <w:rFonts w:ascii="Arial" w:hAnsi="Arial" w:cs="Arial"/>
          <w:sz w:val="24"/>
          <w:szCs w:val="24"/>
        </w:rPr>
      </w:pPr>
      <w:r w:rsidRPr="003C1CA6">
        <w:rPr>
          <w:rFonts w:ascii="Arial" w:hAnsi="Arial" w:cs="Arial"/>
          <w:sz w:val="24"/>
          <w:szCs w:val="24"/>
        </w:rPr>
        <w:t xml:space="preserve">This amendment is consequential to the amendments </w:t>
      </w:r>
      <w:r w:rsidR="00477BBD" w:rsidRPr="003C1CA6">
        <w:rPr>
          <w:rFonts w:ascii="Arial" w:hAnsi="Arial" w:cs="Arial"/>
          <w:sz w:val="24"/>
          <w:szCs w:val="24"/>
        </w:rPr>
        <w:t>to</w:t>
      </w:r>
      <w:r w:rsidRPr="003C1CA6">
        <w:rPr>
          <w:rFonts w:ascii="Arial" w:hAnsi="Arial" w:cs="Arial"/>
          <w:sz w:val="24"/>
          <w:szCs w:val="24"/>
        </w:rPr>
        <w:t xml:space="preserve"> section</w:t>
      </w:r>
      <w:r w:rsidR="009B3F72" w:rsidRPr="003C1CA6">
        <w:rPr>
          <w:rFonts w:ascii="Arial" w:hAnsi="Arial" w:cs="Arial"/>
          <w:sz w:val="24"/>
          <w:szCs w:val="24"/>
        </w:rPr>
        <w:t>s</w:t>
      </w:r>
      <w:r w:rsidRPr="003C1CA6">
        <w:rPr>
          <w:rFonts w:ascii="Arial" w:hAnsi="Arial" w:cs="Arial"/>
          <w:sz w:val="24"/>
          <w:szCs w:val="24"/>
        </w:rPr>
        <w:t xml:space="preserve"> 32</w:t>
      </w:r>
      <w:r w:rsidR="00477BBD" w:rsidRPr="003C1CA6">
        <w:rPr>
          <w:rFonts w:ascii="Arial" w:hAnsi="Arial" w:cs="Arial"/>
          <w:sz w:val="24"/>
          <w:szCs w:val="24"/>
        </w:rPr>
        <w:t xml:space="preserve"> to </w:t>
      </w:r>
      <w:r w:rsidRPr="003C1CA6">
        <w:rPr>
          <w:rFonts w:ascii="Arial" w:hAnsi="Arial" w:cs="Arial"/>
          <w:sz w:val="24"/>
          <w:szCs w:val="24"/>
        </w:rPr>
        <w:t xml:space="preserve">34 of the </w:t>
      </w:r>
      <w:r w:rsidRPr="003C1CA6">
        <w:rPr>
          <w:rFonts w:ascii="Arial" w:hAnsi="Arial" w:cs="Arial"/>
          <w:i/>
          <w:iCs/>
          <w:sz w:val="24"/>
          <w:szCs w:val="24"/>
        </w:rPr>
        <w:t>Wills Act 1968</w:t>
      </w:r>
      <w:r w:rsidR="00477BBD" w:rsidRPr="003C1CA6">
        <w:rPr>
          <w:rFonts w:ascii="Arial" w:hAnsi="Arial" w:cs="Arial"/>
          <w:sz w:val="24"/>
          <w:szCs w:val="24"/>
        </w:rPr>
        <w:t>, per clauses 5</w:t>
      </w:r>
      <w:r w:rsidR="00C372F5">
        <w:rPr>
          <w:rFonts w:ascii="Arial" w:hAnsi="Arial" w:cs="Arial"/>
          <w:sz w:val="24"/>
          <w:szCs w:val="24"/>
        </w:rPr>
        <w:t>4</w:t>
      </w:r>
      <w:r w:rsidR="00477BBD" w:rsidRPr="003C1CA6">
        <w:rPr>
          <w:rFonts w:ascii="Arial" w:hAnsi="Arial" w:cs="Arial"/>
          <w:sz w:val="24"/>
          <w:szCs w:val="24"/>
        </w:rPr>
        <w:t xml:space="preserve"> and 5</w:t>
      </w:r>
      <w:r w:rsidR="00C372F5">
        <w:rPr>
          <w:rFonts w:ascii="Arial" w:hAnsi="Arial" w:cs="Arial"/>
          <w:sz w:val="24"/>
          <w:szCs w:val="24"/>
        </w:rPr>
        <w:t>5</w:t>
      </w:r>
      <w:r w:rsidR="00477BBD" w:rsidRPr="003C1CA6">
        <w:rPr>
          <w:rFonts w:ascii="Arial" w:hAnsi="Arial" w:cs="Arial"/>
          <w:sz w:val="24"/>
          <w:szCs w:val="24"/>
        </w:rPr>
        <w:t>.</w:t>
      </w:r>
      <w:r w:rsidRPr="003C1CA6">
        <w:rPr>
          <w:rFonts w:ascii="Arial" w:hAnsi="Arial" w:cs="Arial"/>
          <w:sz w:val="24"/>
          <w:szCs w:val="24"/>
        </w:rPr>
        <w:t xml:space="preserve"> </w:t>
      </w:r>
    </w:p>
    <w:p w14:paraId="4909F82E" w14:textId="005B7B18" w:rsidR="00E85D2B" w:rsidRPr="003C1CA6" w:rsidRDefault="00E85D2B" w:rsidP="00E85D2B">
      <w:pPr>
        <w:rPr>
          <w:rFonts w:ascii="Arial" w:hAnsi="Arial" w:cs="Arial"/>
          <w:sz w:val="24"/>
          <w:szCs w:val="24"/>
        </w:rPr>
      </w:pPr>
      <w:r w:rsidRPr="003C1CA6">
        <w:rPr>
          <w:rFonts w:ascii="Arial" w:hAnsi="Arial" w:cs="Arial"/>
          <w:sz w:val="24"/>
          <w:szCs w:val="24"/>
        </w:rPr>
        <w:t xml:space="preserve">As the power to deposit Wills with the Supreme Court </w:t>
      </w:r>
      <w:r w:rsidR="00477BBD" w:rsidRPr="003C1CA6">
        <w:rPr>
          <w:rFonts w:ascii="Arial" w:hAnsi="Arial" w:cs="Arial"/>
          <w:sz w:val="24"/>
          <w:szCs w:val="24"/>
        </w:rPr>
        <w:t>will eventually be</w:t>
      </w:r>
      <w:r w:rsidRPr="003C1CA6">
        <w:rPr>
          <w:rFonts w:ascii="Arial" w:hAnsi="Arial" w:cs="Arial"/>
          <w:sz w:val="24"/>
          <w:szCs w:val="24"/>
        </w:rPr>
        <w:t xml:space="preserve"> removed </w:t>
      </w:r>
      <w:r w:rsidR="00477BBD" w:rsidRPr="003C1CA6">
        <w:rPr>
          <w:rFonts w:ascii="Arial" w:hAnsi="Arial" w:cs="Arial"/>
          <w:sz w:val="24"/>
          <w:szCs w:val="24"/>
        </w:rPr>
        <w:t>from</w:t>
      </w:r>
      <w:r w:rsidRPr="003C1CA6">
        <w:rPr>
          <w:rFonts w:ascii="Arial" w:hAnsi="Arial" w:cs="Arial"/>
          <w:sz w:val="24"/>
          <w:szCs w:val="24"/>
        </w:rPr>
        <w:t xml:space="preserve"> section 32, the reference to a Will being deposited under </w:t>
      </w:r>
      <w:r w:rsidR="00477BBD" w:rsidRPr="003C1CA6">
        <w:rPr>
          <w:rFonts w:ascii="Arial" w:hAnsi="Arial" w:cs="Arial"/>
          <w:sz w:val="24"/>
          <w:szCs w:val="24"/>
        </w:rPr>
        <w:t>section 32</w:t>
      </w:r>
      <w:r w:rsidRPr="003C1CA6">
        <w:rPr>
          <w:rFonts w:ascii="Arial" w:hAnsi="Arial" w:cs="Arial"/>
          <w:sz w:val="24"/>
          <w:szCs w:val="24"/>
        </w:rPr>
        <w:t xml:space="preserve"> has been removed</w:t>
      </w:r>
      <w:r w:rsidR="00477BBD" w:rsidRPr="003C1CA6">
        <w:rPr>
          <w:rFonts w:ascii="Arial" w:hAnsi="Arial" w:cs="Arial"/>
          <w:sz w:val="24"/>
          <w:szCs w:val="24"/>
        </w:rPr>
        <w:t>, while still allowing for Wills made or altered under section 16A to be deposited with the Registrar.</w:t>
      </w:r>
      <w:r w:rsidRPr="003C1CA6">
        <w:rPr>
          <w:rFonts w:ascii="Arial" w:hAnsi="Arial" w:cs="Arial"/>
          <w:sz w:val="24"/>
          <w:szCs w:val="24"/>
        </w:rPr>
        <w:t xml:space="preserve"> </w:t>
      </w:r>
    </w:p>
    <w:p w14:paraId="528984B3" w14:textId="1C9E328C" w:rsidR="001E4D50" w:rsidRPr="003C1CA6" w:rsidRDefault="001E4D50" w:rsidP="001E4D50">
      <w:pPr>
        <w:pStyle w:val="Heading3"/>
        <w:rPr>
          <w:rFonts w:cs="Arial"/>
        </w:rPr>
      </w:pPr>
      <w:r w:rsidRPr="003C1CA6">
        <w:rPr>
          <w:rFonts w:cs="Arial"/>
        </w:rPr>
        <w:t>Clause 5</w:t>
      </w:r>
      <w:r w:rsidR="00C372F5">
        <w:rPr>
          <w:rFonts w:cs="Arial"/>
        </w:rPr>
        <w:t>2</w:t>
      </w:r>
      <w:r w:rsidRPr="003C1CA6">
        <w:rPr>
          <w:rFonts w:cs="Arial"/>
        </w:rPr>
        <w:tab/>
        <w:t>Retention of will</w:t>
      </w:r>
      <w:r w:rsidRPr="003C1CA6">
        <w:rPr>
          <w:rFonts w:cs="Arial"/>
        </w:rPr>
        <w:br/>
      </w:r>
      <w:r w:rsidRPr="003C1CA6">
        <w:rPr>
          <w:rFonts w:cs="Arial"/>
        </w:rPr>
        <w:tab/>
      </w:r>
      <w:r w:rsidRPr="003C1CA6">
        <w:rPr>
          <w:rFonts w:cs="Arial"/>
        </w:rPr>
        <w:tab/>
        <w:t>Section 16G (1)</w:t>
      </w:r>
    </w:p>
    <w:p w14:paraId="0EE66569" w14:textId="43CF962C" w:rsidR="009B3F72" w:rsidRPr="003C1CA6" w:rsidRDefault="009B3F72" w:rsidP="009B3F72">
      <w:pPr>
        <w:rPr>
          <w:rFonts w:ascii="Arial" w:hAnsi="Arial" w:cs="Arial"/>
          <w:sz w:val="24"/>
          <w:szCs w:val="24"/>
        </w:rPr>
      </w:pPr>
      <w:r w:rsidRPr="003C1CA6">
        <w:rPr>
          <w:rFonts w:ascii="Arial" w:hAnsi="Arial" w:cs="Arial"/>
          <w:sz w:val="24"/>
          <w:szCs w:val="24"/>
        </w:rPr>
        <w:t xml:space="preserve">This amendment is consequential to the </w:t>
      </w:r>
      <w:r w:rsidR="00477BBD" w:rsidRPr="003C1CA6">
        <w:rPr>
          <w:rFonts w:ascii="Arial" w:hAnsi="Arial" w:cs="Arial"/>
          <w:sz w:val="24"/>
          <w:szCs w:val="24"/>
        </w:rPr>
        <w:t xml:space="preserve">to the amendments to sections 32 to 34 of the </w:t>
      </w:r>
      <w:r w:rsidR="00477BBD" w:rsidRPr="003C1CA6">
        <w:rPr>
          <w:rFonts w:ascii="Arial" w:hAnsi="Arial" w:cs="Arial"/>
          <w:i/>
          <w:iCs/>
          <w:sz w:val="24"/>
          <w:szCs w:val="24"/>
        </w:rPr>
        <w:t>Wills Act 1968</w:t>
      </w:r>
      <w:r w:rsidR="00477BBD" w:rsidRPr="003C1CA6">
        <w:rPr>
          <w:rFonts w:ascii="Arial" w:hAnsi="Arial" w:cs="Arial"/>
          <w:sz w:val="24"/>
          <w:szCs w:val="24"/>
        </w:rPr>
        <w:t>, per clauses 5</w:t>
      </w:r>
      <w:r w:rsidR="00C372F5">
        <w:rPr>
          <w:rFonts w:ascii="Arial" w:hAnsi="Arial" w:cs="Arial"/>
          <w:sz w:val="24"/>
          <w:szCs w:val="24"/>
        </w:rPr>
        <w:t>4</w:t>
      </w:r>
      <w:r w:rsidR="00477BBD" w:rsidRPr="003C1CA6">
        <w:rPr>
          <w:rFonts w:ascii="Arial" w:hAnsi="Arial" w:cs="Arial"/>
          <w:sz w:val="24"/>
          <w:szCs w:val="24"/>
        </w:rPr>
        <w:t xml:space="preserve"> and 5</w:t>
      </w:r>
      <w:r w:rsidR="00C372F5">
        <w:rPr>
          <w:rFonts w:ascii="Arial" w:hAnsi="Arial" w:cs="Arial"/>
          <w:sz w:val="24"/>
          <w:szCs w:val="24"/>
        </w:rPr>
        <w:t>5</w:t>
      </w:r>
      <w:r w:rsidR="00477BBD" w:rsidRPr="003C1CA6">
        <w:rPr>
          <w:rFonts w:ascii="Arial" w:hAnsi="Arial" w:cs="Arial"/>
          <w:sz w:val="24"/>
          <w:szCs w:val="24"/>
        </w:rPr>
        <w:t>.</w:t>
      </w:r>
    </w:p>
    <w:p w14:paraId="4B531D71" w14:textId="45358631" w:rsidR="00E85D2B" w:rsidRPr="00E85D2B" w:rsidRDefault="00477BBD" w:rsidP="00E85D2B">
      <w:pPr>
        <w:rPr>
          <w:rFonts w:ascii="Arial" w:hAnsi="Arial" w:cs="Arial"/>
          <w:sz w:val="24"/>
          <w:szCs w:val="24"/>
        </w:rPr>
      </w:pPr>
      <w:r w:rsidRPr="003C1CA6">
        <w:rPr>
          <w:rFonts w:ascii="Arial" w:hAnsi="Arial" w:cs="Arial"/>
          <w:sz w:val="24"/>
          <w:szCs w:val="24"/>
        </w:rPr>
        <w:t xml:space="preserve">As the power to deposit Wills with the Supreme Court will eventually be removed from section 32, </w:t>
      </w:r>
      <w:r w:rsidR="00E85D2B" w:rsidRPr="003C1CA6">
        <w:rPr>
          <w:rFonts w:ascii="Arial" w:hAnsi="Arial" w:cs="Arial"/>
          <w:sz w:val="24"/>
          <w:szCs w:val="24"/>
        </w:rPr>
        <w:t>this amendment</w:t>
      </w:r>
      <w:r w:rsidRPr="003C1CA6">
        <w:rPr>
          <w:rFonts w:ascii="Arial" w:hAnsi="Arial" w:cs="Arial"/>
          <w:sz w:val="24"/>
          <w:szCs w:val="24"/>
        </w:rPr>
        <w:t xml:space="preserve"> removes the reference to section 32 in section 16G,</w:t>
      </w:r>
      <w:r w:rsidR="00E85D2B" w:rsidRPr="003C1CA6">
        <w:rPr>
          <w:rFonts w:ascii="Arial" w:hAnsi="Arial" w:cs="Arial"/>
          <w:sz w:val="24"/>
          <w:szCs w:val="24"/>
        </w:rPr>
        <w:t xml:space="preserve"> but retains the ability of the Supreme Court to hold</w:t>
      </w:r>
      <w:r w:rsidRPr="003C1CA6">
        <w:rPr>
          <w:rFonts w:ascii="Arial" w:hAnsi="Arial" w:cs="Arial"/>
          <w:sz w:val="24"/>
          <w:szCs w:val="24"/>
        </w:rPr>
        <w:t xml:space="preserve"> or deal with</w:t>
      </w:r>
      <w:r w:rsidR="00E85D2B" w:rsidRPr="003C1CA6">
        <w:rPr>
          <w:rFonts w:ascii="Arial" w:hAnsi="Arial" w:cs="Arial"/>
          <w:sz w:val="24"/>
          <w:szCs w:val="24"/>
        </w:rPr>
        <w:t xml:space="preserve"> </w:t>
      </w:r>
      <w:r w:rsidRPr="003C1CA6">
        <w:rPr>
          <w:rFonts w:ascii="Arial" w:hAnsi="Arial" w:cs="Arial"/>
          <w:sz w:val="24"/>
          <w:szCs w:val="24"/>
        </w:rPr>
        <w:t>a</w:t>
      </w:r>
      <w:r w:rsidR="00E85D2B" w:rsidRPr="003C1CA6">
        <w:rPr>
          <w:rFonts w:ascii="Arial" w:hAnsi="Arial" w:cs="Arial"/>
          <w:sz w:val="24"/>
          <w:szCs w:val="24"/>
        </w:rPr>
        <w:t xml:space="preserve"> Will </w:t>
      </w:r>
      <w:r w:rsidRPr="003C1CA6">
        <w:rPr>
          <w:rFonts w:ascii="Arial" w:hAnsi="Arial" w:cs="Arial"/>
          <w:sz w:val="24"/>
          <w:szCs w:val="24"/>
        </w:rPr>
        <w:t xml:space="preserve">deposited under Part 3A </w:t>
      </w:r>
      <w:r w:rsidR="003C1CA6" w:rsidRPr="003C1CA6">
        <w:rPr>
          <w:rFonts w:ascii="Arial" w:hAnsi="Arial" w:cs="Arial"/>
          <w:sz w:val="24"/>
          <w:szCs w:val="24"/>
        </w:rPr>
        <w:t>in accordance with the Court’s current powers.</w:t>
      </w:r>
      <w:r w:rsidR="00E85D2B">
        <w:rPr>
          <w:rFonts w:ascii="Arial" w:hAnsi="Arial" w:cs="Arial"/>
          <w:sz w:val="24"/>
          <w:szCs w:val="24"/>
        </w:rPr>
        <w:t xml:space="preserve"> </w:t>
      </w:r>
    </w:p>
    <w:p w14:paraId="3F6FE073" w14:textId="06EA5130" w:rsidR="001E4D50" w:rsidRPr="003C1CA6" w:rsidRDefault="001E4D50">
      <w:pPr>
        <w:pStyle w:val="Heading3"/>
        <w:rPr>
          <w:rFonts w:cs="Arial"/>
        </w:rPr>
      </w:pPr>
      <w:r w:rsidRPr="003C1CA6">
        <w:rPr>
          <w:rFonts w:cs="Arial"/>
        </w:rPr>
        <w:t>Clause 5</w:t>
      </w:r>
      <w:r w:rsidR="00C372F5">
        <w:rPr>
          <w:rFonts w:cs="Arial"/>
        </w:rPr>
        <w:t>3</w:t>
      </w:r>
      <w:r w:rsidRPr="003C1CA6">
        <w:rPr>
          <w:rFonts w:cs="Arial"/>
        </w:rPr>
        <w:tab/>
        <w:t>Section 16G (2)</w:t>
      </w:r>
    </w:p>
    <w:p w14:paraId="1AC71F66" w14:textId="58F42AC9" w:rsidR="00477BBD" w:rsidRPr="003C1CA6" w:rsidRDefault="00477BBD" w:rsidP="00477BBD">
      <w:pPr>
        <w:rPr>
          <w:rFonts w:ascii="Arial" w:hAnsi="Arial" w:cs="Arial"/>
          <w:sz w:val="24"/>
          <w:szCs w:val="24"/>
        </w:rPr>
      </w:pPr>
      <w:r w:rsidRPr="003C1CA6">
        <w:rPr>
          <w:rFonts w:ascii="Arial" w:hAnsi="Arial" w:cs="Arial"/>
          <w:sz w:val="24"/>
          <w:szCs w:val="24"/>
        </w:rPr>
        <w:t xml:space="preserve">This amendment is consequential to the amendments to sections 32 to 34 of the </w:t>
      </w:r>
      <w:r w:rsidRPr="003C1CA6">
        <w:rPr>
          <w:rFonts w:ascii="Arial" w:hAnsi="Arial" w:cs="Arial"/>
          <w:i/>
          <w:iCs/>
          <w:sz w:val="24"/>
          <w:szCs w:val="24"/>
        </w:rPr>
        <w:t>Wills Act 1968</w:t>
      </w:r>
      <w:r w:rsidRPr="003C1CA6">
        <w:rPr>
          <w:rFonts w:ascii="Arial" w:hAnsi="Arial" w:cs="Arial"/>
          <w:sz w:val="24"/>
          <w:szCs w:val="24"/>
        </w:rPr>
        <w:t>, per clauses 5</w:t>
      </w:r>
      <w:r w:rsidR="00C372F5">
        <w:rPr>
          <w:rFonts w:ascii="Arial" w:hAnsi="Arial" w:cs="Arial"/>
          <w:sz w:val="24"/>
          <w:szCs w:val="24"/>
        </w:rPr>
        <w:t>4</w:t>
      </w:r>
      <w:r w:rsidRPr="003C1CA6">
        <w:rPr>
          <w:rFonts w:ascii="Arial" w:hAnsi="Arial" w:cs="Arial"/>
          <w:sz w:val="24"/>
          <w:szCs w:val="24"/>
        </w:rPr>
        <w:t xml:space="preserve"> and 5</w:t>
      </w:r>
      <w:r w:rsidR="00C372F5">
        <w:rPr>
          <w:rFonts w:ascii="Arial" w:hAnsi="Arial" w:cs="Arial"/>
          <w:sz w:val="24"/>
          <w:szCs w:val="24"/>
        </w:rPr>
        <w:t>5</w:t>
      </w:r>
      <w:r w:rsidRPr="003C1CA6">
        <w:rPr>
          <w:rFonts w:ascii="Arial" w:hAnsi="Arial" w:cs="Arial"/>
          <w:sz w:val="24"/>
          <w:szCs w:val="24"/>
        </w:rPr>
        <w:t>.</w:t>
      </w:r>
    </w:p>
    <w:p w14:paraId="4527ACA3" w14:textId="6F3844AA" w:rsidR="00E85D2B" w:rsidRPr="00E85D2B" w:rsidRDefault="00E85D2B" w:rsidP="00E85D2B">
      <w:pPr>
        <w:rPr>
          <w:rFonts w:ascii="Arial" w:hAnsi="Arial" w:cs="Arial"/>
          <w:sz w:val="24"/>
          <w:szCs w:val="24"/>
        </w:rPr>
      </w:pPr>
      <w:r w:rsidRPr="003C1CA6">
        <w:rPr>
          <w:rFonts w:ascii="Arial" w:hAnsi="Arial" w:cs="Arial"/>
          <w:sz w:val="24"/>
          <w:szCs w:val="24"/>
        </w:rPr>
        <w:t xml:space="preserve">As section 32 </w:t>
      </w:r>
      <w:r w:rsidR="003C1CA6">
        <w:rPr>
          <w:rFonts w:ascii="Arial" w:hAnsi="Arial" w:cs="Arial"/>
          <w:sz w:val="24"/>
          <w:szCs w:val="24"/>
        </w:rPr>
        <w:t xml:space="preserve">will eventually be updated to </w:t>
      </w:r>
      <w:r w:rsidRPr="003C1CA6">
        <w:rPr>
          <w:rFonts w:ascii="Arial" w:hAnsi="Arial" w:cs="Arial"/>
          <w:sz w:val="24"/>
          <w:szCs w:val="24"/>
        </w:rPr>
        <w:t>remove</w:t>
      </w:r>
      <w:r w:rsidR="003C1CA6">
        <w:rPr>
          <w:rFonts w:ascii="Arial" w:hAnsi="Arial" w:cs="Arial"/>
          <w:sz w:val="24"/>
          <w:szCs w:val="24"/>
        </w:rPr>
        <w:t xml:space="preserve"> </w:t>
      </w:r>
      <w:r w:rsidRPr="003C1CA6">
        <w:rPr>
          <w:rFonts w:ascii="Arial" w:hAnsi="Arial" w:cs="Arial"/>
          <w:sz w:val="24"/>
          <w:szCs w:val="24"/>
        </w:rPr>
        <w:t>reference to the</w:t>
      </w:r>
      <w:r w:rsidR="003C1CA6">
        <w:rPr>
          <w:rFonts w:ascii="Arial" w:hAnsi="Arial" w:cs="Arial"/>
          <w:sz w:val="24"/>
          <w:szCs w:val="24"/>
        </w:rPr>
        <w:t xml:space="preserve"> Registrar maintaining an</w:t>
      </w:r>
      <w:r w:rsidRPr="003C1CA6">
        <w:rPr>
          <w:rFonts w:ascii="Arial" w:hAnsi="Arial" w:cs="Arial"/>
          <w:sz w:val="24"/>
          <w:szCs w:val="24"/>
        </w:rPr>
        <w:t xml:space="preserve"> index</w:t>
      </w:r>
      <w:r w:rsidR="003C1CA6">
        <w:rPr>
          <w:rFonts w:ascii="Arial" w:hAnsi="Arial" w:cs="Arial"/>
          <w:sz w:val="24"/>
          <w:szCs w:val="24"/>
        </w:rPr>
        <w:t xml:space="preserve"> of Wills</w:t>
      </w:r>
      <w:r w:rsidRPr="003C1CA6">
        <w:rPr>
          <w:rFonts w:ascii="Arial" w:hAnsi="Arial" w:cs="Arial"/>
          <w:sz w:val="24"/>
          <w:szCs w:val="24"/>
        </w:rPr>
        <w:t>, this amendment removes this language</w:t>
      </w:r>
      <w:r w:rsidR="003C1CA6">
        <w:rPr>
          <w:rFonts w:ascii="Arial" w:hAnsi="Arial" w:cs="Arial"/>
          <w:sz w:val="24"/>
          <w:szCs w:val="24"/>
        </w:rPr>
        <w:t xml:space="preserve"> from section 16G</w:t>
      </w:r>
      <w:r w:rsidRPr="003C1CA6">
        <w:rPr>
          <w:rFonts w:ascii="Arial" w:hAnsi="Arial" w:cs="Arial"/>
          <w:sz w:val="24"/>
          <w:szCs w:val="24"/>
        </w:rPr>
        <w:t>. The amendment also omits the requirement to record the date when the Will was destroyed</w:t>
      </w:r>
      <w:r w:rsidR="003C1CA6">
        <w:rPr>
          <w:rFonts w:ascii="Arial" w:hAnsi="Arial" w:cs="Arial"/>
          <w:sz w:val="24"/>
          <w:szCs w:val="24"/>
        </w:rPr>
        <w:t>,</w:t>
      </w:r>
      <w:r w:rsidRPr="003C1CA6">
        <w:rPr>
          <w:rFonts w:ascii="Arial" w:hAnsi="Arial" w:cs="Arial"/>
          <w:sz w:val="24"/>
          <w:szCs w:val="24"/>
        </w:rPr>
        <w:t xml:space="preserve"> as new section 32 </w:t>
      </w:r>
      <w:r w:rsidR="003C1CA6">
        <w:rPr>
          <w:rFonts w:ascii="Arial" w:hAnsi="Arial" w:cs="Arial"/>
          <w:sz w:val="24"/>
          <w:szCs w:val="24"/>
        </w:rPr>
        <w:t xml:space="preserve">will </w:t>
      </w:r>
      <w:r w:rsidRPr="003C1CA6">
        <w:rPr>
          <w:rFonts w:ascii="Arial" w:hAnsi="Arial" w:cs="Arial"/>
          <w:sz w:val="24"/>
          <w:szCs w:val="24"/>
        </w:rPr>
        <w:t>impose this requirement instead.</w:t>
      </w:r>
      <w:r>
        <w:rPr>
          <w:rFonts w:ascii="Arial" w:hAnsi="Arial" w:cs="Arial"/>
          <w:sz w:val="24"/>
          <w:szCs w:val="24"/>
        </w:rPr>
        <w:t xml:space="preserve"> </w:t>
      </w:r>
    </w:p>
    <w:p w14:paraId="010ED6A0" w14:textId="3D5C2E76" w:rsidR="00511760" w:rsidRPr="00373688" w:rsidRDefault="00511760" w:rsidP="00BE23B7">
      <w:pPr>
        <w:pStyle w:val="Heading3"/>
        <w:rPr>
          <w:rFonts w:cs="Arial"/>
        </w:rPr>
      </w:pPr>
      <w:r w:rsidRPr="00373688">
        <w:rPr>
          <w:rFonts w:cs="Arial"/>
        </w:rPr>
        <w:t xml:space="preserve">Clause </w:t>
      </w:r>
      <w:r w:rsidR="001E4D50" w:rsidRPr="00373688">
        <w:rPr>
          <w:rFonts w:cs="Arial"/>
        </w:rPr>
        <w:t>5</w:t>
      </w:r>
      <w:r w:rsidR="00C372F5">
        <w:rPr>
          <w:rFonts w:cs="Arial"/>
        </w:rPr>
        <w:t>4</w:t>
      </w:r>
      <w:r w:rsidRPr="00373688">
        <w:rPr>
          <w:rFonts w:cs="Arial"/>
        </w:rPr>
        <w:tab/>
        <w:t>Sections 32 to 34</w:t>
      </w:r>
    </w:p>
    <w:p w14:paraId="60CEEF1B" w14:textId="5480028C" w:rsidR="00D90D6F" w:rsidRPr="00373688" w:rsidRDefault="00D90D6F" w:rsidP="001B13F5">
      <w:pPr>
        <w:rPr>
          <w:rFonts w:ascii="Arial" w:hAnsi="Arial" w:cs="Arial"/>
          <w:sz w:val="24"/>
          <w:szCs w:val="24"/>
        </w:rPr>
      </w:pPr>
      <w:r w:rsidRPr="00373688">
        <w:rPr>
          <w:rFonts w:ascii="Arial" w:hAnsi="Arial" w:cs="Arial"/>
          <w:sz w:val="24"/>
          <w:szCs w:val="24"/>
        </w:rPr>
        <w:t xml:space="preserve">This clause omits sections 32 to 34 of the </w:t>
      </w:r>
      <w:r w:rsidRPr="00373688">
        <w:rPr>
          <w:rFonts w:ascii="Arial" w:hAnsi="Arial" w:cs="Arial"/>
          <w:i/>
          <w:iCs/>
          <w:sz w:val="24"/>
          <w:szCs w:val="24"/>
        </w:rPr>
        <w:t>Wills Act 1968</w:t>
      </w:r>
      <w:r w:rsidRPr="00373688">
        <w:rPr>
          <w:rFonts w:ascii="Arial" w:hAnsi="Arial" w:cs="Arial"/>
          <w:sz w:val="24"/>
          <w:szCs w:val="24"/>
        </w:rPr>
        <w:t xml:space="preserve"> and substitutes new section 32. The changes:</w:t>
      </w:r>
    </w:p>
    <w:p w14:paraId="54377A5D" w14:textId="082ACAAF" w:rsidR="00D90D6F" w:rsidRPr="00373688" w:rsidRDefault="00D90D6F" w:rsidP="001B13F5">
      <w:pPr>
        <w:pStyle w:val="ListParagraph"/>
        <w:numPr>
          <w:ilvl w:val="0"/>
          <w:numId w:val="10"/>
        </w:numPr>
        <w:spacing w:after="120"/>
        <w:ind w:left="714" w:hanging="357"/>
        <w:rPr>
          <w:rFonts w:ascii="Arial" w:hAnsi="Arial" w:cs="Arial"/>
          <w:sz w:val="24"/>
          <w:szCs w:val="24"/>
          <w:lang w:eastAsia="en-US"/>
        </w:rPr>
      </w:pPr>
      <w:r w:rsidRPr="00373688">
        <w:rPr>
          <w:rFonts w:ascii="Arial" w:hAnsi="Arial" w:cs="Arial"/>
          <w:sz w:val="24"/>
          <w:szCs w:val="24"/>
          <w:lang w:eastAsia="en-US"/>
        </w:rPr>
        <w:t>remove the ability for the Supreme Court to accept Wills for deposit from the public</w:t>
      </w:r>
      <w:r w:rsidR="005564D4" w:rsidRPr="00373688">
        <w:rPr>
          <w:rFonts w:ascii="Arial" w:hAnsi="Arial" w:cs="Arial"/>
          <w:sz w:val="24"/>
          <w:szCs w:val="24"/>
          <w:lang w:eastAsia="en-US"/>
        </w:rPr>
        <w:t>;</w:t>
      </w:r>
    </w:p>
    <w:p w14:paraId="0AB63153" w14:textId="6DD9A63D" w:rsidR="00D90D6F" w:rsidRPr="00373688" w:rsidRDefault="00D90D6F" w:rsidP="001B13F5">
      <w:pPr>
        <w:pStyle w:val="ListParagraph"/>
        <w:numPr>
          <w:ilvl w:val="0"/>
          <w:numId w:val="10"/>
        </w:numPr>
        <w:spacing w:after="120"/>
        <w:ind w:left="714" w:hanging="357"/>
        <w:rPr>
          <w:rFonts w:ascii="Arial" w:hAnsi="Arial" w:cs="Arial"/>
          <w:sz w:val="24"/>
          <w:szCs w:val="24"/>
          <w:lang w:eastAsia="en-US"/>
        </w:rPr>
      </w:pPr>
      <w:r w:rsidRPr="00373688">
        <w:rPr>
          <w:rFonts w:ascii="Arial" w:hAnsi="Arial" w:cs="Arial"/>
          <w:sz w:val="24"/>
          <w:szCs w:val="24"/>
          <w:lang w:eastAsia="en-US"/>
        </w:rPr>
        <w:t>enable the Supreme Court to transfer Wills, or data in respect of Wills, held by it to the Public Trustee and Guardian consistently with information privacy laws;</w:t>
      </w:r>
    </w:p>
    <w:p w14:paraId="59B4FFE1" w14:textId="3E2DD7CF" w:rsidR="00D90D6F" w:rsidRPr="00373688" w:rsidRDefault="00D90D6F" w:rsidP="001B13F5">
      <w:pPr>
        <w:pStyle w:val="ListParagraph"/>
        <w:numPr>
          <w:ilvl w:val="0"/>
          <w:numId w:val="10"/>
        </w:numPr>
        <w:spacing w:after="120"/>
        <w:ind w:left="714" w:hanging="357"/>
        <w:rPr>
          <w:rFonts w:ascii="Arial" w:hAnsi="Arial" w:cs="Arial"/>
          <w:sz w:val="24"/>
          <w:szCs w:val="24"/>
          <w:lang w:eastAsia="en-US"/>
        </w:rPr>
      </w:pPr>
      <w:r w:rsidRPr="00373688">
        <w:rPr>
          <w:rFonts w:ascii="Arial" w:hAnsi="Arial" w:cs="Arial"/>
          <w:sz w:val="24"/>
          <w:szCs w:val="24"/>
          <w:lang w:eastAsia="en-US"/>
        </w:rPr>
        <w:lastRenderedPageBreak/>
        <w:t>retain a power for the Supreme Court to destroy Wills in its possession, after a deceased person’s estate has been distributed, on order from a judge; and</w:t>
      </w:r>
    </w:p>
    <w:p w14:paraId="69439847" w14:textId="77777777" w:rsidR="00D90D6F" w:rsidRPr="00373688" w:rsidRDefault="00D90D6F" w:rsidP="00D90D6F">
      <w:pPr>
        <w:pStyle w:val="ListParagraph"/>
        <w:numPr>
          <w:ilvl w:val="0"/>
          <w:numId w:val="10"/>
        </w:numPr>
        <w:rPr>
          <w:rFonts w:ascii="Arial" w:hAnsi="Arial" w:cs="Arial"/>
          <w:sz w:val="24"/>
          <w:szCs w:val="24"/>
          <w:lang w:eastAsia="en-US"/>
        </w:rPr>
      </w:pPr>
      <w:r w:rsidRPr="00373688">
        <w:rPr>
          <w:rFonts w:ascii="Arial" w:hAnsi="Arial" w:cs="Arial"/>
          <w:sz w:val="24"/>
          <w:szCs w:val="24"/>
          <w:lang w:eastAsia="en-US"/>
        </w:rPr>
        <w:t>require the Supreme Court to keep records of:</w:t>
      </w:r>
    </w:p>
    <w:p w14:paraId="754F23F9" w14:textId="4E3B3EB0" w:rsidR="00D90D6F" w:rsidRPr="00373688" w:rsidRDefault="00D90D6F" w:rsidP="00D90D6F">
      <w:pPr>
        <w:pStyle w:val="ListParagraph"/>
        <w:numPr>
          <w:ilvl w:val="1"/>
          <w:numId w:val="10"/>
        </w:numPr>
        <w:rPr>
          <w:rFonts w:ascii="Arial" w:hAnsi="Arial" w:cs="Arial"/>
          <w:sz w:val="24"/>
          <w:szCs w:val="24"/>
          <w:lang w:eastAsia="en-US"/>
        </w:rPr>
      </w:pPr>
      <w:r w:rsidRPr="00373688">
        <w:rPr>
          <w:rFonts w:ascii="Arial" w:hAnsi="Arial" w:cs="Arial"/>
          <w:sz w:val="24"/>
          <w:szCs w:val="24"/>
          <w:lang w:eastAsia="en-US"/>
        </w:rPr>
        <w:t xml:space="preserve">any Will deposited with the </w:t>
      </w:r>
      <w:r w:rsidR="005564D4" w:rsidRPr="00373688">
        <w:rPr>
          <w:rFonts w:ascii="Arial" w:hAnsi="Arial" w:cs="Arial"/>
          <w:sz w:val="24"/>
          <w:szCs w:val="24"/>
          <w:lang w:eastAsia="en-US"/>
        </w:rPr>
        <w:t>Public Trustee and Guardian;</w:t>
      </w:r>
    </w:p>
    <w:p w14:paraId="6BD1186A" w14:textId="77777777" w:rsidR="00D90D6F" w:rsidRPr="00373688" w:rsidRDefault="00D90D6F" w:rsidP="00D90D6F">
      <w:pPr>
        <w:pStyle w:val="ListParagraph"/>
        <w:numPr>
          <w:ilvl w:val="1"/>
          <w:numId w:val="10"/>
        </w:numPr>
        <w:rPr>
          <w:rFonts w:ascii="Arial" w:hAnsi="Arial" w:cs="Arial"/>
          <w:sz w:val="24"/>
          <w:szCs w:val="24"/>
          <w:lang w:eastAsia="en-US"/>
        </w:rPr>
      </w:pPr>
      <w:r w:rsidRPr="00373688">
        <w:rPr>
          <w:rFonts w:ascii="Arial" w:hAnsi="Arial" w:cs="Arial"/>
          <w:sz w:val="24"/>
          <w:szCs w:val="24"/>
          <w:lang w:eastAsia="en-US"/>
        </w:rPr>
        <w:t xml:space="preserve">any Will </w:t>
      </w:r>
      <w:proofErr w:type="spellStart"/>
      <w:r w:rsidRPr="00373688">
        <w:rPr>
          <w:rFonts w:ascii="Arial" w:hAnsi="Arial" w:cs="Arial"/>
          <w:sz w:val="24"/>
          <w:szCs w:val="24"/>
          <w:lang w:eastAsia="en-US"/>
        </w:rPr>
        <w:t>given</w:t>
      </w:r>
      <w:proofErr w:type="spellEnd"/>
      <w:r w:rsidRPr="00373688">
        <w:rPr>
          <w:rFonts w:ascii="Arial" w:hAnsi="Arial" w:cs="Arial"/>
          <w:sz w:val="24"/>
          <w:szCs w:val="24"/>
          <w:lang w:eastAsia="en-US"/>
        </w:rPr>
        <w:t xml:space="preserve"> to a person; and</w:t>
      </w:r>
    </w:p>
    <w:p w14:paraId="72FB7FFB" w14:textId="069BE038" w:rsidR="005564D4" w:rsidRPr="00373688" w:rsidRDefault="00D90D6F" w:rsidP="00B12381">
      <w:pPr>
        <w:pStyle w:val="ListParagraph"/>
        <w:numPr>
          <w:ilvl w:val="1"/>
          <w:numId w:val="10"/>
        </w:numPr>
        <w:spacing w:after="240"/>
        <w:ind w:left="1434" w:hanging="357"/>
        <w:rPr>
          <w:rFonts w:ascii="Arial" w:hAnsi="Arial" w:cs="Arial"/>
          <w:sz w:val="24"/>
          <w:szCs w:val="24"/>
          <w:lang w:eastAsia="en-US"/>
        </w:rPr>
      </w:pPr>
      <w:r w:rsidRPr="00373688">
        <w:rPr>
          <w:rFonts w:ascii="Arial" w:hAnsi="Arial" w:cs="Arial"/>
          <w:sz w:val="24"/>
          <w:szCs w:val="24"/>
          <w:lang w:eastAsia="en-US"/>
        </w:rPr>
        <w:t xml:space="preserve">any Will that is destroyed. </w:t>
      </w:r>
    </w:p>
    <w:p w14:paraId="598ACA6E" w14:textId="3569B67F" w:rsidR="00D90D6F" w:rsidRPr="00373688" w:rsidRDefault="00D90D6F" w:rsidP="00D90D6F">
      <w:pPr>
        <w:rPr>
          <w:rFonts w:ascii="Arial" w:hAnsi="Arial" w:cs="Arial"/>
          <w:sz w:val="24"/>
          <w:szCs w:val="24"/>
        </w:rPr>
      </w:pPr>
      <w:r w:rsidRPr="00373688">
        <w:rPr>
          <w:rFonts w:ascii="Arial" w:hAnsi="Arial" w:cs="Arial"/>
          <w:sz w:val="24"/>
          <w:szCs w:val="24"/>
        </w:rPr>
        <w:t xml:space="preserve">These changes are intended to support the creation of a single, centralised Wills Register for the ACT, which will be managed by the Public Trustee and Guardian. The Public Trustee and Guardian currently operates a Wills Register under the </w:t>
      </w:r>
      <w:r w:rsidRPr="00373688">
        <w:rPr>
          <w:rFonts w:ascii="Arial" w:hAnsi="Arial" w:cs="Arial"/>
          <w:i/>
          <w:iCs/>
          <w:sz w:val="24"/>
          <w:szCs w:val="24"/>
        </w:rPr>
        <w:t>Public Trustee and Guardian Act 1985</w:t>
      </w:r>
      <w:r w:rsidRPr="00373688">
        <w:rPr>
          <w:rFonts w:ascii="Arial" w:hAnsi="Arial" w:cs="Arial"/>
          <w:sz w:val="24"/>
          <w:szCs w:val="24"/>
        </w:rPr>
        <w:t>, where members of the public can (for a fee) deposit a Will and where searches for a Wills may be undertaken.</w:t>
      </w:r>
    </w:p>
    <w:p w14:paraId="70EC825B" w14:textId="5B23E722" w:rsidR="00D90D6F" w:rsidRPr="00373688" w:rsidRDefault="00D90D6F" w:rsidP="00D90D6F">
      <w:pPr>
        <w:rPr>
          <w:rFonts w:ascii="Arial" w:hAnsi="Arial" w:cs="Arial"/>
          <w:sz w:val="24"/>
          <w:szCs w:val="24"/>
        </w:rPr>
      </w:pPr>
      <w:r w:rsidRPr="00373688">
        <w:rPr>
          <w:rFonts w:ascii="Arial" w:hAnsi="Arial" w:cs="Arial"/>
          <w:sz w:val="24"/>
          <w:szCs w:val="24"/>
        </w:rPr>
        <w:t xml:space="preserve">In November 2018, the Legislative Assembly Standing Committee on Justice and Community Safety recommended that a program be introduced to enable more citizens to deposit their Wills with the Public Trustee and Guardian to prevent Wills from being lost or destroyed. These changes further that objective by ensuring that there will be a single Government agency offering </w:t>
      </w:r>
      <w:r w:rsidR="00B12381" w:rsidRPr="00373688">
        <w:rPr>
          <w:rFonts w:ascii="Arial" w:hAnsi="Arial" w:cs="Arial"/>
          <w:sz w:val="24"/>
          <w:szCs w:val="24"/>
        </w:rPr>
        <w:t>a centralised</w:t>
      </w:r>
      <w:r w:rsidRPr="00373688">
        <w:rPr>
          <w:rFonts w:ascii="Arial" w:hAnsi="Arial" w:cs="Arial"/>
          <w:sz w:val="24"/>
          <w:szCs w:val="24"/>
        </w:rPr>
        <w:t xml:space="preserve"> Wills Register service. </w:t>
      </w:r>
      <w:r w:rsidR="001B13F5" w:rsidRPr="00373688">
        <w:rPr>
          <w:rFonts w:ascii="Arial" w:hAnsi="Arial" w:cs="Arial"/>
          <w:sz w:val="24"/>
          <w:szCs w:val="24"/>
        </w:rPr>
        <w:t>The use of the Public Trustee and Guardian Wills Register is not mandatory, and members of the public may still hold their Wills in other places.</w:t>
      </w:r>
    </w:p>
    <w:p w14:paraId="7F967292" w14:textId="5D10D76B" w:rsidR="00B12381" w:rsidRPr="00373688" w:rsidRDefault="00B12381" w:rsidP="00D90D6F">
      <w:pPr>
        <w:rPr>
          <w:rFonts w:ascii="Arial" w:hAnsi="Arial" w:cs="Arial"/>
          <w:sz w:val="24"/>
          <w:szCs w:val="24"/>
        </w:rPr>
      </w:pPr>
      <w:r w:rsidRPr="00373688">
        <w:rPr>
          <w:rFonts w:ascii="Arial" w:hAnsi="Arial" w:cs="Arial"/>
          <w:sz w:val="24"/>
          <w:szCs w:val="24"/>
        </w:rPr>
        <w:t>This clause has delayed commencement of up to 18 months (as per clause 2 of the Bill). This is intended to allow time for the transfer of information about Wills held by the Supreme Court to the Public Trustee and Guardian for inclusion in the centralised Wills Register</w:t>
      </w:r>
      <w:r w:rsidR="001B13F5" w:rsidRPr="00373688">
        <w:rPr>
          <w:rFonts w:ascii="Arial" w:hAnsi="Arial" w:cs="Arial"/>
          <w:sz w:val="24"/>
          <w:szCs w:val="24"/>
        </w:rPr>
        <w:t xml:space="preserve"> (pursuant to clause 5</w:t>
      </w:r>
      <w:r w:rsidR="00B321F2">
        <w:rPr>
          <w:rFonts w:ascii="Arial" w:hAnsi="Arial" w:cs="Arial"/>
          <w:sz w:val="24"/>
          <w:szCs w:val="24"/>
        </w:rPr>
        <w:t>5</w:t>
      </w:r>
      <w:r w:rsidR="001B13F5" w:rsidRPr="00373688">
        <w:rPr>
          <w:rFonts w:ascii="Arial" w:hAnsi="Arial" w:cs="Arial"/>
          <w:sz w:val="24"/>
          <w:szCs w:val="24"/>
        </w:rPr>
        <w:t>)</w:t>
      </w:r>
      <w:r w:rsidRPr="00373688">
        <w:rPr>
          <w:rFonts w:ascii="Arial" w:hAnsi="Arial" w:cs="Arial"/>
          <w:sz w:val="24"/>
          <w:szCs w:val="24"/>
        </w:rPr>
        <w:t>, prior to the Supreme Court’s current powers</w:t>
      </w:r>
      <w:r w:rsidR="001B13F5" w:rsidRPr="00373688">
        <w:rPr>
          <w:rFonts w:ascii="Arial" w:hAnsi="Arial" w:cs="Arial"/>
          <w:sz w:val="24"/>
          <w:szCs w:val="24"/>
        </w:rPr>
        <w:t xml:space="preserve"> in relation to Wills</w:t>
      </w:r>
      <w:r w:rsidRPr="00373688">
        <w:rPr>
          <w:rFonts w:ascii="Arial" w:hAnsi="Arial" w:cs="Arial"/>
          <w:sz w:val="24"/>
          <w:szCs w:val="24"/>
        </w:rPr>
        <w:t xml:space="preserve"> being amended. </w:t>
      </w:r>
      <w:r w:rsidR="001B13F5" w:rsidRPr="00373688">
        <w:rPr>
          <w:rFonts w:ascii="Arial" w:hAnsi="Arial" w:cs="Arial"/>
          <w:sz w:val="24"/>
          <w:szCs w:val="24"/>
        </w:rPr>
        <w:t>Once it commences, new section 32 will ensure that the Supreme Court retains appropriate powers to manage Wills held by it.</w:t>
      </w:r>
    </w:p>
    <w:p w14:paraId="6239BF96" w14:textId="135857E8" w:rsidR="003E3F1E" w:rsidRPr="00373688" w:rsidRDefault="003E3F1E" w:rsidP="003E3F1E">
      <w:pPr>
        <w:pStyle w:val="Heading3"/>
        <w:rPr>
          <w:rFonts w:cs="Arial"/>
        </w:rPr>
      </w:pPr>
      <w:r w:rsidRPr="00373688">
        <w:rPr>
          <w:rFonts w:cs="Arial"/>
        </w:rPr>
        <w:t>Clause 5</w:t>
      </w:r>
      <w:r w:rsidR="00C372F5">
        <w:rPr>
          <w:rFonts w:cs="Arial"/>
        </w:rPr>
        <w:t>5</w:t>
      </w:r>
      <w:r w:rsidRPr="00373688">
        <w:rPr>
          <w:rFonts w:cs="Arial"/>
        </w:rPr>
        <w:tab/>
        <w:t>New section 36</w:t>
      </w:r>
    </w:p>
    <w:p w14:paraId="056610E8" w14:textId="195D84DE" w:rsidR="00B12381" w:rsidRPr="00373688" w:rsidRDefault="00B12381" w:rsidP="00B12381">
      <w:pPr>
        <w:rPr>
          <w:rFonts w:ascii="Arial" w:hAnsi="Arial" w:cs="Arial"/>
          <w:sz w:val="24"/>
          <w:szCs w:val="24"/>
        </w:rPr>
      </w:pPr>
      <w:r w:rsidRPr="00373688">
        <w:rPr>
          <w:rFonts w:ascii="Arial" w:hAnsi="Arial" w:cs="Arial"/>
          <w:sz w:val="24"/>
          <w:szCs w:val="24"/>
        </w:rPr>
        <w:t xml:space="preserve">This clause inserts new section 36 into the </w:t>
      </w:r>
      <w:r w:rsidRPr="00373688">
        <w:rPr>
          <w:rFonts w:ascii="Arial" w:hAnsi="Arial" w:cs="Arial"/>
          <w:i/>
          <w:iCs/>
          <w:sz w:val="24"/>
          <w:szCs w:val="24"/>
        </w:rPr>
        <w:t>Wills Act 1968</w:t>
      </w:r>
      <w:r w:rsidRPr="00373688">
        <w:rPr>
          <w:rFonts w:ascii="Arial" w:hAnsi="Arial" w:cs="Arial"/>
          <w:sz w:val="24"/>
          <w:szCs w:val="24"/>
        </w:rPr>
        <w:t xml:space="preserve">. This is a temporary provision which will expire on the commencement of clause </w:t>
      </w:r>
      <w:r w:rsidR="00675551">
        <w:rPr>
          <w:rFonts w:ascii="Arial" w:hAnsi="Arial" w:cs="Arial"/>
          <w:sz w:val="24"/>
          <w:szCs w:val="24"/>
        </w:rPr>
        <w:t>54</w:t>
      </w:r>
      <w:r w:rsidR="001B13F5" w:rsidRPr="00373688">
        <w:rPr>
          <w:rFonts w:ascii="Arial" w:hAnsi="Arial" w:cs="Arial"/>
          <w:sz w:val="24"/>
          <w:szCs w:val="24"/>
        </w:rPr>
        <w:t xml:space="preserve">. New section 36 is intended to authorise the Supreme Court, consistently with privacy laws, to transfer Wills, or identifying information about Wills, held by the Court to the Public Trustee and Guardian, for the purpose of their inclusion in the Wills Register maintained by the Public Trustee and Guardian. </w:t>
      </w:r>
    </w:p>
    <w:p w14:paraId="7284444F" w14:textId="4138797C" w:rsidR="00511760" w:rsidRPr="00373688" w:rsidRDefault="00511760" w:rsidP="00BE23B7">
      <w:pPr>
        <w:pStyle w:val="Heading3"/>
        <w:rPr>
          <w:rFonts w:cs="Arial"/>
        </w:rPr>
      </w:pPr>
      <w:r w:rsidRPr="00373688">
        <w:rPr>
          <w:rFonts w:cs="Arial"/>
        </w:rPr>
        <w:t>Clause 5</w:t>
      </w:r>
      <w:r w:rsidR="00675551">
        <w:rPr>
          <w:rFonts w:cs="Arial"/>
        </w:rPr>
        <w:t>6</w:t>
      </w:r>
      <w:r w:rsidRPr="00373688">
        <w:rPr>
          <w:rFonts w:cs="Arial"/>
        </w:rPr>
        <w:tab/>
        <w:t>Dictionary, note 2</w:t>
      </w:r>
    </w:p>
    <w:p w14:paraId="78CFD324" w14:textId="2015DFDE" w:rsidR="00BE23B7" w:rsidRPr="00373688" w:rsidRDefault="00BE23B7" w:rsidP="00BE23B7">
      <w:pPr>
        <w:rPr>
          <w:rFonts w:ascii="Arial" w:hAnsi="Arial" w:cs="Arial"/>
          <w:sz w:val="24"/>
          <w:szCs w:val="24"/>
        </w:rPr>
      </w:pPr>
      <w:r w:rsidRPr="00373688">
        <w:rPr>
          <w:rFonts w:ascii="Arial" w:hAnsi="Arial" w:cs="Arial"/>
          <w:sz w:val="24"/>
          <w:szCs w:val="24"/>
        </w:rPr>
        <w:t xml:space="preserve">This clause makes a minor update to note 2 in the Dictionary to the </w:t>
      </w:r>
      <w:r w:rsidRPr="00373688">
        <w:rPr>
          <w:rFonts w:ascii="Arial" w:hAnsi="Arial" w:cs="Arial"/>
          <w:i/>
          <w:iCs/>
          <w:sz w:val="24"/>
          <w:szCs w:val="24"/>
        </w:rPr>
        <w:t>Wills Act 1968</w:t>
      </w:r>
      <w:r w:rsidRPr="00373688">
        <w:rPr>
          <w:rFonts w:ascii="Arial" w:hAnsi="Arial" w:cs="Arial"/>
          <w:sz w:val="24"/>
          <w:szCs w:val="24"/>
        </w:rPr>
        <w:t xml:space="preserve">, to inform </w:t>
      </w:r>
      <w:r w:rsidR="003C1CA6">
        <w:rPr>
          <w:rFonts w:ascii="Arial" w:hAnsi="Arial" w:cs="Arial"/>
          <w:sz w:val="24"/>
          <w:szCs w:val="24"/>
        </w:rPr>
        <w:t xml:space="preserve">readers </w:t>
      </w:r>
      <w:r w:rsidRPr="00373688">
        <w:rPr>
          <w:rFonts w:ascii="Arial" w:hAnsi="Arial" w:cs="Arial"/>
          <w:sz w:val="24"/>
          <w:szCs w:val="24"/>
        </w:rPr>
        <w:t xml:space="preserve">that </w:t>
      </w:r>
      <w:r w:rsidRPr="00373688">
        <w:rPr>
          <w:rFonts w:ascii="Arial" w:hAnsi="Arial" w:cs="Arial"/>
          <w:i/>
          <w:iCs/>
          <w:sz w:val="24"/>
          <w:szCs w:val="24"/>
        </w:rPr>
        <w:t xml:space="preserve">judge </w:t>
      </w:r>
      <w:r w:rsidR="003C1CA6">
        <w:rPr>
          <w:rFonts w:ascii="Arial" w:hAnsi="Arial" w:cs="Arial"/>
          <w:sz w:val="24"/>
          <w:szCs w:val="24"/>
        </w:rPr>
        <w:t>is a</w:t>
      </w:r>
      <w:r w:rsidRPr="00373688">
        <w:rPr>
          <w:rFonts w:ascii="Arial" w:hAnsi="Arial" w:cs="Arial"/>
          <w:sz w:val="24"/>
          <w:szCs w:val="24"/>
        </w:rPr>
        <w:t xml:space="preserve"> </w:t>
      </w:r>
      <w:r w:rsidR="00D90D6F" w:rsidRPr="00373688">
        <w:rPr>
          <w:rFonts w:ascii="Arial" w:hAnsi="Arial" w:cs="Arial"/>
          <w:sz w:val="24"/>
          <w:szCs w:val="24"/>
        </w:rPr>
        <w:t xml:space="preserve">term defined in the </w:t>
      </w:r>
      <w:r w:rsidR="00D90D6F" w:rsidRPr="00373688">
        <w:rPr>
          <w:rFonts w:ascii="Arial" w:hAnsi="Arial" w:cs="Arial"/>
          <w:i/>
          <w:iCs/>
          <w:sz w:val="24"/>
          <w:szCs w:val="24"/>
        </w:rPr>
        <w:t>Legislation Act 2001</w:t>
      </w:r>
      <w:r w:rsidR="00D90D6F" w:rsidRPr="00373688">
        <w:rPr>
          <w:rFonts w:ascii="Arial" w:hAnsi="Arial" w:cs="Arial"/>
          <w:sz w:val="24"/>
          <w:szCs w:val="24"/>
        </w:rPr>
        <w:t>.</w:t>
      </w:r>
    </w:p>
    <w:p w14:paraId="532D31E3" w14:textId="4FD4B983" w:rsidR="00771B23" w:rsidRPr="00373688" w:rsidRDefault="00771B23" w:rsidP="00B12381">
      <w:pPr>
        <w:pStyle w:val="Heading2"/>
        <w:spacing w:after="240"/>
        <w:rPr>
          <w:rFonts w:cs="Arial"/>
          <w:szCs w:val="24"/>
        </w:rPr>
      </w:pPr>
      <w:r w:rsidRPr="00373688">
        <w:rPr>
          <w:rFonts w:cs="Arial"/>
          <w:szCs w:val="24"/>
        </w:rPr>
        <w:t>Schedule 1</w:t>
      </w:r>
      <w:r w:rsidRPr="00373688">
        <w:rPr>
          <w:rFonts w:cs="Arial"/>
          <w:szCs w:val="24"/>
        </w:rPr>
        <w:tab/>
        <w:t xml:space="preserve">Technical Amendments </w:t>
      </w:r>
    </w:p>
    <w:p w14:paraId="1276ED3B" w14:textId="77777777" w:rsidR="001F798B" w:rsidRPr="00373688" w:rsidRDefault="001F798B">
      <w:pPr>
        <w:pStyle w:val="ListParagraph"/>
        <w:numPr>
          <w:ilvl w:val="0"/>
          <w:numId w:val="4"/>
        </w:numPr>
        <w:rPr>
          <w:rFonts w:ascii="Arial" w:hAnsi="Arial" w:cs="Arial"/>
          <w:i/>
          <w:iCs/>
          <w:sz w:val="24"/>
          <w:szCs w:val="24"/>
        </w:rPr>
      </w:pPr>
      <w:r w:rsidRPr="00373688">
        <w:rPr>
          <w:rFonts w:ascii="Arial" w:hAnsi="Arial" w:cs="Arial"/>
          <w:i/>
          <w:iCs/>
          <w:sz w:val="24"/>
          <w:szCs w:val="24"/>
        </w:rPr>
        <w:t>ACT Civil and Administrative Tribunal Act 2008</w:t>
      </w:r>
    </w:p>
    <w:p w14:paraId="7777AA03" w14:textId="77777777" w:rsidR="001F798B" w:rsidRPr="00373688" w:rsidRDefault="001F798B">
      <w:pPr>
        <w:pStyle w:val="ListParagraph"/>
        <w:numPr>
          <w:ilvl w:val="0"/>
          <w:numId w:val="4"/>
        </w:numPr>
        <w:rPr>
          <w:rFonts w:ascii="Arial" w:hAnsi="Arial" w:cs="Arial"/>
          <w:i/>
          <w:iCs/>
          <w:sz w:val="24"/>
          <w:szCs w:val="24"/>
        </w:rPr>
      </w:pPr>
      <w:r w:rsidRPr="00373688">
        <w:rPr>
          <w:rFonts w:ascii="Arial" w:hAnsi="Arial" w:cs="Arial"/>
          <w:i/>
          <w:iCs/>
          <w:sz w:val="24"/>
          <w:szCs w:val="24"/>
        </w:rPr>
        <w:t>Electoral Act 1992</w:t>
      </w:r>
    </w:p>
    <w:p w14:paraId="44C238C7" w14:textId="77777777" w:rsidR="001F798B" w:rsidRPr="00373688" w:rsidRDefault="001F798B">
      <w:pPr>
        <w:pStyle w:val="ListParagraph"/>
        <w:numPr>
          <w:ilvl w:val="0"/>
          <w:numId w:val="4"/>
        </w:numPr>
        <w:rPr>
          <w:rFonts w:ascii="Arial" w:hAnsi="Arial" w:cs="Arial"/>
          <w:i/>
          <w:iCs/>
          <w:sz w:val="24"/>
          <w:szCs w:val="24"/>
        </w:rPr>
      </w:pPr>
      <w:r w:rsidRPr="00373688">
        <w:rPr>
          <w:rFonts w:ascii="Arial" w:hAnsi="Arial" w:cs="Arial"/>
          <w:i/>
          <w:iCs/>
          <w:sz w:val="24"/>
          <w:szCs w:val="24"/>
        </w:rPr>
        <w:t>Human Rights Commission Act 2005</w:t>
      </w:r>
    </w:p>
    <w:p w14:paraId="6A08F9F1" w14:textId="0935AC52" w:rsidR="001F798B" w:rsidRPr="00373688" w:rsidRDefault="001F798B">
      <w:pPr>
        <w:pStyle w:val="ListParagraph"/>
        <w:numPr>
          <w:ilvl w:val="0"/>
          <w:numId w:val="4"/>
        </w:numPr>
        <w:rPr>
          <w:rFonts w:ascii="Arial" w:hAnsi="Arial" w:cs="Arial"/>
          <w:i/>
          <w:iCs/>
          <w:sz w:val="24"/>
          <w:szCs w:val="24"/>
        </w:rPr>
      </w:pPr>
      <w:r w:rsidRPr="00373688">
        <w:rPr>
          <w:rFonts w:ascii="Arial" w:hAnsi="Arial" w:cs="Arial"/>
          <w:i/>
          <w:iCs/>
          <w:sz w:val="24"/>
          <w:szCs w:val="24"/>
        </w:rPr>
        <w:lastRenderedPageBreak/>
        <w:t xml:space="preserve">Information Privacy </w:t>
      </w:r>
      <w:r w:rsidR="005564D4" w:rsidRPr="00373688">
        <w:rPr>
          <w:rFonts w:ascii="Arial" w:hAnsi="Arial" w:cs="Arial"/>
          <w:i/>
          <w:iCs/>
          <w:sz w:val="24"/>
          <w:szCs w:val="24"/>
        </w:rPr>
        <w:t>Regulation</w:t>
      </w:r>
      <w:r w:rsidRPr="00373688">
        <w:rPr>
          <w:rFonts w:ascii="Arial" w:hAnsi="Arial" w:cs="Arial"/>
          <w:i/>
          <w:iCs/>
          <w:sz w:val="24"/>
          <w:szCs w:val="24"/>
        </w:rPr>
        <w:t xml:space="preserve"> 2014</w:t>
      </w:r>
    </w:p>
    <w:p w14:paraId="75696F9C" w14:textId="77777777" w:rsidR="001F798B" w:rsidRPr="00373688" w:rsidRDefault="001F798B">
      <w:pPr>
        <w:pStyle w:val="ListParagraph"/>
        <w:numPr>
          <w:ilvl w:val="0"/>
          <w:numId w:val="4"/>
        </w:numPr>
        <w:rPr>
          <w:rFonts w:ascii="Arial" w:hAnsi="Arial" w:cs="Arial"/>
          <w:i/>
          <w:iCs/>
          <w:sz w:val="24"/>
          <w:szCs w:val="24"/>
        </w:rPr>
      </w:pPr>
      <w:r w:rsidRPr="00373688">
        <w:rPr>
          <w:rFonts w:ascii="Arial" w:hAnsi="Arial" w:cs="Arial"/>
          <w:i/>
          <w:iCs/>
          <w:sz w:val="24"/>
          <w:szCs w:val="24"/>
        </w:rPr>
        <w:t>Land Titles Act 1925</w:t>
      </w:r>
    </w:p>
    <w:p w14:paraId="68EBA470" w14:textId="77777777" w:rsidR="001F798B" w:rsidRPr="00373688" w:rsidRDefault="001F798B">
      <w:pPr>
        <w:pStyle w:val="ListParagraph"/>
        <w:numPr>
          <w:ilvl w:val="0"/>
          <w:numId w:val="4"/>
        </w:numPr>
        <w:rPr>
          <w:rFonts w:ascii="Arial" w:hAnsi="Arial" w:cs="Arial"/>
          <w:i/>
          <w:iCs/>
          <w:sz w:val="24"/>
          <w:szCs w:val="24"/>
        </w:rPr>
      </w:pPr>
      <w:r w:rsidRPr="00373688">
        <w:rPr>
          <w:rFonts w:ascii="Arial" w:hAnsi="Arial" w:cs="Arial"/>
          <w:i/>
          <w:iCs/>
          <w:sz w:val="24"/>
          <w:szCs w:val="24"/>
        </w:rPr>
        <w:t>Legal Profession Act 2006</w:t>
      </w:r>
    </w:p>
    <w:p w14:paraId="122AD225" w14:textId="598C57F1" w:rsidR="001F798B" w:rsidRPr="00373688" w:rsidRDefault="001F798B" w:rsidP="001F798B">
      <w:pPr>
        <w:pStyle w:val="ListParagraph"/>
        <w:numPr>
          <w:ilvl w:val="0"/>
          <w:numId w:val="4"/>
        </w:numPr>
        <w:rPr>
          <w:rFonts w:ascii="Arial" w:hAnsi="Arial" w:cs="Arial"/>
          <w:i/>
          <w:iCs/>
          <w:sz w:val="24"/>
          <w:szCs w:val="24"/>
        </w:rPr>
      </w:pPr>
      <w:r w:rsidRPr="00373688">
        <w:rPr>
          <w:rFonts w:ascii="Arial" w:hAnsi="Arial" w:cs="Arial"/>
          <w:i/>
          <w:iCs/>
          <w:sz w:val="24"/>
          <w:szCs w:val="24"/>
        </w:rPr>
        <w:t>Unit Titles (Management) Act 2011</w:t>
      </w:r>
      <w:r w:rsidR="00B12381" w:rsidRPr="00373688">
        <w:rPr>
          <w:rFonts w:ascii="Arial" w:hAnsi="Arial" w:cs="Arial"/>
          <w:i/>
          <w:iCs/>
          <w:sz w:val="24"/>
          <w:szCs w:val="24"/>
        </w:rPr>
        <w:br/>
      </w:r>
    </w:p>
    <w:p w14:paraId="3D75A689" w14:textId="6B206D93" w:rsidR="00771B23" w:rsidRPr="00373688" w:rsidRDefault="001F798B" w:rsidP="00776F61">
      <w:pPr>
        <w:rPr>
          <w:rFonts w:ascii="Arial" w:hAnsi="Arial" w:cs="Arial"/>
          <w:sz w:val="24"/>
          <w:szCs w:val="24"/>
        </w:rPr>
      </w:pPr>
      <w:r w:rsidRPr="00373688">
        <w:rPr>
          <w:rFonts w:ascii="Arial" w:hAnsi="Arial" w:cs="Arial"/>
          <w:sz w:val="24"/>
          <w:szCs w:val="24"/>
        </w:rPr>
        <w:t xml:space="preserve">For </w:t>
      </w:r>
      <w:r w:rsidR="00034CEA" w:rsidRPr="00373688">
        <w:rPr>
          <w:rFonts w:ascii="Arial" w:hAnsi="Arial" w:cs="Arial"/>
          <w:sz w:val="24"/>
          <w:szCs w:val="24"/>
        </w:rPr>
        <w:t xml:space="preserve">the </w:t>
      </w:r>
      <w:r w:rsidRPr="00373688">
        <w:rPr>
          <w:rFonts w:ascii="Arial" w:hAnsi="Arial" w:cs="Arial"/>
          <w:sz w:val="24"/>
          <w:szCs w:val="24"/>
        </w:rPr>
        <w:t>Act</w:t>
      </w:r>
      <w:r w:rsidR="00034CEA" w:rsidRPr="00373688">
        <w:rPr>
          <w:rFonts w:ascii="Arial" w:hAnsi="Arial" w:cs="Arial"/>
          <w:sz w:val="24"/>
          <w:szCs w:val="24"/>
        </w:rPr>
        <w:t>s</w:t>
      </w:r>
      <w:r w:rsidRPr="00373688">
        <w:rPr>
          <w:rFonts w:ascii="Arial" w:hAnsi="Arial" w:cs="Arial"/>
          <w:sz w:val="24"/>
          <w:szCs w:val="24"/>
        </w:rPr>
        <w:t xml:space="preserve"> listed above, the Bill makes a range of technical amendments</w:t>
      </w:r>
      <w:r w:rsidR="00C43D5F" w:rsidRPr="00373688">
        <w:rPr>
          <w:rFonts w:ascii="Arial" w:hAnsi="Arial" w:cs="Arial"/>
          <w:sz w:val="24"/>
          <w:szCs w:val="24"/>
        </w:rPr>
        <w:t xml:space="preserve">. </w:t>
      </w:r>
      <w:r w:rsidRPr="00373688">
        <w:rPr>
          <w:rFonts w:ascii="Arial" w:hAnsi="Arial" w:cs="Arial"/>
          <w:sz w:val="24"/>
          <w:szCs w:val="24"/>
        </w:rPr>
        <w:t>These include:</w:t>
      </w:r>
    </w:p>
    <w:p w14:paraId="64429F0C" w14:textId="06AE707A" w:rsidR="00C43D5F" w:rsidRPr="00373688" w:rsidRDefault="005564D4">
      <w:pPr>
        <w:pStyle w:val="ListParagraph"/>
        <w:numPr>
          <w:ilvl w:val="0"/>
          <w:numId w:val="4"/>
        </w:numPr>
        <w:rPr>
          <w:rFonts w:ascii="Arial" w:hAnsi="Arial" w:cs="Arial"/>
          <w:sz w:val="24"/>
          <w:szCs w:val="24"/>
        </w:rPr>
      </w:pPr>
      <w:r w:rsidRPr="00373688">
        <w:rPr>
          <w:rFonts w:ascii="Arial" w:hAnsi="Arial" w:cs="Arial"/>
          <w:sz w:val="24"/>
          <w:szCs w:val="24"/>
        </w:rPr>
        <w:t>r</w:t>
      </w:r>
      <w:r w:rsidR="00C43D5F" w:rsidRPr="00373688">
        <w:rPr>
          <w:rFonts w:ascii="Arial" w:hAnsi="Arial" w:cs="Arial"/>
          <w:sz w:val="24"/>
          <w:szCs w:val="24"/>
        </w:rPr>
        <w:t>emoving outdated references to ACT Government Directorates</w:t>
      </w:r>
      <w:r w:rsidRPr="00373688">
        <w:rPr>
          <w:rFonts w:ascii="Arial" w:hAnsi="Arial" w:cs="Arial"/>
          <w:sz w:val="24"/>
          <w:szCs w:val="24"/>
        </w:rPr>
        <w:t>,</w:t>
      </w:r>
    </w:p>
    <w:p w14:paraId="637D1F5E" w14:textId="23AB416F" w:rsidR="00034CEA" w:rsidRPr="00373688" w:rsidRDefault="005564D4">
      <w:pPr>
        <w:pStyle w:val="ListParagraph"/>
        <w:numPr>
          <w:ilvl w:val="0"/>
          <w:numId w:val="4"/>
        </w:numPr>
        <w:rPr>
          <w:rFonts w:ascii="Arial" w:hAnsi="Arial" w:cs="Arial"/>
          <w:sz w:val="24"/>
          <w:szCs w:val="24"/>
        </w:rPr>
      </w:pPr>
      <w:r w:rsidRPr="00373688">
        <w:rPr>
          <w:rFonts w:ascii="Arial" w:hAnsi="Arial" w:cs="Arial"/>
          <w:sz w:val="24"/>
          <w:szCs w:val="24"/>
        </w:rPr>
        <w:t>f</w:t>
      </w:r>
      <w:r w:rsidR="00034CEA" w:rsidRPr="00373688">
        <w:rPr>
          <w:rFonts w:ascii="Arial" w:hAnsi="Arial" w:cs="Arial"/>
          <w:sz w:val="24"/>
          <w:szCs w:val="24"/>
        </w:rPr>
        <w:t>ixing erroneous cross references</w:t>
      </w:r>
      <w:r w:rsidRPr="00373688">
        <w:rPr>
          <w:rFonts w:ascii="Arial" w:hAnsi="Arial" w:cs="Arial"/>
          <w:sz w:val="24"/>
          <w:szCs w:val="24"/>
        </w:rPr>
        <w:t>, and</w:t>
      </w:r>
    </w:p>
    <w:p w14:paraId="435C9E9B" w14:textId="7BFA0408" w:rsidR="00C43D5F" w:rsidRPr="00373688" w:rsidRDefault="005564D4">
      <w:pPr>
        <w:pStyle w:val="ListParagraph"/>
        <w:numPr>
          <w:ilvl w:val="0"/>
          <w:numId w:val="4"/>
        </w:numPr>
        <w:rPr>
          <w:rFonts w:ascii="Arial" w:hAnsi="Arial" w:cs="Arial"/>
          <w:sz w:val="24"/>
          <w:szCs w:val="24"/>
        </w:rPr>
      </w:pPr>
      <w:r w:rsidRPr="00373688">
        <w:rPr>
          <w:rFonts w:ascii="Arial" w:hAnsi="Arial" w:cs="Arial"/>
          <w:sz w:val="24"/>
          <w:szCs w:val="24"/>
        </w:rPr>
        <w:t>c</w:t>
      </w:r>
      <w:r w:rsidR="00C43D5F" w:rsidRPr="00373688">
        <w:rPr>
          <w:rFonts w:ascii="Arial" w:hAnsi="Arial" w:cs="Arial"/>
          <w:sz w:val="24"/>
          <w:szCs w:val="24"/>
        </w:rPr>
        <w:t xml:space="preserve">orrecting the order of </w:t>
      </w:r>
      <w:r w:rsidR="00034CEA" w:rsidRPr="00373688">
        <w:rPr>
          <w:rFonts w:ascii="Arial" w:hAnsi="Arial" w:cs="Arial"/>
          <w:sz w:val="24"/>
          <w:szCs w:val="24"/>
        </w:rPr>
        <w:t xml:space="preserve">paragraphs and punctuation errors. </w:t>
      </w:r>
    </w:p>
    <w:p w14:paraId="120B31CC" w14:textId="77777777" w:rsidR="00776F61" w:rsidRPr="00373688" w:rsidRDefault="00776F61" w:rsidP="00776F61">
      <w:pPr>
        <w:rPr>
          <w:rFonts w:ascii="Arial" w:hAnsi="Arial" w:cs="Arial"/>
          <w:sz w:val="24"/>
          <w:szCs w:val="24"/>
        </w:rPr>
      </w:pPr>
    </w:p>
    <w:sectPr w:rsidR="00776F61" w:rsidRPr="00373688" w:rsidSect="00F41A2F">
      <w:footerReference w:type="defaul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2D19" w14:textId="77777777" w:rsidR="00B5133A" w:rsidRDefault="00B5133A">
      <w:pPr>
        <w:spacing w:after="0" w:line="240" w:lineRule="auto"/>
      </w:pPr>
      <w:r>
        <w:separator/>
      </w:r>
    </w:p>
  </w:endnote>
  <w:endnote w:type="continuationSeparator" w:id="0">
    <w:p w14:paraId="2E00DE8D" w14:textId="77777777" w:rsidR="00B5133A" w:rsidRDefault="00B5133A">
      <w:pPr>
        <w:spacing w:after="0" w:line="240" w:lineRule="auto"/>
      </w:pPr>
      <w:r>
        <w:continuationSeparator/>
      </w:r>
    </w:p>
  </w:endnote>
  <w:endnote w:type="continuationNotice" w:id="1">
    <w:p w14:paraId="627D9FAD" w14:textId="77777777" w:rsidR="00B5133A" w:rsidRDefault="00B51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CF6F" w14:textId="77777777" w:rsidR="008F2650" w:rsidRDefault="008F2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0461" w14:textId="26C1B396" w:rsidR="00A529A4" w:rsidRPr="008F2650" w:rsidRDefault="008F2650" w:rsidP="008F2650">
    <w:pPr>
      <w:pStyle w:val="Footer"/>
      <w:jc w:val="center"/>
      <w:rPr>
        <w:rFonts w:cs="Arial"/>
        <w:sz w:val="14"/>
      </w:rPr>
    </w:pPr>
    <w:r w:rsidRPr="008F265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39DEF9E0"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3A24E16A" w14:textId="2EC97E67" w:rsidR="00A529A4" w:rsidRPr="008F2650" w:rsidRDefault="008F2650" w:rsidP="008F2650">
    <w:pPr>
      <w:pStyle w:val="Footer"/>
      <w:spacing w:before="60" w:line="240" w:lineRule="auto"/>
      <w:jc w:val="center"/>
      <w:rPr>
        <w:rFonts w:cs="Arial"/>
        <w:sz w:val="14"/>
      </w:rPr>
    </w:pPr>
    <w:r w:rsidRPr="008F2650">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33A2327D"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7077A253" w14:textId="7013484C" w:rsidR="00A529A4" w:rsidRPr="008F2650" w:rsidRDefault="008F2650" w:rsidP="008F2650">
    <w:pPr>
      <w:pStyle w:val="Footer"/>
      <w:jc w:val="center"/>
      <w:rPr>
        <w:rFonts w:cs="Arial"/>
        <w:sz w:val="14"/>
      </w:rPr>
    </w:pPr>
    <w:r w:rsidRPr="008F265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901B" w14:textId="77777777" w:rsidR="00B5133A" w:rsidRDefault="00B5133A">
      <w:pPr>
        <w:spacing w:after="0" w:line="240" w:lineRule="auto"/>
      </w:pPr>
      <w:r>
        <w:separator/>
      </w:r>
    </w:p>
  </w:footnote>
  <w:footnote w:type="continuationSeparator" w:id="0">
    <w:p w14:paraId="6E0961D9" w14:textId="77777777" w:rsidR="00B5133A" w:rsidRDefault="00B5133A">
      <w:pPr>
        <w:spacing w:after="0" w:line="240" w:lineRule="auto"/>
      </w:pPr>
      <w:r>
        <w:continuationSeparator/>
      </w:r>
    </w:p>
  </w:footnote>
  <w:footnote w:type="continuationNotice" w:id="1">
    <w:p w14:paraId="6986F0AC" w14:textId="77777777" w:rsidR="00B5133A" w:rsidRDefault="00B5133A">
      <w:pPr>
        <w:spacing w:after="0" w:line="240" w:lineRule="auto"/>
      </w:pPr>
    </w:p>
  </w:footnote>
  <w:footnote w:id="2">
    <w:p w14:paraId="7E2CB157" w14:textId="40B76850" w:rsidR="0021303B" w:rsidRPr="00CC0959" w:rsidRDefault="0021303B">
      <w:pPr>
        <w:pStyle w:val="FootnoteText"/>
        <w:rPr>
          <w:rFonts w:ascii="Arial" w:hAnsi="Arial" w:cs="Arial"/>
          <w:lang w:val="en-AU"/>
        </w:rPr>
      </w:pPr>
      <w:r w:rsidRPr="00CC0959">
        <w:rPr>
          <w:rStyle w:val="FootnoteReference"/>
          <w:rFonts w:ascii="Arial" w:hAnsi="Arial" w:cs="Arial"/>
        </w:rPr>
        <w:footnoteRef/>
      </w:r>
      <w:r w:rsidRPr="00CC0959">
        <w:rPr>
          <w:rFonts w:ascii="Arial" w:hAnsi="Arial" w:cs="Arial"/>
        </w:rPr>
        <w:t xml:space="preserve"> </w:t>
      </w:r>
      <w:r w:rsidRPr="00CC0959">
        <w:rPr>
          <w:rFonts w:ascii="Arial" w:hAnsi="Arial" w:cs="Arial"/>
          <w:lang w:val="en-AU"/>
        </w:rPr>
        <w:t xml:space="preserve">See </w:t>
      </w:r>
      <w:r w:rsidR="006A72A7" w:rsidRPr="00CC0959">
        <w:rPr>
          <w:rFonts w:ascii="Arial" w:hAnsi="Arial" w:cs="Arial"/>
          <w:lang w:val="en-AU"/>
        </w:rPr>
        <w:t>ACT Government, Chief Minister, Treasury and Economic Development Directorate, ‘ACT Government Better Regulation Taskforce’ &lt;https://www.cmtedd.act.gov.au/policystrategic/better-regulation-taskforce&gt;.</w:t>
      </w:r>
    </w:p>
  </w:footnote>
  <w:footnote w:id="3">
    <w:p w14:paraId="57D57768" w14:textId="738DF2F9" w:rsidR="005237B0" w:rsidRPr="00036FF0" w:rsidRDefault="005237B0">
      <w:pPr>
        <w:pStyle w:val="FootnoteText"/>
        <w:rPr>
          <w:rFonts w:ascii="Arial" w:hAnsi="Arial" w:cs="Arial"/>
          <w:lang w:val="en-AU"/>
        </w:rPr>
      </w:pPr>
      <w:r w:rsidRPr="00036FF0">
        <w:rPr>
          <w:rStyle w:val="FootnoteReference"/>
          <w:rFonts w:ascii="Arial" w:hAnsi="Arial" w:cs="Arial"/>
        </w:rPr>
        <w:footnoteRef/>
      </w:r>
      <w:r w:rsidRPr="00036FF0">
        <w:rPr>
          <w:rFonts w:ascii="Arial" w:hAnsi="Arial" w:cs="Arial"/>
        </w:rPr>
        <w:t xml:space="preserve"> Emeritus Professor Rosalind F Croucher AM, “Elder Financial Abuse-Insights from the ALRC’s Elder Abuse Inquiry”, </w:t>
      </w:r>
      <w:r w:rsidR="005C00E1" w:rsidRPr="00036FF0">
        <w:rPr>
          <w:rFonts w:ascii="Arial" w:hAnsi="Arial" w:cs="Arial"/>
          <w:i/>
          <w:iCs/>
        </w:rPr>
        <w:t>ACT Human Rights Commission</w:t>
      </w:r>
      <w:r w:rsidRPr="00036FF0">
        <w:rPr>
          <w:rFonts w:ascii="Arial" w:hAnsi="Arial" w:cs="Arial"/>
          <w:i/>
          <w:iCs/>
        </w:rPr>
        <w:t xml:space="preserve"> </w:t>
      </w:r>
      <w:r w:rsidR="005C00E1" w:rsidRPr="00036FF0">
        <w:rPr>
          <w:rFonts w:ascii="Arial" w:hAnsi="Arial" w:cs="Arial"/>
        </w:rPr>
        <w:t>&lt;</w:t>
      </w:r>
      <w:hyperlink r:id="rId1" w:history="1">
        <w:r w:rsidR="005C00E1" w:rsidRPr="00036FF0">
          <w:rPr>
            <w:rStyle w:val="Hyperlink"/>
            <w:rFonts w:ascii="Arial" w:hAnsi="Arial" w:cs="Arial"/>
          </w:rPr>
          <w:t>https://humanrights.gov.au/about/news/speeches/elder-financial-abuse-insights-alrcs-elder-abuse-inquiry</w:t>
        </w:r>
      </w:hyperlink>
      <w:r w:rsidR="005C00E1" w:rsidRPr="00036FF0">
        <w:rPr>
          <w:rFonts w:ascii="Arial" w:hAnsi="Arial" w:cs="Arial"/>
        </w:rPr>
        <w:t xml:space="preserve">&gt;. </w:t>
      </w:r>
    </w:p>
  </w:footnote>
  <w:footnote w:id="4">
    <w:p w14:paraId="63D03600" w14:textId="1DABECC2" w:rsidR="00357018" w:rsidRPr="00036FF0" w:rsidRDefault="00357018" w:rsidP="00357018">
      <w:pPr>
        <w:pStyle w:val="FootnoteText"/>
        <w:rPr>
          <w:rFonts w:ascii="Arial" w:hAnsi="Arial" w:cs="Arial"/>
          <w:lang w:val="en-AU"/>
        </w:rPr>
      </w:pPr>
      <w:r w:rsidRPr="00036FF0">
        <w:rPr>
          <w:rStyle w:val="FootnoteReference"/>
          <w:rFonts w:ascii="Arial" w:hAnsi="Arial" w:cs="Arial"/>
        </w:rPr>
        <w:footnoteRef/>
      </w:r>
      <w:r w:rsidRPr="00036FF0">
        <w:rPr>
          <w:rFonts w:ascii="Arial" w:hAnsi="Arial" w:cs="Arial"/>
        </w:rPr>
        <w:t xml:space="preserve"> </w:t>
      </w:r>
      <w:r w:rsidR="005C00E1" w:rsidRPr="00036FF0">
        <w:rPr>
          <w:rFonts w:ascii="Arial" w:hAnsi="Arial" w:cs="Arial"/>
        </w:rPr>
        <w:t xml:space="preserve">“Elder Abuse-A National Legal Response (ALRC Report 131)”, </w:t>
      </w:r>
      <w:r w:rsidR="005C00E1" w:rsidRPr="00036FF0">
        <w:rPr>
          <w:rFonts w:ascii="Arial" w:hAnsi="Arial" w:cs="Arial"/>
          <w:i/>
          <w:iCs/>
        </w:rPr>
        <w:t xml:space="preserve">Australian Law Reform Commission </w:t>
      </w:r>
      <w:r w:rsidR="005C00E1" w:rsidRPr="00036FF0">
        <w:rPr>
          <w:rFonts w:ascii="Arial" w:hAnsi="Arial" w:cs="Arial"/>
        </w:rPr>
        <w:t>&lt;</w:t>
      </w:r>
      <w:hyperlink r:id="rId2" w:history="1">
        <w:r w:rsidR="005C00E1" w:rsidRPr="00036FF0">
          <w:rPr>
            <w:rStyle w:val="Hyperlink"/>
            <w:rFonts w:ascii="Arial" w:hAnsi="Arial" w:cs="Arial"/>
          </w:rPr>
          <w:t>https://www.alrc.gov.au/publication/elder-abuse-a-national-legal-response-alrc-report-131/14-safeguarding-adults-at-risk/consent-6/</w:t>
        </w:r>
      </w:hyperlink>
      <w:r w:rsidR="005C00E1" w:rsidRPr="00036FF0">
        <w:rPr>
          <w:rStyle w:val="Hyperlink"/>
          <w:rFonts w:ascii="Arial" w:hAnsi="Arial" w:cs="Arial"/>
        </w:rPr>
        <w:t>&gt;</w:t>
      </w:r>
      <w:r w:rsidRPr="00036FF0">
        <w:rPr>
          <w:rFonts w:ascii="Arial" w:hAnsi="Arial" w:cs="Arial"/>
        </w:rPr>
        <w:t xml:space="preserve">. </w:t>
      </w:r>
    </w:p>
  </w:footnote>
  <w:footnote w:id="5">
    <w:p w14:paraId="45B491C4" w14:textId="2E592B1B" w:rsidR="00357018" w:rsidRPr="00A75AB6" w:rsidRDefault="00357018" w:rsidP="00357018">
      <w:pPr>
        <w:pStyle w:val="FootnoteText"/>
        <w:rPr>
          <w:lang w:val="en-AU"/>
        </w:rPr>
      </w:pPr>
      <w:r w:rsidRPr="00036FF0">
        <w:rPr>
          <w:rStyle w:val="FootnoteReference"/>
          <w:rFonts w:ascii="Arial" w:hAnsi="Arial" w:cs="Arial"/>
        </w:rPr>
        <w:footnoteRef/>
      </w:r>
      <w:r w:rsidRPr="00036FF0">
        <w:rPr>
          <w:rFonts w:ascii="Arial" w:hAnsi="Arial" w:cs="Arial"/>
        </w:rPr>
        <w:t xml:space="preserve"> </w:t>
      </w:r>
      <w:r w:rsidR="005C00E1" w:rsidRPr="00036FF0">
        <w:rPr>
          <w:rFonts w:ascii="Arial" w:hAnsi="Arial" w:cs="Arial"/>
        </w:rPr>
        <w:t>Ibid.</w:t>
      </w:r>
      <w:r w:rsidR="005C00E1">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E5A4" w14:textId="77777777" w:rsidR="008F2650" w:rsidRDefault="008F2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CF69" w14:textId="424CE0B8" w:rsidR="00A529A4" w:rsidRPr="00A529A4" w:rsidRDefault="00A529A4" w:rsidP="00A529A4">
    <w:pPr>
      <w:pStyle w:val="Header"/>
      <w:jc w:val="center"/>
      <w:rPr>
        <w:rFonts w:ascii="Arial" w:hAnsi="Arial" w:cs="Arial"/>
        <w:b/>
        <w:bCs/>
        <w:color w:val="FF0000"/>
        <w:sz w:val="32"/>
        <w:szCs w:val="32"/>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6EEE" w14:textId="77777777" w:rsidR="00A529A4" w:rsidRDefault="00A529A4" w:rsidP="00A529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5B949AA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E468CD"/>
    <w:multiLevelType w:val="hybridMultilevel"/>
    <w:tmpl w:val="D69A92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73F82"/>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CF58E8"/>
    <w:multiLevelType w:val="hybridMultilevel"/>
    <w:tmpl w:val="A93ABB4A"/>
    <w:lvl w:ilvl="0" w:tplc="EE561204">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554E0A"/>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ED327FE"/>
    <w:multiLevelType w:val="hybridMultilevel"/>
    <w:tmpl w:val="D8C23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 w15:restartNumberingAfterBreak="0">
    <w:nsid w:val="65F23CC4"/>
    <w:multiLevelType w:val="hybridMultilevel"/>
    <w:tmpl w:val="3ADA1F6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301236"/>
    <w:multiLevelType w:val="hybridMultilevel"/>
    <w:tmpl w:val="B0A09F7C"/>
    <w:lvl w:ilvl="0" w:tplc="0C090019">
      <w:start w:val="1"/>
      <w:numFmt w:val="lowerLetter"/>
      <w:lvlText w:val="%1."/>
      <w:lvlJc w:val="left"/>
      <w:pPr>
        <w:ind w:left="1364" w:hanging="360"/>
      </w:pPr>
      <w:rPr>
        <w:rFonts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9" w15:restartNumberingAfterBreak="0">
    <w:nsid w:val="79550688"/>
    <w:multiLevelType w:val="hybridMultilevel"/>
    <w:tmpl w:val="7D70C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7E5F4F8D"/>
    <w:multiLevelType w:val="hybridMultilevel"/>
    <w:tmpl w:val="698CA6CA"/>
    <w:lvl w:ilvl="0" w:tplc="0C020C62">
      <w:start w:val="1"/>
      <w:numFmt w:val="decimal"/>
      <w:lvlText w:val="%1)"/>
      <w:lvlJc w:val="left"/>
      <w:pPr>
        <w:ind w:left="644" w:hanging="360"/>
      </w:pPr>
      <w:rPr>
        <w:b w:val="0"/>
        <w:bCs w:val="0"/>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98731">
    <w:abstractNumId w:val="6"/>
  </w:num>
  <w:num w:numId="2" w16cid:durableId="1987196024">
    <w:abstractNumId w:val="10"/>
  </w:num>
  <w:num w:numId="3" w16cid:durableId="1257862118">
    <w:abstractNumId w:val="0"/>
  </w:num>
  <w:num w:numId="4" w16cid:durableId="1850636617">
    <w:abstractNumId w:val="7"/>
  </w:num>
  <w:num w:numId="5" w16cid:durableId="254554835">
    <w:abstractNumId w:val="3"/>
  </w:num>
  <w:num w:numId="6" w16cid:durableId="2124957353">
    <w:abstractNumId w:val="11"/>
  </w:num>
  <w:num w:numId="7" w16cid:durableId="1534345251">
    <w:abstractNumId w:val="11"/>
    <w:lvlOverride w:ilvl="0">
      <w:startOverride w:val="1"/>
    </w:lvlOverride>
  </w:num>
  <w:num w:numId="8" w16cid:durableId="875197474">
    <w:abstractNumId w:val="8"/>
  </w:num>
  <w:num w:numId="9" w16cid:durableId="1420297138">
    <w:abstractNumId w:val="1"/>
  </w:num>
  <w:num w:numId="10" w16cid:durableId="583875736">
    <w:abstractNumId w:val="5"/>
  </w:num>
  <w:num w:numId="11" w16cid:durableId="1948539739">
    <w:abstractNumId w:val="9"/>
  </w:num>
  <w:num w:numId="12" w16cid:durableId="508911878">
    <w:abstractNumId w:val="2"/>
  </w:num>
  <w:num w:numId="13" w16cid:durableId="3204720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E29"/>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27A63"/>
    <w:rsid w:val="00030373"/>
    <w:rsid w:val="00030D9D"/>
    <w:rsid w:val="00032126"/>
    <w:rsid w:val="0003311C"/>
    <w:rsid w:val="00033631"/>
    <w:rsid w:val="00033ABA"/>
    <w:rsid w:val="0003416C"/>
    <w:rsid w:val="00034929"/>
    <w:rsid w:val="00034CEA"/>
    <w:rsid w:val="000357F8"/>
    <w:rsid w:val="00036405"/>
    <w:rsid w:val="00036697"/>
    <w:rsid w:val="00036A5F"/>
    <w:rsid w:val="00036D89"/>
    <w:rsid w:val="00036FF0"/>
    <w:rsid w:val="00037CE7"/>
    <w:rsid w:val="00037E4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A14"/>
    <w:rsid w:val="00047D5D"/>
    <w:rsid w:val="00050021"/>
    <w:rsid w:val="0005013E"/>
    <w:rsid w:val="000503A9"/>
    <w:rsid w:val="00050B04"/>
    <w:rsid w:val="00051B48"/>
    <w:rsid w:val="00051C51"/>
    <w:rsid w:val="000520A6"/>
    <w:rsid w:val="00052648"/>
    <w:rsid w:val="0005382B"/>
    <w:rsid w:val="00054677"/>
    <w:rsid w:val="0005467E"/>
    <w:rsid w:val="000554D5"/>
    <w:rsid w:val="000557CF"/>
    <w:rsid w:val="0005656E"/>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5E7B"/>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03B8"/>
    <w:rsid w:val="00081B40"/>
    <w:rsid w:val="00081E18"/>
    <w:rsid w:val="00083D69"/>
    <w:rsid w:val="000842CF"/>
    <w:rsid w:val="0008433C"/>
    <w:rsid w:val="000851B2"/>
    <w:rsid w:val="0008530E"/>
    <w:rsid w:val="00085645"/>
    <w:rsid w:val="000857B4"/>
    <w:rsid w:val="00085E95"/>
    <w:rsid w:val="0008657A"/>
    <w:rsid w:val="0008673D"/>
    <w:rsid w:val="0008679A"/>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C9C"/>
    <w:rsid w:val="000A4DAA"/>
    <w:rsid w:val="000A5FDC"/>
    <w:rsid w:val="000A6CF3"/>
    <w:rsid w:val="000A76D9"/>
    <w:rsid w:val="000A7D8D"/>
    <w:rsid w:val="000B080D"/>
    <w:rsid w:val="000B0D12"/>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4F1D"/>
    <w:rsid w:val="000E508E"/>
    <w:rsid w:val="000E6447"/>
    <w:rsid w:val="000E661D"/>
    <w:rsid w:val="000E6FF4"/>
    <w:rsid w:val="000F060C"/>
    <w:rsid w:val="000F0AF5"/>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32C"/>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369"/>
    <w:rsid w:val="00123C64"/>
    <w:rsid w:val="00124189"/>
    <w:rsid w:val="001254CC"/>
    <w:rsid w:val="001255A5"/>
    <w:rsid w:val="001255F3"/>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42"/>
    <w:rsid w:val="00146B74"/>
    <w:rsid w:val="00146CBD"/>
    <w:rsid w:val="00146CD7"/>
    <w:rsid w:val="00146F33"/>
    <w:rsid w:val="001475AF"/>
    <w:rsid w:val="001478E7"/>
    <w:rsid w:val="00147B5B"/>
    <w:rsid w:val="00147E27"/>
    <w:rsid w:val="00151B9B"/>
    <w:rsid w:val="00152730"/>
    <w:rsid w:val="0015320A"/>
    <w:rsid w:val="0015362B"/>
    <w:rsid w:val="001538A4"/>
    <w:rsid w:val="00153971"/>
    <w:rsid w:val="001564B6"/>
    <w:rsid w:val="001577A9"/>
    <w:rsid w:val="00157E63"/>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419"/>
    <w:rsid w:val="00171533"/>
    <w:rsid w:val="001720BD"/>
    <w:rsid w:val="0017277A"/>
    <w:rsid w:val="00172AA2"/>
    <w:rsid w:val="001756D8"/>
    <w:rsid w:val="0017626F"/>
    <w:rsid w:val="001773B7"/>
    <w:rsid w:val="00177EEA"/>
    <w:rsid w:val="00180319"/>
    <w:rsid w:val="0018067D"/>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1EF"/>
    <w:rsid w:val="0019375C"/>
    <w:rsid w:val="00193BA2"/>
    <w:rsid w:val="00193FCD"/>
    <w:rsid w:val="0019444B"/>
    <w:rsid w:val="00194D63"/>
    <w:rsid w:val="0019677F"/>
    <w:rsid w:val="001A0E08"/>
    <w:rsid w:val="001A168A"/>
    <w:rsid w:val="001A1C0B"/>
    <w:rsid w:val="001A1CFA"/>
    <w:rsid w:val="001A250B"/>
    <w:rsid w:val="001A2651"/>
    <w:rsid w:val="001A2A0B"/>
    <w:rsid w:val="001A2FA4"/>
    <w:rsid w:val="001A2FF6"/>
    <w:rsid w:val="001A3907"/>
    <w:rsid w:val="001A3A45"/>
    <w:rsid w:val="001A3ECA"/>
    <w:rsid w:val="001A3EDE"/>
    <w:rsid w:val="001A4947"/>
    <w:rsid w:val="001A4BA1"/>
    <w:rsid w:val="001A4E63"/>
    <w:rsid w:val="001A6C2F"/>
    <w:rsid w:val="001A73B5"/>
    <w:rsid w:val="001A79CF"/>
    <w:rsid w:val="001A7AAC"/>
    <w:rsid w:val="001B01CD"/>
    <w:rsid w:val="001B0684"/>
    <w:rsid w:val="001B06B5"/>
    <w:rsid w:val="001B0BCC"/>
    <w:rsid w:val="001B0E7F"/>
    <w:rsid w:val="001B11FC"/>
    <w:rsid w:val="001B13F5"/>
    <w:rsid w:val="001B1C20"/>
    <w:rsid w:val="001B1FD7"/>
    <w:rsid w:val="001B2479"/>
    <w:rsid w:val="001B258C"/>
    <w:rsid w:val="001B3BEB"/>
    <w:rsid w:val="001B5233"/>
    <w:rsid w:val="001B5AA7"/>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7D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D50"/>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291"/>
    <w:rsid w:val="001F54F6"/>
    <w:rsid w:val="001F5B9E"/>
    <w:rsid w:val="001F5C70"/>
    <w:rsid w:val="001F608D"/>
    <w:rsid w:val="001F6098"/>
    <w:rsid w:val="001F6C4C"/>
    <w:rsid w:val="001F7441"/>
    <w:rsid w:val="001F798B"/>
    <w:rsid w:val="002006B8"/>
    <w:rsid w:val="00200B02"/>
    <w:rsid w:val="002015C8"/>
    <w:rsid w:val="002017DC"/>
    <w:rsid w:val="00201BE2"/>
    <w:rsid w:val="00201CF7"/>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19BE"/>
    <w:rsid w:val="0021303B"/>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9E6"/>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2C0F"/>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643F"/>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3803"/>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0E1"/>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B7B36"/>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7A8"/>
    <w:rsid w:val="002F1FD8"/>
    <w:rsid w:val="002F222A"/>
    <w:rsid w:val="002F24AA"/>
    <w:rsid w:val="002F29D1"/>
    <w:rsid w:val="002F2BC9"/>
    <w:rsid w:val="002F327A"/>
    <w:rsid w:val="002F3E0E"/>
    <w:rsid w:val="002F4750"/>
    <w:rsid w:val="002F5A5C"/>
    <w:rsid w:val="002F60D1"/>
    <w:rsid w:val="002F61F0"/>
    <w:rsid w:val="002F643B"/>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49A"/>
    <w:rsid w:val="00314524"/>
    <w:rsid w:val="00314CC2"/>
    <w:rsid w:val="0031545D"/>
    <w:rsid w:val="00315D92"/>
    <w:rsid w:val="00316F0D"/>
    <w:rsid w:val="003170C9"/>
    <w:rsid w:val="00317753"/>
    <w:rsid w:val="00317ADF"/>
    <w:rsid w:val="003202A0"/>
    <w:rsid w:val="003204A2"/>
    <w:rsid w:val="0032086E"/>
    <w:rsid w:val="0032088F"/>
    <w:rsid w:val="00320B8A"/>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83E"/>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6EE5"/>
    <w:rsid w:val="0033716E"/>
    <w:rsid w:val="00337637"/>
    <w:rsid w:val="00337D14"/>
    <w:rsid w:val="0034077A"/>
    <w:rsid w:val="00341D6E"/>
    <w:rsid w:val="0034205F"/>
    <w:rsid w:val="003423BA"/>
    <w:rsid w:val="0034280B"/>
    <w:rsid w:val="00342C36"/>
    <w:rsid w:val="003430AD"/>
    <w:rsid w:val="00343402"/>
    <w:rsid w:val="003447CE"/>
    <w:rsid w:val="00344CA5"/>
    <w:rsid w:val="0034506A"/>
    <w:rsid w:val="003455C9"/>
    <w:rsid w:val="00345B11"/>
    <w:rsid w:val="00346013"/>
    <w:rsid w:val="003461C3"/>
    <w:rsid w:val="00346546"/>
    <w:rsid w:val="00347947"/>
    <w:rsid w:val="0035009B"/>
    <w:rsid w:val="00350F62"/>
    <w:rsid w:val="00351071"/>
    <w:rsid w:val="003511E9"/>
    <w:rsid w:val="003519E7"/>
    <w:rsid w:val="00351E2B"/>
    <w:rsid w:val="00351F59"/>
    <w:rsid w:val="003521EA"/>
    <w:rsid w:val="0035263A"/>
    <w:rsid w:val="00352862"/>
    <w:rsid w:val="00352DDB"/>
    <w:rsid w:val="0035373C"/>
    <w:rsid w:val="003545FB"/>
    <w:rsid w:val="003548E7"/>
    <w:rsid w:val="003559E9"/>
    <w:rsid w:val="0035606E"/>
    <w:rsid w:val="003568D2"/>
    <w:rsid w:val="00357018"/>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48D"/>
    <w:rsid w:val="00370C00"/>
    <w:rsid w:val="00370D36"/>
    <w:rsid w:val="003713CE"/>
    <w:rsid w:val="00371A18"/>
    <w:rsid w:val="00371C4D"/>
    <w:rsid w:val="00372C2D"/>
    <w:rsid w:val="003731AA"/>
    <w:rsid w:val="00373688"/>
    <w:rsid w:val="00373697"/>
    <w:rsid w:val="003739E6"/>
    <w:rsid w:val="003745A2"/>
    <w:rsid w:val="00374E13"/>
    <w:rsid w:val="00375AC2"/>
    <w:rsid w:val="00375C42"/>
    <w:rsid w:val="00375F5A"/>
    <w:rsid w:val="00376166"/>
    <w:rsid w:val="0037617E"/>
    <w:rsid w:val="00376193"/>
    <w:rsid w:val="0037688B"/>
    <w:rsid w:val="00376AD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6BFB"/>
    <w:rsid w:val="003B709B"/>
    <w:rsid w:val="003B71CF"/>
    <w:rsid w:val="003B739A"/>
    <w:rsid w:val="003B7A31"/>
    <w:rsid w:val="003B7C4B"/>
    <w:rsid w:val="003C103C"/>
    <w:rsid w:val="003C1726"/>
    <w:rsid w:val="003C1930"/>
    <w:rsid w:val="003C1978"/>
    <w:rsid w:val="003C1CA6"/>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045"/>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3F1E"/>
    <w:rsid w:val="003E44AC"/>
    <w:rsid w:val="003E52AE"/>
    <w:rsid w:val="003E5B05"/>
    <w:rsid w:val="003E5FA3"/>
    <w:rsid w:val="003E61C0"/>
    <w:rsid w:val="003E64B3"/>
    <w:rsid w:val="003E69CE"/>
    <w:rsid w:val="003E6FB5"/>
    <w:rsid w:val="003F108F"/>
    <w:rsid w:val="003F23D6"/>
    <w:rsid w:val="003F28B1"/>
    <w:rsid w:val="003F2E41"/>
    <w:rsid w:val="003F4A47"/>
    <w:rsid w:val="003F517E"/>
    <w:rsid w:val="003F68EE"/>
    <w:rsid w:val="003F6C17"/>
    <w:rsid w:val="003F7126"/>
    <w:rsid w:val="003F7252"/>
    <w:rsid w:val="003F7DCF"/>
    <w:rsid w:val="00400064"/>
    <w:rsid w:val="00400687"/>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BA9"/>
    <w:rsid w:val="00414DDB"/>
    <w:rsid w:val="00414FAD"/>
    <w:rsid w:val="00415778"/>
    <w:rsid w:val="00415E50"/>
    <w:rsid w:val="00415FCD"/>
    <w:rsid w:val="004160E4"/>
    <w:rsid w:val="00416E4C"/>
    <w:rsid w:val="004179C5"/>
    <w:rsid w:val="00417E0B"/>
    <w:rsid w:val="00420D14"/>
    <w:rsid w:val="00421708"/>
    <w:rsid w:val="004222C1"/>
    <w:rsid w:val="004229E2"/>
    <w:rsid w:val="00422DEA"/>
    <w:rsid w:val="004240AA"/>
    <w:rsid w:val="004240EE"/>
    <w:rsid w:val="0042486F"/>
    <w:rsid w:val="00424FBB"/>
    <w:rsid w:val="00425A3E"/>
    <w:rsid w:val="00425A8C"/>
    <w:rsid w:val="00426776"/>
    <w:rsid w:val="004269D7"/>
    <w:rsid w:val="00426E87"/>
    <w:rsid w:val="00427CCB"/>
    <w:rsid w:val="00430308"/>
    <w:rsid w:val="00431103"/>
    <w:rsid w:val="00431900"/>
    <w:rsid w:val="00433B49"/>
    <w:rsid w:val="0043422C"/>
    <w:rsid w:val="004343AE"/>
    <w:rsid w:val="00434E9C"/>
    <w:rsid w:val="0043575C"/>
    <w:rsid w:val="00435777"/>
    <w:rsid w:val="004366F6"/>
    <w:rsid w:val="00436B13"/>
    <w:rsid w:val="00437EB3"/>
    <w:rsid w:val="004407F0"/>
    <w:rsid w:val="00440C11"/>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4750B"/>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2F7"/>
    <w:rsid w:val="0046185D"/>
    <w:rsid w:val="00461B27"/>
    <w:rsid w:val="00461DF2"/>
    <w:rsid w:val="00464591"/>
    <w:rsid w:val="00464B28"/>
    <w:rsid w:val="004654EA"/>
    <w:rsid w:val="0046558A"/>
    <w:rsid w:val="004660FA"/>
    <w:rsid w:val="00466308"/>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5CBE"/>
    <w:rsid w:val="004761C6"/>
    <w:rsid w:val="00476852"/>
    <w:rsid w:val="00476EF9"/>
    <w:rsid w:val="00477BBD"/>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D60"/>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1F53"/>
    <w:rsid w:val="004E2DBF"/>
    <w:rsid w:val="004E3A3B"/>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1760"/>
    <w:rsid w:val="0051243D"/>
    <w:rsid w:val="00512595"/>
    <w:rsid w:val="0051284A"/>
    <w:rsid w:val="00512ED7"/>
    <w:rsid w:val="0051375C"/>
    <w:rsid w:val="00513ABE"/>
    <w:rsid w:val="00513E23"/>
    <w:rsid w:val="005144C8"/>
    <w:rsid w:val="00514F66"/>
    <w:rsid w:val="00515073"/>
    <w:rsid w:val="00515A86"/>
    <w:rsid w:val="005162FA"/>
    <w:rsid w:val="00516CF2"/>
    <w:rsid w:val="005171AF"/>
    <w:rsid w:val="00517AF5"/>
    <w:rsid w:val="00520326"/>
    <w:rsid w:val="00520A71"/>
    <w:rsid w:val="00520B41"/>
    <w:rsid w:val="00520CFB"/>
    <w:rsid w:val="0052127F"/>
    <w:rsid w:val="00521595"/>
    <w:rsid w:val="00522C7D"/>
    <w:rsid w:val="00522DD4"/>
    <w:rsid w:val="00522F02"/>
    <w:rsid w:val="00523293"/>
    <w:rsid w:val="0052373B"/>
    <w:rsid w:val="005237B0"/>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4D4"/>
    <w:rsid w:val="005566EF"/>
    <w:rsid w:val="005568AA"/>
    <w:rsid w:val="00557CAC"/>
    <w:rsid w:val="0056007E"/>
    <w:rsid w:val="0056027E"/>
    <w:rsid w:val="005607CD"/>
    <w:rsid w:val="00560959"/>
    <w:rsid w:val="00560C74"/>
    <w:rsid w:val="0056160E"/>
    <w:rsid w:val="00561A1A"/>
    <w:rsid w:val="00562216"/>
    <w:rsid w:val="00562402"/>
    <w:rsid w:val="005626C8"/>
    <w:rsid w:val="00562B69"/>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D0A"/>
    <w:rsid w:val="00574FFB"/>
    <w:rsid w:val="0057588B"/>
    <w:rsid w:val="005759E3"/>
    <w:rsid w:val="00575D66"/>
    <w:rsid w:val="00575D72"/>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48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0F94"/>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2C67"/>
    <w:rsid w:val="005B36E3"/>
    <w:rsid w:val="005B3751"/>
    <w:rsid w:val="005B38F2"/>
    <w:rsid w:val="005B3FCE"/>
    <w:rsid w:val="005B452D"/>
    <w:rsid w:val="005B57EA"/>
    <w:rsid w:val="005B6270"/>
    <w:rsid w:val="005B6457"/>
    <w:rsid w:val="005B6A08"/>
    <w:rsid w:val="005B6C48"/>
    <w:rsid w:val="005B6E2F"/>
    <w:rsid w:val="005B7158"/>
    <w:rsid w:val="005B77A2"/>
    <w:rsid w:val="005B7C06"/>
    <w:rsid w:val="005B7F41"/>
    <w:rsid w:val="005C00E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6FE6"/>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2030"/>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17BDD"/>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132F"/>
    <w:rsid w:val="00632057"/>
    <w:rsid w:val="00632131"/>
    <w:rsid w:val="006324DC"/>
    <w:rsid w:val="006326DF"/>
    <w:rsid w:val="00632D03"/>
    <w:rsid w:val="00632E0D"/>
    <w:rsid w:val="0063305F"/>
    <w:rsid w:val="006337D8"/>
    <w:rsid w:val="00633F04"/>
    <w:rsid w:val="00634288"/>
    <w:rsid w:val="00634671"/>
    <w:rsid w:val="00634A88"/>
    <w:rsid w:val="00634DA1"/>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949"/>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8CE"/>
    <w:rsid w:val="00667B63"/>
    <w:rsid w:val="00670515"/>
    <w:rsid w:val="00670A76"/>
    <w:rsid w:val="00670B9F"/>
    <w:rsid w:val="00670E1C"/>
    <w:rsid w:val="00672775"/>
    <w:rsid w:val="0067305E"/>
    <w:rsid w:val="006739F7"/>
    <w:rsid w:val="00673DA9"/>
    <w:rsid w:val="00674074"/>
    <w:rsid w:val="00674703"/>
    <w:rsid w:val="00675551"/>
    <w:rsid w:val="0067665D"/>
    <w:rsid w:val="00676836"/>
    <w:rsid w:val="00676F9A"/>
    <w:rsid w:val="00677385"/>
    <w:rsid w:val="006774F3"/>
    <w:rsid w:val="00677558"/>
    <w:rsid w:val="0068019C"/>
    <w:rsid w:val="00681143"/>
    <w:rsid w:val="00681520"/>
    <w:rsid w:val="00682ACE"/>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929"/>
    <w:rsid w:val="006A6C76"/>
    <w:rsid w:val="006A7151"/>
    <w:rsid w:val="006A72A7"/>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6A"/>
    <w:rsid w:val="006C64E5"/>
    <w:rsid w:val="006C673F"/>
    <w:rsid w:val="006C6BB7"/>
    <w:rsid w:val="006C778C"/>
    <w:rsid w:val="006C7E56"/>
    <w:rsid w:val="006D02A4"/>
    <w:rsid w:val="006D09E3"/>
    <w:rsid w:val="006D1202"/>
    <w:rsid w:val="006D17EA"/>
    <w:rsid w:val="006D1B3E"/>
    <w:rsid w:val="006D314A"/>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863"/>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6A1"/>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142"/>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6F8"/>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6E9"/>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3DB"/>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23"/>
    <w:rsid w:val="00771B9A"/>
    <w:rsid w:val="007729F5"/>
    <w:rsid w:val="00772B39"/>
    <w:rsid w:val="00772C86"/>
    <w:rsid w:val="00773057"/>
    <w:rsid w:val="00773ABF"/>
    <w:rsid w:val="00774277"/>
    <w:rsid w:val="0077563E"/>
    <w:rsid w:val="00775C60"/>
    <w:rsid w:val="0077634D"/>
    <w:rsid w:val="00776F61"/>
    <w:rsid w:val="0077749D"/>
    <w:rsid w:val="007774BB"/>
    <w:rsid w:val="00777D35"/>
    <w:rsid w:val="00777F5D"/>
    <w:rsid w:val="0078002B"/>
    <w:rsid w:val="0078071F"/>
    <w:rsid w:val="00780DDC"/>
    <w:rsid w:val="00781BBB"/>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41B"/>
    <w:rsid w:val="00795BF3"/>
    <w:rsid w:val="00795D93"/>
    <w:rsid w:val="00795F29"/>
    <w:rsid w:val="00796B78"/>
    <w:rsid w:val="00797C23"/>
    <w:rsid w:val="00797C9F"/>
    <w:rsid w:val="00797E92"/>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6E65"/>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5E79"/>
    <w:rsid w:val="007C6169"/>
    <w:rsid w:val="007C62F2"/>
    <w:rsid w:val="007C63B4"/>
    <w:rsid w:val="007C6D65"/>
    <w:rsid w:val="007C6F00"/>
    <w:rsid w:val="007C76C8"/>
    <w:rsid w:val="007C7823"/>
    <w:rsid w:val="007C7D06"/>
    <w:rsid w:val="007C7FB2"/>
    <w:rsid w:val="007D004A"/>
    <w:rsid w:val="007D042D"/>
    <w:rsid w:val="007D0764"/>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687"/>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4BB6"/>
    <w:rsid w:val="00815693"/>
    <w:rsid w:val="00815A2C"/>
    <w:rsid w:val="00815B1F"/>
    <w:rsid w:val="00815CF3"/>
    <w:rsid w:val="00816599"/>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28E"/>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3D4"/>
    <w:rsid w:val="00887DBF"/>
    <w:rsid w:val="00890536"/>
    <w:rsid w:val="00891C95"/>
    <w:rsid w:val="0089386B"/>
    <w:rsid w:val="00893FE7"/>
    <w:rsid w:val="008947E4"/>
    <w:rsid w:val="008950F3"/>
    <w:rsid w:val="00895619"/>
    <w:rsid w:val="0089578E"/>
    <w:rsid w:val="008961B2"/>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62"/>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0A2"/>
    <w:rsid w:val="008C439C"/>
    <w:rsid w:val="008C5355"/>
    <w:rsid w:val="008C5A45"/>
    <w:rsid w:val="008C5ADD"/>
    <w:rsid w:val="008C6DE5"/>
    <w:rsid w:val="008C7431"/>
    <w:rsid w:val="008C76C4"/>
    <w:rsid w:val="008C7840"/>
    <w:rsid w:val="008C7CB3"/>
    <w:rsid w:val="008D07F6"/>
    <w:rsid w:val="008D0E50"/>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2650"/>
    <w:rsid w:val="008F3F04"/>
    <w:rsid w:val="008F4176"/>
    <w:rsid w:val="008F464D"/>
    <w:rsid w:val="008F6778"/>
    <w:rsid w:val="008F6E12"/>
    <w:rsid w:val="008F6E89"/>
    <w:rsid w:val="008F7F74"/>
    <w:rsid w:val="009008B1"/>
    <w:rsid w:val="00900EA4"/>
    <w:rsid w:val="009028C1"/>
    <w:rsid w:val="00903D67"/>
    <w:rsid w:val="00903D85"/>
    <w:rsid w:val="00903F2A"/>
    <w:rsid w:val="00904319"/>
    <w:rsid w:val="009058BD"/>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4E2"/>
    <w:rsid w:val="009147D6"/>
    <w:rsid w:val="00914D7D"/>
    <w:rsid w:val="00915159"/>
    <w:rsid w:val="0091545D"/>
    <w:rsid w:val="00915470"/>
    <w:rsid w:val="009158E3"/>
    <w:rsid w:val="0091788D"/>
    <w:rsid w:val="00917CF2"/>
    <w:rsid w:val="00920748"/>
    <w:rsid w:val="009216C1"/>
    <w:rsid w:val="00923485"/>
    <w:rsid w:val="00923B75"/>
    <w:rsid w:val="00923F8C"/>
    <w:rsid w:val="00924911"/>
    <w:rsid w:val="00925DE4"/>
    <w:rsid w:val="00925E2A"/>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345"/>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2628"/>
    <w:rsid w:val="0095335B"/>
    <w:rsid w:val="00953C30"/>
    <w:rsid w:val="009544A5"/>
    <w:rsid w:val="00955182"/>
    <w:rsid w:val="00955C77"/>
    <w:rsid w:val="00956D7D"/>
    <w:rsid w:val="00957779"/>
    <w:rsid w:val="00960F61"/>
    <w:rsid w:val="00961909"/>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62"/>
    <w:rsid w:val="009921C5"/>
    <w:rsid w:val="00993A0E"/>
    <w:rsid w:val="00994710"/>
    <w:rsid w:val="00994A76"/>
    <w:rsid w:val="00994D36"/>
    <w:rsid w:val="00994DC7"/>
    <w:rsid w:val="00994E7F"/>
    <w:rsid w:val="00994FC3"/>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7E"/>
    <w:rsid w:val="009B2AED"/>
    <w:rsid w:val="009B2D89"/>
    <w:rsid w:val="009B34F8"/>
    <w:rsid w:val="009B3BF8"/>
    <w:rsid w:val="009B3F72"/>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84F"/>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1F8"/>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2F1C"/>
    <w:rsid w:val="00A131D2"/>
    <w:rsid w:val="00A13F17"/>
    <w:rsid w:val="00A13F5B"/>
    <w:rsid w:val="00A140BB"/>
    <w:rsid w:val="00A14D50"/>
    <w:rsid w:val="00A15835"/>
    <w:rsid w:val="00A15D0B"/>
    <w:rsid w:val="00A16A51"/>
    <w:rsid w:val="00A16CB7"/>
    <w:rsid w:val="00A171D1"/>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28A"/>
    <w:rsid w:val="00A42C29"/>
    <w:rsid w:val="00A43655"/>
    <w:rsid w:val="00A43B7A"/>
    <w:rsid w:val="00A4473C"/>
    <w:rsid w:val="00A500A0"/>
    <w:rsid w:val="00A50657"/>
    <w:rsid w:val="00A5148E"/>
    <w:rsid w:val="00A51A61"/>
    <w:rsid w:val="00A51DFF"/>
    <w:rsid w:val="00A5201D"/>
    <w:rsid w:val="00A529A4"/>
    <w:rsid w:val="00A5315D"/>
    <w:rsid w:val="00A53181"/>
    <w:rsid w:val="00A531C3"/>
    <w:rsid w:val="00A538EC"/>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2A35"/>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6EC"/>
    <w:rsid w:val="00A73775"/>
    <w:rsid w:val="00A73C3A"/>
    <w:rsid w:val="00A74656"/>
    <w:rsid w:val="00A74D20"/>
    <w:rsid w:val="00A7515E"/>
    <w:rsid w:val="00A75BA6"/>
    <w:rsid w:val="00A75EE3"/>
    <w:rsid w:val="00A762AC"/>
    <w:rsid w:val="00A7634F"/>
    <w:rsid w:val="00A76816"/>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1FBA"/>
    <w:rsid w:val="00A92561"/>
    <w:rsid w:val="00A927BE"/>
    <w:rsid w:val="00A929ED"/>
    <w:rsid w:val="00A92A86"/>
    <w:rsid w:val="00A942E6"/>
    <w:rsid w:val="00A94502"/>
    <w:rsid w:val="00A94CFA"/>
    <w:rsid w:val="00A95605"/>
    <w:rsid w:val="00A96813"/>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1F7A"/>
    <w:rsid w:val="00AB25F3"/>
    <w:rsid w:val="00AB2ABC"/>
    <w:rsid w:val="00AB2B83"/>
    <w:rsid w:val="00AB4AEF"/>
    <w:rsid w:val="00AB5504"/>
    <w:rsid w:val="00AB5A28"/>
    <w:rsid w:val="00AB5A6D"/>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0832"/>
    <w:rsid w:val="00AD0996"/>
    <w:rsid w:val="00AD1BB5"/>
    <w:rsid w:val="00AD21A3"/>
    <w:rsid w:val="00AD2463"/>
    <w:rsid w:val="00AD2985"/>
    <w:rsid w:val="00AD318F"/>
    <w:rsid w:val="00AD4948"/>
    <w:rsid w:val="00AD557B"/>
    <w:rsid w:val="00AD56C0"/>
    <w:rsid w:val="00AD7416"/>
    <w:rsid w:val="00AD7640"/>
    <w:rsid w:val="00AD76C6"/>
    <w:rsid w:val="00AD7817"/>
    <w:rsid w:val="00AD7E28"/>
    <w:rsid w:val="00AE01D7"/>
    <w:rsid w:val="00AE0380"/>
    <w:rsid w:val="00AE1450"/>
    <w:rsid w:val="00AE180A"/>
    <w:rsid w:val="00AE1DB7"/>
    <w:rsid w:val="00AE2050"/>
    <w:rsid w:val="00AE4728"/>
    <w:rsid w:val="00AE509D"/>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381"/>
    <w:rsid w:val="00B12745"/>
    <w:rsid w:val="00B12B7F"/>
    <w:rsid w:val="00B12FFC"/>
    <w:rsid w:val="00B13C95"/>
    <w:rsid w:val="00B143B1"/>
    <w:rsid w:val="00B14650"/>
    <w:rsid w:val="00B147E9"/>
    <w:rsid w:val="00B14C4A"/>
    <w:rsid w:val="00B15339"/>
    <w:rsid w:val="00B156AB"/>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1F2"/>
    <w:rsid w:val="00B322A4"/>
    <w:rsid w:val="00B330B1"/>
    <w:rsid w:val="00B332C7"/>
    <w:rsid w:val="00B334F5"/>
    <w:rsid w:val="00B33D13"/>
    <w:rsid w:val="00B33E0D"/>
    <w:rsid w:val="00B34319"/>
    <w:rsid w:val="00B346DC"/>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33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0AFE"/>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67936"/>
    <w:rsid w:val="00B702F5"/>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2752"/>
    <w:rsid w:val="00B93224"/>
    <w:rsid w:val="00B94BCE"/>
    <w:rsid w:val="00B94C99"/>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48B2"/>
    <w:rsid w:val="00BA5CE4"/>
    <w:rsid w:val="00BA5FC1"/>
    <w:rsid w:val="00BA67D8"/>
    <w:rsid w:val="00BA6E00"/>
    <w:rsid w:val="00BA79A0"/>
    <w:rsid w:val="00BB0006"/>
    <w:rsid w:val="00BB0222"/>
    <w:rsid w:val="00BB04D1"/>
    <w:rsid w:val="00BB0627"/>
    <w:rsid w:val="00BB0FA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0D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3B7"/>
    <w:rsid w:val="00BE268F"/>
    <w:rsid w:val="00BE2ED8"/>
    <w:rsid w:val="00BE3E6C"/>
    <w:rsid w:val="00BE4168"/>
    <w:rsid w:val="00BE455B"/>
    <w:rsid w:val="00BE4AF1"/>
    <w:rsid w:val="00BE4B47"/>
    <w:rsid w:val="00BE5D4F"/>
    <w:rsid w:val="00BE640F"/>
    <w:rsid w:val="00BF0070"/>
    <w:rsid w:val="00BF012E"/>
    <w:rsid w:val="00BF01C7"/>
    <w:rsid w:val="00BF0A59"/>
    <w:rsid w:val="00BF107D"/>
    <w:rsid w:val="00BF122D"/>
    <w:rsid w:val="00BF141D"/>
    <w:rsid w:val="00BF1684"/>
    <w:rsid w:val="00BF3094"/>
    <w:rsid w:val="00BF31F0"/>
    <w:rsid w:val="00BF3A41"/>
    <w:rsid w:val="00BF3E82"/>
    <w:rsid w:val="00BF3F4C"/>
    <w:rsid w:val="00BF4F87"/>
    <w:rsid w:val="00BF5A0B"/>
    <w:rsid w:val="00BF5F4B"/>
    <w:rsid w:val="00BF685D"/>
    <w:rsid w:val="00BF7859"/>
    <w:rsid w:val="00BF7F71"/>
    <w:rsid w:val="00C0002F"/>
    <w:rsid w:val="00C000CE"/>
    <w:rsid w:val="00C00AF7"/>
    <w:rsid w:val="00C011A5"/>
    <w:rsid w:val="00C017D1"/>
    <w:rsid w:val="00C0198F"/>
    <w:rsid w:val="00C01E51"/>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07CA4"/>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886"/>
    <w:rsid w:val="00C13BF5"/>
    <w:rsid w:val="00C13D17"/>
    <w:rsid w:val="00C142AC"/>
    <w:rsid w:val="00C157D8"/>
    <w:rsid w:val="00C17179"/>
    <w:rsid w:val="00C1732B"/>
    <w:rsid w:val="00C17422"/>
    <w:rsid w:val="00C17C56"/>
    <w:rsid w:val="00C17D82"/>
    <w:rsid w:val="00C201F4"/>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1A"/>
    <w:rsid w:val="00C360EC"/>
    <w:rsid w:val="00C365E6"/>
    <w:rsid w:val="00C36F46"/>
    <w:rsid w:val="00C372F5"/>
    <w:rsid w:val="00C37635"/>
    <w:rsid w:val="00C40771"/>
    <w:rsid w:val="00C40C45"/>
    <w:rsid w:val="00C40F4A"/>
    <w:rsid w:val="00C423D6"/>
    <w:rsid w:val="00C42BF1"/>
    <w:rsid w:val="00C430ED"/>
    <w:rsid w:val="00C43991"/>
    <w:rsid w:val="00C43D5F"/>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27E0"/>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3DF8"/>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95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B35"/>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864"/>
    <w:rsid w:val="00CF5953"/>
    <w:rsid w:val="00CF5CDE"/>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909"/>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5CBE"/>
    <w:rsid w:val="00D06082"/>
    <w:rsid w:val="00D0656F"/>
    <w:rsid w:val="00D06BE5"/>
    <w:rsid w:val="00D06EF2"/>
    <w:rsid w:val="00D10691"/>
    <w:rsid w:val="00D1078E"/>
    <w:rsid w:val="00D10FBF"/>
    <w:rsid w:val="00D11B5E"/>
    <w:rsid w:val="00D12410"/>
    <w:rsid w:val="00D12480"/>
    <w:rsid w:val="00D1274C"/>
    <w:rsid w:val="00D12C08"/>
    <w:rsid w:val="00D12D4C"/>
    <w:rsid w:val="00D158F8"/>
    <w:rsid w:val="00D15B74"/>
    <w:rsid w:val="00D161C0"/>
    <w:rsid w:val="00D16982"/>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76C"/>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5F1E"/>
    <w:rsid w:val="00D57997"/>
    <w:rsid w:val="00D57C41"/>
    <w:rsid w:val="00D57F7C"/>
    <w:rsid w:val="00D57F92"/>
    <w:rsid w:val="00D6122C"/>
    <w:rsid w:val="00D61295"/>
    <w:rsid w:val="00D615A7"/>
    <w:rsid w:val="00D61892"/>
    <w:rsid w:val="00D61E0B"/>
    <w:rsid w:val="00D6332A"/>
    <w:rsid w:val="00D6389C"/>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2E8"/>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6AB3"/>
    <w:rsid w:val="00D876B0"/>
    <w:rsid w:val="00D87711"/>
    <w:rsid w:val="00D878AB"/>
    <w:rsid w:val="00D8793A"/>
    <w:rsid w:val="00D8793D"/>
    <w:rsid w:val="00D8799B"/>
    <w:rsid w:val="00D87D56"/>
    <w:rsid w:val="00D909F1"/>
    <w:rsid w:val="00D90AD5"/>
    <w:rsid w:val="00D90D6F"/>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0CC2"/>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356"/>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86F"/>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4BBF"/>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365"/>
    <w:rsid w:val="00E026CC"/>
    <w:rsid w:val="00E026E6"/>
    <w:rsid w:val="00E032A9"/>
    <w:rsid w:val="00E032B4"/>
    <w:rsid w:val="00E0337C"/>
    <w:rsid w:val="00E03623"/>
    <w:rsid w:val="00E04198"/>
    <w:rsid w:val="00E04F8C"/>
    <w:rsid w:val="00E0599D"/>
    <w:rsid w:val="00E06341"/>
    <w:rsid w:val="00E066C4"/>
    <w:rsid w:val="00E06D98"/>
    <w:rsid w:val="00E073D3"/>
    <w:rsid w:val="00E07585"/>
    <w:rsid w:val="00E07667"/>
    <w:rsid w:val="00E07B68"/>
    <w:rsid w:val="00E07BB5"/>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7C3"/>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1F74"/>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3189"/>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5D2B"/>
    <w:rsid w:val="00E86073"/>
    <w:rsid w:val="00E8629D"/>
    <w:rsid w:val="00E86B25"/>
    <w:rsid w:val="00E86B44"/>
    <w:rsid w:val="00E86DB5"/>
    <w:rsid w:val="00E8748F"/>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313"/>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45B"/>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20C"/>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038"/>
    <w:rsid w:val="00F40BFD"/>
    <w:rsid w:val="00F40C3A"/>
    <w:rsid w:val="00F40CFB"/>
    <w:rsid w:val="00F40DB4"/>
    <w:rsid w:val="00F40EE1"/>
    <w:rsid w:val="00F41A2F"/>
    <w:rsid w:val="00F41A5B"/>
    <w:rsid w:val="00F426A1"/>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EFF"/>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7E"/>
    <w:rsid w:val="00F76C85"/>
    <w:rsid w:val="00F76FCC"/>
    <w:rsid w:val="00F77790"/>
    <w:rsid w:val="00F77807"/>
    <w:rsid w:val="00F77DC5"/>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5D0E"/>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2E"/>
    <w:rsid w:val="00FA6E6B"/>
    <w:rsid w:val="00FA771C"/>
    <w:rsid w:val="00FA7BF8"/>
    <w:rsid w:val="00FB0CED"/>
    <w:rsid w:val="00FB17C3"/>
    <w:rsid w:val="00FB3244"/>
    <w:rsid w:val="00FB361C"/>
    <w:rsid w:val="00FB3921"/>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B1E"/>
    <w:rsid w:val="00FC7F89"/>
    <w:rsid w:val="00FD0192"/>
    <w:rsid w:val="00FD0210"/>
    <w:rsid w:val="00FD05E1"/>
    <w:rsid w:val="00FD0905"/>
    <w:rsid w:val="00FD0D67"/>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0E7"/>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4ADF"/>
    <w:rsid w:val="00FF4C6E"/>
    <w:rsid w:val="00FF51A4"/>
    <w:rsid w:val="00FF54DB"/>
    <w:rsid w:val="00FF6833"/>
    <w:rsid w:val="00FF7171"/>
    <w:rsid w:val="00FF7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F72"/>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5B2C67"/>
    <w:rPr>
      <w:color w:val="605E5C"/>
      <w:shd w:val="clear" w:color="auto" w:fill="E1DFDD"/>
    </w:rPr>
  </w:style>
  <w:style w:type="character" w:customStyle="1" w:styleId="Hyperlink1">
    <w:name w:val="Hyperlink1"/>
    <w:basedOn w:val="DefaultParagraphFont"/>
    <w:rsid w:val="00C83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44874369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act.gov.au/di/2013-52/"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alrc.gov.au/publication/elder-abuse-a-national-legal-response-alrc-report-131/14-safeguarding-adults-at-risk/consent-6/" TargetMode="External"/><Relationship Id="rId1" Type="http://schemas.openxmlformats.org/officeDocument/2006/relationships/hyperlink" Target="https://humanrights.gov.au/about/news/speeches/elder-financial-abuse-insights-alrcs-elder-abuse-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9275</Words>
  <Characters>48599</Characters>
  <Application>Microsoft Office Word</Application>
  <DocSecurity>0</DocSecurity>
  <Lines>961</Lines>
  <Paragraphs>355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2023-09-20T04:03:00Z</dcterms:created>
  <dcterms:modified xsi:type="dcterms:W3CDTF">2023-09-20T04:03:00Z</dcterms:modified>
</cp:coreProperties>
</file>