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EA11D" w14:textId="77777777" w:rsidR="007A2A8B" w:rsidRDefault="007A2A8B" w:rsidP="0072165A">
      <w:pPr>
        <w:pStyle w:val="Header"/>
        <w:spacing w:before="120"/>
        <w:rPr>
          <w:rFonts w:ascii="Arial" w:hAnsi="Arial" w:cs="Arial"/>
        </w:rPr>
      </w:pPr>
      <w:smartTag w:uri="urn:schemas-microsoft-com:office:smarttags" w:element="place">
        <w:smartTag w:uri="urn:schemas-microsoft-com:office:smarttags" w:element="State">
          <w:r>
            <w:rPr>
              <w:rFonts w:ascii="Arial" w:hAnsi="Arial" w:cs="Arial"/>
            </w:rPr>
            <w:t>Australian Capital Territory</w:t>
          </w:r>
        </w:smartTag>
      </w:smartTag>
    </w:p>
    <w:p w14:paraId="27C7A230" w14:textId="53437B6B" w:rsidR="00884A32" w:rsidRDefault="00884A32" w:rsidP="00884A32">
      <w:pPr>
        <w:pStyle w:val="Billname"/>
        <w:spacing w:before="700"/>
      </w:pPr>
      <w:bookmarkStart w:id="0" w:name="_Hlk134525586"/>
      <w:r>
        <w:t xml:space="preserve">Building </w:t>
      </w:r>
      <w:r w:rsidR="00C059F1">
        <w:t xml:space="preserve">(General) </w:t>
      </w:r>
      <w:r w:rsidR="00AA73A8">
        <w:t>(</w:t>
      </w:r>
      <w:r w:rsidR="00030847">
        <w:t>A</w:t>
      </w:r>
      <w:r w:rsidR="00AA73A8">
        <w:t xml:space="preserve">lternative requirements </w:t>
      </w:r>
      <w:r w:rsidR="00030847">
        <w:t>for unaltered parts</w:t>
      </w:r>
      <w:r w:rsidR="00AA73A8">
        <w:t xml:space="preserve">) Determination 2023 </w:t>
      </w:r>
      <w:r w:rsidR="00CF3E46">
        <w:t>(No</w:t>
      </w:r>
      <w:r w:rsidR="00D272D9">
        <w:t xml:space="preserve"> </w:t>
      </w:r>
      <w:r w:rsidR="001E5C11">
        <w:t>2</w:t>
      </w:r>
      <w:r w:rsidR="00CF3E46">
        <w:t>)</w:t>
      </w:r>
    </w:p>
    <w:bookmarkEnd w:id="0"/>
    <w:p w14:paraId="30A5DE4F" w14:textId="6761B2EA"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38751C">
        <w:rPr>
          <w:rFonts w:ascii="Arial" w:hAnsi="Arial" w:cs="Arial"/>
          <w:b/>
          <w:bCs/>
        </w:rPr>
        <w:t>i</w:t>
      </w:r>
      <w:r>
        <w:rPr>
          <w:rFonts w:ascii="Arial" w:hAnsi="Arial" w:cs="Arial"/>
          <w:b/>
          <w:bCs/>
        </w:rPr>
        <w:t>nstrument DI20</w:t>
      </w:r>
      <w:r w:rsidR="00DD3C85">
        <w:rPr>
          <w:rFonts w:ascii="Arial" w:hAnsi="Arial" w:cs="Arial"/>
          <w:b/>
          <w:bCs/>
        </w:rPr>
        <w:t>23</w:t>
      </w:r>
      <w:r w:rsidR="000E39C3" w:rsidRPr="00FD1187">
        <w:rPr>
          <w:rFonts w:ascii="Arial" w:hAnsi="Arial" w:cs="Arial"/>
          <w:b/>
          <w:bCs/>
        </w:rPr>
        <w:t>—</w:t>
      </w:r>
      <w:r w:rsidR="000B4F85">
        <w:rPr>
          <w:rFonts w:ascii="Arial" w:hAnsi="Arial" w:cs="Arial"/>
          <w:b/>
          <w:bCs/>
        </w:rPr>
        <w:t>237</w:t>
      </w:r>
    </w:p>
    <w:p w14:paraId="664E527D" w14:textId="77777777" w:rsidR="007A2A8B" w:rsidRDefault="007A2A8B" w:rsidP="0072165A">
      <w:pPr>
        <w:pStyle w:val="madeunder"/>
        <w:spacing w:before="300" w:after="0"/>
      </w:pPr>
      <w:r>
        <w:t>made under the</w:t>
      </w:r>
    </w:p>
    <w:p w14:paraId="65BF84C9" w14:textId="77777777" w:rsidR="00AA73A8" w:rsidRDefault="00AA73A8" w:rsidP="0038751C">
      <w:pPr>
        <w:pStyle w:val="CoverActName"/>
        <w:spacing w:before="320" w:after="0"/>
        <w:jc w:val="left"/>
        <w:rPr>
          <w:sz w:val="20"/>
          <w:szCs w:val="20"/>
        </w:rPr>
      </w:pPr>
      <w:r w:rsidRPr="002B5662">
        <w:rPr>
          <w:sz w:val="20"/>
        </w:rPr>
        <w:t>Building (General) Regulation 2008,</w:t>
      </w:r>
      <w:r w:rsidRPr="005B204A">
        <w:rPr>
          <w:sz w:val="20"/>
        </w:rPr>
        <w:t xml:space="preserve"> s</w:t>
      </w:r>
      <w:r w:rsidR="005B204A" w:rsidRPr="00E3481F">
        <w:rPr>
          <w:sz w:val="20"/>
        </w:rPr>
        <w:t xml:space="preserve"> 24 </w:t>
      </w:r>
      <w:r w:rsidR="00C059F1">
        <w:rPr>
          <w:sz w:val="20"/>
        </w:rPr>
        <w:t>(Unaltered part</w:t>
      </w:r>
      <w:r w:rsidR="00904CAC">
        <w:rPr>
          <w:sz w:val="20"/>
        </w:rPr>
        <w:t>s</w:t>
      </w:r>
      <w:r w:rsidR="00C059F1">
        <w:rPr>
          <w:sz w:val="20"/>
        </w:rPr>
        <w:t xml:space="preserve"> need not comply with building code</w:t>
      </w:r>
      <w:r w:rsidR="00904CAC">
        <w:rPr>
          <w:sz w:val="20"/>
        </w:rPr>
        <w:t xml:space="preserve"> if alternative requirements met</w:t>
      </w:r>
      <w:r w:rsidR="00C059F1">
        <w:rPr>
          <w:sz w:val="20"/>
        </w:rPr>
        <w:t>—Act, s 29 (2) (b))</w:t>
      </w:r>
      <w:r w:rsidR="00C059F1" w:rsidRPr="00E3481F" w:rsidDel="00C059F1">
        <w:rPr>
          <w:sz w:val="20"/>
        </w:rPr>
        <w:t xml:space="preserve"> </w:t>
      </w:r>
    </w:p>
    <w:p w14:paraId="7F560B20" w14:textId="77777777" w:rsidR="007A2A8B" w:rsidRDefault="007A2A8B" w:rsidP="0038751C">
      <w:pPr>
        <w:pStyle w:val="CoverActName"/>
        <w:spacing w:before="360" w:after="0"/>
        <w:rPr>
          <w:b w:val="0"/>
          <w:bCs w:val="0"/>
          <w:sz w:val="28"/>
          <w:szCs w:val="28"/>
        </w:rPr>
      </w:pPr>
      <w:r>
        <w:rPr>
          <w:sz w:val="28"/>
          <w:szCs w:val="28"/>
        </w:rPr>
        <w:t>EXPLANATORY STATEMENT</w:t>
      </w:r>
    </w:p>
    <w:p w14:paraId="22F5D159" w14:textId="77777777" w:rsidR="007A2A8B" w:rsidRPr="0072165A" w:rsidRDefault="007A2A8B">
      <w:pPr>
        <w:pStyle w:val="Header"/>
        <w:pBdr>
          <w:bottom w:val="single" w:sz="12" w:space="1" w:color="auto"/>
        </w:pBdr>
        <w:tabs>
          <w:tab w:val="clear" w:pos="4153"/>
          <w:tab w:val="clear" w:pos="8306"/>
        </w:tabs>
        <w:rPr>
          <w:rFonts w:ascii="Arial" w:hAnsi="Arial" w:cs="Arial"/>
          <w:bCs/>
        </w:rPr>
      </w:pPr>
    </w:p>
    <w:p w14:paraId="4B6D0D96" w14:textId="77777777" w:rsidR="007A2A8B" w:rsidRPr="0072165A" w:rsidRDefault="007A2A8B">
      <w:pPr>
        <w:pStyle w:val="Header"/>
        <w:tabs>
          <w:tab w:val="clear" w:pos="4153"/>
          <w:tab w:val="clear" w:pos="8306"/>
        </w:tabs>
        <w:rPr>
          <w:bCs/>
        </w:rPr>
      </w:pPr>
    </w:p>
    <w:p w14:paraId="31AF0D8F" w14:textId="77777777" w:rsidR="00036F02" w:rsidRDefault="00C059F1" w:rsidP="00C62A15">
      <w:pPr>
        <w:keepNext/>
        <w:autoSpaceDE w:val="0"/>
        <w:autoSpaceDN w:val="0"/>
        <w:adjustRightInd w:val="0"/>
        <w:spacing w:after="160"/>
        <w:rPr>
          <w:b/>
          <w:lang w:eastAsia="en-AU"/>
        </w:rPr>
      </w:pPr>
      <w:r w:rsidRPr="004E2275">
        <w:rPr>
          <w:b/>
          <w:lang w:eastAsia="en-AU"/>
        </w:rPr>
        <w:t>Overview</w:t>
      </w:r>
    </w:p>
    <w:p w14:paraId="23A7E72A" w14:textId="77777777" w:rsidR="00036F02" w:rsidRPr="00036F02" w:rsidRDefault="00036F02" w:rsidP="00036F02">
      <w:pPr>
        <w:ind w:right="-356"/>
        <w:jc w:val="both"/>
      </w:pPr>
      <w:r w:rsidRPr="00036F02">
        <w:t xml:space="preserve">This instrument is made under section </w:t>
      </w:r>
      <w:r w:rsidR="005B204A">
        <w:t xml:space="preserve">24 (2) </w:t>
      </w:r>
      <w:r w:rsidR="00AA73A8">
        <w:t xml:space="preserve">of the </w:t>
      </w:r>
      <w:r w:rsidR="00AA73A8" w:rsidRPr="00E3481F">
        <w:rPr>
          <w:i/>
          <w:iCs/>
        </w:rPr>
        <w:t>Building (General) Regulation 2008</w:t>
      </w:r>
      <w:r w:rsidR="00C059F1">
        <w:t xml:space="preserve"> (the </w:t>
      </w:r>
      <w:r w:rsidR="00904CAC" w:rsidRPr="00417B1C">
        <w:rPr>
          <w:b/>
          <w:bCs/>
          <w:i/>
          <w:iCs/>
        </w:rPr>
        <w:t>r</w:t>
      </w:r>
      <w:r w:rsidR="00C059F1" w:rsidRPr="00417B1C">
        <w:rPr>
          <w:b/>
          <w:bCs/>
          <w:i/>
          <w:iCs/>
        </w:rPr>
        <w:t>egulation</w:t>
      </w:r>
      <w:r w:rsidR="00C059F1">
        <w:t>)</w:t>
      </w:r>
      <w:r w:rsidR="00AA73A8" w:rsidRPr="00E3481F">
        <w:rPr>
          <w:i/>
          <w:iCs/>
        </w:rPr>
        <w:t>.</w:t>
      </w:r>
    </w:p>
    <w:p w14:paraId="7B5C0348" w14:textId="77777777" w:rsidR="00036F02" w:rsidRDefault="00036F02" w:rsidP="00366411">
      <w:pPr>
        <w:ind w:right="-356"/>
        <w:jc w:val="both"/>
      </w:pPr>
    </w:p>
    <w:p w14:paraId="13F6D6DF" w14:textId="4D02600E" w:rsidR="002C776C" w:rsidRDefault="002C776C" w:rsidP="00E5344D">
      <w:r>
        <w:t>Th</w:t>
      </w:r>
      <w:r w:rsidR="00DA0899">
        <w:t>is</w:t>
      </w:r>
      <w:r>
        <w:t xml:space="preserve"> instrument </w:t>
      </w:r>
      <w:r w:rsidR="00DA0899">
        <w:t>contains</w:t>
      </w:r>
      <w:r>
        <w:t xml:space="preserve"> provisions relating to alternative requirements to the Building Code of Australia </w:t>
      </w:r>
      <w:r w:rsidR="00AA3C7B">
        <w:t>(</w:t>
      </w:r>
      <w:r w:rsidR="00417B1C">
        <w:t xml:space="preserve">the </w:t>
      </w:r>
      <w:r w:rsidR="00AA3C7B" w:rsidRPr="00417B1C">
        <w:rPr>
          <w:b/>
          <w:bCs/>
          <w:i/>
          <w:iCs/>
        </w:rPr>
        <w:t>BCA</w:t>
      </w:r>
      <w:r w:rsidR="00AA3C7B">
        <w:t xml:space="preserve">) </w:t>
      </w:r>
      <w:r>
        <w:t>that apply to unaltered parts of substantially altered class 1, 10a or 10b buildings.</w:t>
      </w:r>
      <w:r w:rsidR="00DA0899">
        <w:t xml:space="preserve"> </w:t>
      </w:r>
    </w:p>
    <w:p w14:paraId="7F9DEA45" w14:textId="77777777" w:rsidR="009675EA" w:rsidRDefault="009675EA" w:rsidP="009675EA"/>
    <w:p w14:paraId="68316149" w14:textId="77777777" w:rsidR="009675EA" w:rsidRDefault="009675EA" w:rsidP="009675EA">
      <w:pPr>
        <w:rPr>
          <w:i/>
          <w:iCs/>
        </w:rPr>
      </w:pPr>
      <w:r>
        <w:t>A substantial alteration is defined in the</w:t>
      </w:r>
      <w:r w:rsidR="00C059F1">
        <w:t xml:space="preserve"> </w:t>
      </w:r>
      <w:r w:rsidR="00904CAC">
        <w:t>r</w:t>
      </w:r>
      <w:r w:rsidR="00C059F1">
        <w:t>egulation</w:t>
      </w:r>
      <w:r w:rsidRPr="00D73115">
        <w:rPr>
          <w:i/>
          <w:iCs/>
        </w:rPr>
        <w:t>.</w:t>
      </w:r>
    </w:p>
    <w:p w14:paraId="496E100D" w14:textId="77777777" w:rsidR="002C776C" w:rsidRDefault="002C776C" w:rsidP="00E5344D"/>
    <w:p w14:paraId="507EA653" w14:textId="065EC895" w:rsidR="009675EA" w:rsidRPr="009D7E08" w:rsidRDefault="009675EA" w:rsidP="00E5344D">
      <w:r w:rsidRPr="009675EA">
        <w:t xml:space="preserve">This </w:t>
      </w:r>
      <w:r>
        <w:t xml:space="preserve">instrument </w:t>
      </w:r>
      <w:r w:rsidR="009D7E08">
        <w:t xml:space="preserve">should be read in conjunction with the </w:t>
      </w:r>
      <w:r w:rsidR="009D7E08" w:rsidRPr="009D7E08">
        <w:rPr>
          <w:i/>
          <w:iCs/>
        </w:rPr>
        <w:t>Building (ACT Appendix to the Building Code) Determination</w:t>
      </w:r>
      <w:r w:rsidR="00D272D9">
        <w:rPr>
          <w:i/>
          <w:iCs/>
        </w:rPr>
        <w:t xml:space="preserve"> </w:t>
      </w:r>
      <w:r w:rsidR="00D272D9">
        <w:t>(as amended form time to time)</w:t>
      </w:r>
      <w:r w:rsidR="009D7E08">
        <w:rPr>
          <w:i/>
          <w:iCs/>
        </w:rPr>
        <w:t>.</w:t>
      </w:r>
      <w:r w:rsidR="009D7E08">
        <w:t xml:space="preserve"> The ACT Appendix gives exemptions and alternative arrangements for alterations of existing buildings when applying the </w:t>
      </w:r>
      <w:r w:rsidR="002D7876" w:rsidRPr="00E3481F">
        <w:t>N</w:t>
      </w:r>
      <w:r w:rsidR="002D7876">
        <w:t xml:space="preserve">ational </w:t>
      </w:r>
      <w:r w:rsidR="002D7876" w:rsidRPr="00E3481F">
        <w:t>C</w:t>
      </w:r>
      <w:r w:rsidR="002D7876">
        <w:t xml:space="preserve">onstruction </w:t>
      </w:r>
      <w:r w:rsidR="002D7876" w:rsidRPr="00E3481F">
        <w:t>C</w:t>
      </w:r>
      <w:r w:rsidR="002D7876">
        <w:t>ode</w:t>
      </w:r>
      <w:r w:rsidR="002D7876" w:rsidRPr="00E3481F">
        <w:t xml:space="preserve"> </w:t>
      </w:r>
      <w:r w:rsidR="002D7876">
        <w:t>(</w:t>
      </w:r>
      <w:r w:rsidR="00417B1C">
        <w:t xml:space="preserve">the </w:t>
      </w:r>
      <w:r w:rsidR="002D7876" w:rsidRPr="00417B1C">
        <w:rPr>
          <w:b/>
          <w:bCs/>
          <w:i/>
          <w:iCs/>
        </w:rPr>
        <w:t>NCC</w:t>
      </w:r>
      <w:r w:rsidR="002D7876">
        <w:t>)</w:t>
      </w:r>
      <w:r w:rsidR="009D7E08">
        <w:t>.</w:t>
      </w:r>
    </w:p>
    <w:p w14:paraId="372FAA0F" w14:textId="2CB6A298" w:rsidR="0066451F" w:rsidRDefault="0066451F" w:rsidP="00E5344D"/>
    <w:p w14:paraId="05F45E05" w14:textId="7667E021" w:rsidR="0066451F" w:rsidRDefault="0066451F" w:rsidP="00417B1C">
      <w:pPr>
        <w:ind w:right="-356"/>
      </w:pPr>
      <w:r>
        <w:t xml:space="preserve">The </w:t>
      </w:r>
      <w:r w:rsidR="00417B1C" w:rsidRPr="00417B1C">
        <w:t xml:space="preserve">instrument </w:t>
      </w:r>
      <w:r>
        <w:t>only applies to the ACT and Jervis Bay Territory.</w:t>
      </w:r>
    </w:p>
    <w:p w14:paraId="0A0E4EC0" w14:textId="77777777" w:rsidR="00D66F45" w:rsidRDefault="00D66F45" w:rsidP="00417B1C">
      <w:pPr>
        <w:ind w:right="-356"/>
      </w:pPr>
    </w:p>
    <w:p w14:paraId="41568708" w14:textId="77777777" w:rsidR="00C059F1" w:rsidRPr="00C62A15" w:rsidRDefault="00C62A15" w:rsidP="00417B1C">
      <w:pPr>
        <w:spacing w:after="120"/>
        <w:rPr>
          <w:b/>
          <w:bCs/>
        </w:rPr>
      </w:pPr>
      <w:r>
        <w:rPr>
          <w:b/>
          <w:bCs/>
        </w:rPr>
        <w:t>Adoption date of NCC 2022 provisions</w:t>
      </w:r>
    </w:p>
    <w:p w14:paraId="2F8725D5" w14:textId="6ED92B0F" w:rsidR="001B7920" w:rsidRDefault="00C62A15" w:rsidP="00E3481F">
      <w:r>
        <w:t xml:space="preserve">The </w:t>
      </w:r>
      <w:r w:rsidR="00C059F1">
        <w:t xml:space="preserve">NCC </w:t>
      </w:r>
      <w:r w:rsidR="001B7920" w:rsidRPr="00E3481F">
        <w:t xml:space="preserve">2022 has transition arrangements that were agreed by </w:t>
      </w:r>
      <w:r w:rsidR="009675EA">
        <w:t>B</w:t>
      </w:r>
      <w:r w:rsidR="001B7920" w:rsidRPr="00E3481F">
        <w:t xml:space="preserve">uilding </w:t>
      </w:r>
      <w:r w:rsidR="009675EA">
        <w:t>M</w:t>
      </w:r>
      <w:r w:rsidR="001B7920" w:rsidRPr="00E3481F">
        <w:t xml:space="preserve">inisters in August 2022. The main provisions of the </w:t>
      </w:r>
      <w:r w:rsidR="009675EA">
        <w:t>BCA</w:t>
      </w:r>
      <w:r w:rsidR="001B7920" w:rsidRPr="00E3481F">
        <w:t xml:space="preserve"> c</w:t>
      </w:r>
      <w:r w:rsidR="00EB7A8F">
        <w:t>a</w:t>
      </w:r>
      <w:r w:rsidR="001B7920" w:rsidRPr="00E3481F">
        <w:t xml:space="preserve">me </w:t>
      </w:r>
      <w:r w:rsidR="009675EA" w:rsidRPr="009675EA">
        <w:t>into</w:t>
      </w:r>
      <w:r w:rsidR="001B7920" w:rsidRPr="00E3481F">
        <w:t xml:space="preserve"> effect on 1</w:t>
      </w:r>
      <w:r w:rsidR="009675EA">
        <w:t> </w:t>
      </w:r>
      <w:r w:rsidR="001B7920" w:rsidRPr="00E3481F">
        <w:t>May</w:t>
      </w:r>
      <w:r w:rsidR="009675EA">
        <w:t> </w:t>
      </w:r>
      <w:r w:rsidR="001B7920" w:rsidRPr="00E3481F">
        <w:t xml:space="preserve">2023. </w:t>
      </w:r>
      <w:r w:rsidR="009675EA">
        <w:t>Additional provisions addressing</w:t>
      </w:r>
      <w:r w:rsidR="001B7920" w:rsidRPr="00E3481F">
        <w:t xml:space="preserve"> energy efficiency, condensation management and </w:t>
      </w:r>
      <w:r w:rsidRPr="00E3481F">
        <w:t>liv</w:t>
      </w:r>
      <w:r w:rsidR="00417B1C">
        <w:t>e</w:t>
      </w:r>
      <w:r w:rsidRPr="00E3481F">
        <w:t>abl</w:t>
      </w:r>
      <w:r>
        <w:t>e</w:t>
      </w:r>
      <w:r w:rsidR="00920252">
        <w:t xml:space="preserve"> housing</w:t>
      </w:r>
      <w:r w:rsidR="00BF482C">
        <w:t xml:space="preserve"> </w:t>
      </w:r>
      <w:r w:rsidR="00D66F45">
        <w:t>will be adopted in</w:t>
      </w:r>
      <w:r w:rsidR="00BF482C">
        <w:t xml:space="preserve"> the ACT </w:t>
      </w:r>
      <w:r w:rsidR="00D66F45">
        <w:t xml:space="preserve">from </w:t>
      </w:r>
      <w:r w:rsidR="00D73693">
        <w:t>15 January 2024</w:t>
      </w:r>
      <w:r w:rsidR="00BF482C">
        <w:t>. Until then,</w:t>
      </w:r>
      <w:r w:rsidR="00920252">
        <w:t xml:space="preserve"> </w:t>
      </w:r>
      <w:r w:rsidR="001B7920" w:rsidRPr="00E3481F">
        <w:t>the</w:t>
      </w:r>
      <w:r w:rsidR="00BF482C">
        <w:t xml:space="preserve"> minimum</w:t>
      </w:r>
      <w:r w:rsidR="001B7920" w:rsidRPr="00E3481F">
        <w:t xml:space="preserve"> energy efficiency and condensation provisions in NCC 2019 </w:t>
      </w:r>
      <w:r w:rsidR="00920252">
        <w:t>continue to apply</w:t>
      </w:r>
      <w:r w:rsidR="001B7920" w:rsidRPr="00E3481F">
        <w:t>.</w:t>
      </w:r>
      <w:r w:rsidR="00920252">
        <w:t xml:space="preserve"> There are no </w:t>
      </w:r>
      <w:r w:rsidRPr="00E423C0">
        <w:t>liveabl</w:t>
      </w:r>
      <w:r>
        <w:t>e</w:t>
      </w:r>
      <w:r w:rsidR="00920252">
        <w:t xml:space="preserve"> housing provisions in NCC 2019.</w:t>
      </w:r>
    </w:p>
    <w:p w14:paraId="062BA368" w14:textId="28E359DF" w:rsidR="00562FCF" w:rsidRDefault="00562FCF" w:rsidP="00E3481F"/>
    <w:p w14:paraId="0413F725" w14:textId="77777777" w:rsidR="001B7920" w:rsidRDefault="001B7920" w:rsidP="001B7920">
      <w:pPr>
        <w:keepNext/>
        <w:autoSpaceDE w:val="0"/>
        <w:autoSpaceDN w:val="0"/>
        <w:adjustRightInd w:val="0"/>
        <w:spacing w:after="160"/>
        <w:rPr>
          <w:b/>
          <w:lang w:eastAsia="en-AU"/>
        </w:rPr>
      </w:pPr>
      <w:r>
        <w:rPr>
          <w:b/>
          <w:lang w:eastAsia="en-AU"/>
        </w:rPr>
        <w:lastRenderedPageBreak/>
        <w:t>Regulatory Impact Statement (RIS)</w:t>
      </w:r>
    </w:p>
    <w:p w14:paraId="0CFCE5FD" w14:textId="77777777" w:rsidR="001B7920" w:rsidRDefault="001B7920" w:rsidP="00417B1C">
      <w:pPr>
        <w:autoSpaceDE w:val="0"/>
        <w:autoSpaceDN w:val="0"/>
        <w:adjustRightInd w:val="0"/>
        <w:spacing w:after="240"/>
        <w:ind w:right="-334"/>
        <w:rPr>
          <w:lang w:eastAsia="en-AU"/>
        </w:rPr>
      </w:pPr>
      <w:r>
        <w:rPr>
          <w:lang w:eastAsia="en-AU"/>
        </w:rPr>
        <w:t xml:space="preserve">Section 34 of the </w:t>
      </w:r>
      <w:r w:rsidRPr="00C62A15">
        <w:rPr>
          <w:iCs/>
          <w:lang w:eastAsia="en-AU"/>
        </w:rPr>
        <w:t xml:space="preserve">Legislation </w:t>
      </w:r>
      <w:r w:rsidR="00C62A15" w:rsidRPr="00C62A15">
        <w:rPr>
          <w:iCs/>
          <w:lang w:eastAsia="en-AU"/>
        </w:rPr>
        <w:t xml:space="preserve">Act </w:t>
      </w:r>
      <w:r w:rsidR="00C62A15">
        <w:rPr>
          <w:lang w:eastAsia="en-AU"/>
        </w:rPr>
        <w:t>provides</w:t>
      </w:r>
      <w:r>
        <w:rPr>
          <w:lang w:eastAsia="en-AU"/>
        </w:rPr>
        <w:t xml:space="preserve"> that if a proposed subordinate law or disallowable instrument (the proposed law) is likely to impose appreciable costs on the community, or a part of the community, then, before the proposed law is made, the Minister administering the authorising law must arrange for a regulatory impact statement to be prepared for the proposed law.</w:t>
      </w:r>
    </w:p>
    <w:p w14:paraId="156D76B1" w14:textId="298596F6" w:rsidR="00D66F45" w:rsidRDefault="001B7920" w:rsidP="00417B1C">
      <w:pPr>
        <w:autoSpaceDE w:val="0"/>
        <w:autoSpaceDN w:val="0"/>
        <w:adjustRightInd w:val="0"/>
        <w:spacing w:after="240"/>
        <w:ind w:right="-334"/>
        <w:rPr>
          <w:lang w:eastAsia="en-AU"/>
        </w:rPr>
      </w:pPr>
      <w:r>
        <w:rPr>
          <w:lang w:eastAsia="en-AU"/>
        </w:rPr>
        <w:t xml:space="preserve">A RIS is not required for this instrument </w:t>
      </w:r>
      <w:r w:rsidR="004D70A8">
        <w:rPr>
          <w:lang w:eastAsia="en-AU"/>
        </w:rPr>
        <w:t xml:space="preserve">as </w:t>
      </w:r>
      <w:r w:rsidR="00D66F45">
        <w:rPr>
          <w:lang w:eastAsia="en-AU"/>
        </w:rPr>
        <w:t>the</w:t>
      </w:r>
      <w:r>
        <w:rPr>
          <w:lang w:eastAsia="en-AU"/>
        </w:rPr>
        <w:t xml:space="preserve"> provisions are not </w:t>
      </w:r>
      <w:r w:rsidR="00D66F45">
        <w:rPr>
          <w:lang w:eastAsia="en-AU"/>
        </w:rPr>
        <w:t xml:space="preserve">likely </w:t>
      </w:r>
      <w:r>
        <w:rPr>
          <w:lang w:eastAsia="en-AU"/>
        </w:rPr>
        <w:t xml:space="preserve">to impose appreciable costs on the community or </w:t>
      </w:r>
      <w:r w:rsidR="00D66F45">
        <w:rPr>
          <w:lang w:eastAsia="en-AU"/>
        </w:rPr>
        <w:t xml:space="preserve">a </w:t>
      </w:r>
      <w:r>
        <w:rPr>
          <w:lang w:eastAsia="en-AU"/>
        </w:rPr>
        <w:t>part of the community</w:t>
      </w:r>
      <w:r w:rsidR="00E3481F">
        <w:rPr>
          <w:lang w:eastAsia="en-AU"/>
        </w:rPr>
        <w:t>.</w:t>
      </w:r>
    </w:p>
    <w:p w14:paraId="78163AD7" w14:textId="7A285737" w:rsidR="00D66F45" w:rsidRDefault="00D66F45" w:rsidP="004D70A8">
      <w:pPr>
        <w:autoSpaceDE w:val="0"/>
        <w:autoSpaceDN w:val="0"/>
        <w:adjustRightInd w:val="0"/>
        <w:spacing w:after="240"/>
        <w:ind w:right="-334"/>
        <w:rPr>
          <w:color w:val="000000"/>
        </w:rPr>
      </w:pPr>
      <w:r>
        <w:rPr>
          <w:lang w:eastAsia="en-AU"/>
        </w:rPr>
        <w:t xml:space="preserve">In addition, a RIS is not required where the matter contained in the subordinate law or disallowable instrument </w:t>
      </w:r>
      <w:r>
        <w:rPr>
          <w:color w:val="000000"/>
        </w:rPr>
        <w:t>involves the adoption of an Australian or international protocol, standard, code, or intergovernmental agreement or instrument, if an assessment of the benefits and costs has already been made and the assessment was made for, or is relevant to, the ACT</w:t>
      </w:r>
      <w:r w:rsidR="0035159D">
        <w:rPr>
          <w:color w:val="000000"/>
        </w:rPr>
        <w:t>.</w:t>
      </w:r>
    </w:p>
    <w:p w14:paraId="266EE6F0" w14:textId="5F2F4059" w:rsidR="00D66F45" w:rsidRDefault="00D66F45" w:rsidP="00D66F45">
      <w:pPr>
        <w:autoSpaceDE w:val="0"/>
        <w:autoSpaceDN w:val="0"/>
        <w:adjustRightInd w:val="0"/>
        <w:spacing w:after="240"/>
      </w:pPr>
      <w:r>
        <w:t>The ABCB has undertaken and published on its website (</w:t>
      </w:r>
      <w:hyperlink r:id="rId10" w:history="1">
        <w:r>
          <w:rPr>
            <w:rStyle w:val="Hyperlink"/>
          </w:rPr>
          <w:t>www.abcb.gov.au</w:t>
        </w:r>
      </w:hyperlink>
      <w:r>
        <w:t xml:space="preserve">) comprehensive regulatory impact analysis, including regulatory impact statements, for the increased regulatory structure provided by 2022 BCA.  </w:t>
      </w:r>
    </w:p>
    <w:p w14:paraId="6A4CA371" w14:textId="36C70927" w:rsidR="004D70A8" w:rsidRDefault="004D70A8" w:rsidP="004D70A8">
      <w:pPr>
        <w:autoSpaceDE w:val="0"/>
        <w:autoSpaceDN w:val="0"/>
        <w:adjustRightInd w:val="0"/>
        <w:spacing w:after="240"/>
        <w:rPr>
          <w:lang w:eastAsia="en-AU"/>
        </w:rPr>
      </w:pPr>
      <w:r>
        <w:t xml:space="preserve">This instrument only applies to </w:t>
      </w:r>
      <w:r w:rsidRPr="0014366C">
        <w:t xml:space="preserve">existing buildings and lower the cost burden because they allow for certain things not to be complied with, or give alternative, easier requirements as options. </w:t>
      </w:r>
      <w:r>
        <w:t xml:space="preserve">As such nothing in this instrument </w:t>
      </w:r>
      <w:r w:rsidRPr="0014366C">
        <w:t>increase</w:t>
      </w:r>
      <w:r>
        <w:t>s</w:t>
      </w:r>
      <w:r w:rsidRPr="0014366C">
        <w:t xml:space="preserve"> costs above what the ABCB regulatory impact statements for the 2022 BCA</w:t>
      </w:r>
      <w:r>
        <w:t>.</w:t>
      </w:r>
    </w:p>
    <w:p w14:paraId="5B2A1C66" w14:textId="77777777" w:rsidR="001B7920" w:rsidRDefault="001B7920" w:rsidP="001B7920">
      <w:pPr>
        <w:keepNext/>
        <w:autoSpaceDE w:val="0"/>
        <w:autoSpaceDN w:val="0"/>
        <w:adjustRightInd w:val="0"/>
        <w:spacing w:after="160"/>
        <w:rPr>
          <w:b/>
          <w:color w:val="000000"/>
        </w:rPr>
      </w:pPr>
      <w:r>
        <w:rPr>
          <w:b/>
          <w:color w:val="000000"/>
        </w:rPr>
        <w:t>Human Rights</w:t>
      </w:r>
    </w:p>
    <w:p w14:paraId="16068537" w14:textId="7D41B838" w:rsidR="00E92EF3" w:rsidRDefault="001B7920" w:rsidP="00D73693">
      <w:pPr>
        <w:pStyle w:val="Header"/>
        <w:tabs>
          <w:tab w:val="left" w:pos="720"/>
        </w:tabs>
        <w:spacing w:after="240"/>
      </w:pPr>
      <w:r w:rsidRPr="00E3481F">
        <w:t>The Standing Committee on Justice and Community Safety (Legislative Scrutiny Role) terms of reference require consideration of human rights impacts, among other matters. There are no human rights impacts related to this instrument.</w:t>
      </w:r>
    </w:p>
    <w:p w14:paraId="5D45301B" w14:textId="230D6199" w:rsidR="00D272D9" w:rsidRPr="00D272D9" w:rsidRDefault="00D272D9" w:rsidP="00D73693">
      <w:pPr>
        <w:pStyle w:val="Header"/>
        <w:tabs>
          <w:tab w:val="left" w:pos="720"/>
        </w:tabs>
        <w:spacing w:after="240"/>
        <w:rPr>
          <w:b/>
          <w:bCs/>
        </w:rPr>
      </w:pPr>
      <w:r w:rsidRPr="00D272D9">
        <w:rPr>
          <w:b/>
          <w:bCs/>
        </w:rPr>
        <w:t>Clause Notes</w:t>
      </w:r>
    </w:p>
    <w:p w14:paraId="57BE5B04" w14:textId="3D76A095" w:rsidR="00D272D9" w:rsidRPr="00D272D9" w:rsidRDefault="00D272D9" w:rsidP="00D272D9">
      <w:pPr>
        <w:pStyle w:val="NormalWeb"/>
        <w:shd w:val="clear" w:color="auto" w:fill="FFFFFF"/>
        <w:spacing w:before="0" w:beforeAutospacing="0" w:after="0" w:afterAutospacing="0"/>
        <w:rPr>
          <w:color w:val="000000"/>
        </w:rPr>
      </w:pPr>
      <w:r>
        <w:rPr>
          <w:color w:val="000000"/>
        </w:rPr>
        <w:t xml:space="preserve">Clause 1 names the instrument the </w:t>
      </w:r>
      <w:r w:rsidRPr="0011364A">
        <w:rPr>
          <w:i/>
          <w:iCs/>
          <w:color w:val="000000"/>
        </w:rPr>
        <w:t>B</w:t>
      </w:r>
      <w:r>
        <w:rPr>
          <w:i/>
          <w:iCs/>
        </w:rPr>
        <w:t>uilding (General) (Alternative requirements for unaltered parts) Determination 2023 (No 2)</w:t>
      </w:r>
      <w:r>
        <w:t>.</w:t>
      </w:r>
    </w:p>
    <w:p w14:paraId="3CB69998" w14:textId="77777777" w:rsidR="00D272D9" w:rsidRDefault="00D272D9" w:rsidP="00D272D9">
      <w:pPr>
        <w:pStyle w:val="NormalWeb"/>
        <w:shd w:val="clear" w:color="auto" w:fill="FFFFFF"/>
        <w:spacing w:before="0" w:beforeAutospacing="0" w:after="0" w:afterAutospacing="0"/>
        <w:rPr>
          <w:color w:val="000000"/>
        </w:rPr>
      </w:pPr>
      <w:r>
        <w:rPr>
          <w:color w:val="000000"/>
        </w:rPr>
        <w:t> </w:t>
      </w:r>
    </w:p>
    <w:p w14:paraId="442F40B3" w14:textId="38F59304" w:rsidR="00D272D9" w:rsidRDefault="00D272D9" w:rsidP="00D272D9">
      <w:pPr>
        <w:pStyle w:val="NormalWeb"/>
        <w:shd w:val="clear" w:color="auto" w:fill="FFFFFF"/>
        <w:spacing w:before="0" w:beforeAutospacing="0" w:after="0" w:afterAutospacing="0"/>
        <w:rPr>
          <w:color w:val="000000"/>
        </w:rPr>
      </w:pPr>
      <w:r>
        <w:rPr>
          <w:color w:val="000000"/>
        </w:rPr>
        <w:t>Clause 2 provides that this instrument commences on 15 January 2024.</w:t>
      </w:r>
    </w:p>
    <w:p w14:paraId="63D1DCC1" w14:textId="77777777" w:rsidR="00D272D9" w:rsidRDefault="00D272D9" w:rsidP="00D272D9">
      <w:pPr>
        <w:pStyle w:val="NormalWeb"/>
        <w:shd w:val="clear" w:color="auto" w:fill="FFFFFF"/>
        <w:spacing w:before="0" w:beforeAutospacing="0" w:after="0" w:afterAutospacing="0"/>
        <w:rPr>
          <w:color w:val="000000"/>
        </w:rPr>
      </w:pPr>
      <w:r>
        <w:rPr>
          <w:color w:val="000000"/>
        </w:rPr>
        <w:t> </w:t>
      </w:r>
    </w:p>
    <w:p w14:paraId="45B629E9" w14:textId="199455F4" w:rsidR="00D272D9" w:rsidRDefault="00D272D9" w:rsidP="00D272D9">
      <w:pPr>
        <w:pStyle w:val="NormalWeb"/>
        <w:shd w:val="clear" w:color="auto" w:fill="FFFFFF"/>
        <w:spacing w:before="0" w:beforeAutospacing="0" w:after="0" w:afterAutospacing="0"/>
        <w:rPr>
          <w:color w:val="000000"/>
        </w:rPr>
      </w:pPr>
      <w:r>
        <w:rPr>
          <w:color w:val="000000"/>
        </w:rPr>
        <w:t xml:space="preserve">Clause </w:t>
      </w:r>
      <w:r w:rsidR="00EA5C00">
        <w:rPr>
          <w:color w:val="000000"/>
        </w:rPr>
        <w:t>3</w:t>
      </w:r>
      <w:r>
        <w:rPr>
          <w:color w:val="000000"/>
        </w:rPr>
        <w:t xml:space="preserve"> determines the schedule of the instrument is the alternative requirements for an unaltered part.</w:t>
      </w:r>
    </w:p>
    <w:p w14:paraId="6AB22AE2" w14:textId="5024179D" w:rsidR="00EA5C00" w:rsidRDefault="00EA5C00" w:rsidP="00D272D9">
      <w:pPr>
        <w:pStyle w:val="NormalWeb"/>
        <w:shd w:val="clear" w:color="auto" w:fill="FFFFFF"/>
        <w:spacing w:before="0" w:beforeAutospacing="0" w:after="0" w:afterAutospacing="0"/>
        <w:rPr>
          <w:color w:val="000000"/>
        </w:rPr>
      </w:pPr>
    </w:p>
    <w:p w14:paraId="165584CD" w14:textId="04B87DF3" w:rsidR="00EA5C00" w:rsidRDefault="00EA5C00" w:rsidP="00EA5C00">
      <w:pPr>
        <w:pStyle w:val="NormalWeb"/>
        <w:shd w:val="clear" w:color="auto" w:fill="FFFFFF"/>
        <w:spacing w:before="0" w:beforeAutospacing="0" w:after="0" w:afterAutospacing="0"/>
        <w:rPr>
          <w:color w:val="000000"/>
        </w:rPr>
      </w:pPr>
      <w:r>
        <w:rPr>
          <w:color w:val="000000"/>
        </w:rPr>
        <w:t>Clause 4 provides for when schedule 1 of this instrument applies.</w:t>
      </w:r>
    </w:p>
    <w:p w14:paraId="13AAB103" w14:textId="77777777" w:rsidR="00EA5C00" w:rsidRDefault="00EA5C00" w:rsidP="00D272D9">
      <w:pPr>
        <w:pStyle w:val="NormalWeb"/>
        <w:shd w:val="clear" w:color="auto" w:fill="FFFFFF"/>
        <w:spacing w:before="0" w:beforeAutospacing="0" w:after="0" w:afterAutospacing="0"/>
        <w:rPr>
          <w:color w:val="000000"/>
        </w:rPr>
      </w:pPr>
    </w:p>
    <w:p w14:paraId="7FA915A4" w14:textId="77777777" w:rsidR="00D272D9" w:rsidRDefault="00D272D9" w:rsidP="00D272D9">
      <w:pPr>
        <w:autoSpaceDE w:val="0"/>
        <w:autoSpaceDN w:val="0"/>
        <w:adjustRightInd w:val="0"/>
        <w:ind w:right="-356"/>
      </w:pPr>
      <w:r>
        <w:t xml:space="preserve">Clause 5 displaces the requirement in the </w:t>
      </w:r>
      <w:r>
        <w:rPr>
          <w:i/>
        </w:rPr>
        <w:t>Legislation Act 2001</w:t>
      </w:r>
      <w:r>
        <w:t xml:space="preserve">, section 47 (5). Section 47 (5) provides that </w:t>
      </w:r>
      <w:r w:rsidRPr="00166C2B">
        <w:t xml:space="preserve">the text </w:t>
      </w:r>
      <w:r>
        <w:t>of an instrument applied as in force at a particular time</w:t>
      </w:r>
      <w:r w:rsidRPr="00166C2B">
        <w:t xml:space="preserve"> is taken to be a notifiable instrument made under the relevant instrument</w:t>
      </w:r>
      <w:r>
        <w:t>, and therefore must be published on the Legislation Register. Copyright to the BCA is collectively owned by the Australian Government and the states and territories.</w:t>
      </w:r>
    </w:p>
    <w:p w14:paraId="14B028B8" w14:textId="77777777" w:rsidR="00D272D9" w:rsidRDefault="00D272D9" w:rsidP="00D272D9">
      <w:pPr>
        <w:autoSpaceDE w:val="0"/>
        <w:autoSpaceDN w:val="0"/>
        <w:adjustRightInd w:val="0"/>
        <w:ind w:right="-356"/>
        <w:jc w:val="both"/>
      </w:pPr>
    </w:p>
    <w:p w14:paraId="4516E34D" w14:textId="77777777" w:rsidR="00D272D9" w:rsidRDefault="00D272D9" w:rsidP="00D272D9">
      <w:pPr>
        <w:autoSpaceDE w:val="0"/>
        <w:autoSpaceDN w:val="0"/>
        <w:adjustRightInd w:val="0"/>
        <w:ind w:right="-356"/>
      </w:pPr>
      <w:r>
        <w:t xml:space="preserve">The arrangement between jurisdictions is that the BCA will be published on behalf of the jurisdictions in a single place by the ABCB. It would not be appropriate to publicly notify </w:t>
      </w:r>
      <w:r>
        <w:lastRenderedPageBreak/>
        <w:t>the code on an ACT Government website. The notes to section 5 of the instrument describe alternative access to the BCA as it is not being notified on the Legislation Register.</w:t>
      </w:r>
    </w:p>
    <w:p w14:paraId="1A1ACD41" w14:textId="77777777" w:rsidR="00D272D9" w:rsidRDefault="00D272D9" w:rsidP="00D272D9">
      <w:pPr>
        <w:pStyle w:val="NormalWeb"/>
        <w:shd w:val="clear" w:color="auto" w:fill="FFFFFF"/>
        <w:spacing w:before="0" w:beforeAutospacing="0" w:after="0" w:afterAutospacing="0"/>
        <w:rPr>
          <w:color w:val="000000"/>
        </w:rPr>
      </w:pPr>
      <w:r>
        <w:rPr>
          <w:color w:val="000000"/>
        </w:rPr>
        <w:t> </w:t>
      </w:r>
    </w:p>
    <w:p w14:paraId="1140E6A5" w14:textId="77777777" w:rsidR="00D272D9" w:rsidRDefault="00D272D9" w:rsidP="00D272D9">
      <w:pPr>
        <w:pStyle w:val="NormalWeb"/>
        <w:shd w:val="clear" w:color="auto" w:fill="FFFFFF"/>
        <w:spacing w:before="0" w:beforeAutospacing="0" w:after="0" w:afterAutospacing="0"/>
        <w:rPr>
          <w:color w:val="000000"/>
        </w:rPr>
      </w:pPr>
      <w:r>
        <w:rPr>
          <w:color w:val="000000"/>
        </w:rPr>
        <w:t xml:space="preserve">Clause 6 revokes the </w:t>
      </w:r>
      <w:r w:rsidRPr="0011364A">
        <w:rPr>
          <w:i/>
          <w:iCs/>
          <w:color w:val="000000"/>
        </w:rPr>
        <w:t>B</w:t>
      </w:r>
      <w:r>
        <w:rPr>
          <w:i/>
          <w:iCs/>
        </w:rPr>
        <w:t>uilding (</w:t>
      </w:r>
      <w:r w:rsidRPr="00EE07F2">
        <w:rPr>
          <w:i/>
          <w:iCs/>
        </w:rPr>
        <w:t xml:space="preserve">ACT Appendix to the </w:t>
      </w:r>
      <w:r>
        <w:rPr>
          <w:i/>
          <w:iCs/>
        </w:rPr>
        <w:t>Building</w:t>
      </w:r>
      <w:r w:rsidRPr="00EE07F2">
        <w:rPr>
          <w:i/>
          <w:iCs/>
        </w:rPr>
        <w:t xml:space="preserve"> Code) Determination 20</w:t>
      </w:r>
      <w:r>
        <w:rPr>
          <w:i/>
          <w:iCs/>
        </w:rPr>
        <w:t>23</w:t>
      </w:r>
      <w:r w:rsidRPr="00EE07F2">
        <w:rPr>
          <w:i/>
          <w:iCs/>
        </w:rPr>
        <w:t xml:space="preserve"> (No </w:t>
      </w:r>
      <w:r>
        <w:rPr>
          <w:i/>
          <w:iCs/>
        </w:rPr>
        <w:t>1</w:t>
      </w:r>
      <w:r w:rsidRPr="00EE07F2">
        <w:rPr>
          <w:i/>
          <w:iCs/>
        </w:rPr>
        <w:t>)</w:t>
      </w:r>
      <w:r>
        <w:rPr>
          <w:i/>
          <w:iCs/>
        </w:rPr>
        <w:t xml:space="preserve"> </w:t>
      </w:r>
      <w:r>
        <w:rPr>
          <w:color w:val="000000"/>
        </w:rPr>
        <w:t>that is replaced by this instrument.</w:t>
      </w:r>
    </w:p>
    <w:p w14:paraId="1984BAB9" w14:textId="77777777" w:rsidR="00EA5C00" w:rsidRDefault="00EA5C00" w:rsidP="00D272D9"/>
    <w:p w14:paraId="44018BEA" w14:textId="4B5BBD94" w:rsidR="00D272D9" w:rsidRDefault="00EA5C00" w:rsidP="00D272D9">
      <w:r>
        <w:t>Schedule 1</w:t>
      </w:r>
      <w:r w:rsidR="00D272D9">
        <w:t xml:space="preserve"> supports the adoption of new NCC 2022 provisions that commence in the ACT on 15 January 2024, as well as maintain the main NCC 2022 provisions that commenced on 1 May 2023</w:t>
      </w:r>
      <w:r>
        <w:t>.</w:t>
      </w:r>
    </w:p>
    <w:p w14:paraId="4A30C0A8" w14:textId="77777777" w:rsidR="00EA5C00" w:rsidRPr="00E3481F" w:rsidRDefault="00EA5C00" w:rsidP="00D272D9"/>
    <w:p w14:paraId="0A6176BD" w14:textId="77777777" w:rsidR="00D272D9" w:rsidRDefault="00D272D9" w:rsidP="00D272D9">
      <w:r>
        <w:t>One previous ACT specific alternative option for energy efficiency upgrades to the unaltered part of existing buildings has been removed. Previously, the addition of solar control films to existing windows was permitted as a means to complying with the glazing energy efficiency requirements. Given the new, more stringent glazing requirements of NCC 2022, these provisions have been removed, as the solar control film will not be able to achieve the required insulative properties.</w:t>
      </w:r>
    </w:p>
    <w:p w14:paraId="3A70DD3A" w14:textId="5814E542" w:rsidR="00D272D9" w:rsidRPr="00D73693" w:rsidRDefault="00D272D9" w:rsidP="00D73693">
      <w:pPr>
        <w:pStyle w:val="Header"/>
        <w:tabs>
          <w:tab w:val="left" w:pos="720"/>
        </w:tabs>
        <w:spacing w:after="240"/>
      </w:pPr>
    </w:p>
    <w:sectPr w:rsidR="00D272D9" w:rsidRPr="00D73693" w:rsidSect="0072165A">
      <w:headerReference w:type="even" r:id="rId11"/>
      <w:headerReference w:type="default" r:id="rId12"/>
      <w:footerReference w:type="even" r:id="rId13"/>
      <w:footerReference w:type="default" r:id="rId14"/>
      <w:headerReference w:type="first" r:id="rId15"/>
      <w:footerReference w:type="first" r:id="rId16"/>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50279" w14:textId="77777777" w:rsidR="00A57BDC" w:rsidRDefault="00A57BDC" w:rsidP="0072165A">
      <w:r>
        <w:separator/>
      </w:r>
    </w:p>
  </w:endnote>
  <w:endnote w:type="continuationSeparator" w:id="0">
    <w:p w14:paraId="1D40C34E" w14:textId="77777777" w:rsidR="00A57BDC" w:rsidRDefault="00A57BDC"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798CD" w14:textId="77777777" w:rsidR="00F629C6" w:rsidRDefault="00F629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26BD2" w14:textId="1411B50E" w:rsidR="00635151" w:rsidRPr="00F629C6" w:rsidRDefault="00F629C6" w:rsidP="00F629C6">
    <w:pPr>
      <w:pStyle w:val="Footer"/>
      <w:jc w:val="center"/>
      <w:rPr>
        <w:rFonts w:ascii="Arial" w:hAnsi="Arial" w:cs="Arial"/>
        <w:sz w:val="14"/>
      </w:rPr>
    </w:pPr>
    <w:r w:rsidRPr="00F629C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9A1D2" w14:textId="77777777" w:rsidR="00F629C6" w:rsidRDefault="00F629C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00D9DF" w14:textId="77777777" w:rsidR="00A57BDC" w:rsidRDefault="00A57BDC" w:rsidP="0072165A">
      <w:r>
        <w:separator/>
      </w:r>
    </w:p>
  </w:footnote>
  <w:footnote w:type="continuationSeparator" w:id="0">
    <w:p w14:paraId="2EDEF052" w14:textId="77777777" w:rsidR="00A57BDC" w:rsidRDefault="00A57BDC"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5C998" w14:textId="77777777" w:rsidR="00F629C6" w:rsidRDefault="00F629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B3082" w14:textId="77777777" w:rsidR="00F629C6" w:rsidRDefault="00F629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53D53" w14:textId="77777777" w:rsidR="00F629C6" w:rsidRDefault="00F629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3F85E3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0663A"/>
    <w:multiLevelType w:val="hybridMultilevel"/>
    <w:tmpl w:val="FFFFFFFF"/>
    <w:lvl w:ilvl="0" w:tplc="0C090019">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 w15:restartNumberingAfterBreak="0">
    <w:nsid w:val="0B6F40F7"/>
    <w:multiLevelType w:val="hybridMultilevel"/>
    <w:tmpl w:val="FFFFFFFF"/>
    <w:lvl w:ilvl="0" w:tplc="0C090001">
      <w:start w:val="1"/>
      <w:numFmt w:val="bullet"/>
      <w:lvlText w:val=""/>
      <w:lvlJc w:val="left"/>
      <w:pPr>
        <w:ind w:left="720" w:hanging="360"/>
      </w:pPr>
      <w:rPr>
        <w:rFonts w:ascii="Symbol" w:hAnsi="Symbol" w:hint="default"/>
      </w:rPr>
    </w:lvl>
    <w:lvl w:ilvl="1" w:tplc="FFFFFFFF">
      <w:start w:val="45"/>
      <w:numFmt w:val="bullet"/>
      <w:lvlText w:val="-"/>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59112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FAF5F6E"/>
    <w:multiLevelType w:val="singleLevel"/>
    <w:tmpl w:val="FFFFFFFF"/>
    <w:lvl w:ilvl="0">
      <w:start w:val="1"/>
      <w:numFmt w:val="decimal"/>
      <w:lvlText w:val="%1."/>
      <w:lvlJc w:val="left"/>
      <w:pPr>
        <w:tabs>
          <w:tab w:val="num" w:pos="360"/>
        </w:tabs>
        <w:ind w:left="360" w:hanging="360"/>
      </w:pPr>
      <w:rPr>
        <w:rFonts w:cs="Times New Roman"/>
      </w:rPr>
    </w:lvl>
  </w:abstractNum>
  <w:abstractNum w:abstractNumId="6" w15:restartNumberingAfterBreak="0">
    <w:nsid w:val="1930040E"/>
    <w:multiLevelType w:val="hybridMultilevel"/>
    <w:tmpl w:val="FFFFFFFF"/>
    <w:lvl w:ilvl="0" w:tplc="CAAA4F60">
      <w:start w:val="1"/>
      <w:numFmt w:val="decimal"/>
      <w:lvlText w:val="(%1)"/>
      <w:lvlJc w:val="left"/>
      <w:pPr>
        <w:ind w:left="720" w:hanging="360"/>
      </w:pPr>
      <w:rPr>
        <w:rFonts w:cs="Times New Roman"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31C8780C"/>
    <w:multiLevelType w:val="singleLevel"/>
    <w:tmpl w:val="FFFFFFFF"/>
    <w:lvl w:ilvl="0">
      <w:start w:val="1"/>
      <w:numFmt w:val="decimal"/>
      <w:lvlText w:val="%1."/>
      <w:lvlJc w:val="left"/>
      <w:pPr>
        <w:tabs>
          <w:tab w:val="num" w:pos="360"/>
        </w:tabs>
        <w:ind w:left="360" w:hanging="360"/>
      </w:pPr>
      <w:rPr>
        <w:rFonts w:cs="Times New Roman"/>
      </w:rPr>
    </w:lvl>
  </w:abstractNum>
  <w:abstractNum w:abstractNumId="8" w15:restartNumberingAfterBreak="0">
    <w:nsid w:val="335872B8"/>
    <w:multiLevelType w:val="hybridMultilevel"/>
    <w:tmpl w:val="FFFFFFFF"/>
    <w:lvl w:ilvl="0" w:tplc="A63CC0A4">
      <w:start w:val="1"/>
      <w:numFmt w:val="decimal"/>
      <w:lvlText w:val="%1."/>
      <w:lvlJc w:val="left"/>
      <w:pPr>
        <w:ind w:left="720" w:hanging="360"/>
      </w:pPr>
      <w:rPr>
        <w:rFonts w:cs="Times New Roman"/>
        <w:color w:val="auto"/>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46C3F30"/>
    <w:multiLevelType w:val="hybridMultilevel"/>
    <w:tmpl w:val="FFFFFFFF"/>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A102938"/>
    <w:multiLevelType w:val="hybridMultilevel"/>
    <w:tmpl w:val="FFFFFFFF"/>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1173158"/>
    <w:multiLevelType w:val="singleLevel"/>
    <w:tmpl w:val="FFFFFFFF"/>
    <w:lvl w:ilvl="0">
      <w:start w:val="45"/>
      <w:numFmt w:val="bullet"/>
      <w:lvlText w:val="-"/>
      <w:lvlJc w:val="left"/>
      <w:pPr>
        <w:tabs>
          <w:tab w:val="num" w:pos="360"/>
        </w:tabs>
        <w:ind w:left="360" w:hanging="360"/>
      </w:pPr>
      <w:rPr>
        <w:rFonts w:hint="default"/>
      </w:rPr>
    </w:lvl>
  </w:abstractNum>
  <w:abstractNum w:abstractNumId="12" w15:restartNumberingAfterBreak="0">
    <w:nsid w:val="564F6D5B"/>
    <w:multiLevelType w:val="hybridMultilevel"/>
    <w:tmpl w:val="FFFFFFFF"/>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5A397682"/>
    <w:multiLevelType w:val="hybridMultilevel"/>
    <w:tmpl w:val="FFFFFFFF"/>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15:restartNumberingAfterBreak="0">
    <w:nsid w:val="5C9D2A29"/>
    <w:multiLevelType w:val="hybridMultilevel"/>
    <w:tmpl w:val="FFFFFFFF"/>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11A503F"/>
    <w:multiLevelType w:val="hybridMultilevel"/>
    <w:tmpl w:val="FFFFFFFF"/>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51863F0"/>
    <w:multiLevelType w:val="hybridMultilevel"/>
    <w:tmpl w:val="76480C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37607884">
    <w:abstractNumId w:val="15"/>
  </w:num>
  <w:num w:numId="2" w16cid:durableId="861938808">
    <w:abstractNumId w:val="10"/>
  </w:num>
  <w:num w:numId="3" w16cid:durableId="1517307806">
    <w:abstractNumId w:val="14"/>
  </w:num>
  <w:num w:numId="4" w16cid:durableId="770978352">
    <w:abstractNumId w:val="14"/>
  </w:num>
  <w:num w:numId="5" w16cid:durableId="685206438">
    <w:abstractNumId w:val="11"/>
  </w:num>
  <w:num w:numId="6" w16cid:durableId="118888041">
    <w:abstractNumId w:val="0"/>
  </w:num>
  <w:num w:numId="7" w16cid:durableId="1898974406">
    <w:abstractNumId w:val="5"/>
  </w:num>
  <w:num w:numId="8" w16cid:durableId="875196561">
    <w:abstractNumId w:val="7"/>
  </w:num>
  <w:num w:numId="9" w16cid:durableId="1053768257">
    <w:abstractNumId w:val="9"/>
  </w:num>
  <w:num w:numId="10" w16cid:durableId="120543174">
    <w:abstractNumId w:val="8"/>
  </w:num>
  <w:num w:numId="11" w16cid:durableId="466313197">
    <w:abstractNumId w:val="13"/>
  </w:num>
  <w:num w:numId="12" w16cid:durableId="1410419777">
    <w:abstractNumId w:val="6"/>
  </w:num>
  <w:num w:numId="13" w16cid:durableId="619189742">
    <w:abstractNumId w:val="1"/>
  </w:num>
  <w:num w:numId="14" w16cid:durableId="1970237510">
    <w:abstractNumId w:val="4"/>
  </w:num>
  <w:num w:numId="15" w16cid:durableId="1982297454">
    <w:abstractNumId w:val="3"/>
  </w:num>
  <w:num w:numId="16" w16cid:durableId="1301618895">
    <w:abstractNumId w:val="2"/>
  </w:num>
  <w:num w:numId="17" w16cid:durableId="1409692669">
    <w:abstractNumId w:val="12"/>
  </w:num>
  <w:num w:numId="18" w16cid:durableId="21100817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B33"/>
    <w:rsid w:val="00021B33"/>
    <w:rsid w:val="00026981"/>
    <w:rsid w:val="00030847"/>
    <w:rsid w:val="00032112"/>
    <w:rsid w:val="0003345E"/>
    <w:rsid w:val="00036F02"/>
    <w:rsid w:val="000378AB"/>
    <w:rsid w:val="00054C22"/>
    <w:rsid w:val="00060A33"/>
    <w:rsid w:val="0007102B"/>
    <w:rsid w:val="0007274D"/>
    <w:rsid w:val="000978AF"/>
    <w:rsid w:val="000A1A53"/>
    <w:rsid w:val="000B4F85"/>
    <w:rsid w:val="000C03C4"/>
    <w:rsid w:val="000D217A"/>
    <w:rsid w:val="000D2583"/>
    <w:rsid w:val="000D7A02"/>
    <w:rsid w:val="000E39C3"/>
    <w:rsid w:val="00102CFB"/>
    <w:rsid w:val="00105FCC"/>
    <w:rsid w:val="001266FD"/>
    <w:rsid w:val="0013502F"/>
    <w:rsid w:val="00140735"/>
    <w:rsid w:val="0016000D"/>
    <w:rsid w:val="00166C2B"/>
    <w:rsid w:val="001673C6"/>
    <w:rsid w:val="00192F90"/>
    <w:rsid w:val="001941ED"/>
    <w:rsid w:val="001A378E"/>
    <w:rsid w:val="001A5617"/>
    <w:rsid w:val="001B27E2"/>
    <w:rsid w:val="001B2EE7"/>
    <w:rsid w:val="001B377D"/>
    <w:rsid w:val="001B7920"/>
    <w:rsid w:val="001C6B61"/>
    <w:rsid w:val="001E5C11"/>
    <w:rsid w:val="001F0837"/>
    <w:rsid w:val="001F452F"/>
    <w:rsid w:val="0020175D"/>
    <w:rsid w:val="00232A0D"/>
    <w:rsid w:val="00233B84"/>
    <w:rsid w:val="0024248E"/>
    <w:rsid w:val="00245CDA"/>
    <w:rsid w:val="00246ACC"/>
    <w:rsid w:val="002473D6"/>
    <w:rsid w:val="0025222B"/>
    <w:rsid w:val="00262752"/>
    <w:rsid w:val="0026486A"/>
    <w:rsid w:val="002653F2"/>
    <w:rsid w:val="002675EF"/>
    <w:rsid w:val="00284A72"/>
    <w:rsid w:val="002876A0"/>
    <w:rsid w:val="00287BDE"/>
    <w:rsid w:val="00295BC7"/>
    <w:rsid w:val="002B0424"/>
    <w:rsid w:val="002B36FA"/>
    <w:rsid w:val="002B48B8"/>
    <w:rsid w:val="002B540C"/>
    <w:rsid w:val="002B5662"/>
    <w:rsid w:val="002B63CA"/>
    <w:rsid w:val="002C16C9"/>
    <w:rsid w:val="002C776C"/>
    <w:rsid w:val="002C7E2A"/>
    <w:rsid w:val="002D3737"/>
    <w:rsid w:val="002D7876"/>
    <w:rsid w:val="002E5024"/>
    <w:rsid w:val="002F436A"/>
    <w:rsid w:val="002F639E"/>
    <w:rsid w:val="003333E4"/>
    <w:rsid w:val="00351439"/>
    <w:rsid w:val="0035159D"/>
    <w:rsid w:val="00356FEB"/>
    <w:rsid w:val="003633E9"/>
    <w:rsid w:val="00366411"/>
    <w:rsid w:val="003772D2"/>
    <w:rsid w:val="0038751C"/>
    <w:rsid w:val="00392FA3"/>
    <w:rsid w:val="00393AEF"/>
    <w:rsid w:val="003A2E5C"/>
    <w:rsid w:val="003B460D"/>
    <w:rsid w:val="003B6542"/>
    <w:rsid w:val="003C1595"/>
    <w:rsid w:val="003D00F2"/>
    <w:rsid w:val="003D0914"/>
    <w:rsid w:val="003D0B1B"/>
    <w:rsid w:val="003D109B"/>
    <w:rsid w:val="003E6E42"/>
    <w:rsid w:val="003F3F1B"/>
    <w:rsid w:val="003F5433"/>
    <w:rsid w:val="003F5FDA"/>
    <w:rsid w:val="003F729C"/>
    <w:rsid w:val="003F7B88"/>
    <w:rsid w:val="00401091"/>
    <w:rsid w:val="00404806"/>
    <w:rsid w:val="00417B1C"/>
    <w:rsid w:val="004455B3"/>
    <w:rsid w:val="00447A58"/>
    <w:rsid w:val="0045410A"/>
    <w:rsid w:val="00457178"/>
    <w:rsid w:val="00461DD9"/>
    <w:rsid w:val="00461F52"/>
    <w:rsid w:val="00490B20"/>
    <w:rsid w:val="004A10CE"/>
    <w:rsid w:val="004C144C"/>
    <w:rsid w:val="004D70A8"/>
    <w:rsid w:val="004E2275"/>
    <w:rsid w:val="004F5844"/>
    <w:rsid w:val="004F6272"/>
    <w:rsid w:val="00515D65"/>
    <w:rsid w:val="00517DF8"/>
    <w:rsid w:val="005340B6"/>
    <w:rsid w:val="00537159"/>
    <w:rsid w:val="00543F67"/>
    <w:rsid w:val="00555402"/>
    <w:rsid w:val="00562FCF"/>
    <w:rsid w:val="005707AC"/>
    <w:rsid w:val="00570BB9"/>
    <w:rsid w:val="005A623D"/>
    <w:rsid w:val="005A6DCF"/>
    <w:rsid w:val="005A7662"/>
    <w:rsid w:val="005A78ED"/>
    <w:rsid w:val="005B204A"/>
    <w:rsid w:val="005B6244"/>
    <w:rsid w:val="00607CB8"/>
    <w:rsid w:val="00610656"/>
    <w:rsid w:val="00635151"/>
    <w:rsid w:val="006437A1"/>
    <w:rsid w:val="00654E91"/>
    <w:rsid w:val="00664497"/>
    <w:rsid w:val="0066451F"/>
    <w:rsid w:val="006658A0"/>
    <w:rsid w:val="00687FF6"/>
    <w:rsid w:val="006B1EB9"/>
    <w:rsid w:val="006B2577"/>
    <w:rsid w:val="006C1CEC"/>
    <w:rsid w:val="006E2F64"/>
    <w:rsid w:val="006F3430"/>
    <w:rsid w:val="00710010"/>
    <w:rsid w:val="00713B0A"/>
    <w:rsid w:val="007154B0"/>
    <w:rsid w:val="00720F5B"/>
    <w:rsid w:val="0072165A"/>
    <w:rsid w:val="007644D3"/>
    <w:rsid w:val="00770952"/>
    <w:rsid w:val="0077323E"/>
    <w:rsid w:val="007A2A8B"/>
    <w:rsid w:val="007D0C74"/>
    <w:rsid w:val="007D3D99"/>
    <w:rsid w:val="007D5FC1"/>
    <w:rsid w:val="007E5A88"/>
    <w:rsid w:val="0080286E"/>
    <w:rsid w:val="00811D4E"/>
    <w:rsid w:val="008149C6"/>
    <w:rsid w:val="00816F0A"/>
    <w:rsid w:val="008234C5"/>
    <w:rsid w:val="00832A81"/>
    <w:rsid w:val="00834048"/>
    <w:rsid w:val="00857485"/>
    <w:rsid w:val="00876B38"/>
    <w:rsid w:val="00883745"/>
    <w:rsid w:val="00884A32"/>
    <w:rsid w:val="00892E8A"/>
    <w:rsid w:val="008A5171"/>
    <w:rsid w:val="008B2BFA"/>
    <w:rsid w:val="008D062E"/>
    <w:rsid w:val="008D2B37"/>
    <w:rsid w:val="008D497B"/>
    <w:rsid w:val="008E00EA"/>
    <w:rsid w:val="008E1E09"/>
    <w:rsid w:val="008E3FE3"/>
    <w:rsid w:val="008E76CF"/>
    <w:rsid w:val="008F0230"/>
    <w:rsid w:val="008F0FD5"/>
    <w:rsid w:val="008F4F49"/>
    <w:rsid w:val="008F6CD9"/>
    <w:rsid w:val="00902C4A"/>
    <w:rsid w:val="00903411"/>
    <w:rsid w:val="00904CAC"/>
    <w:rsid w:val="00912333"/>
    <w:rsid w:val="009152DB"/>
    <w:rsid w:val="009201A2"/>
    <w:rsid w:val="00920252"/>
    <w:rsid w:val="00941A6E"/>
    <w:rsid w:val="00947FE7"/>
    <w:rsid w:val="009504C2"/>
    <w:rsid w:val="009619DF"/>
    <w:rsid w:val="00964895"/>
    <w:rsid w:val="009656C4"/>
    <w:rsid w:val="009675EA"/>
    <w:rsid w:val="00973DDE"/>
    <w:rsid w:val="009A4545"/>
    <w:rsid w:val="009A45B0"/>
    <w:rsid w:val="009A64BB"/>
    <w:rsid w:val="009B6376"/>
    <w:rsid w:val="009B68A7"/>
    <w:rsid w:val="009B6A6A"/>
    <w:rsid w:val="009D0355"/>
    <w:rsid w:val="009D0427"/>
    <w:rsid w:val="009D7E08"/>
    <w:rsid w:val="009E0F58"/>
    <w:rsid w:val="009E5A23"/>
    <w:rsid w:val="009F4DAF"/>
    <w:rsid w:val="009F74FD"/>
    <w:rsid w:val="00A17BC4"/>
    <w:rsid w:val="00A23625"/>
    <w:rsid w:val="00A24E74"/>
    <w:rsid w:val="00A317FA"/>
    <w:rsid w:val="00A3257C"/>
    <w:rsid w:val="00A47AFE"/>
    <w:rsid w:val="00A51808"/>
    <w:rsid w:val="00A57BDC"/>
    <w:rsid w:val="00A70C28"/>
    <w:rsid w:val="00A72282"/>
    <w:rsid w:val="00AA1410"/>
    <w:rsid w:val="00AA3589"/>
    <w:rsid w:val="00AA3C7B"/>
    <w:rsid w:val="00AA73A8"/>
    <w:rsid w:val="00AD268D"/>
    <w:rsid w:val="00AE43BD"/>
    <w:rsid w:val="00B00A05"/>
    <w:rsid w:val="00B069E8"/>
    <w:rsid w:val="00B1369B"/>
    <w:rsid w:val="00B26ADC"/>
    <w:rsid w:val="00B424AD"/>
    <w:rsid w:val="00B439F9"/>
    <w:rsid w:val="00B457CB"/>
    <w:rsid w:val="00B6038F"/>
    <w:rsid w:val="00B800EB"/>
    <w:rsid w:val="00BA6DE5"/>
    <w:rsid w:val="00BC34F7"/>
    <w:rsid w:val="00BC7D82"/>
    <w:rsid w:val="00BD4042"/>
    <w:rsid w:val="00BD7126"/>
    <w:rsid w:val="00BF482C"/>
    <w:rsid w:val="00BF49F8"/>
    <w:rsid w:val="00BF619A"/>
    <w:rsid w:val="00C02FB4"/>
    <w:rsid w:val="00C059F1"/>
    <w:rsid w:val="00C1045C"/>
    <w:rsid w:val="00C143AF"/>
    <w:rsid w:val="00C1504A"/>
    <w:rsid w:val="00C31175"/>
    <w:rsid w:val="00C33620"/>
    <w:rsid w:val="00C456D1"/>
    <w:rsid w:val="00C5103D"/>
    <w:rsid w:val="00C551C6"/>
    <w:rsid w:val="00C57E61"/>
    <w:rsid w:val="00C62A15"/>
    <w:rsid w:val="00C630EF"/>
    <w:rsid w:val="00C81A28"/>
    <w:rsid w:val="00C95871"/>
    <w:rsid w:val="00CA70D4"/>
    <w:rsid w:val="00CC0DE5"/>
    <w:rsid w:val="00CF3E46"/>
    <w:rsid w:val="00D15E4E"/>
    <w:rsid w:val="00D26E38"/>
    <w:rsid w:val="00D272D9"/>
    <w:rsid w:val="00D31476"/>
    <w:rsid w:val="00D338A8"/>
    <w:rsid w:val="00D55025"/>
    <w:rsid w:val="00D55293"/>
    <w:rsid w:val="00D61E80"/>
    <w:rsid w:val="00D66F45"/>
    <w:rsid w:val="00D73115"/>
    <w:rsid w:val="00D73693"/>
    <w:rsid w:val="00D868EC"/>
    <w:rsid w:val="00D9185A"/>
    <w:rsid w:val="00D9209D"/>
    <w:rsid w:val="00DA0899"/>
    <w:rsid w:val="00DA2915"/>
    <w:rsid w:val="00DA4B8A"/>
    <w:rsid w:val="00DA6664"/>
    <w:rsid w:val="00DC0275"/>
    <w:rsid w:val="00DD3C85"/>
    <w:rsid w:val="00DF5BEA"/>
    <w:rsid w:val="00DF73B1"/>
    <w:rsid w:val="00E1173A"/>
    <w:rsid w:val="00E16EAE"/>
    <w:rsid w:val="00E21678"/>
    <w:rsid w:val="00E3481F"/>
    <w:rsid w:val="00E423C0"/>
    <w:rsid w:val="00E426DD"/>
    <w:rsid w:val="00E5344D"/>
    <w:rsid w:val="00E60319"/>
    <w:rsid w:val="00E826C1"/>
    <w:rsid w:val="00E865F5"/>
    <w:rsid w:val="00E92EF3"/>
    <w:rsid w:val="00E94D2B"/>
    <w:rsid w:val="00EA5C00"/>
    <w:rsid w:val="00EB3429"/>
    <w:rsid w:val="00EB7A8F"/>
    <w:rsid w:val="00EC7D6A"/>
    <w:rsid w:val="00EE07F2"/>
    <w:rsid w:val="00EE5E1D"/>
    <w:rsid w:val="00EF1AE9"/>
    <w:rsid w:val="00EF469F"/>
    <w:rsid w:val="00F124AE"/>
    <w:rsid w:val="00F20ABC"/>
    <w:rsid w:val="00F230F9"/>
    <w:rsid w:val="00F32927"/>
    <w:rsid w:val="00F37D26"/>
    <w:rsid w:val="00F40C11"/>
    <w:rsid w:val="00F53808"/>
    <w:rsid w:val="00F62324"/>
    <w:rsid w:val="00F629C6"/>
    <w:rsid w:val="00F64A07"/>
    <w:rsid w:val="00F674C8"/>
    <w:rsid w:val="00F677EE"/>
    <w:rsid w:val="00F837B6"/>
    <w:rsid w:val="00F86A70"/>
    <w:rsid w:val="00F902DE"/>
    <w:rsid w:val="00F94183"/>
    <w:rsid w:val="00FA20EC"/>
    <w:rsid w:val="00FA32A3"/>
    <w:rsid w:val="00FB312C"/>
    <w:rsid w:val="00FB7B69"/>
    <w:rsid w:val="00FD04B7"/>
    <w:rsid w:val="00FD1187"/>
    <w:rsid w:val="00FD1726"/>
    <w:rsid w:val="00FD2419"/>
    <w:rsid w:val="00FF26AF"/>
    <w:rsid w:val="00FF7F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2738D7CE"/>
  <w14:defaultImageDpi w14:val="0"/>
  <w15:docId w15:val="{937CCB61-5082-442A-869E-EA78F9CFE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6ACC"/>
    <w:rPr>
      <w:sz w:val="24"/>
      <w:szCs w:val="24"/>
      <w:lang w:eastAsia="en-US"/>
    </w:rPr>
  </w:style>
  <w:style w:type="paragraph" w:styleId="Heading1">
    <w:name w:val="heading 1"/>
    <w:basedOn w:val="Normal"/>
    <w:next w:val="Normal"/>
    <w:link w:val="Heading1Char"/>
    <w:uiPriority w:val="9"/>
    <w:qFormat/>
    <w:rsid w:val="00246ACC"/>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rsid w:val="00246ACC"/>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rsid w:val="00246ACC"/>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rsid w:val="00246ACC"/>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rsid w:val="00246ACC"/>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rsid w:val="00246ACC"/>
    <w:pPr>
      <w:keepNext/>
      <w:outlineLvl w:val="5"/>
    </w:pPr>
    <w:rPr>
      <w:b/>
      <w:bCs/>
    </w:rPr>
  </w:style>
  <w:style w:type="paragraph" w:styleId="Heading7">
    <w:name w:val="heading 7"/>
    <w:basedOn w:val="Normal"/>
    <w:next w:val="Normal"/>
    <w:link w:val="Heading7Char"/>
    <w:uiPriority w:val="9"/>
    <w:qFormat/>
    <w:rsid w:val="00246ACC"/>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rsid w:val="00246ACC"/>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rsid w:val="00246ACC"/>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46ACC"/>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46ACC"/>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246ACC"/>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246ACC"/>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246ACC"/>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246ACC"/>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sid w:val="00246ACC"/>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246ACC"/>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246ACC"/>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rsid w:val="00246ACC"/>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uiPriority w:val="99"/>
    <w:rsid w:val="00246ACC"/>
    <w:pPr>
      <w:tabs>
        <w:tab w:val="left" w:pos="2400"/>
        <w:tab w:val="left" w:pos="2880"/>
      </w:tabs>
      <w:spacing w:before="1220" w:after="100"/>
    </w:pPr>
    <w:rPr>
      <w:rFonts w:ascii="Arial" w:hAnsi="Arial" w:cs="Arial"/>
      <w:b/>
      <w:bCs/>
      <w:sz w:val="40"/>
      <w:szCs w:val="40"/>
    </w:rPr>
  </w:style>
  <w:style w:type="paragraph" w:customStyle="1" w:styleId="dot">
    <w:name w:val="dot"/>
    <w:basedOn w:val="Normal"/>
    <w:rsid w:val="00246ACC"/>
    <w:pPr>
      <w:numPr>
        <w:numId w:val="1"/>
      </w:numPr>
    </w:pPr>
    <w:rPr>
      <w:rFonts w:ascii="Arial" w:hAnsi="Arial" w:cs="Arial"/>
    </w:rPr>
  </w:style>
  <w:style w:type="paragraph" w:customStyle="1" w:styleId="dot2">
    <w:name w:val="dot 2"/>
    <w:basedOn w:val="Normal"/>
    <w:rsid w:val="00246ACC"/>
    <w:pPr>
      <w:numPr>
        <w:numId w:val="2"/>
      </w:numPr>
    </w:pPr>
    <w:rPr>
      <w:rFonts w:ascii="Arial" w:hAnsi="Arial" w:cs="Arial"/>
    </w:rPr>
  </w:style>
  <w:style w:type="paragraph" w:customStyle="1" w:styleId="para">
    <w:name w:val="para"/>
    <w:basedOn w:val="Normal"/>
    <w:rsid w:val="00246ACC"/>
    <w:pPr>
      <w:spacing w:before="120" w:after="120"/>
    </w:pPr>
    <w:rPr>
      <w:rFonts w:ascii="Arial" w:hAnsi="Arial" w:cs="Arial"/>
    </w:rPr>
  </w:style>
  <w:style w:type="paragraph" w:customStyle="1" w:styleId="textbox">
    <w:name w:val="text box"/>
    <w:basedOn w:val="Normal"/>
    <w:rsid w:val="00246ACC"/>
    <w:pPr>
      <w:spacing w:before="60" w:after="60"/>
    </w:pPr>
    <w:rPr>
      <w:rFonts w:ascii="Tahoma" w:hAnsi="Tahoma" w:cs="Tahoma"/>
    </w:rPr>
  </w:style>
  <w:style w:type="paragraph" w:customStyle="1" w:styleId="Dotpoint">
    <w:name w:val="Dot point"/>
    <w:basedOn w:val="Normal"/>
    <w:rsid w:val="00246ACC"/>
    <w:pPr>
      <w:numPr>
        <w:numId w:val="4"/>
      </w:numPr>
      <w:tabs>
        <w:tab w:val="left" w:pos="851"/>
      </w:tabs>
      <w:spacing w:before="60" w:after="60"/>
    </w:pPr>
    <w:rPr>
      <w:rFonts w:ascii="Arial" w:hAnsi="Arial" w:cs="Arial"/>
      <w:lang w:val="en-US"/>
    </w:rPr>
  </w:style>
  <w:style w:type="paragraph" w:customStyle="1" w:styleId="madeunder">
    <w:name w:val="made under"/>
    <w:basedOn w:val="Normal"/>
    <w:rsid w:val="00246ACC"/>
    <w:pPr>
      <w:spacing w:before="180" w:after="60"/>
      <w:jc w:val="both"/>
    </w:pPr>
  </w:style>
  <w:style w:type="paragraph" w:customStyle="1" w:styleId="CoverActName">
    <w:name w:val="CoverActName"/>
    <w:basedOn w:val="Normal"/>
    <w:rsid w:val="00246ACC"/>
    <w:pPr>
      <w:tabs>
        <w:tab w:val="left" w:pos="2600"/>
      </w:tabs>
      <w:spacing w:before="200" w:after="60"/>
      <w:jc w:val="both"/>
    </w:pPr>
    <w:rPr>
      <w:rFonts w:ascii="Arial" w:hAnsi="Arial" w:cs="Arial"/>
      <w:b/>
      <w:bCs/>
    </w:rPr>
  </w:style>
  <w:style w:type="paragraph" w:customStyle="1" w:styleId="N-line3">
    <w:name w:val="N-line3"/>
    <w:basedOn w:val="Normal"/>
    <w:next w:val="Normal"/>
    <w:rsid w:val="00246ACC"/>
    <w:pPr>
      <w:pBdr>
        <w:bottom w:val="single" w:sz="12" w:space="1" w:color="auto"/>
      </w:pBdr>
      <w:jc w:val="both"/>
    </w:pPr>
  </w:style>
  <w:style w:type="paragraph" w:customStyle="1" w:styleId="LongTitle">
    <w:name w:val="LongTitle"/>
    <w:basedOn w:val="Normal"/>
    <w:rsid w:val="00246ACC"/>
    <w:pPr>
      <w:spacing w:before="240" w:after="60"/>
      <w:jc w:val="both"/>
    </w:pPr>
  </w:style>
  <w:style w:type="paragraph" w:styleId="Footer">
    <w:name w:val="footer"/>
    <w:basedOn w:val="Normal"/>
    <w:link w:val="FooterChar"/>
    <w:uiPriority w:val="99"/>
    <w:rsid w:val="00246ACC"/>
    <w:pPr>
      <w:tabs>
        <w:tab w:val="center" w:pos="4153"/>
        <w:tab w:val="right" w:pos="8306"/>
      </w:tabs>
    </w:pPr>
  </w:style>
  <w:style w:type="character" w:customStyle="1" w:styleId="FooterChar">
    <w:name w:val="Footer Char"/>
    <w:basedOn w:val="DefaultParagraphFont"/>
    <w:link w:val="Footer"/>
    <w:uiPriority w:val="99"/>
    <w:semiHidden/>
    <w:locked/>
    <w:rsid w:val="00246ACC"/>
    <w:rPr>
      <w:rFonts w:cs="Times New Roman"/>
      <w:sz w:val="24"/>
      <w:szCs w:val="24"/>
      <w:lang w:val="x-none" w:eastAsia="en-US"/>
    </w:rPr>
  </w:style>
  <w:style w:type="paragraph" w:customStyle="1" w:styleId="ChronTableBold">
    <w:name w:val="ChronTableBold"/>
    <w:basedOn w:val="Normal"/>
    <w:rsid w:val="00246ACC"/>
    <w:pPr>
      <w:keepNext/>
      <w:spacing w:before="180"/>
    </w:pPr>
    <w:rPr>
      <w:rFonts w:ascii="Arial" w:hAnsi="Arial" w:cs="Arial"/>
      <w:b/>
      <w:bCs/>
      <w:sz w:val="18"/>
      <w:szCs w:val="18"/>
      <w:lang w:val="en-US"/>
    </w:rPr>
  </w:style>
  <w:style w:type="paragraph" w:customStyle="1" w:styleId="Amain">
    <w:name w:val="A main"/>
    <w:basedOn w:val="Normal"/>
    <w:rsid w:val="00246ACC"/>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rsid w:val="00246ACC"/>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sid w:val="00246ACC"/>
    <w:rPr>
      <w:rFonts w:ascii="Arial" w:hAnsi="Arial" w:cs="Arial"/>
      <w:lang w:val="en-GB"/>
    </w:rPr>
  </w:style>
  <w:style w:type="paragraph" w:styleId="BalloonText">
    <w:name w:val="Balloon Text"/>
    <w:basedOn w:val="Normal"/>
    <w:link w:val="BalloonTextChar"/>
    <w:uiPriority w:val="99"/>
    <w:rsid w:val="00287BDE"/>
    <w:rPr>
      <w:rFonts w:ascii="Tahoma" w:hAnsi="Tahoma" w:cs="Tahoma"/>
      <w:sz w:val="16"/>
      <w:szCs w:val="16"/>
    </w:rPr>
  </w:style>
  <w:style w:type="character" w:customStyle="1" w:styleId="BalloonTextChar">
    <w:name w:val="Balloon Text Char"/>
    <w:basedOn w:val="DefaultParagraphFont"/>
    <w:link w:val="BalloonText"/>
    <w:uiPriority w:val="99"/>
    <w:locked/>
    <w:rsid w:val="00287BDE"/>
    <w:rPr>
      <w:rFonts w:ascii="Tahoma" w:hAnsi="Tahoma" w:cs="Tahoma"/>
      <w:sz w:val="16"/>
      <w:szCs w:val="16"/>
      <w:lang w:val="x-none" w:eastAsia="en-US"/>
    </w:rPr>
  </w:style>
  <w:style w:type="character" w:styleId="CommentReference">
    <w:name w:val="annotation reference"/>
    <w:basedOn w:val="DefaultParagraphFont"/>
    <w:uiPriority w:val="99"/>
    <w:rsid w:val="0072165A"/>
    <w:rPr>
      <w:rFonts w:cs="Times New Roman"/>
      <w:sz w:val="16"/>
      <w:szCs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bCs/>
      <w:lang w:val="x-none" w:eastAsia="en-US"/>
    </w:rPr>
  </w:style>
  <w:style w:type="character" w:styleId="Hyperlink">
    <w:name w:val="Hyperlink"/>
    <w:basedOn w:val="DefaultParagraphFont"/>
    <w:uiPriority w:val="99"/>
    <w:rsid w:val="0016000D"/>
    <w:rPr>
      <w:rFonts w:cs="Times New Roman"/>
      <w:color w:val="0000FF" w:themeColor="hyperlink"/>
      <w:u w:val="single"/>
    </w:rPr>
  </w:style>
  <w:style w:type="paragraph" w:styleId="FootnoteText">
    <w:name w:val="footnote text"/>
    <w:basedOn w:val="Normal"/>
    <w:link w:val="FootnoteTextChar"/>
    <w:uiPriority w:val="99"/>
    <w:rsid w:val="00F53808"/>
    <w:rPr>
      <w:sz w:val="20"/>
      <w:szCs w:val="20"/>
    </w:rPr>
  </w:style>
  <w:style w:type="character" w:customStyle="1" w:styleId="FootnoteTextChar">
    <w:name w:val="Footnote Text Char"/>
    <w:basedOn w:val="DefaultParagraphFont"/>
    <w:link w:val="FootnoteText"/>
    <w:uiPriority w:val="99"/>
    <w:locked/>
    <w:rsid w:val="00F53808"/>
    <w:rPr>
      <w:rFonts w:cs="Times New Roman"/>
      <w:lang w:val="x-none" w:eastAsia="en-US"/>
    </w:rPr>
  </w:style>
  <w:style w:type="character" w:styleId="FootnoteReference">
    <w:name w:val="footnote reference"/>
    <w:basedOn w:val="DefaultParagraphFont"/>
    <w:uiPriority w:val="99"/>
    <w:rsid w:val="00F53808"/>
    <w:rPr>
      <w:rFonts w:cs="Times New Roman"/>
      <w:vertAlign w:val="superscript"/>
    </w:rPr>
  </w:style>
  <w:style w:type="character" w:customStyle="1" w:styleId="Calibri12">
    <w:name w:val="Calibri 12"/>
    <w:basedOn w:val="DefaultParagraphFont"/>
    <w:uiPriority w:val="1"/>
    <w:qFormat/>
    <w:rsid w:val="00664497"/>
    <w:rPr>
      <w:rFonts w:ascii="Calibri" w:hAnsi="Calibri" w:cs="Times New Roman"/>
      <w:sz w:val="24"/>
    </w:rPr>
  </w:style>
  <w:style w:type="paragraph" w:styleId="ListParagraph">
    <w:name w:val="List Paragraph"/>
    <w:aliases w:val="Heading 2.,List Paragraph1,Recommendation,List Paragraph11,List Paragraph111,L,F5 List Paragraph,Dot pt,CV text,Table text,Medium Grid 1 - Accent 21,Numbered Paragraph,List Paragraph2,NFP GP Bulleted List,FooterText,numbered,列出段,?,lp1"/>
    <w:basedOn w:val="Normal"/>
    <w:link w:val="ListParagraphChar"/>
    <w:uiPriority w:val="34"/>
    <w:qFormat/>
    <w:rsid w:val="00664497"/>
    <w:pPr>
      <w:widowControl w:val="0"/>
      <w:ind w:left="720"/>
      <w:contextualSpacing/>
    </w:pPr>
    <w:rPr>
      <w:iCs/>
      <w:lang w:val="en-US"/>
    </w:rPr>
  </w:style>
  <w:style w:type="paragraph" w:styleId="NormalWeb">
    <w:name w:val="Normal (Web)"/>
    <w:basedOn w:val="Normal"/>
    <w:uiPriority w:val="99"/>
    <w:unhideWhenUsed/>
    <w:rsid w:val="008E3FE3"/>
    <w:pPr>
      <w:spacing w:before="100" w:beforeAutospacing="1" w:after="100" w:afterAutospacing="1"/>
    </w:pPr>
    <w:rPr>
      <w:lang w:eastAsia="en-AU"/>
    </w:rPr>
  </w:style>
  <w:style w:type="character" w:styleId="Strong">
    <w:name w:val="Strong"/>
    <w:basedOn w:val="DefaultParagraphFont"/>
    <w:uiPriority w:val="22"/>
    <w:qFormat/>
    <w:rsid w:val="00B439F9"/>
    <w:rPr>
      <w:rFonts w:cs="Times New Roman"/>
      <w:b/>
      <w:bCs/>
    </w:rPr>
  </w:style>
  <w:style w:type="paragraph" w:styleId="Revision">
    <w:name w:val="Revision"/>
    <w:hidden/>
    <w:uiPriority w:val="99"/>
    <w:semiHidden/>
    <w:rsid w:val="003D109B"/>
    <w:rPr>
      <w:sz w:val="24"/>
      <w:szCs w:val="24"/>
      <w:lang w:eastAsia="en-US"/>
    </w:rPr>
  </w:style>
  <w:style w:type="character" w:customStyle="1" w:styleId="ListParagraphChar">
    <w:name w:val="List Paragraph Char"/>
    <w:aliases w:val="Heading 2. Char,List Paragraph1 Char,Recommendation Char,List Paragraph11 Char,List Paragraph111 Char,L Char,F5 List Paragraph Char,Dot pt Char,CV text Char,Table text Char,Medium Grid 1 - Accent 21 Char,Numbered Paragraph Char"/>
    <w:basedOn w:val="DefaultParagraphFont"/>
    <w:link w:val="ListParagraph"/>
    <w:uiPriority w:val="34"/>
    <w:locked/>
    <w:rsid w:val="0045410A"/>
    <w:rPr>
      <w:rFonts w:cs="Times New Roman"/>
      <w:iCs/>
      <w:sz w:val="24"/>
      <w:szCs w:val="24"/>
      <w:lang w:val="en-US" w:eastAsia="en-US"/>
    </w:rPr>
  </w:style>
  <w:style w:type="paragraph" w:customStyle="1" w:styleId="pf0">
    <w:name w:val="pf0"/>
    <w:basedOn w:val="Normal"/>
    <w:rsid w:val="001B7920"/>
    <w:pPr>
      <w:spacing w:before="100" w:beforeAutospacing="1" w:after="100" w:afterAutospacing="1"/>
    </w:pPr>
    <w:rPr>
      <w:lang w:eastAsia="en-AU"/>
    </w:rPr>
  </w:style>
  <w:style w:type="character" w:customStyle="1" w:styleId="cf01">
    <w:name w:val="cf01"/>
    <w:basedOn w:val="DefaultParagraphFont"/>
    <w:rsid w:val="001B7920"/>
    <w:rPr>
      <w:rFonts w:ascii="Segoe UI" w:hAnsi="Segoe UI" w:cs="Segoe UI"/>
      <w:sz w:val="18"/>
      <w:szCs w:val="18"/>
    </w:rPr>
  </w:style>
  <w:style w:type="paragraph" w:customStyle="1" w:styleId="apara">
    <w:name w:val="apara"/>
    <w:basedOn w:val="Normal"/>
    <w:rsid w:val="00D66F45"/>
    <w:p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531293">
      <w:bodyDiv w:val="1"/>
      <w:marLeft w:val="0"/>
      <w:marRight w:val="0"/>
      <w:marTop w:val="0"/>
      <w:marBottom w:val="0"/>
      <w:divBdr>
        <w:top w:val="none" w:sz="0" w:space="0" w:color="auto"/>
        <w:left w:val="none" w:sz="0" w:space="0" w:color="auto"/>
        <w:bottom w:val="none" w:sz="0" w:space="0" w:color="auto"/>
        <w:right w:val="none" w:sz="0" w:space="0" w:color="auto"/>
      </w:divBdr>
    </w:div>
    <w:div w:id="1098911348">
      <w:marLeft w:val="0"/>
      <w:marRight w:val="0"/>
      <w:marTop w:val="0"/>
      <w:marBottom w:val="0"/>
      <w:divBdr>
        <w:top w:val="none" w:sz="0" w:space="0" w:color="auto"/>
        <w:left w:val="none" w:sz="0" w:space="0" w:color="auto"/>
        <w:bottom w:val="none" w:sz="0" w:space="0" w:color="auto"/>
        <w:right w:val="none" w:sz="0" w:space="0" w:color="auto"/>
      </w:divBdr>
    </w:div>
    <w:div w:id="1098911349">
      <w:marLeft w:val="0"/>
      <w:marRight w:val="0"/>
      <w:marTop w:val="0"/>
      <w:marBottom w:val="0"/>
      <w:divBdr>
        <w:top w:val="none" w:sz="0" w:space="0" w:color="auto"/>
        <w:left w:val="none" w:sz="0" w:space="0" w:color="auto"/>
        <w:bottom w:val="none" w:sz="0" w:space="0" w:color="auto"/>
        <w:right w:val="none" w:sz="0" w:space="0" w:color="auto"/>
      </w:divBdr>
    </w:div>
    <w:div w:id="1098911350">
      <w:marLeft w:val="0"/>
      <w:marRight w:val="0"/>
      <w:marTop w:val="0"/>
      <w:marBottom w:val="0"/>
      <w:divBdr>
        <w:top w:val="none" w:sz="0" w:space="0" w:color="auto"/>
        <w:left w:val="none" w:sz="0" w:space="0" w:color="auto"/>
        <w:bottom w:val="none" w:sz="0" w:space="0" w:color="auto"/>
        <w:right w:val="none" w:sz="0" w:space="0" w:color="auto"/>
      </w:divBdr>
    </w:div>
    <w:div w:id="1098911351">
      <w:marLeft w:val="0"/>
      <w:marRight w:val="0"/>
      <w:marTop w:val="0"/>
      <w:marBottom w:val="0"/>
      <w:divBdr>
        <w:top w:val="none" w:sz="0" w:space="0" w:color="auto"/>
        <w:left w:val="none" w:sz="0" w:space="0" w:color="auto"/>
        <w:bottom w:val="none" w:sz="0" w:space="0" w:color="auto"/>
        <w:right w:val="none" w:sz="0" w:space="0" w:color="auto"/>
      </w:divBdr>
    </w:div>
    <w:div w:id="1098911352">
      <w:marLeft w:val="0"/>
      <w:marRight w:val="0"/>
      <w:marTop w:val="0"/>
      <w:marBottom w:val="0"/>
      <w:divBdr>
        <w:top w:val="none" w:sz="0" w:space="0" w:color="auto"/>
        <w:left w:val="none" w:sz="0" w:space="0" w:color="auto"/>
        <w:bottom w:val="none" w:sz="0" w:space="0" w:color="auto"/>
        <w:right w:val="none" w:sz="0" w:space="0" w:color="auto"/>
      </w:divBdr>
    </w:div>
    <w:div w:id="1098911353">
      <w:marLeft w:val="0"/>
      <w:marRight w:val="0"/>
      <w:marTop w:val="0"/>
      <w:marBottom w:val="0"/>
      <w:divBdr>
        <w:top w:val="none" w:sz="0" w:space="0" w:color="auto"/>
        <w:left w:val="none" w:sz="0" w:space="0" w:color="auto"/>
        <w:bottom w:val="none" w:sz="0" w:space="0" w:color="auto"/>
        <w:right w:val="none" w:sz="0" w:space="0" w:color="auto"/>
      </w:divBdr>
    </w:div>
    <w:div w:id="1098911354">
      <w:marLeft w:val="0"/>
      <w:marRight w:val="0"/>
      <w:marTop w:val="0"/>
      <w:marBottom w:val="0"/>
      <w:divBdr>
        <w:top w:val="none" w:sz="0" w:space="0" w:color="auto"/>
        <w:left w:val="none" w:sz="0" w:space="0" w:color="auto"/>
        <w:bottom w:val="none" w:sz="0" w:space="0" w:color="auto"/>
        <w:right w:val="none" w:sz="0" w:space="0" w:color="auto"/>
      </w:divBdr>
    </w:div>
    <w:div w:id="109891135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abcb.gov.a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etadata xmlns="http://www.objective.com/ecm/document/metadata/4FEB93B0D38B3BDFE05400144FFB2061" version="1.0.0">
  <systemFields>
    <field name="Objective-Id">
      <value order="0">A41917003</value>
    </field>
    <field name="Objective-Title">
      <value order="0">DI2023-237 Explanatory Statement Building (General) (Alternative requirements for unaltered parts) Determination 2023 (No 2)</value>
    </field>
    <field name="Objective-Description">
      <value order="0"/>
    </field>
    <field name="Objective-CreationStamp">
      <value order="0">2023-05-09T04:27:41Z</value>
    </field>
    <field name="Objective-IsApproved">
      <value order="0">false</value>
    </field>
    <field name="Objective-IsPublished">
      <value order="0">true</value>
    </field>
    <field name="Objective-DatePublished">
      <value order="0">2023-09-27T01:11:03Z</value>
    </field>
    <field name="Objective-ModificationStamp">
      <value order="0">2023-09-27T01:12:31Z</value>
    </field>
    <field name="Objective-Owner">
      <value order="0">David Rochford</value>
    </field>
    <field name="Objective-Path">
      <value order="0">Whole of ACT Government:EPSDD - Environment Planning and Sustainable Development Directorate:DIVISION - Planning and Urban Policy:Branch - Building Reform:03. Focus Area - National Reforms:01. National Construction Code:08. 2022 NCC Implementation:04a. ACT Appendix to the Building Code</value>
    </field>
    <field name="Objective-Parent">
      <value order="0">04a. ACT Appendix to the Building Code</value>
    </field>
    <field name="Objective-State">
      <value order="0">Published</value>
    </field>
    <field name="Objective-VersionId">
      <value order="0">vA54557164</value>
    </field>
    <field name="Objective-Version">
      <value order="0">8.0</value>
    </field>
    <field name="Objective-VersionNumber">
      <value order="0">18</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customXml/itemProps3.xml><?xml version="1.0" encoding="utf-8"?>
<ds:datastoreItem xmlns:ds="http://schemas.openxmlformats.org/officeDocument/2006/customXml" ds:itemID="{3D4B77D8-8C8D-40BC-98D8-FA2268528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810</Words>
  <Characters>4412</Characters>
  <Application>Microsoft Office Word</Application>
  <DocSecurity>0</DocSecurity>
  <Lines>96</Lines>
  <Paragraphs>32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5195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4</cp:revision>
  <cp:lastPrinted>2017-11-15T21:11:00Z</cp:lastPrinted>
  <dcterms:created xsi:type="dcterms:W3CDTF">2023-09-27T04:57:00Z</dcterms:created>
  <dcterms:modified xsi:type="dcterms:W3CDTF">2023-09-27T04:57:00Z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A41917003</vt:lpwstr>
  </property>
  <property fmtid="{D5CDD505-2E9C-101B-9397-08002B2CF9AE}" pid="3" name="Objective-Comment">
    <vt:lpwstr/>
  </property>
  <property fmtid="{D5CDD505-2E9C-101B-9397-08002B2CF9AE}" pid="4" name="Objective-CreationStamp">
    <vt:filetime>2023-05-09T04:27:41Z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2023-09-27T01:11:03Z</vt:filetime>
  </property>
  <property fmtid="{D5CDD505-2E9C-101B-9397-08002B2CF9AE}" pid="8" name="Objective-ModificationStamp">
    <vt:filetime>2023-09-27T01:12:31Z</vt:filetime>
  </property>
  <property fmtid="{D5CDD505-2E9C-101B-9397-08002B2CF9AE}" pid="9" name="Objective-Owner">
    <vt:lpwstr>David Rochford</vt:lpwstr>
  </property>
  <property fmtid="{D5CDD505-2E9C-101B-9397-08002B2CF9AE}" pid="10" name="Objective-Path">
    <vt:lpwstr>Whole of ACT Government:EPSDD - Environment Planning and Sustainable Development Directorate:DIVISION - Planning and Urban Policy:Branch - Building Reform:03. Focus Area - National Reforms:01. National Construction Code:08. 2022 NCC Implementation:04a. ACT Appendix to the Building Code:</vt:lpwstr>
  </property>
  <property fmtid="{D5CDD505-2E9C-101B-9397-08002B2CF9AE}" pid="11" name="Objective-Parent">
    <vt:lpwstr>04a. ACT Appendix to the Building Code</vt:lpwstr>
  </property>
  <property fmtid="{D5CDD505-2E9C-101B-9397-08002B2CF9AE}" pid="12" name="Objective-State">
    <vt:lpwstr>Published</vt:lpwstr>
  </property>
  <property fmtid="{D5CDD505-2E9C-101B-9397-08002B2CF9AE}" pid="13" name="Objective-Title">
    <vt:lpwstr>DI2023-237 Explanatory Statement Building (General) (Alternative requirements for unaltered parts) Determination 2023 (No 2)</vt:lpwstr>
  </property>
  <property fmtid="{D5CDD505-2E9C-101B-9397-08002B2CF9AE}" pid="14" name="Objective-Version">
    <vt:lpwstr>8.0</vt:lpwstr>
  </property>
  <property fmtid="{D5CDD505-2E9C-101B-9397-08002B2CF9AE}" pid="15" name="Objective-VersionComment">
    <vt:lpwstr/>
  </property>
  <property fmtid="{D5CDD505-2E9C-101B-9397-08002B2CF9AE}" pid="16" name="Objective-VersionNumber">
    <vt:r8>18</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Objective-Description">
    <vt:lpwstr/>
  </property>
  <property fmtid="{D5CDD505-2E9C-101B-9397-08002B2CF9AE}" pid="51" name="Objective-VersionId">
    <vt:lpwstr>vA54557164</vt:lpwstr>
  </property>
</Properties>
</file>