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9C0BD0" w14:textId="1DD6C1B4" w:rsidR="00AF0D54" w:rsidRPr="00050F68" w:rsidRDefault="00AF0D54" w:rsidP="00865C7F">
      <w:pPr>
        <w:autoSpaceDE w:val="0"/>
        <w:autoSpaceDN w:val="0"/>
        <w:adjustRightInd w:val="0"/>
        <w:spacing w:before="240" w:after="120"/>
        <w:rPr>
          <w:rFonts w:ascii="Arial" w:hAnsi="Arial" w:cs="Arial"/>
          <w:b/>
          <w:bCs/>
          <w:szCs w:val="24"/>
        </w:rPr>
      </w:pPr>
    </w:p>
    <w:p w14:paraId="587DDEA3" w14:textId="68378F20" w:rsidR="0030585F" w:rsidRPr="00432323" w:rsidRDefault="0030585F" w:rsidP="00AF0D54">
      <w:pPr>
        <w:autoSpaceDE w:val="0"/>
        <w:autoSpaceDN w:val="0"/>
        <w:adjustRightInd w:val="0"/>
        <w:spacing w:before="240" w:after="120"/>
        <w:jc w:val="center"/>
        <w:rPr>
          <w:rFonts w:ascii="Arial" w:hAnsi="Arial" w:cs="Arial"/>
          <w:b/>
          <w:bCs/>
          <w:szCs w:val="24"/>
        </w:rPr>
      </w:pPr>
      <w:r w:rsidRPr="00432323">
        <w:rPr>
          <w:rFonts w:ascii="Arial" w:hAnsi="Arial" w:cs="Arial"/>
          <w:b/>
          <w:bCs/>
          <w:szCs w:val="24"/>
        </w:rPr>
        <w:t>20</w:t>
      </w:r>
      <w:r w:rsidR="00050F68" w:rsidRPr="00432323">
        <w:rPr>
          <w:rFonts w:ascii="Arial" w:hAnsi="Arial" w:cs="Arial"/>
          <w:b/>
          <w:bCs/>
          <w:szCs w:val="24"/>
        </w:rPr>
        <w:t>2</w:t>
      </w:r>
      <w:r w:rsidR="00DC7AEF" w:rsidRPr="00432323">
        <w:rPr>
          <w:rFonts w:ascii="Arial" w:hAnsi="Arial" w:cs="Arial"/>
          <w:b/>
          <w:bCs/>
          <w:szCs w:val="24"/>
        </w:rPr>
        <w:t>3</w:t>
      </w:r>
    </w:p>
    <w:p w14:paraId="6FD2F644" w14:textId="77777777" w:rsidR="0030585F" w:rsidRPr="00432323" w:rsidRDefault="0030585F" w:rsidP="00A363CB">
      <w:pPr>
        <w:autoSpaceDE w:val="0"/>
        <w:autoSpaceDN w:val="0"/>
        <w:adjustRightInd w:val="0"/>
        <w:spacing w:before="240" w:after="120"/>
        <w:jc w:val="center"/>
        <w:rPr>
          <w:rFonts w:ascii="Arial" w:hAnsi="Arial" w:cs="Arial"/>
          <w:b/>
          <w:bCs/>
          <w:szCs w:val="24"/>
        </w:rPr>
      </w:pPr>
    </w:p>
    <w:p w14:paraId="0B3E93DB" w14:textId="77777777" w:rsidR="0030585F" w:rsidRPr="00432323" w:rsidRDefault="0030585F" w:rsidP="002E1092">
      <w:pPr>
        <w:autoSpaceDE w:val="0"/>
        <w:autoSpaceDN w:val="0"/>
        <w:adjustRightInd w:val="0"/>
        <w:spacing w:before="240" w:after="120"/>
        <w:rPr>
          <w:rFonts w:ascii="Arial" w:hAnsi="Arial" w:cs="Arial"/>
          <w:b/>
          <w:bCs/>
          <w:szCs w:val="24"/>
        </w:rPr>
      </w:pPr>
    </w:p>
    <w:p w14:paraId="7ABAE37D" w14:textId="77777777" w:rsidR="00EE32FF" w:rsidRPr="00432323" w:rsidRDefault="00EE32FF" w:rsidP="002E1092">
      <w:pPr>
        <w:autoSpaceDE w:val="0"/>
        <w:autoSpaceDN w:val="0"/>
        <w:adjustRightInd w:val="0"/>
        <w:spacing w:before="240" w:after="120"/>
        <w:rPr>
          <w:rFonts w:ascii="Arial" w:hAnsi="Arial" w:cs="Arial"/>
          <w:b/>
          <w:bCs/>
          <w:szCs w:val="24"/>
        </w:rPr>
      </w:pPr>
    </w:p>
    <w:p w14:paraId="6EB635AF" w14:textId="2B2519DE" w:rsidR="0030585F" w:rsidRPr="00432323" w:rsidRDefault="00050F68" w:rsidP="00A363CB">
      <w:pPr>
        <w:autoSpaceDE w:val="0"/>
        <w:autoSpaceDN w:val="0"/>
        <w:adjustRightInd w:val="0"/>
        <w:spacing w:before="240" w:after="120"/>
        <w:jc w:val="center"/>
        <w:rPr>
          <w:rFonts w:ascii="Arial" w:hAnsi="Arial" w:cs="Arial"/>
          <w:b/>
          <w:bCs/>
          <w:szCs w:val="24"/>
        </w:rPr>
      </w:pPr>
      <w:r w:rsidRPr="00432323">
        <w:rPr>
          <w:rFonts w:ascii="Arial" w:hAnsi="Arial" w:cs="Arial"/>
          <w:b/>
          <w:bCs/>
          <w:szCs w:val="24"/>
        </w:rPr>
        <w:t xml:space="preserve">THE </w:t>
      </w:r>
      <w:r w:rsidR="0030585F" w:rsidRPr="00432323">
        <w:rPr>
          <w:rFonts w:ascii="Arial" w:hAnsi="Arial" w:cs="Arial"/>
          <w:b/>
          <w:bCs/>
          <w:szCs w:val="24"/>
        </w:rPr>
        <w:t>LEGISLATIVE ASSEMBLY FOR THE</w:t>
      </w:r>
    </w:p>
    <w:p w14:paraId="5F365D67" w14:textId="77777777" w:rsidR="0030585F" w:rsidRPr="00432323" w:rsidRDefault="0030585F" w:rsidP="00A363CB">
      <w:pPr>
        <w:autoSpaceDE w:val="0"/>
        <w:autoSpaceDN w:val="0"/>
        <w:adjustRightInd w:val="0"/>
        <w:spacing w:before="240" w:after="120"/>
        <w:jc w:val="center"/>
        <w:rPr>
          <w:rFonts w:ascii="Arial" w:hAnsi="Arial" w:cs="Arial"/>
          <w:b/>
          <w:bCs/>
          <w:szCs w:val="24"/>
        </w:rPr>
      </w:pPr>
      <w:r w:rsidRPr="00432323">
        <w:rPr>
          <w:rFonts w:ascii="Arial" w:hAnsi="Arial" w:cs="Arial"/>
          <w:b/>
          <w:bCs/>
          <w:szCs w:val="24"/>
        </w:rPr>
        <w:t>AUSTRALIAN CAPITAL TERRITORY</w:t>
      </w:r>
    </w:p>
    <w:p w14:paraId="43AA28BC" w14:textId="77777777" w:rsidR="0030585F" w:rsidRPr="00432323" w:rsidRDefault="0030585F" w:rsidP="002E1092">
      <w:pPr>
        <w:autoSpaceDE w:val="0"/>
        <w:autoSpaceDN w:val="0"/>
        <w:adjustRightInd w:val="0"/>
        <w:spacing w:before="240" w:after="120"/>
        <w:rPr>
          <w:rFonts w:ascii="Arial" w:hAnsi="Arial" w:cs="Arial"/>
          <w:b/>
          <w:bCs/>
          <w:szCs w:val="24"/>
        </w:rPr>
      </w:pPr>
    </w:p>
    <w:p w14:paraId="71E998D9" w14:textId="77777777" w:rsidR="0030585F" w:rsidRPr="00432323" w:rsidRDefault="0030585F" w:rsidP="00A363CB">
      <w:pPr>
        <w:autoSpaceDE w:val="0"/>
        <w:autoSpaceDN w:val="0"/>
        <w:adjustRightInd w:val="0"/>
        <w:spacing w:before="240" w:after="120"/>
        <w:jc w:val="center"/>
        <w:rPr>
          <w:rFonts w:ascii="Arial" w:hAnsi="Arial" w:cs="Arial"/>
          <w:b/>
          <w:bCs/>
          <w:szCs w:val="24"/>
        </w:rPr>
      </w:pPr>
    </w:p>
    <w:p w14:paraId="2999B3E5" w14:textId="54D8E4ED" w:rsidR="007326EC" w:rsidRPr="00432323" w:rsidRDefault="006702E0" w:rsidP="00A363CB">
      <w:pPr>
        <w:spacing w:before="240" w:after="120"/>
        <w:jc w:val="center"/>
        <w:rPr>
          <w:rFonts w:ascii="Arial" w:hAnsi="Arial" w:cs="Arial"/>
          <w:b/>
          <w:bCs/>
          <w:caps/>
          <w:szCs w:val="24"/>
        </w:rPr>
      </w:pPr>
      <w:r w:rsidRPr="00432323">
        <w:rPr>
          <w:rFonts w:ascii="Arial" w:hAnsi="Arial" w:cs="Arial"/>
          <w:b/>
          <w:bCs/>
          <w:caps/>
          <w:szCs w:val="24"/>
        </w:rPr>
        <w:t xml:space="preserve">CRIMES </w:t>
      </w:r>
      <w:r w:rsidR="004858FC" w:rsidRPr="00432323">
        <w:rPr>
          <w:rFonts w:ascii="Arial" w:hAnsi="Arial" w:cs="Arial"/>
          <w:b/>
          <w:bCs/>
          <w:caps/>
          <w:szCs w:val="24"/>
        </w:rPr>
        <w:t>LEGISLATION</w:t>
      </w:r>
      <w:r w:rsidRPr="00432323">
        <w:rPr>
          <w:rFonts w:ascii="Arial" w:hAnsi="Arial" w:cs="Arial"/>
          <w:b/>
          <w:bCs/>
          <w:caps/>
          <w:szCs w:val="24"/>
        </w:rPr>
        <w:t xml:space="preserve"> AMENDMENT BILL</w:t>
      </w:r>
      <w:r w:rsidR="00DC7AEF" w:rsidRPr="00432323">
        <w:rPr>
          <w:rFonts w:ascii="Arial" w:hAnsi="Arial" w:cs="Arial"/>
          <w:b/>
          <w:bCs/>
          <w:caps/>
          <w:szCs w:val="24"/>
        </w:rPr>
        <w:t xml:space="preserve"> 2023</w:t>
      </w:r>
    </w:p>
    <w:p w14:paraId="089723CC" w14:textId="77777777" w:rsidR="0030585F" w:rsidRPr="00432323" w:rsidRDefault="0030585F" w:rsidP="00A363CB">
      <w:pPr>
        <w:autoSpaceDE w:val="0"/>
        <w:autoSpaceDN w:val="0"/>
        <w:adjustRightInd w:val="0"/>
        <w:spacing w:before="240" w:after="120"/>
        <w:rPr>
          <w:rFonts w:ascii="Arial" w:hAnsi="Arial" w:cs="Arial"/>
          <w:b/>
          <w:bCs/>
          <w:szCs w:val="24"/>
        </w:rPr>
      </w:pPr>
    </w:p>
    <w:p w14:paraId="29450727" w14:textId="77777777" w:rsidR="00EE32FF" w:rsidRPr="00432323" w:rsidRDefault="00EE32FF" w:rsidP="00A363CB">
      <w:pPr>
        <w:autoSpaceDE w:val="0"/>
        <w:autoSpaceDN w:val="0"/>
        <w:adjustRightInd w:val="0"/>
        <w:spacing w:before="240" w:after="120"/>
        <w:rPr>
          <w:rFonts w:ascii="Arial" w:hAnsi="Arial" w:cs="Arial"/>
          <w:b/>
          <w:bCs/>
          <w:szCs w:val="24"/>
        </w:rPr>
      </w:pPr>
    </w:p>
    <w:p w14:paraId="583025EE" w14:textId="322D9C8C" w:rsidR="0030585F" w:rsidRPr="00432323" w:rsidRDefault="0030585F" w:rsidP="00050F68">
      <w:pPr>
        <w:autoSpaceDE w:val="0"/>
        <w:autoSpaceDN w:val="0"/>
        <w:adjustRightInd w:val="0"/>
        <w:spacing w:before="240" w:after="120"/>
        <w:jc w:val="center"/>
        <w:rPr>
          <w:rFonts w:ascii="Arial" w:hAnsi="Arial" w:cs="Arial"/>
          <w:b/>
          <w:bCs/>
          <w:szCs w:val="24"/>
        </w:rPr>
      </w:pPr>
      <w:r w:rsidRPr="00432323">
        <w:rPr>
          <w:rFonts w:ascii="Arial" w:hAnsi="Arial" w:cs="Arial"/>
          <w:b/>
          <w:bCs/>
          <w:szCs w:val="24"/>
        </w:rPr>
        <w:t>EXPLANATORY STATEMENT</w:t>
      </w:r>
    </w:p>
    <w:p w14:paraId="6EF40694" w14:textId="77777777" w:rsidR="001C2523" w:rsidRPr="00432323" w:rsidRDefault="001C2523" w:rsidP="00050F68">
      <w:pPr>
        <w:pStyle w:val="NoSpacing"/>
        <w:spacing w:after="120"/>
        <w:jc w:val="center"/>
        <w:rPr>
          <w:rFonts w:ascii="Arial" w:hAnsi="Arial" w:cs="Arial"/>
          <w:b/>
          <w:bCs/>
          <w:szCs w:val="24"/>
        </w:rPr>
      </w:pPr>
      <w:r w:rsidRPr="00432323">
        <w:rPr>
          <w:rFonts w:ascii="Arial" w:hAnsi="Arial" w:cs="Arial"/>
          <w:b/>
          <w:bCs/>
          <w:szCs w:val="24"/>
        </w:rPr>
        <w:t>and</w:t>
      </w:r>
    </w:p>
    <w:p w14:paraId="22AD6111" w14:textId="5C0A69A3" w:rsidR="001C2523" w:rsidRPr="00432323" w:rsidRDefault="00050F68" w:rsidP="00050F68">
      <w:pPr>
        <w:pStyle w:val="NoSpacing"/>
        <w:spacing w:after="120"/>
        <w:jc w:val="center"/>
        <w:rPr>
          <w:rFonts w:ascii="Arial" w:hAnsi="Arial" w:cs="Arial"/>
          <w:b/>
          <w:bCs/>
          <w:szCs w:val="24"/>
        </w:rPr>
      </w:pPr>
      <w:r w:rsidRPr="00432323">
        <w:rPr>
          <w:rFonts w:ascii="Arial" w:hAnsi="Arial" w:cs="Arial"/>
          <w:b/>
          <w:bCs/>
          <w:szCs w:val="24"/>
        </w:rPr>
        <w:t>HUMAN RIGHTS COMPATIBILITY STATEMENT</w:t>
      </w:r>
    </w:p>
    <w:p w14:paraId="1ADB6D12" w14:textId="7071820B" w:rsidR="001C2523" w:rsidRPr="00432323" w:rsidRDefault="001C2523" w:rsidP="001C2523">
      <w:pPr>
        <w:autoSpaceDE w:val="0"/>
        <w:autoSpaceDN w:val="0"/>
        <w:adjustRightInd w:val="0"/>
        <w:spacing w:before="240" w:after="120"/>
        <w:jc w:val="center"/>
        <w:rPr>
          <w:rFonts w:ascii="Arial" w:hAnsi="Arial" w:cs="Arial"/>
          <w:b/>
          <w:bCs/>
          <w:szCs w:val="24"/>
        </w:rPr>
      </w:pPr>
      <w:r w:rsidRPr="00432323">
        <w:rPr>
          <w:rFonts w:ascii="Arial" w:hAnsi="Arial" w:cs="Arial"/>
          <w:b/>
          <w:bCs/>
          <w:szCs w:val="24"/>
        </w:rPr>
        <w:t>(</w:t>
      </w:r>
      <w:r w:rsidRPr="00432323">
        <w:rPr>
          <w:rFonts w:ascii="Arial" w:hAnsi="Arial" w:cs="Arial"/>
          <w:b/>
          <w:bCs/>
          <w:i/>
          <w:iCs/>
          <w:szCs w:val="24"/>
        </w:rPr>
        <w:t>Human Rights Act 2004</w:t>
      </w:r>
      <w:r w:rsidRPr="00432323">
        <w:rPr>
          <w:rFonts w:ascii="Arial" w:hAnsi="Arial" w:cs="Arial"/>
          <w:b/>
          <w:bCs/>
          <w:szCs w:val="24"/>
        </w:rPr>
        <w:t>, s 37)</w:t>
      </w:r>
    </w:p>
    <w:p w14:paraId="4A2BEF3B" w14:textId="77777777" w:rsidR="0030585F" w:rsidRPr="00432323" w:rsidRDefault="0030585F" w:rsidP="00A363CB">
      <w:pPr>
        <w:autoSpaceDE w:val="0"/>
        <w:autoSpaceDN w:val="0"/>
        <w:adjustRightInd w:val="0"/>
        <w:spacing w:before="240" w:after="120"/>
        <w:rPr>
          <w:rFonts w:ascii="Arial" w:hAnsi="Arial" w:cs="Arial"/>
          <w:b/>
          <w:bCs/>
          <w:szCs w:val="24"/>
        </w:rPr>
      </w:pPr>
    </w:p>
    <w:p w14:paraId="1285871F" w14:textId="77777777" w:rsidR="007B7934" w:rsidRPr="00432323" w:rsidRDefault="007B7934" w:rsidP="00A363CB">
      <w:pPr>
        <w:autoSpaceDE w:val="0"/>
        <w:autoSpaceDN w:val="0"/>
        <w:adjustRightInd w:val="0"/>
        <w:spacing w:before="240" w:after="120"/>
        <w:rPr>
          <w:rFonts w:ascii="Arial" w:hAnsi="Arial" w:cs="Arial"/>
          <w:b/>
          <w:bCs/>
          <w:szCs w:val="24"/>
        </w:rPr>
      </w:pPr>
    </w:p>
    <w:p w14:paraId="279D7E30" w14:textId="77777777" w:rsidR="0030585F" w:rsidRPr="00432323" w:rsidRDefault="0030585F" w:rsidP="00A363CB">
      <w:pPr>
        <w:autoSpaceDE w:val="0"/>
        <w:autoSpaceDN w:val="0"/>
        <w:adjustRightInd w:val="0"/>
        <w:spacing w:before="240" w:after="120"/>
        <w:rPr>
          <w:rFonts w:ascii="Arial" w:hAnsi="Arial" w:cs="Arial"/>
          <w:b/>
          <w:bCs/>
          <w:szCs w:val="24"/>
        </w:rPr>
      </w:pPr>
    </w:p>
    <w:p w14:paraId="5FFECDAE" w14:textId="77777777" w:rsidR="00852B37" w:rsidRPr="00432323" w:rsidRDefault="00852B37" w:rsidP="00A363CB">
      <w:pPr>
        <w:autoSpaceDE w:val="0"/>
        <w:autoSpaceDN w:val="0"/>
        <w:adjustRightInd w:val="0"/>
        <w:spacing w:before="240" w:after="120"/>
        <w:rPr>
          <w:rFonts w:ascii="Arial" w:hAnsi="Arial" w:cs="Arial"/>
          <w:b/>
          <w:bCs/>
          <w:szCs w:val="24"/>
        </w:rPr>
      </w:pPr>
    </w:p>
    <w:p w14:paraId="4D2568AC" w14:textId="77777777" w:rsidR="00EE32FF" w:rsidRPr="00432323" w:rsidRDefault="00EE32FF" w:rsidP="00A363CB">
      <w:pPr>
        <w:autoSpaceDE w:val="0"/>
        <w:autoSpaceDN w:val="0"/>
        <w:adjustRightInd w:val="0"/>
        <w:spacing w:before="240" w:after="120"/>
        <w:rPr>
          <w:rFonts w:ascii="Arial" w:hAnsi="Arial" w:cs="Arial"/>
          <w:b/>
          <w:bCs/>
          <w:szCs w:val="24"/>
        </w:rPr>
      </w:pPr>
    </w:p>
    <w:p w14:paraId="2F2D6DDF" w14:textId="77777777" w:rsidR="0030585F" w:rsidRPr="00432323" w:rsidRDefault="0030585F" w:rsidP="00A363CB">
      <w:pPr>
        <w:autoSpaceDE w:val="0"/>
        <w:autoSpaceDN w:val="0"/>
        <w:adjustRightInd w:val="0"/>
        <w:spacing w:before="240" w:after="120"/>
        <w:rPr>
          <w:rFonts w:ascii="Arial" w:hAnsi="Arial" w:cs="Arial"/>
          <w:b/>
          <w:bCs/>
          <w:szCs w:val="24"/>
        </w:rPr>
      </w:pPr>
    </w:p>
    <w:p w14:paraId="7CDCC040" w14:textId="77777777" w:rsidR="0030585F" w:rsidRPr="00432323" w:rsidRDefault="0030585F" w:rsidP="00A363CB">
      <w:pPr>
        <w:autoSpaceDE w:val="0"/>
        <w:autoSpaceDN w:val="0"/>
        <w:adjustRightInd w:val="0"/>
        <w:spacing w:before="240" w:after="120"/>
        <w:rPr>
          <w:rFonts w:ascii="Arial" w:hAnsi="Arial" w:cs="Arial"/>
          <w:b/>
          <w:bCs/>
          <w:szCs w:val="24"/>
        </w:rPr>
      </w:pPr>
    </w:p>
    <w:p w14:paraId="3BC858F4" w14:textId="77777777" w:rsidR="0030585F" w:rsidRPr="00432323" w:rsidRDefault="0030585F" w:rsidP="00EE32FF">
      <w:pPr>
        <w:autoSpaceDE w:val="0"/>
        <w:autoSpaceDN w:val="0"/>
        <w:adjustRightInd w:val="0"/>
        <w:spacing w:after="0" w:line="240" w:lineRule="auto"/>
        <w:jc w:val="right"/>
        <w:rPr>
          <w:rFonts w:ascii="Arial" w:hAnsi="Arial" w:cs="Arial"/>
          <w:b/>
          <w:bCs/>
          <w:szCs w:val="24"/>
        </w:rPr>
      </w:pPr>
      <w:r w:rsidRPr="00432323">
        <w:rPr>
          <w:rFonts w:ascii="Arial" w:hAnsi="Arial" w:cs="Arial"/>
          <w:b/>
          <w:bCs/>
          <w:szCs w:val="24"/>
        </w:rPr>
        <w:t>Presented by</w:t>
      </w:r>
    </w:p>
    <w:p w14:paraId="10094C4E" w14:textId="6B36C18C" w:rsidR="0030585F" w:rsidRPr="00432323" w:rsidRDefault="00DC7AEF" w:rsidP="00EE32FF">
      <w:pPr>
        <w:autoSpaceDE w:val="0"/>
        <w:autoSpaceDN w:val="0"/>
        <w:adjustRightInd w:val="0"/>
        <w:spacing w:after="0" w:line="240" w:lineRule="auto"/>
        <w:jc w:val="right"/>
        <w:rPr>
          <w:rFonts w:ascii="Arial" w:hAnsi="Arial" w:cs="Arial"/>
          <w:b/>
          <w:bCs/>
          <w:szCs w:val="24"/>
        </w:rPr>
      </w:pPr>
      <w:r w:rsidRPr="00432323">
        <w:rPr>
          <w:rFonts w:ascii="Arial" w:hAnsi="Arial" w:cs="Arial"/>
          <w:b/>
          <w:bCs/>
          <w:szCs w:val="24"/>
        </w:rPr>
        <w:t>Shane Rattenbury</w:t>
      </w:r>
      <w:r w:rsidR="0030585F" w:rsidRPr="00432323">
        <w:rPr>
          <w:rFonts w:ascii="Arial" w:hAnsi="Arial" w:cs="Arial"/>
          <w:b/>
          <w:bCs/>
          <w:szCs w:val="24"/>
        </w:rPr>
        <w:t xml:space="preserve"> MLA</w:t>
      </w:r>
    </w:p>
    <w:sdt>
      <w:sdtPr>
        <w:rPr>
          <w:rFonts w:ascii="Arial" w:hAnsi="Arial" w:cs="Arial"/>
          <w:b/>
          <w:bCs/>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5B7EA06C" w:rsidR="0030585F" w:rsidRPr="00432323" w:rsidRDefault="00DC7AEF" w:rsidP="00EE32FF">
          <w:pPr>
            <w:spacing w:after="0" w:line="240" w:lineRule="auto"/>
            <w:jc w:val="right"/>
            <w:rPr>
              <w:rFonts w:ascii="Arial" w:hAnsi="Arial" w:cs="Arial"/>
              <w:b/>
              <w:bCs/>
              <w:szCs w:val="24"/>
            </w:rPr>
          </w:pPr>
          <w:r w:rsidRPr="00432323">
            <w:rPr>
              <w:rFonts w:ascii="Arial" w:hAnsi="Arial" w:cs="Arial"/>
              <w:b/>
              <w:bCs/>
              <w:szCs w:val="24"/>
            </w:rPr>
            <w:t>Attorney-General</w:t>
          </w:r>
        </w:p>
      </w:sdtContent>
    </w:sdt>
    <w:p w14:paraId="3A423ED0" w14:textId="77777777" w:rsidR="00EE32FF" w:rsidRPr="00432323" w:rsidRDefault="009428EA" w:rsidP="002E1092">
      <w:pPr>
        <w:spacing w:after="120"/>
        <w:jc w:val="center"/>
        <w:rPr>
          <w:rFonts w:ascii="Arial" w:hAnsi="Arial" w:cs="Arial"/>
          <w:b/>
          <w:bCs/>
          <w:szCs w:val="24"/>
        </w:rPr>
        <w:sectPr w:rsidR="00EE32FF" w:rsidRPr="00432323"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sidRPr="00432323">
        <w:rPr>
          <w:rFonts w:ascii="Arial" w:hAnsi="Arial" w:cs="Arial"/>
          <w:b/>
          <w:bCs/>
          <w:szCs w:val="24"/>
        </w:rPr>
        <w:br w:type="page"/>
      </w:r>
    </w:p>
    <w:p w14:paraId="1A7083FC" w14:textId="33D58D54" w:rsidR="00BF0E36" w:rsidRPr="00432323" w:rsidRDefault="006702E0" w:rsidP="002E1092">
      <w:pPr>
        <w:spacing w:after="120"/>
        <w:jc w:val="center"/>
        <w:rPr>
          <w:rFonts w:ascii="Arial" w:hAnsi="Arial" w:cs="Arial"/>
          <w:b/>
          <w:bCs/>
          <w:caps/>
          <w:szCs w:val="24"/>
        </w:rPr>
      </w:pPr>
      <w:r w:rsidRPr="00432323">
        <w:rPr>
          <w:rFonts w:ascii="Arial" w:hAnsi="Arial" w:cs="Arial"/>
          <w:b/>
          <w:bCs/>
          <w:caps/>
          <w:szCs w:val="24"/>
        </w:rPr>
        <w:lastRenderedPageBreak/>
        <w:t>CRIMES LEGISLATION AMENDMENT</w:t>
      </w:r>
      <w:r w:rsidR="00DC7AEF" w:rsidRPr="00432323">
        <w:rPr>
          <w:rFonts w:ascii="Arial" w:hAnsi="Arial" w:cs="Arial"/>
          <w:b/>
          <w:bCs/>
          <w:caps/>
          <w:szCs w:val="24"/>
        </w:rPr>
        <w:t xml:space="preserve"> BILL 2023</w:t>
      </w:r>
    </w:p>
    <w:p w14:paraId="69842CE4" w14:textId="77777777" w:rsidR="006431CF" w:rsidRPr="00432323" w:rsidRDefault="006431CF" w:rsidP="0088781C">
      <w:pPr>
        <w:pStyle w:val="Title"/>
        <w:rPr>
          <w:rFonts w:ascii="Arial" w:hAnsi="Arial" w:cs="Arial"/>
          <w:sz w:val="24"/>
          <w:szCs w:val="24"/>
        </w:rPr>
      </w:pPr>
      <w:bookmarkStart w:id="0" w:name="_Toc426711258"/>
      <w:bookmarkStart w:id="1" w:name="_Toc429052821"/>
      <w:bookmarkStart w:id="2" w:name="_Toc146871476"/>
      <w:r w:rsidRPr="00432323">
        <w:rPr>
          <w:rFonts w:ascii="Arial" w:hAnsi="Arial" w:cs="Arial"/>
          <w:sz w:val="24"/>
          <w:szCs w:val="24"/>
        </w:rPr>
        <w:t>Outline</w:t>
      </w:r>
      <w:bookmarkEnd w:id="0"/>
      <w:bookmarkEnd w:id="1"/>
      <w:bookmarkEnd w:id="2"/>
    </w:p>
    <w:p w14:paraId="3DE80C9B" w14:textId="4DE6F616" w:rsidR="00A70BA8" w:rsidRPr="00432323" w:rsidRDefault="00326167">
      <w:pPr>
        <w:pStyle w:val="TOC1"/>
        <w:tabs>
          <w:tab w:val="right" w:leader="dot" w:pos="9016"/>
        </w:tabs>
        <w:rPr>
          <w:rFonts w:asciiTheme="minorHAnsi" w:eastAsiaTheme="minorEastAsia" w:hAnsiTheme="minorHAnsi" w:cstheme="minorBidi"/>
          <w:noProof/>
          <w:sz w:val="22"/>
          <w:lang w:eastAsia="en-AU"/>
        </w:rPr>
      </w:pPr>
      <w:r w:rsidRPr="00432323">
        <w:rPr>
          <w:rFonts w:ascii="Arial" w:hAnsi="Arial" w:cs="Arial"/>
          <w:szCs w:val="24"/>
        </w:rPr>
        <w:fldChar w:fldCharType="begin"/>
      </w:r>
      <w:r w:rsidR="00AC5B87" w:rsidRPr="00432323">
        <w:rPr>
          <w:rFonts w:ascii="Arial" w:hAnsi="Arial" w:cs="Arial"/>
          <w:szCs w:val="24"/>
        </w:rPr>
        <w:instrText xml:space="preserve"> TOC \o "1-3" \h \z \u </w:instrText>
      </w:r>
      <w:r w:rsidRPr="00432323">
        <w:rPr>
          <w:rFonts w:ascii="Arial" w:hAnsi="Arial" w:cs="Arial"/>
          <w:szCs w:val="24"/>
        </w:rPr>
        <w:fldChar w:fldCharType="separate"/>
      </w:r>
      <w:hyperlink w:anchor="_Toc146871476" w:history="1">
        <w:r w:rsidR="00A70BA8" w:rsidRPr="00432323">
          <w:rPr>
            <w:rStyle w:val="Hyperlink"/>
            <w:rFonts w:ascii="Arial" w:hAnsi="Arial" w:cs="Arial"/>
            <w:noProof/>
          </w:rPr>
          <w:t>Outline</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_Toc146871476 \h </w:instrText>
        </w:r>
        <w:r w:rsidR="00A70BA8" w:rsidRPr="00432323">
          <w:rPr>
            <w:noProof/>
            <w:webHidden/>
          </w:rPr>
        </w:r>
        <w:r w:rsidR="00A70BA8" w:rsidRPr="00432323">
          <w:rPr>
            <w:noProof/>
            <w:webHidden/>
          </w:rPr>
          <w:fldChar w:fldCharType="separate"/>
        </w:r>
        <w:r w:rsidR="00A70BA8" w:rsidRPr="00432323">
          <w:rPr>
            <w:noProof/>
            <w:webHidden/>
          </w:rPr>
          <w:t>1</w:t>
        </w:r>
        <w:r w:rsidR="00A70BA8" w:rsidRPr="00432323">
          <w:rPr>
            <w:noProof/>
            <w:webHidden/>
          </w:rPr>
          <w:fldChar w:fldCharType="end"/>
        </w:r>
      </w:hyperlink>
    </w:p>
    <w:p w14:paraId="0A386643" w14:textId="50FCD83A" w:rsidR="00A70BA8" w:rsidRPr="00432323" w:rsidRDefault="00C20E91">
      <w:pPr>
        <w:pStyle w:val="TOC2"/>
        <w:tabs>
          <w:tab w:val="right" w:leader="dot" w:pos="9016"/>
        </w:tabs>
        <w:rPr>
          <w:rFonts w:asciiTheme="minorHAnsi" w:eastAsiaTheme="minorEastAsia" w:hAnsiTheme="minorHAnsi" w:cstheme="minorBidi"/>
          <w:noProof/>
          <w:sz w:val="22"/>
          <w:lang w:eastAsia="en-AU"/>
        </w:rPr>
      </w:pPr>
      <w:hyperlink w:anchor="_Toc146871477" w:history="1">
        <w:r w:rsidR="00A70BA8" w:rsidRPr="00432323">
          <w:rPr>
            <w:rStyle w:val="Hyperlink"/>
            <w:rFonts w:ascii="Arial" w:hAnsi="Arial" w:cs="Arial"/>
            <w:caps/>
            <w:noProof/>
          </w:rPr>
          <w:t>CRIMES LEGISLATION AMENDMENT BILL 2023</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_Toc146871477 \h </w:instrText>
        </w:r>
        <w:r w:rsidR="00A70BA8" w:rsidRPr="00432323">
          <w:rPr>
            <w:noProof/>
            <w:webHidden/>
          </w:rPr>
        </w:r>
        <w:r w:rsidR="00A70BA8" w:rsidRPr="00432323">
          <w:rPr>
            <w:noProof/>
            <w:webHidden/>
          </w:rPr>
          <w:fldChar w:fldCharType="separate"/>
        </w:r>
        <w:r w:rsidR="00A70BA8" w:rsidRPr="00432323">
          <w:rPr>
            <w:noProof/>
            <w:webHidden/>
          </w:rPr>
          <w:t>2</w:t>
        </w:r>
        <w:r w:rsidR="00A70BA8" w:rsidRPr="00432323">
          <w:rPr>
            <w:noProof/>
            <w:webHidden/>
          </w:rPr>
          <w:fldChar w:fldCharType="end"/>
        </w:r>
      </w:hyperlink>
    </w:p>
    <w:p w14:paraId="30B7C48C" w14:textId="0F069E51" w:rsidR="00A70BA8" w:rsidRPr="00432323" w:rsidRDefault="00C20E91">
      <w:pPr>
        <w:pStyle w:val="TOC2"/>
        <w:tabs>
          <w:tab w:val="right" w:leader="dot" w:pos="9016"/>
        </w:tabs>
        <w:rPr>
          <w:rFonts w:asciiTheme="minorHAnsi" w:eastAsiaTheme="minorEastAsia" w:hAnsiTheme="minorHAnsi" w:cstheme="minorBidi"/>
          <w:noProof/>
          <w:sz w:val="22"/>
          <w:lang w:eastAsia="en-AU"/>
        </w:rPr>
      </w:pPr>
      <w:hyperlink w:anchor="_Toc146871478" w:history="1">
        <w:r w:rsidR="00A70BA8" w:rsidRPr="00432323">
          <w:rPr>
            <w:rStyle w:val="Hyperlink"/>
            <w:rFonts w:ascii="Arial" w:hAnsi="Arial" w:cs="Arial"/>
            <w:noProof/>
          </w:rPr>
          <w:t>OVERVIEW OF THE BILL</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_Toc146871478 \h </w:instrText>
        </w:r>
        <w:r w:rsidR="00A70BA8" w:rsidRPr="00432323">
          <w:rPr>
            <w:noProof/>
            <w:webHidden/>
          </w:rPr>
        </w:r>
        <w:r w:rsidR="00A70BA8" w:rsidRPr="00432323">
          <w:rPr>
            <w:noProof/>
            <w:webHidden/>
          </w:rPr>
          <w:fldChar w:fldCharType="separate"/>
        </w:r>
        <w:r w:rsidR="00A70BA8" w:rsidRPr="00432323">
          <w:rPr>
            <w:noProof/>
            <w:webHidden/>
          </w:rPr>
          <w:t>2</w:t>
        </w:r>
        <w:r w:rsidR="00A70BA8" w:rsidRPr="00432323">
          <w:rPr>
            <w:noProof/>
            <w:webHidden/>
          </w:rPr>
          <w:fldChar w:fldCharType="end"/>
        </w:r>
      </w:hyperlink>
    </w:p>
    <w:p w14:paraId="14FC0F25" w14:textId="591765B4" w:rsidR="00A70BA8" w:rsidRPr="00432323" w:rsidRDefault="00C20E91">
      <w:pPr>
        <w:pStyle w:val="TOC2"/>
        <w:tabs>
          <w:tab w:val="right" w:leader="dot" w:pos="9016"/>
        </w:tabs>
        <w:rPr>
          <w:rFonts w:asciiTheme="minorHAnsi" w:eastAsiaTheme="minorEastAsia" w:hAnsiTheme="minorHAnsi" w:cstheme="minorBidi"/>
          <w:noProof/>
          <w:sz w:val="22"/>
          <w:lang w:eastAsia="en-AU"/>
        </w:rPr>
      </w:pPr>
      <w:hyperlink w:anchor="_Toc146871479" w:history="1">
        <w:r w:rsidR="00A70BA8" w:rsidRPr="00432323">
          <w:rPr>
            <w:rStyle w:val="Hyperlink"/>
            <w:rFonts w:ascii="Arial" w:hAnsi="Arial" w:cs="Arial"/>
            <w:noProof/>
          </w:rPr>
          <w:t>CONSULTATION ON THE PROPOSED APPROACH</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_Toc146871479 \h </w:instrText>
        </w:r>
        <w:r w:rsidR="00A70BA8" w:rsidRPr="00432323">
          <w:rPr>
            <w:noProof/>
            <w:webHidden/>
          </w:rPr>
        </w:r>
        <w:r w:rsidR="00A70BA8" w:rsidRPr="00432323">
          <w:rPr>
            <w:noProof/>
            <w:webHidden/>
          </w:rPr>
          <w:fldChar w:fldCharType="separate"/>
        </w:r>
        <w:r w:rsidR="00A70BA8" w:rsidRPr="00432323">
          <w:rPr>
            <w:noProof/>
            <w:webHidden/>
          </w:rPr>
          <w:t>2</w:t>
        </w:r>
        <w:r w:rsidR="00A70BA8" w:rsidRPr="00432323">
          <w:rPr>
            <w:noProof/>
            <w:webHidden/>
          </w:rPr>
          <w:fldChar w:fldCharType="end"/>
        </w:r>
      </w:hyperlink>
    </w:p>
    <w:p w14:paraId="24DDC194" w14:textId="0DE5776F" w:rsidR="00A70BA8" w:rsidRPr="00432323" w:rsidRDefault="00C20E91">
      <w:pPr>
        <w:pStyle w:val="TOC2"/>
        <w:tabs>
          <w:tab w:val="right" w:leader="dot" w:pos="9016"/>
        </w:tabs>
        <w:rPr>
          <w:rFonts w:asciiTheme="minorHAnsi" w:eastAsiaTheme="minorEastAsia" w:hAnsiTheme="minorHAnsi" w:cstheme="minorBidi"/>
          <w:noProof/>
          <w:sz w:val="22"/>
          <w:lang w:eastAsia="en-AU"/>
        </w:rPr>
      </w:pPr>
      <w:hyperlink w:anchor="_Toc146871480" w:history="1">
        <w:r w:rsidR="00A70BA8" w:rsidRPr="00432323">
          <w:rPr>
            <w:rStyle w:val="Hyperlink"/>
            <w:rFonts w:ascii="Arial" w:hAnsi="Arial" w:cs="Arial"/>
            <w:noProof/>
          </w:rPr>
          <w:t>CONSISTENCY WITH HUMAN RIGHTS</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_Toc146871480 \h </w:instrText>
        </w:r>
        <w:r w:rsidR="00A70BA8" w:rsidRPr="00432323">
          <w:rPr>
            <w:noProof/>
            <w:webHidden/>
          </w:rPr>
        </w:r>
        <w:r w:rsidR="00A70BA8" w:rsidRPr="00432323">
          <w:rPr>
            <w:noProof/>
            <w:webHidden/>
          </w:rPr>
          <w:fldChar w:fldCharType="separate"/>
        </w:r>
        <w:r w:rsidR="00A70BA8" w:rsidRPr="00432323">
          <w:rPr>
            <w:noProof/>
            <w:webHidden/>
          </w:rPr>
          <w:t>3</w:t>
        </w:r>
        <w:r w:rsidR="00A70BA8" w:rsidRPr="00432323">
          <w:rPr>
            <w:noProof/>
            <w:webHidden/>
          </w:rPr>
          <w:fldChar w:fldCharType="end"/>
        </w:r>
      </w:hyperlink>
    </w:p>
    <w:p w14:paraId="6A581B03" w14:textId="591A39C3" w:rsidR="00A70BA8" w:rsidRPr="00432323" w:rsidRDefault="00C20E91">
      <w:pPr>
        <w:pStyle w:val="TOC1"/>
        <w:tabs>
          <w:tab w:val="right" w:leader="dot" w:pos="9016"/>
        </w:tabs>
        <w:rPr>
          <w:rFonts w:asciiTheme="minorHAnsi" w:eastAsiaTheme="minorEastAsia" w:hAnsiTheme="minorHAnsi" w:cstheme="minorBidi"/>
          <w:noProof/>
          <w:sz w:val="22"/>
          <w:lang w:eastAsia="en-AU"/>
        </w:rPr>
      </w:pPr>
      <w:hyperlink w:anchor="_Toc146871481" w:history="1">
        <w:r w:rsidR="00A70BA8" w:rsidRPr="00432323">
          <w:rPr>
            <w:rStyle w:val="Hyperlink"/>
            <w:rFonts w:ascii="Arial" w:hAnsi="Arial" w:cs="Arial"/>
            <w:noProof/>
            <w:lang w:eastAsia="en-AU"/>
          </w:rPr>
          <w:t>Detail</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_Toc146871481 \h </w:instrText>
        </w:r>
        <w:r w:rsidR="00A70BA8" w:rsidRPr="00432323">
          <w:rPr>
            <w:noProof/>
            <w:webHidden/>
          </w:rPr>
        </w:r>
        <w:r w:rsidR="00A70BA8" w:rsidRPr="00432323">
          <w:rPr>
            <w:noProof/>
            <w:webHidden/>
          </w:rPr>
          <w:fldChar w:fldCharType="separate"/>
        </w:r>
        <w:r w:rsidR="00A70BA8" w:rsidRPr="00432323">
          <w:rPr>
            <w:noProof/>
            <w:webHidden/>
          </w:rPr>
          <w:t>12</w:t>
        </w:r>
        <w:r w:rsidR="00A70BA8" w:rsidRPr="00432323">
          <w:rPr>
            <w:noProof/>
            <w:webHidden/>
          </w:rPr>
          <w:fldChar w:fldCharType="end"/>
        </w:r>
      </w:hyperlink>
    </w:p>
    <w:p w14:paraId="51113089" w14:textId="38036C26" w:rsidR="00A70BA8" w:rsidRPr="00432323" w:rsidRDefault="00C20E91">
      <w:pPr>
        <w:pStyle w:val="TOC1"/>
        <w:tabs>
          <w:tab w:val="right" w:leader="dot" w:pos="9016"/>
        </w:tabs>
        <w:rPr>
          <w:rFonts w:asciiTheme="minorHAnsi" w:eastAsiaTheme="minorEastAsia" w:hAnsiTheme="minorHAnsi" w:cstheme="minorBidi"/>
          <w:noProof/>
          <w:sz w:val="22"/>
          <w:lang w:eastAsia="en-AU"/>
        </w:rPr>
      </w:pPr>
      <w:hyperlink w:anchor="_Toc146871482" w:history="1">
        <w:r w:rsidR="00A70BA8" w:rsidRPr="00432323">
          <w:rPr>
            <w:rStyle w:val="Hyperlink"/>
            <w:rFonts w:ascii="Arial" w:hAnsi="Arial" w:cs="Arial"/>
            <w:noProof/>
            <w:lang w:eastAsia="en-AU"/>
          </w:rPr>
          <w:t>Part 1 – Preliminary</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_Toc146871482 \h </w:instrText>
        </w:r>
        <w:r w:rsidR="00A70BA8" w:rsidRPr="00432323">
          <w:rPr>
            <w:noProof/>
            <w:webHidden/>
          </w:rPr>
        </w:r>
        <w:r w:rsidR="00A70BA8" w:rsidRPr="00432323">
          <w:rPr>
            <w:noProof/>
            <w:webHidden/>
          </w:rPr>
          <w:fldChar w:fldCharType="separate"/>
        </w:r>
        <w:r w:rsidR="00A70BA8" w:rsidRPr="00432323">
          <w:rPr>
            <w:noProof/>
            <w:webHidden/>
          </w:rPr>
          <w:t>12</w:t>
        </w:r>
        <w:r w:rsidR="00A70BA8" w:rsidRPr="00432323">
          <w:rPr>
            <w:noProof/>
            <w:webHidden/>
          </w:rPr>
          <w:fldChar w:fldCharType="end"/>
        </w:r>
      </w:hyperlink>
    </w:p>
    <w:p w14:paraId="1B7FC792" w14:textId="43910991" w:rsidR="00A70BA8" w:rsidRPr="00432323" w:rsidRDefault="00C20E91">
      <w:pPr>
        <w:pStyle w:val="TOC1"/>
        <w:tabs>
          <w:tab w:val="right" w:leader="dot" w:pos="9016"/>
        </w:tabs>
        <w:rPr>
          <w:rFonts w:asciiTheme="minorHAnsi" w:eastAsiaTheme="minorEastAsia" w:hAnsiTheme="minorHAnsi" w:cstheme="minorBidi"/>
          <w:noProof/>
          <w:sz w:val="22"/>
          <w:lang w:eastAsia="en-AU"/>
        </w:rPr>
      </w:pPr>
      <w:hyperlink w:anchor="_Toc146871483" w:history="1">
        <w:r w:rsidR="00A70BA8" w:rsidRPr="00432323">
          <w:rPr>
            <w:rStyle w:val="Hyperlink"/>
            <w:rFonts w:ascii="Arial" w:hAnsi="Arial" w:cs="Arial"/>
            <w:noProof/>
            <w:lang w:eastAsia="en-AU"/>
          </w:rPr>
          <w:t>Part 2 – Bail Act 1992</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_Toc146871483 \h </w:instrText>
        </w:r>
        <w:r w:rsidR="00A70BA8" w:rsidRPr="00432323">
          <w:rPr>
            <w:noProof/>
            <w:webHidden/>
          </w:rPr>
        </w:r>
        <w:r w:rsidR="00A70BA8" w:rsidRPr="00432323">
          <w:rPr>
            <w:noProof/>
            <w:webHidden/>
          </w:rPr>
          <w:fldChar w:fldCharType="separate"/>
        </w:r>
        <w:r w:rsidR="00A70BA8" w:rsidRPr="00432323">
          <w:rPr>
            <w:noProof/>
            <w:webHidden/>
          </w:rPr>
          <w:t>12</w:t>
        </w:r>
        <w:r w:rsidR="00A70BA8" w:rsidRPr="00432323">
          <w:rPr>
            <w:noProof/>
            <w:webHidden/>
          </w:rPr>
          <w:fldChar w:fldCharType="end"/>
        </w:r>
      </w:hyperlink>
    </w:p>
    <w:p w14:paraId="1017F0AD" w14:textId="784E6440" w:rsidR="00A70BA8" w:rsidRPr="00432323" w:rsidRDefault="00C20E91">
      <w:pPr>
        <w:pStyle w:val="TOC1"/>
        <w:tabs>
          <w:tab w:val="right" w:leader="dot" w:pos="9016"/>
        </w:tabs>
        <w:rPr>
          <w:rFonts w:asciiTheme="minorHAnsi" w:eastAsiaTheme="minorEastAsia" w:hAnsiTheme="minorHAnsi" w:cstheme="minorBidi"/>
          <w:noProof/>
          <w:sz w:val="22"/>
          <w:lang w:eastAsia="en-AU"/>
        </w:rPr>
      </w:pPr>
      <w:hyperlink w:anchor="_Toc146871484" w:history="1">
        <w:r w:rsidR="00A70BA8" w:rsidRPr="00432323">
          <w:rPr>
            <w:rStyle w:val="Hyperlink"/>
            <w:rFonts w:ascii="Arial" w:hAnsi="Arial" w:cs="Arial"/>
            <w:noProof/>
            <w:lang w:eastAsia="en-AU"/>
          </w:rPr>
          <w:t>Part 3 – Confiscation of Criminal Assets Act 2003</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_Toc146871484 \h </w:instrText>
        </w:r>
        <w:r w:rsidR="00A70BA8" w:rsidRPr="00432323">
          <w:rPr>
            <w:noProof/>
            <w:webHidden/>
          </w:rPr>
        </w:r>
        <w:r w:rsidR="00A70BA8" w:rsidRPr="00432323">
          <w:rPr>
            <w:noProof/>
            <w:webHidden/>
          </w:rPr>
          <w:fldChar w:fldCharType="separate"/>
        </w:r>
        <w:r w:rsidR="00A70BA8" w:rsidRPr="00432323">
          <w:rPr>
            <w:noProof/>
            <w:webHidden/>
          </w:rPr>
          <w:t>13</w:t>
        </w:r>
        <w:r w:rsidR="00A70BA8" w:rsidRPr="00432323">
          <w:rPr>
            <w:noProof/>
            <w:webHidden/>
          </w:rPr>
          <w:fldChar w:fldCharType="end"/>
        </w:r>
      </w:hyperlink>
    </w:p>
    <w:p w14:paraId="0178DF03" w14:textId="15CA0F85" w:rsidR="00A70BA8" w:rsidRPr="00432323" w:rsidRDefault="00C20E91">
      <w:pPr>
        <w:pStyle w:val="TOC1"/>
        <w:tabs>
          <w:tab w:val="right" w:leader="dot" w:pos="9016"/>
        </w:tabs>
        <w:rPr>
          <w:rFonts w:asciiTheme="minorHAnsi" w:eastAsiaTheme="minorEastAsia" w:hAnsiTheme="minorHAnsi" w:cstheme="minorBidi"/>
          <w:noProof/>
          <w:sz w:val="22"/>
          <w:lang w:eastAsia="en-AU"/>
        </w:rPr>
      </w:pPr>
      <w:hyperlink w:anchor="_Toc146871485" w:history="1">
        <w:r w:rsidR="00A70BA8" w:rsidRPr="00432323">
          <w:rPr>
            <w:rStyle w:val="Hyperlink"/>
            <w:rFonts w:ascii="Arial" w:hAnsi="Arial" w:cs="Arial"/>
            <w:noProof/>
            <w:lang w:eastAsia="en-AU"/>
          </w:rPr>
          <w:t>Part 4 – Crimes Act 1900</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_Toc146871485 \h </w:instrText>
        </w:r>
        <w:r w:rsidR="00A70BA8" w:rsidRPr="00432323">
          <w:rPr>
            <w:noProof/>
            <w:webHidden/>
          </w:rPr>
        </w:r>
        <w:r w:rsidR="00A70BA8" w:rsidRPr="00432323">
          <w:rPr>
            <w:noProof/>
            <w:webHidden/>
          </w:rPr>
          <w:fldChar w:fldCharType="separate"/>
        </w:r>
        <w:r w:rsidR="00A70BA8" w:rsidRPr="00432323">
          <w:rPr>
            <w:noProof/>
            <w:webHidden/>
          </w:rPr>
          <w:t>13</w:t>
        </w:r>
        <w:r w:rsidR="00A70BA8" w:rsidRPr="00432323">
          <w:rPr>
            <w:noProof/>
            <w:webHidden/>
          </w:rPr>
          <w:fldChar w:fldCharType="end"/>
        </w:r>
      </w:hyperlink>
    </w:p>
    <w:p w14:paraId="1510387B" w14:textId="5F748D30" w:rsidR="00A70BA8" w:rsidRPr="00432323" w:rsidRDefault="00C20E91">
      <w:pPr>
        <w:pStyle w:val="TOC1"/>
        <w:tabs>
          <w:tab w:val="right" w:leader="dot" w:pos="9016"/>
        </w:tabs>
        <w:rPr>
          <w:rFonts w:asciiTheme="minorHAnsi" w:eastAsiaTheme="minorEastAsia" w:hAnsiTheme="minorHAnsi" w:cstheme="minorBidi"/>
          <w:noProof/>
          <w:sz w:val="22"/>
          <w:lang w:eastAsia="en-AU"/>
        </w:rPr>
      </w:pPr>
      <w:hyperlink w:anchor="_Toc146871486" w:history="1">
        <w:r w:rsidR="00A70BA8" w:rsidRPr="00432323">
          <w:rPr>
            <w:rStyle w:val="Hyperlink"/>
            <w:rFonts w:ascii="Arial" w:hAnsi="Arial" w:cs="Arial"/>
            <w:noProof/>
            <w:lang w:eastAsia="en-AU"/>
          </w:rPr>
          <w:t>Part 5 – Crimes (Sentencing) Act 2005</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_Toc146871486 \h </w:instrText>
        </w:r>
        <w:r w:rsidR="00A70BA8" w:rsidRPr="00432323">
          <w:rPr>
            <w:noProof/>
            <w:webHidden/>
          </w:rPr>
        </w:r>
        <w:r w:rsidR="00A70BA8" w:rsidRPr="00432323">
          <w:rPr>
            <w:noProof/>
            <w:webHidden/>
          </w:rPr>
          <w:fldChar w:fldCharType="separate"/>
        </w:r>
        <w:r w:rsidR="00A70BA8" w:rsidRPr="00432323">
          <w:rPr>
            <w:noProof/>
            <w:webHidden/>
          </w:rPr>
          <w:t>13</w:t>
        </w:r>
        <w:r w:rsidR="00A70BA8" w:rsidRPr="00432323">
          <w:rPr>
            <w:noProof/>
            <w:webHidden/>
          </w:rPr>
          <w:fldChar w:fldCharType="end"/>
        </w:r>
      </w:hyperlink>
    </w:p>
    <w:p w14:paraId="2A53779D" w14:textId="1F00B430" w:rsidR="00A70BA8" w:rsidRPr="00432323" w:rsidRDefault="00C20E91">
      <w:pPr>
        <w:pStyle w:val="TOC1"/>
        <w:tabs>
          <w:tab w:val="right" w:leader="dot" w:pos="9016"/>
        </w:tabs>
        <w:rPr>
          <w:rFonts w:asciiTheme="minorHAnsi" w:eastAsiaTheme="minorEastAsia" w:hAnsiTheme="minorHAnsi" w:cstheme="minorBidi"/>
          <w:noProof/>
          <w:sz w:val="22"/>
          <w:lang w:eastAsia="en-AU"/>
        </w:rPr>
      </w:pPr>
      <w:hyperlink w:anchor="_Toc146871487" w:history="1">
        <w:r w:rsidR="00A70BA8" w:rsidRPr="00432323">
          <w:rPr>
            <w:rStyle w:val="Hyperlink"/>
            <w:rFonts w:ascii="Arial" w:hAnsi="Arial" w:cs="Arial"/>
            <w:noProof/>
            <w:lang w:eastAsia="en-AU"/>
          </w:rPr>
          <w:t>Part 7 – Evidence Act 2011</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_Toc146871487 \h </w:instrText>
        </w:r>
        <w:r w:rsidR="00A70BA8" w:rsidRPr="00432323">
          <w:rPr>
            <w:noProof/>
            <w:webHidden/>
          </w:rPr>
        </w:r>
        <w:r w:rsidR="00A70BA8" w:rsidRPr="00432323">
          <w:rPr>
            <w:noProof/>
            <w:webHidden/>
          </w:rPr>
          <w:fldChar w:fldCharType="separate"/>
        </w:r>
        <w:r w:rsidR="00A70BA8" w:rsidRPr="00432323">
          <w:rPr>
            <w:noProof/>
            <w:webHidden/>
          </w:rPr>
          <w:t>14</w:t>
        </w:r>
        <w:r w:rsidR="00A70BA8" w:rsidRPr="00432323">
          <w:rPr>
            <w:noProof/>
            <w:webHidden/>
          </w:rPr>
          <w:fldChar w:fldCharType="end"/>
        </w:r>
      </w:hyperlink>
    </w:p>
    <w:p w14:paraId="5F209877" w14:textId="59901472" w:rsidR="00A70BA8" w:rsidRPr="00432323" w:rsidRDefault="00C20E91">
      <w:pPr>
        <w:pStyle w:val="TOC1"/>
        <w:tabs>
          <w:tab w:val="right" w:leader="dot" w:pos="9016"/>
        </w:tabs>
        <w:rPr>
          <w:rFonts w:asciiTheme="minorHAnsi" w:eastAsiaTheme="minorEastAsia" w:hAnsiTheme="minorHAnsi" w:cstheme="minorBidi"/>
          <w:noProof/>
          <w:sz w:val="22"/>
          <w:lang w:eastAsia="en-AU"/>
        </w:rPr>
      </w:pPr>
      <w:hyperlink w:anchor="_Toc146871488" w:history="1">
        <w:r w:rsidR="00A70BA8" w:rsidRPr="00432323">
          <w:rPr>
            <w:rStyle w:val="Hyperlink"/>
            <w:rFonts w:ascii="Arial" w:hAnsi="Arial" w:cs="Arial"/>
            <w:noProof/>
            <w:lang w:eastAsia="en-AU"/>
          </w:rPr>
          <w:t>Part 8 – Juries Act 1967</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_Toc146871488 \h </w:instrText>
        </w:r>
        <w:r w:rsidR="00A70BA8" w:rsidRPr="00432323">
          <w:rPr>
            <w:noProof/>
            <w:webHidden/>
          </w:rPr>
        </w:r>
        <w:r w:rsidR="00A70BA8" w:rsidRPr="00432323">
          <w:rPr>
            <w:noProof/>
            <w:webHidden/>
          </w:rPr>
          <w:fldChar w:fldCharType="separate"/>
        </w:r>
        <w:r w:rsidR="00A70BA8" w:rsidRPr="00432323">
          <w:rPr>
            <w:noProof/>
            <w:webHidden/>
          </w:rPr>
          <w:t>14</w:t>
        </w:r>
        <w:r w:rsidR="00A70BA8" w:rsidRPr="00432323">
          <w:rPr>
            <w:noProof/>
            <w:webHidden/>
          </w:rPr>
          <w:fldChar w:fldCharType="end"/>
        </w:r>
      </w:hyperlink>
    </w:p>
    <w:p w14:paraId="0085E7EF" w14:textId="7E72F787" w:rsidR="00A70BA8" w:rsidRPr="00432323" w:rsidRDefault="00C20E91">
      <w:pPr>
        <w:pStyle w:val="TOC1"/>
        <w:tabs>
          <w:tab w:val="right" w:leader="dot" w:pos="9016"/>
        </w:tabs>
        <w:rPr>
          <w:rFonts w:asciiTheme="minorHAnsi" w:eastAsiaTheme="minorEastAsia" w:hAnsiTheme="minorHAnsi" w:cstheme="minorBidi"/>
          <w:noProof/>
          <w:sz w:val="22"/>
          <w:lang w:eastAsia="en-AU"/>
        </w:rPr>
      </w:pPr>
      <w:hyperlink w:anchor="_Toc146871489" w:history="1">
        <w:r w:rsidR="00A70BA8" w:rsidRPr="00432323">
          <w:rPr>
            <w:rStyle w:val="Hyperlink"/>
            <w:rFonts w:ascii="Arial" w:hAnsi="Arial" w:cs="Arial"/>
            <w:noProof/>
            <w:lang w:eastAsia="en-AU"/>
          </w:rPr>
          <w:t>Part 9 – Magistrates Act 1930</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_Toc146871489 \h </w:instrText>
        </w:r>
        <w:r w:rsidR="00A70BA8" w:rsidRPr="00432323">
          <w:rPr>
            <w:noProof/>
            <w:webHidden/>
          </w:rPr>
        </w:r>
        <w:r w:rsidR="00A70BA8" w:rsidRPr="00432323">
          <w:rPr>
            <w:noProof/>
            <w:webHidden/>
          </w:rPr>
          <w:fldChar w:fldCharType="separate"/>
        </w:r>
        <w:r w:rsidR="00A70BA8" w:rsidRPr="00432323">
          <w:rPr>
            <w:noProof/>
            <w:webHidden/>
          </w:rPr>
          <w:t>16</w:t>
        </w:r>
        <w:r w:rsidR="00A70BA8" w:rsidRPr="00432323">
          <w:rPr>
            <w:noProof/>
            <w:webHidden/>
          </w:rPr>
          <w:fldChar w:fldCharType="end"/>
        </w:r>
      </w:hyperlink>
    </w:p>
    <w:p w14:paraId="2C1F7DC3" w14:textId="0A7EC037" w:rsidR="00A70BA8" w:rsidRPr="00432323" w:rsidRDefault="00C20E91">
      <w:pPr>
        <w:pStyle w:val="TOC1"/>
        <w:tabs>
          <w:tab w:val="right" w:leader="dot" w:pos="9016"/>
        </w:tabs>
        <w:rPr>
          <w:rFonts w:asciiTheme="minorHAnsi" w:eastAsiaTheme="minorEastAsia" w:hAnsiTheme="minorHAnsi" w:cstheme="minorBidi"/>
          <w:noProof/>
          <w:sz w:val="22"/>
          <w:lang w:eastAsia="en-AU"/>
        </w:rPr>
      </w:pPr>
      <w:hyperlink w:anchor="_Toc146871490" w:history="1">
        <w:r w:rsidR="00A70BA8" w:rsidRPr="00432323">
          <w:rPr>
            <w:rStyle w:val="Hyperlink"/>
            <w:rFonts w:ascii="Arial" w:hAnsi="Arial" w:cs="Arial"/>
            <w:noProof/>
            <w:lang w:eastAsia="en-AU"/>
          </w:rPr>
          <w:t>Part 10 – Magistrates Court Regulation 2009</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_Toc146871490 \h </w:instrText>
        </w:r>
        <w:r w:rsidR="00A70BA8" w:rsidRPr="00432323">
          <w:rPr>
            <w:noProof/>
            <w:webHidden/>
          </w:rPr>
        </w:r>
        <w:r w:rsidR="00A70BA8" w:rsidRPr="00432323">
          <w:rPr>
            <w:noProof/>
            <w:webHidden/>
          </w:rPr>
          <w:fldChar w:fldCharType="separate"/>
        </w:r>
        <w:r w:rsidR="00A70BA8" w:rsidRPr="00432323">
          <w:rPr>
            <w:noProof/>
            <w:webHidden/>
          </w:rPr>
          <w:t>18</w:t>
        </w:r>
        <w:r w:rsidR="00A70BA8" w:rsidRPr="00432323">
          <w:rPr>
            <w:noProof/>
            <w:webHidden/>
          </w:rPr>
          <w:fldChar w:fldCharType="end"/>
        </w:r>
      </w:hyperlink>
    </w:p>
    <w:p w14:paraId="4F2875AF" w14:textId="5B8FC2B5" w:rsidR="00A70BA8" w:rsidRPr="00432323" w:rsidRDefault="00C20E91">
      <w:pPr>
        <w:pStyle w:val="TOC1"/>
        <w:tabs>
          <w:tab w:val="right" w:leader="dot" w:pos="9016"/>
        </w:tabs>
        <w:rPr>
          <w:rFonts w:asciiTheme="minorHAnsi" w:eastAsiaTheme="minorEastAsia" w:hAnsiTheme="minorHAnsi" w:cstheme="minorBidi"/>
          <w:noProof/>
          <w:sz w:val="22"/>
          <w:lang w:eastAsia="en-AU"/>
        </w:rPr>
      </w:pPr>
      <w:hyperlink w:anchor="_Toc146871491" w:history="1">
        <w:r w:rsidR="00A70BA8" w:rsidRPr="00432323">
          <w:rPr>
            <w:rStyle w:val="Hyperlink"/>
            <w:rFonts w:ascii="Arial" w:hAnsi="Arial" w:cs="Arial"/>
            <w:noProof/>
            <w:lang w:eastAsia="en-AU"/>
          </w:rPr>
          <w:t>Part 11 – Victims of Crime Act 1994</w:t>
        </w:r>
        <w:r w:rsidR="00A70BA8" w:rsidRPr="00432323">
          <w:rPr>
            <w:noProof/>
            <w:webHidden/>
          </w:rPr>
          <w:tab/>
        </w:r>
        <w:r w:rsidR="00A70BA8" w:rsidRPr="00432323">
          <w:rPr>
            <w:noProof/>
            <w:webHidden/>
          </w:rPr>
          <w:fldChar w:fldCharType="begin"/>
        </w:r>
        <w:r w:rsidR="00A70BA8" w:rsidRPr="00432323">
          <w:rPr>
            <w:noProof/>
            <w:webHidden/>
          </w:rPr>
          <w:instrText xml:space="preserve"> PAGEREF _Toc146871491 \h </w:instrText>
        </w:r>
        <w:r w:rsidR="00A70BA8" w:rsidRPr="00432323">
          <w:rPr>
            <w:noProof/>
            <w:webHidden/>
          </w:rPr>
        </w:r>
        <w:r w:rsidR="00A70BA8" w:rsidRPr="00432323">
          <w:rPr>
            <w:noProof/>
            <w:webHidden/>
          </w:rPr>
          <w:fldChar w:fldCharType="separate"/>
        </w:r>
        <w:r w:rsidR="00A70BA8" w:rsidRPr="00432323">
          <w:rPr>
            <w:noProof/>
            <w:webHidden/>
          </w:rPr>
          <w:t>18</w:t>
        </w:r>
        <w:r w:rsidR="00A70BA8" w:rsidRPr="00432323">
          <w:rPr>
            <w:noProof/>
            <w:webHidden/>
          </w:rPr>
          <w:fldChar w:fldCharType="end"/>
        </w:r>
      </w:hyperlink>
    </w:p>
    <w:p w14:paraId="314FFBD4" w14:textId="5E37A9BB" w:rsidR="00AC5B87" w:rsidRPr="00432323" w:rsidRDefault="00326167" w:rsidP="00AC5B87">
      <w:pPr>
        <w:rPr>
          <w:rFonts w:ascii="Arial" w:hAnsi="Arial" w:cs="Arial"/>
          <w:szCs w:val="24"/>
        </w:rPr>
      </w:pPr>
      <w:r w:rsidRPr="00432323">
        <w:rPr>
          <w:rFonts w:ascii="Arial" w:hAnsi="Arial" w:cs="Arial"/>
          <w:szCs w:val="24"/>
        </w:rPr>
        <w:fldChar w:fldCharType="end"/>
      </w:r>
    </w:p>
    <w:p w14:paraId="306EEBDF" w14:textId="77777777" w:rsidR="0051718C" w:rsidRPr="00432323" w:rsidRDefault="00AC5B87" w:rsidP="002E1092">
      <w:pPr>
        <w:pStyle w:val="Heading2"/>
        <w:spacing w:after="120"/>
        <w:rPr>
          <w:rFonts w:ascii="Arial" w:hAnsi="Arial" w:cs="Arial"/>
          <w:szCs w:val="24"/>
        </w:rPr>
      </w:pPr>
      <w:bookmarkStart w:id="3" w:name="_Toc426711259"/>
      <w:bookmarkStart w:id="4" w:name="_Toc429052822"/>
      <w:r w:rsidRPr="00432323">
        <w:rPr>
          <w:rFonts w:ascii="Arial" w:hAnsi="Arial" w:cs="Arial"/>
          <w:szCs w:val="24"/>
        </w:rPr>
        <w:br w:type="page"/>
      </w:r>
    </w:p>
    <w:p w14:paraId="5671B9AA" w14:textId="67E2CAD6" w:rsidR="0051718C" w:rsidRPr="00432323" w:rsidRDefault="006702E0" w:rsidP="0051718C">
      <w:pPr>
        <w:pStyle w:val="Heading2"/>
        <w:spacing w:after="120"/>
        <w:jc w:val="center"/>
        <w:rPr>
          <w:rFonts w:ascii="Arial" w:eastAsia="Calibri" w:hAnsi="Arial" w:cs="Arial"/>
          <w:iCs w:val="0"/>
          <w:szCs w:val="24"/>
          <w:u w:val="none"/>
        </w:rPr>
      </w:pPr>
      <w:bookmarkStart w:id="5" w:name="_Toc146871477"/>
      <w:r w:rsidRPr="00432323">
        <w:rPr>
          <w:rFonts w:ascii="Arial" w:hAnsi="Arial" w:cs="Arial"/>
          <w:caps/>
          <w:szCs w:val="24"/>
        </w:rPr>
        <w:lastRenderedPageBreak/>
        <w:t>CRIMES</w:t>
      </w:r>
      <w:r w:rsidR="00DC7AEF" w:rsidRPr="00432323">
        <w:rPr>
          <w:rFonts w:ascii="Arial" w:hAnsi="Arial" w:cs="Arial"/>
          <w:caps/>
          <w:szCs w:val="24"/>
        </w:rPr>
        <w:t xml:space="preserve"> LEGISLATION AMENDMENT BILL 2023</w:t>
      </w:r>
      <w:bookmarkEnd w:id="5"/>
    </w:p>
    <w:p w14:paraId="15C4153C" w14:textId="7685893D" w:rsidR="0051718C" w:rsidRPr="00432323" w:rsidRDefault="0051718C" w:rsidP="0051718C">
      <w:pPr>
        <w:rPr>
          <w:rFonts w:ascii="Arial" w:hAnsi="Arial" w:cs="Arial"/>
          <w:szCs w:val="24"/>
        </w:rPr>
      </w:pPr>
      <w:r w:rsidRPr="00432323">
        <w:rPr>
          <w:rFonts w:ascii="Arial" w:hAnsi="Arial" w:cs="Arial"/>
          <w:szCs w:val="24"/>
        </w:rPr>
        <w:t xml:space="preserve">The </w:t>
      </w:r>
      <w:r w:rsidR="006702E0" w:rsidRPr="00432323">
        <w:rPr>
          <w:rFonts w:ascii="Arial" w:hAnsi="Arial" w:cs="Arial"/>
          <w:i/>
          <w:szCs w:val="24"/>
        </w:rPr>
        <w:t>Crimes Legislation Amendment Bill</w:t>
      </w:r>
      <w:r w:rsidR="000C7327" w:rsidRPr="00432323">
        <w:rPr>
          <w:rFonts w:ascii="Arial" w:hAnsi="Arial" w:cs="Arial"/>
          <w:i/>
          <w:szCs w:val="24"/>
        </w:rPr>
        <w:t xml:space="preserve"> 2023</w:t>
      </w:r>
      <w:r w:rsidR="000C7327" w:rsidRPr="00432323">
        <w:rPr>
          <w:rFonts w:ascii="Arial" w:hAnsi="Arial" w:cs="Arial"/>
          <w:szCs w:val="24"/>
        </w:rPr>
        <w:t xml:space="preserve"> (the </w:t>
      </w:r>
      <w:r w:rsidRPr="00432323">
        <w:rPr>
          <w:rFonts w:ascii="Arial" w:hAnsi="Arial" w:cs="Arial"/>
          <w:szCs w:val="24"/>
        </w:rPr>
        <w:t>Bill</w:t>
      </w:r>
      <w:r w:rsidR="000C7327" w:rsidRPr="00432323">
        <w:rPr>
          <w:rFonts w:ascii="Arial" w:hAnsi="Arial" w:cs="Arial"/>
          <w:szCs w:val="24"/>
        </w:rPr>
        <w:t>)</w:t>
      </w:r>
      <w:r w:rsidRPr="00432323">
        <w:rPr>
          <w:rFonts w:ascii="Arial" w:hAnsi="Arial" w:cs="Arial"/>
          <w:szCs w:val="24"/>
        </w:rPr>
        <w:t xml:space="preserve"> is a Significant Bill. Significant Bills are bills that have been assessed as likely to have significant engagement of human rights and require more detailed reasoning in relation to compatibility with the </w:t>
      </w:r>
      <w:r w:rsidRPr="00432323">
        <w:rPr>
          <w:rFonts w:ascii="Arial" w:hAnsi="Arial" w:cs="Arial"/>
          <w:i/>
          <w:iCs/>
          <w:szCs w:val="24"/>
        </w:rPr>
        <w:t>Human Rights Act 2004</w:t>
      </w:r>
      <w:r w:rsidR="00A82D42" w:rsidRPr="00432323">
        <w:rPr>
          <w:rFonts w:ascii="Arial" w:hAnsi="Arial" w:cs="Arial"/>
          <w:i/>
          <w:iCs/>
          <w:szCs w:val="24"/>
        </w:rPr>
        <w:t xml:space="preserve"> </w:t>
      </w:r>
      <w:r w:rsidR="00A82D42" w:rsidRPr="00432323">
        <w:rPr>
          <w:rFonts w:ascii="Arial" w:hAnsi="Arial" w:cs="Arial"/>
          <w:szCs w:val="24"/>
        </w:rPr>
        <w:t>(</w:t>
      </w:r>
      <w:r w:rsidR="004F778C" w:rsidRPr="00432323">
        <w:rPr>
          <w:rFonts w:ascii="Arial" w:hAnsi="Arial" w:cs="Arial"/>
          <w:szCs w:val="24"/>
        </w:rPr>
        <w:t xml:space="preserve">the </w:t>
      </w:r>
      <w:r w:rsidR="00A82D42" w:rsidRPr="00432323">
        <w:rPr>
          <w:rFonts w:ascii="Arial" w:hAnsi="Arial" w:cs="Arial"/>
          <w:szCs w:val="24"/>
        </w:rPr>
        <w:t>HR Act)</w:t>
      </w:r>
      <w:r w:rsidRPr="00432323">
        <w:rPr>
          <w:rFonts w:ascii="Arial" w:hAnsi="Arial" w:cs="Arial"/>
          <w:szCs w:val="24"/>
        </w:rPr>
        <w:t>.</w:t>
      </w:r>
    </w:p>
    <w:p w14:paraId="647CCAEE" w14:textId="71D4806D" w:rsidR="0030585F" w:rsidRPr="00432323" w:rsidRDefault="00050F68" w:rsidP="002E1092">
      <w:pPr>
        <w:pStyle w:val="Heading2"/>
        <w:spacing w:after="120"/>
        <w:rPr>
          <w:rFonts w:ascii="Arial" w:hAnsi="Arial" w:cs="Arial"/>
          <w:szCs w:val="24"/>
          <w:u w:val="none"/>
        </w:rPr>
      </w:pPr>
      <w:bookmarkStart w:id="6" w:name="_Toc146871478"/>
      <w:bookmarkEnd w:id="3"/>
      <w:bookmarkEnd w:id="4"/>
      <w:r w:rsidRPr="00432323">
        <w:rPr>
          <w:rFonts w:ascii="Arial" w:hAnsi="Arial" w:cs="Arial"/>
          <w:szCs w:val="24"/>
          <w:u w:val="none"/>
        </w:rPr>
        <w:t>OVERVIEW OF THE BILL</w:t>
      </w:r>
      <w:bookmarkEnd w:id="6"/>
    </w:p>
    <w:p w14:paraId="004FCD6A" w14:textId="4208E6E4" w:rsidR="00A82D42" w:rsidRPr="00432323" w:rsidRDefault="00A82D42" w:rsidP="00A82D42">
      <w:pPr>
        <w:rPr>
          <w:rFonts w:ascii="Arial" w:hAnsi="Arial" w:cs="Arial"/>
          <w:szCs w:val="24"/>
        </w:rPr>
      </w:pPr>
      <w:r w:rsidRPr="00432323">
        <w:rPr>
          <w:rFonts w:ascii="Arial" w:hAnsi="Arial" w:cs="Arial"/>
        </w:rPr>
        <w:t xml:space="preserve">The Bill is an omnibus bill which amends criminal law legislation to </w:t>
      </w:r>
      <w:r w:rsidR="003A3082" w:rsidRPr="00432323">
        <w:rPr>
          <w:rFonts w:ascii="Arial" w:hAnsi="Arial" w:cs="Arial"/>
        </w:rPr>
        <w:t xml:space="preserve">support the efficient and effective functioning of the ACT criminal justice system. The Bill amends </w:t>
      </w:r>
      <w:r w:rsidR="003A3082" w:rsidRPr="00432323">
        <w:rPr>
          <w:rFonts w:ascii="Arial" w:hAnsi="Arial" w:cs="Arial"/>
          <w:szCs w:val="24"/>
        </w:rPr>
        <w:t xml:space="preserve">the: </w:t>
      </w:r>
      <w:r w:rsidRPr="00432323">
        <w:rPr>
          <w:rFonts w:ascii="Arial" w:hAnsi="Arial" w:cs="Arial"/>
          <w:szCs w:val="24"/>
        </w:rPr>
        <w:t xml:space="preserve"> </w:t>
      </w:r>
    </w:p>
    <w:p w14:paraId="40822868" w14:textId="77777777" w:rsidR="00050155" w:rsidRPr="00432323" w:rsidRDefault="00050155" w:rsidP="003A3082">
      <w:pPr>
        <w:pStyle w:val="ListParagraph"/>
        <w:numPr>
          <w:ilvl w:val="0"/>
          <w:numId w:val="39"/>
        </w:numPr>
        <w:rPr>
          <w:rFonts w:ascii="Arial" w:hAnsi="Arial" w:cs="Arial"/>
          <w:sz w:val="24"/>
          <w:szCs w:val="24"/>
        </w:rPr>
      </w:pPr>
      <w:r w:rsidRPr="00432323">
        <w:rPr>
          <w:rFonts w:ascii="Arial" w:hAnsi="Arial" w:cs="Arial"/>
          <w:i/>
          <w:iCs/>
          <w:sz w:val="24"/>
          <w:szCs w:val="24"/>
        </w:rPr>
        <w:t>Bail Act 1992</w:t>
      </w:r>
      <w:r w:rsidRPr="00432323">
        <w:rPr>
          <w:rFonts w:ascii="Arial" w:hAnsi="Arial" w:cs="Arial"/>
          <w:sz w:val="24"/>
          <w:szCs w:val="24"/>
        </w:rPr>
        <w:t xml:space="preserve"> to address an anomaly in timeframes in relation to the period for which a bail decision is stayed when an application is made for a review of bail; </w:t>
      </w:r>
    </w:p>
    <w:p w14:paraId="5C54EE8D" w14:textId="77777777" w:rsidR="00050155" w:rsidRPr="00432323" w:rsidRDefault="00050155" w:rsidP="003A3082">
      <w:pPr>
        <w:pStyle w:val="ListParagraph"/>
        <w:numPr>
          <w:ilvl w:val="0"/>
          <w:numId w:val="39"/>
        </w:numPr>
        <w:rPr>
          <w:rFonts w:ascii="Arial" w:hAnsi="Arial" w:cs="Arial"/>
          <w:sz w:val="24"/>
          <w:szCs w:val="24"/>
        </w:rPr>
      </w:pPr>
      <w:r w:rsidRPr="00432323">
        <w:rPr>
          <w:rFonts w:ascii="Arial" w:hAnsi="Arial" w:cs="Arial"/>
          <w:i/>
          <w:iCs/>
          <w:sz w:val="24"/>
          <w:szCs w:val="24"/>
        </w:rPr>
        <w:t>Confiscation of Criminal Assets Act 2003</w:t>
      </w:r>
      <w:r w:rsidRPr="00432323">
        <w:rPr>
          <w:rFonts w:ascii="Arial" w:hAnsi="Arial" w:cs="Arial"/>
          <w:sz w:val="24"/>
          <w:szCs w:val="24"/>
        </w:rPr>
        <w:t xml:space="preserve"> to require a statutory review of the unexplained wealth scheme three years after the 2022 Review;</w:t>
      </w:r>
    </w:p>
    <w:p w14:paraId="41509015" w14:textId="77777777" w:rsidR="00050155" w:rsidRPr="00432323" w:rsidRDefault="00050155" w:rsidP="003A3082">
      <w:pPr>
        <w:pStyle w:val="ListParagraph"/>
        <w:numPr>
          <w:ilvl w:val="0"/>
          <w:numId w:val="39"/>
        </w:numPr>
        <w:rPr>
          <w:rFonts w:ascii="Arial" w:hAnsi="Arial" w:cs="Arial"/>
          <w:sz w:val="24"/>
          <w:szCs w:val="24"/>
        </w:rPr>
      </w:pPr>
      <w:r w:rsidRPr="00432323">
        <w:rPr>
          <w:rFonts w:ascii="Arial" w:hAnsi="Arial" w:cs="Arial"/>
          <w:i/>
          <w:iCs/>
          <w:sz w:val="24"/>
          <w:szCs w:val="24"/>
        </w:rPr>
        <w:t>Crimes (Sentencing) Act 2005</w:t>
      </w:r>
      <w:r w:rsidRPr="00432323">
        <w:rPr>
          <w:rFonts w:ascii="Arial" w:hAnsi="Arial" w:cs="Arial"/>
          <w:sz w:val="24"/>
          <w:szCs w:val="24"/>
        </w:rPr>
        <w:t xml:space="preserve"> to allow a non-parole period to be set for offences committed in custody.</w:t>
      </w:r>
    </w:p>
    <w:p w14:paraId="4AB44EF1" w14:textId="77777777" w:rsidR="00050155" w:rsidRPr="00432323" w:rsidRDefault="00050155" w:rsidP="003A3082">
      <w:pPr>
        <w:pStyle w:val="ListParagraph"/>
        <w:numPr>
          <w:ilvl w:val="0"/>
          <w:numId w:val="39"/>
        </w:numPr>
        <w:rPr>
          <w:rFonts w:ascii="Arial" w:hAnsi="Arial" w:cs="Arial"/>
          <w:sz w:val="24"/>
          <w:szCs w:val="24"/>
        </w:rPr>
      </w:pPr>
      <w:r w:rsidRPr="00432323">
        <w:rPr>
          <w:rFonts w:ascii="Arial" w:hAnsi="Arial" w:cs="Arial"/>
          <w:i/>
          <w:iCs/>
          <w:sz w:val="24"/>
          <w:szCs w:val="24"/>
        </w:rPr>
        <w:t>Crimes (Sentencing) Act 2005</w:t>
      </w:r>
      <w:r w:rsidRPr="00432323">
        <w:rPr>
          <w:rFonts w:ascii="Arial" w:hAnsi="Arial" w:cs="Arial"/>
          <w:sz w:val="24"/>
          <w:szCs w:val="24"/>
        </w:rPr>
        <w:t xml:space="preserve"> to clarify that the court may impose a fine in addition to, or instead of, any other sentence;</w:t>
      </w:r>
    </w:p>
    <w:p w14:paraId="0245612D" w14:textId="77777777" w:rsidR="00050155" w:rsidRPr="00432323" w:rsidRDefault="00050155" w:rsidP="003A3082">
      <w:pPr>
        <w:pStyle w:val="ListParagraph"/>
        <w:numPr>
          <w:ilvl w:val="0"/>
          <w:numId w:val="39"/>
        </w:numPr>
        <w:rPr>
          <w:rFonts w:ascii="Arial" w:hAnsi="Arial" w:cs="Arial"/>
          <w:sz w:val="24"/>
          <w:szCs w:val="24"/>
        </w:rPr>
      </w:pPr>
      <w:r w:rsidRPr="00432323">
        <w:rPr>
          <w:rFonts w:ascii="Arial" w:hAnsi="Arial" w:cs="Arial"/>
          <w:i/>
          <w:iCs/>
          <w:sz w:val="24"/>
          <w:szCs w:val="24"/>
        </w:rPr>
        <w:t>Crimes Act 1900</w:t>
      </w:r>
      <w:r w:rsidRPr="00432323">
        <w:rPr>
          <w:rFonts w:ascii="Arial" w:hAnsi="Arial" w:cs="Arial"/>
          <w:sz w:val="24"/>
          <w:szCs w:val="24"/>
        </w:rPr>
        <w:t xml:space="preserve"> to remove the element requiring the prosecution to prove that damage to property does not exceed $5000 in the minor property damage offence;</w:t>
      </w:r>
    </w:p>
    <w:p w14:paraId="14D20B59" w14:textId="77777777" w:rsidR="00865C7F" w:rsidRPr="00432323" w:rsidRDefault="00865C7F" w:rsidP="00865C7F">
      <w:pPr>
        <w:pStyle w:val="ListParagraph"/>
        <w:numPr>
          <w:ilvl w:val="0"/>
          <w:numId w:val="39"/>
        </w:numPr>
        <w:rPr>
          <w:rFonts w:ascii="Arial" w:hAnsi="Arial" w:cs="Arial"/>
          <w:sz w:val="24"/>
          <w:szCs w:val="24"/>
        </w:rPr>
      </w:pPr>
      <w:r w:rsidRPr="00432323">
        <w:rPr>
          <w:rFonts w:ascii="Arial" w:hAnsi="Arial" w:cs="Arial"/>
          <w:i/>
          <w:iCs/>
          <w:sz w:val="24"/>
          <w:szCs w:val="24"/>
        </w:rPr>
        <w:t>Juries Act 1967</w:t>
      </w:r>
      <w:r w:rsidRPr="00432323">
        <w:rPr>
          <w:rFonts w:ascii="Arial" w:hAnsi="Arial" w:cs="Arial"/>
          <w:sz w:val="24"/>
          <w:szCs w:val="24"/>
        </w:rPr>
        <w:t xml:space="preserve"> to introduce an offence for juror misconduct; </w:t>
      </w:r>
    </w:p>
    <w:p w14:paraId="3AADA4DC" w14:textId="77777777" w:rsidR="00050155" w:rsidRPr="00432323" w:rsidRDefault="00050155" w:rsidP="003A3082">
      <w:pPr>
        <w:pStyle w:val="ListParagraph"/>
        <w:numPr>
          <w:ilvl w:val="0"/>
          <w:numId w:val="39"/>
        </w:numPr>
        <w:rPr>
          <w:rFonts w:ascii="Arial" w:hAnsi="Arial" w:cs="Arial"/>
          <w:sz w:val="24"/>
          <w:szCs w:val="24"/>
        </w:rPr>
      </w:pPr>
      <w:r w:rsidRPr="00432323">
        <w:rPr>
          <w:rFonts w:ascii="Arial" w:hAnsi="Arial" w:cs="Arial"/>
          <w:i/>
          <w:iCs/>
          <w:sz w:val="24"/>
          <w:szCs w:val="24"/>
        </w:rPr>
        <w:t>Juries Act 1967</w:t>
      </w:r>
      <w:r w:rsidRPr="00432323">
        <w:rPr>
          <w:rFonts w:ascii="Arial" w:hAnsi="Arial" w:cs="Arial"/>
          <w:sz w:val="24"/>
          <w:szCs w:val="24"/>
        </w:rPr>
        <w:t xml:space="preserve"> to introduce a model for majority verdicts by juries; and</w:t>
      </w:r>
    </w:p>
    <w:p w14:paraId="661CAB16" w14:textId="77777777" w:rsidR="00050155" w:rsidRPr="00432323" w:rsidRDefault="00050155" w:rsidP="003A3082">
      <w:pPr>
        <w:pStyle w:val="ListParagraph"/>
        <w:numPr>
          <w:ilvl w:val="0"/>
          <w:numId w:val="39"/>
        </w:numPr>
        <w:rPr>
          <w:rFonts w:ascii="Arial" w:hAnsi="Arial" w:cs="Arial"/>
          <w:sz w:val="24"/>
          <w:szCs w:val="24"/>
        </w:rPr>
      </w:pPr>
      <w:r w:rsidRPr="00432323">
        <w:rPr>
          <w:rFonts w:ascii="Arial" w:hAnsi="Arial" w:cs="Arial"/>
          <w:i/>
          <w:iCs/>
          <w:sz w:val="24"/>
          <w:szCs w:val="24"/>
        </w:rPr>
        <w:t xml:space="preserve">Magistrates Court Act 1930 </w:t>
      </w:r>
      <w:r w:rsidRPr="00432323">
        <w:rPr>
          <w:rFonts w:ascii="Arial" w:hAnsi="Arial" w:cs="Arial"/>
          <w:sz w:val="24"/>
          <w:szCs w:val="24"/>
        </w:rPr>
        <w:t xml:space="preserve">to improve enforceability of infringement notice offences; </w:t>
      </w:r>
    </w:p>
    <w:p w14:paraId="74DC4B0C" w14:textId="77777777" w:rsidR="00050155" w:rsidRPr="00432323" w:rsidRDefault="00050155" w:rsidP="003A3082">
      <w:pPr>
        <w:pStyle w:val="ListParagraph"/>
        <w:numPr>
          <w:ilvl w:val="0"/>
          <w:numId w:val="39"/>
        </w:numPr>
        <w:rPr>
          <w:rFonts w:ascii="Arial" w:hAnsi="Arial" w:cs="Arial"/>
          <w:sz w:val="24"/>
          <w:szCs w:val="24"/>
        </w:rPr>
      </w:pPr>
      <w:r w:rsidRPr="00432323">
        <w:rPr>
          <w:rFonts w:ascii="Arial" w:hAnsi="Arial" w:cs="Arial"/>
          <w:i/>
          <w:iCs/>
          <w:sz w:val="24"/>
          <w:szCs w:val="24"/>
        </w:rPr>
        <w:t>Victims of Crime Act 1994</w:t>
      </w:r>
      <w:r w:rsidRPr="00432323">
        <w:rPr>
          <w:rFonts w:ascii="Arial" w:hAnsi="Arial" w:cs="Arial"/>
          <w:sz w:val="24"/>
          <w:szCs w:val="24"/>
        </w:rPr>
        <w:t xml:space="preserve"> and </w:t>
      </w:r>
      <w:r w:rsidRPr="00432323">
        <w:rPr>
          <w:rFonts w:ascii="Arial" w:hAnsi="Arial" w:cs="Arial"/>
          <w:i/>
          <w:iCs/>
          <w:sz w:val="24"/>
          <w:szCs w:val="24"/>
        </w:rPr>
        <w:t>Crimes (Sentencing) Regulation 2006</w:t>
      </w:r>
      <w:r w:rsidRPr="00432323">
        <w:rPr>
          <w:rFonts w:ascii="Arial" w:hAnsi="Arial" w:cs="Arial"/>
          <w:sz w:val="24"/>
          <w:szCs w:val="24"/>
        </w:rPr>
        <w:t xml:space="preserve"> to update relevant references to the new title of Domestic, Family and Sexual Violence Coordinator-General; </w:t>
      </w:r>
    </w:p>
    <w:p w14:paraId="2CDEB443" w14:textId="22151B21" w:rsidR="00B55BED" w:rsidRPr="00432323" w:rsidRDefault="00050F68" w:rsidP="00B55BED">
      <w:pPr>
        <w:pStyle w:val="Heading2"/>
        <w:spacing w:after="120"/>
        <w:rPr>
          <w:rFonts w:ascii="Arial" w:hAnsi="Arial" w:cs="Arial"/>
          <w:szCs w:val="24"/>
          <w:u w:val="none"/>
        </w:rPr>
      </w:pPr>
      <w:bookmarkStart w:id="7" w:name="_Toc146871479"/>
      <w:bookmarkStart w:id="8" w:name="_Toc426711260"/>
      <w:bookmarkStart w:id="9" w:name="_Toc429052823"/>
      <w:r w:rsidRPr="00432323">
        <w:rPr>
          <w:rFonts w:ascii="Arial" w:hAnsi="Arial" w:cs="Arial"/>
          <w:szCs w:val="24"/>
          <w:u w:val="none"/>
        </w:rPr>
        <w:t>CONSULTATION ON THE PROPOSED APPROACH</w:t>
      </w:r>
      <w:bookmarkEnd w:id="7"/>
    </w:p>
    <w:p w14:paraId="0D750329" w14:textId="240D053E" w:rsidR="00447F1C" w:rsidRPr="00432323" w:rsidRDefault="00A82D42" w:rsidP="00A82D42">
      <w:r w:rsidRPr="00432323">
        <w:rPr>
          <w:rFonts w:ascii="Arial" w:hAnsi="Arial" w:cs="Arial"/>
        </w:rPr>
        <w:t>The amendments were developed in consultation with</w:t>
      </w:r>
      <w:r w:rsidR="000173D9" w:rsidRPr="00432323">
        <w:rPr>
          <w:rFonts w:ascii="Arial" w:hAnsi="Arial" w:cs="Arial"/>
        </w:rPr>
        <w:t xml:space="preserve"> the following key justice stakeholders: Aboriginal Legal Service</w:t>
      </w:r>
      <w:r w:rsidR="009F2913" w:rsidRPr="00432323">
        <w:rPr>
          <w:rFonts w:ascii="Arial" w:hAnsi="Arial" w:cs="Arial"/>
        </w:rPr>
        <w:t xml:space="preserve"> ACT/NSW</w:t>
      </w:r>
      <w:r w:rsidR="000173D9" w:rsidRPr="00432323">
        <w:rPr>
          <w:rFonts w:ascii="Arial" w:hAnsi="Arial" w:cs="Arial"/>
        </w:rPr>
        <w:t xml:space="preserve">, Aboriginal and Torres Strait Islander Elected Body, </w:t>
      </w:r>
      <w:r w:rsidR="00447F1C" w:rsidRPr="00432323">
        <w:rPr>
          <w:rFonts w:ascii="Arial" w:hAnsi="Arial" w:cs="Arial"/>
        </w:rPr>
        <w:t xml:space="preserve">Access Canberra, </w:t>
      </w:r>
      <w:r w:rsidR="000173D9" w:rsidRPr="00432323">
        <w:rPr>
          <w:rFonts w:ascii="Arial" w:hAnsi="Arial" w:cs="Arial"/>
        </w:rPr>
        <w:t xml:space="preserve">ACT Bar Association, </w:t>
      </w:r>
      <w:r w:rsidR="00447F1C" w:rsidRPr="00432323">
        <w:rPr>
          <w:rFonts w:ascii="Arial" w:hAnsi="Arial" w:cs="Arial"/>
        </w:rPr>
        <w:t xml:space="preserve">ACT Corrective Services, ACT Courts and Tribunal, ACT Director of Public Prosecutions, </w:t>
      </w:r>
      <w:r w:rsidR="00CF43BE" w:rsidRPr="00432323">
        <w:rPr>
          <w:rFonts w:ascii="Arial" w:hAnsi="Arial" w:cs="Arial"/>
        </w:rPr>
        <w:t xml:space="preserve">ACT Electoral Commission, </w:t>
      </w:r>
      <w:r w:rsidR="00447F1C" w:rsidRPr="00432323">
        <w:rPr>
          <w:rFonts w:ascii="Arial" w:hAnsi="Arial" w:cs="Arial"/>
        </w:rPr>
        <w:t xml:space="preserve">ACT Health, ACT Human Rights Commission, </w:t>
      </w:r>
      <w:r w:rsidR="000173D9" w:rsidRPr="00432323">
        <w:rPr>
          <w:rFonts w:ascii="Arial" w:hAnsi="Arial" w:cs="Arial"/>
        </w:rPr>
        <w:t xml:space="preserve">ACT Law Society, </w:t>
      </w:r>
      <w:r w:rsidR="00CF43BE" w:rsidRPr="00432323">
        <w:rPr>
          <w:rFonts w:ascii="Arial" w:hAnsi="Arial" w:cs="Arial"/>
        </w:rPr>
        <w:t xml:space="preserve">ACT Long Service Leave Authority, </w:t>
      </w:r>
      <w:r w:rsidR="00447F1C" w:rsidRPr="00432323">
        <w:rPr>
          <w:rFonts w:ascii="Arial" w:hAnsi="Arial" w:cs="Arial"/>
        </w:rPr>
        <w:t xml:space="preserve">ACT Ombudsman, ACT Policing, </w:t>
      </w:r>
      <w:r w:rsidR="000173D9" w:rsidRPr="00432323">
        <w:rPr>
          <w:rFonts w:ascii="Arial" w:hAnsi="Arial" w:cs="Arial"/>
        </w:rPr>
        <w:t xml:space="preserve">Civil </w:t>
      </w:r>
      <w:r w:rsidR="000173D9" w:rsidRPr="00432323">
        <w:rPr>
          <w:rFonts w:ascii="Arial" w:hAnsi="Arial" w:cs="Arial"/>
        </w:rPr>
        <w:lastRenderedPageBreak/>
        <w:t xml:space="preserve">Liberties Australia, </w:t>
      </w:r>
      <w:r w:rsidR="00CF43BE" w:rsidRPr="00432323">
        <w:rPr>
          <w:rFonts w:ascii="Arial" w:hAnsi="Arial" w:cs="Arial"/>
        </w:rPr>
        <w:t xml:space="preserve">Chief Minister, Treasury and Economic Development Directorate, </w:t>
      </w:r>
      <w:r w:rsidR="000173D9" w:rsidRPr="00432323">
        <w:rPr>
          <w:rFonts w:ascii="Arial" w:hAnsi="Arial" w:cs="Arial"/>
        </w:rPr>
        <w:t xml:space="preserve">Community and Public Service Union, </w:t>
      </w:r>
      <w:r w:rsidR="00CF43BE" w:rsidRPr="00432323">
        <w:rPr>
          <w:rFonts w:ascii="Arial" w:hAnsi="Arial" w:cs="Arial"/>
        </w:rPr>
        <w:t>Community Services Directorate</w:t>
      </w:r>
      <w:r w:rsidR="00447F1C" w:rsidRPr="00432323">
        <w:rPr>
          <w:rFonts w:ascii="Arial" w:hAnsi="Arial" w:cs="Arial"/>
        </w:rPr>
        <w:t xml:space="preserve">, </w:t>
      </w:r>
      <w:r w:rsidR="00CF43BE" w:rsidRPr="00432323">
        <w:rPr>
          <w:rFonts w:ascii="Arial" w:hAnsi="Arial" w:cs="Arial"/>
        </w:rPr>
        <w:t xml:space="preserve">Environment, Planning and Sustainable Development Directorate, </w:t>
      </w:r>
      <w:r w:rsidR="000173D9" w:rsidRPr="00432323">
        <w:rPr>
          <w:rFonts w:ascii="Arial" w:hAnsi="Arial" w:cs="Arial"/>
        </w:rPr>
        <w:t xml:space="preserve">Justice Caucus, Justice Reform Initiative, </w:t>
      </w:r>
      <w:r w:rsidR="00447F1C" w:rsidRPr="00432323">
        <w:rPr>
          <w:rFonts w:ascii="Arial" w:hAnsi="Arial" w:cs="Arial"/>
        </w:rPr>
        <w:t xml:space="preserve">Legal Aid ACT, </w:t>
      </w:r>
      <w:r w:rsidR="000173D9" w:rsidRPr="00432323">
        <w:rPr>
          <w:rFonts w:ascii="Arial" w:hAnsi="Arial" w:cs="Arial"/>
        </w:rPr>
        <w:t>Prisoners Aid ACT</w:t>
      </w:r>
      <w:r w:rsidR="00447F1C" w:rsidRPr="00432323">
        <w:rPr>
          <w:rFonts w:ascii="Arial" w:hAnsi="Arial" w:cs="Arial"/>
        </w:rPr>
        <w:t xml:space="preserve">, Sentence Administration Board, </w:t>
      </w:r>
      <w:r w:rsidR="00CF43BE" w:rsidRPr="00432323">
        <w:rPr>
          <w:rFonts w:ascii="Arial" w:hAnsi="Arial" w:cs="Arial"/>
        </w:rPr>
        <w:t xml:space="preserve">Transport Canberra and City Services Directorate, </w:t>
      </w:r>
      <w:r w:rsidR="00447F1C" w:rsidRPr="00432323">
        <w:rPr>
          <w:rFonts w:ascii="Arial" w:hAnsi="Arial" w:cs="Arial"/>
        </w:rPr>
        <w:t>Victims of Crime Commissioner</w:t>
      </w:r>
      <w:r w:rsidR="00CF43BE" w:rsidRPr="00432323">
        <w:rPr>
          <w:rFonts w:ascii="Arial" w:hAnsi="Arial" w:cs="Arial"/>
        </w:rPr>
        <w:t xml:space="preserve">, </w:t>
      </w:r>
      <w:r w:rsidR="000173D9" w:rsidRPr="00432323">
        <w:rPr>
          <w:rFonts w:ascii="Arial" w:hAnsi="Arial" w:cs="Arial"/>
        </w:rPr>
        <w:t>Winnunga Nimmityjah Aboriginal Health and Community Services</w:t>
      </w:r>
      <w:r w:rsidR="00CF43BE" w:rsidRPr="00432323">
        <w:rPr>
          <w:rFonts w:ascii="Arial" w:hAnsi="Arial" w:cs="Arial"/>
        </w:rPr>
        <w:t xml:space="preserve"> and WorkSafe ACT.</w:t>
      </w:r>
    </w:p>
    <w:p w14:paraId="0F6AAC2E" w14:textId="64351B6D" w:rsidR="00702566" w:rsidRPr="00432323" w:rsidRDefault="00050F68" w:rsidP="00214EAF">
      <w:pPr>
        <w:pStyle w:val="Heading2"/>
        <w:spacing w:after="120"/>
        <w:rPr>
          <w:rFonts w:ascii="Arial" w:hAnsi="Arial" w:cs="Arial"/>
          <w:szCs w:val="24"/>
          <w:u w:val="none"/>
        </w:rPr>
      </w:pPr>
      <w:bookmarkStart w:id="10" w:name="_Toc146871480"/>
      <w:bookmarkEnd w:id="8"/>
      <w:bookmarkEnd w:id="9"/>
      <w:r w:rsidRPr="00432323">
        <w:rPr>
          <w:rFonts w:ascii="Arial" w:hAnsi="Arial" w:cs="Arial"/>
          <w:szCs w:val="24"/>
          <w:u w:val="none"/>
        </w:rPr>
        <w:t>CONSISTENCY WITH HUMAN RIGHTS</w:t>
      </w:r>
      <w:bookmarkEnd w:id="10"/>
    </w:p>
    <w:p w14:paraId="0A5C0B46" w14:textId="313789DC" w:rsidR="00DF7319" w:rsidRPr="00432323" w:rsidRDefault="00BB6FED" w:rsidP="00A363CB">
      <w:pPr>
        <w:autoSpaceDE w:val="0"/>
        <w:autoSpaceDN w:val="0"/>
        <w:adjustRightInd w:val="0"/>
        <w:spacing w:before="240" w:after="120"/>
        <w:rPr>
          <w:rFonts w:ascii="Arial" w:hAnsi="Arial" w:cs="Arial"/>
          <w:szCs w:val="24"/>
        </w:rPr>
      </w:pPr>
      <w:r w:rsidRPr="00432323">
        <w:rPr>
          <w:rFonts w:ascii="Arial" w:hAnsi="Arial" w:cs="Arial"/>
          <w:color w:val="000000"/>
          <w:shd w:val="clear" w:color="auto" w:fill="FFFFFF"/>
        </w:rPr>
        <w:t xml:space="preserve">During the development of this Bill due regard was given to its compatibility with human rights as set out in </w:t>
      </w:r>
      <w:r w:rsidR="004F778C" w:rsidRPr="00432323">
        <w:rPr>
          <w:rFonts w:ascii="Arial" w:hAnsi="Arial" w:cs="Arial"/>
          <w:color w:val="000000"/>
          <w:shd w:val="clear" w:color="auto" w:fill="FFFFFF"/>
        </w:rPr>
        <w:t>the HR Act</w:t>
      </w:r>
      <w:r w:rsidRPr="00432323">
        <w:rPr>
          <w:rFonts w:ascii="Arial" w:hAnsi="Arial" w:cs="Arial"/>
          <w:color w:val="000000"/>
          <w:shd w:val="clear" w:color="auto" w:fill="FFFFFF"/>
        </w:rPr>
        <w:t>. </w:t>
      </w:r>
      <w:r w:rsidRPr="00432323">
        <w:rPr>
          <w:rFonts w:ascii="Arial" w:hAnsi="Arial" w:cs="Arial"/>
          <w:szCs w:val="24"/>
        </w:rPr>
        <w:t xml:space="preserve"> </w:t>
      </w:r>
    </w:p>
    <w:p w14:paraId="07DCB479" w14:textId="32646B34" w:rsidR="001E4E37" w:rsidRPr="00432323" w:rsidRDefault="001E4E37" w:rsidP="001E4E37">
      <w:pPr>
        <w:tabs>
          <w:tab w:val="left" w:pos="2160"/>
        </w:tabs>
        <w:autoSpaceDE w:val="0"/>
        <w:autoSpaceDN w:val="0"/>
        <w:adjustRightInd w:val="0"/>
        <w:spacing w:before="240" w:after="120"/>
        <w:rPr>
          <w:rFonts w:ascii="Arial" w:hAnsi="Arial" w:cs="Arial"/>
          <w:b/>
          <w:szCs w:val="24"/>
        </w:rPr>
      </w:pPr>
      <w:r w:rsidRPr="00432323">
        <w:rPr>
          <w:rFonts w:ascii="Arial" w:hAnsi="Arial" w:cs="Arial"/>
          <w:b/>
          <w:szCs w:val="24"/>
        </w:rPr>
        <w:t>Rights Promoted</w:t>
      </w:r>
      <w:r w:rsidRPr="00432323">
        <w:rPr>
          <w:rFonts w:ascii="Arial" w:hAnsi="Arial" w:cs="Arial"/>
          <w:b/>
          <w:szCs w:val="24"/>
        </w:rPr>
        <w:tab/>
      </w:r>
    </w:p>
    <w:p w14:paraId="6549B43C" w14:textId="4A4ECAD8" w:rsidR="005274B8" w:rsidRPr="00432323" w:rsidRDefault="004F778C" w:rsidP="005274B8">
      <w:pPr>
        <w:shd w:val="clear" w:color="auto" w:fill="FFFFFF"/>
        <w:spacing w:before="240" w:after="120" w:line="240" w:lineRule="auto"/>
        <w:rPr>
          <w:rFonts w:eastAsia="Times New Roman"/>
          <w:color w:val="000000"/>
          <w:szCs w:val="24"/>
          <w:lang w:eastAsia="en-AU"/>
        </w:rPr>
      </w:pPr>
      <w:r w:rsidRPr="00432323">
        <w:rPr>
          <w:rFonts w:ascii="Arial" w:eastAsia="Times New Roman" w:hAnsi="Arial" w:cs="Arial"/>
          <w:color w:val="000000"/>
          <w:szCs w:val="24"/>
          <w:lang w:eastAsia="en-AU"/>
        </w:rPr>
        <w:t>The</w:t>
      </w:r>
      <w:r w:rsidR="005274B8" w:rsidRPr="00432323">
        <w:rPr>
          <w:rFonts w:ascii="Arial" w:eastAsia="Times New Roman" w:hAnsi="Arial" w:cs="Arial"/>
          <w:color w:val="000000"/>
          <w:szCs w:val="24"/>
          <w:lang w:eastAsia="en-AU"/>
        </w:rPr>
        <w:t xml:space="preserve"> Bill engages and promotes the following</w:t>
      </w:r>
      <w:r w:rsidRPr="00432323">
        <w:rPr>
          <w:rFonts w:ascii="Arial" w:eastAsia="Times New Roman" w:hAnsi="Arial" w:cs="Arial"/>
          <w:color w:val="000000"/>
          <w:szCs w:val="24"/>
          <w:lang w:eastAsia="en-AU"/>
        </w:rPr>
        <w:t xml:space="preserve"> </w:t>
      </w:r>
      <w:r w:rsidR="005274B8" w:rsidRPr="00432323">
        <w:rPr>
          <w:rFonts w:ascii="Arial" w:eastAsia="Times New Roman" w:hAnsi="Arial" w:cs="Arial"/>
          <w:color w:val="000000"/>
          <w:szCs w:val="24"/>
          <w:lang w:eastAsia="en-AU"/>
        </w:rPr>
        <w:t>rights</w:t>
      </w:r>
      <w:r w:rsidRPr="00432323">
        <w:rPr>
          <w:rFonts w:ascii="Arial" w:eastAsia="Times New Roman" w:hAnsi="Arial" w:cs="Arial"/>
          <w:color w:val="000000"/>
          <w:szCs w:val="24"/>
          <w:lang w:eastAsia="en-AU"/>
        </w:rPr>
        <w:t xml:space="preserve"> under the HR Act</w:t>
      </w:r>
      <w:r w:rsidR="005274B8" w:rsidRPr="00432323">
        <w:rPr>
          <w:rFonts w:ascii="Arial" w:eastAsia="Times New Roman" w:hAnsi="Arial" w:cs="Arial"/>
          <w:color w:val="000000"/>
          <w:szCs w:val="24"/>
          <w:lang w:eastAsia="en-AU"/>
        </w:rPr>
        <w:t>:</w:t>
      </w:r>
    </w:p>
    <w:p w14:paraId="7CABEE54" w14:textId="5785C61C" w:rsidR="00064F55" w:rsidRPr="00432323" w:rsidRDefault="00064F55" w:rsidP="004F778C">
      <w:pPr>
        <w:pStyle w:val="ListParagraph"/>
        <w:numPr>
          <w:ilvl w:val="0"/>
          <w:numId w:val="40"/>
        </w:numPr>
        <w:shd w:val="clear" w:color="auto" w:fill="FFFFFF"/>
        <w:spacing w:before="240" w:after="120" w:line="240" w:lineRule="auto"/>
        <w:rPr>
          <w:rFonts w:eastAsia="Times New Roman"/>
          <w:color w:val="000000"/>
          <w:sz w:val="24"/>
          <w:szCs w:val="24"/>
        </w:rPr>
      </w:pPr>
      <w:r w:rsidRPr="00432323">
        <w:rPr>
          <w:rFonts w:ascii="Arial" w:eastAsia="Times New Roman" w:hAnsi="Arial" w:cs="Arial"/>
          <w:color w:val="000000"/>
          <w:sz w:val="24"/>
          <w:szCs w:val="24"/>
        </w:rPr>
        <w:t>Section 18 – Right to liberty and security of person</w:t>
      </w:r>
    </w:p>
    <w:p w14:paraId="420E045A" w14:textId="4EC4C2A9" w:rsidR="001113A7" w:rsidRPr="00432323" w:rsidRDefault="001113A7" w:rsidP="004F778C">
      <w:pPr>
        <w:pStyle w:val="ListParagraph"/>
        <w:numPr>
          <w:ilvl w:val="0"/>
          <w:numId w:val="40"/>
        </w:numPr>
        <w:shd w:val="clear" w:color="auto" w:fill="FFFFFF"/>
        <w:spacing w:before="240" w:after="120" w:line="240" w:lineRule="auto"/>
        <w:rPr>
          <w:rFonts w:eastAsia="Times New Roman"/>
          <w:color w:val="000000"/>
          <w:sz w:val="24"/>
          <w:szCs w:val="24"/>
        </w:rPr>
      </w:pPr>
      <w:r w:rsidRPr="00432323">
        <w:rPr>
          <w:rFonts w:ascii="Arial" w:eastAsia="Times New Roman" w:hAnsi="Arial" w:cs="Arial"/>
          <w:color w:val="000000"/>
          <w:sz w:val="24"/>
          <w:szCs w:val="24"/>
        </w:rPr>
        <w:t xml:space="preserve">Section 21 – Right to a fair trial </w:t>
      </w:r>
    </w:p>
    <w:p w14:paraId="54F745AF" w14:textId="5E81FE89" w:rsidR="002732AA" w:rsidRPr="00432323" w:rsidRDefault="002732AA" w:rsidP="00186AF9">
      <w:pPr>
        <w:pStyle w:val="ListParagraph"/>
        <w:numPr>
          <w:ilvl w:val="0"/>
          <w:numId w:val="40"/>
        </w:numPr>
        <w:shd w:val="clear" w:color="auto" w:fill="FFFFFF"/>
        <w:spacing w:before="240" w:line="240" w:lineRule="auto"/>
        <w:rPr>
          <w:rFonts w:eastAsia="Times New Roman"/>
          <w:color w:val="000000"/>
          <w:sz w:val="24"/>
          <w:szCs w:val="24"/>
        </w:rPr>
      </w:pPr>
      <w:r w:rsidRPr="00432323">
        <w:rPr>
          <w:rFonts w:ascii="Arial" w:eastAsia="Times New Roman" w:hAnsi="Arial" w:cs="Arial"/>
          <w:color w:val="000000"/>
          <w:sz w:val="24"/>
          <w:szCs w:val="24"/>
        </w:rPr>
        <w:t>Section 22 – Rights in criminal proceedings</w:t>
      </w:r>
    </w:p>
    <w:p w14:paraId="1F7E5B25" w14:textId="39EA47B1" w:rsidR="00050155" w:rsidRPr="00432323" w:rsidRDefault="00050155" w:rsidP="00050155">
      <w:pPr>
        <w:rPr>
          <w:rFonts w:ascii="Arial" w:hAnsi="Arial" w:cs="Arial"/>
          <w:szCs w:val="24"/>
          <w:u w:val="single"/>
        </w:rPr>
      </w:pPr>
      <w:r w:rsidRPr="00432323">
        <w:rPr>
          <w:rFonts w:ascii="Arial" w:hAnsi="Arial" w:cs="Arial"/>
          <w:szCs w:val="24"/>
          <w:u w:val="single"/>
        </w:rPr>
        <w:t>Address an anomaly in timeframes in relation to the period for which a bail decision is stayed when an application is made for a review of bail (</w:t>
      </w:r>
      <w:r w:rsidRPr="00432323">
        <w:rPr>
          <w:rFonts w:ascii="Arial" w:hAnsi="Arial" w:cs="Arial"/>
          <w:i/>
          <w:iCs/>
          <w:szCs w:val="24"/>
          <w:u w:val="single"/>
        </w:rPr>
        <w:t>Bail Act 1992</w:t>
      </w:r>
      <w:r w:rsidRPr="00432323">
        <w:rPr>
          <w:rFonts w:ascii="Arial" w:hAnsi="Arial" w:cs="Arial"/>
          <w:szCs w:val="24"/>
          <w:u w:val="single"/>
        </w:rPr>
        <w:t xml:space="preserve">) </w:t>
      </w:r>
    </w:p>
    <w:p w14:paraId="64DBF62B" w14:textId="77777777" w:rsidR="008E0DE9" w:rsidRPr="00432323" w:rsidRDefault="00050155" w:rsidP="00050155">
      <w:pPr>
        <w:rPr>
          <w:rFonts w:ascii="Arial" w:hAnsi="Arial" w:cs="Arial"/>
          <w:szCs w:val="24"/>
        </w:rPr>
      </w:pPr>
      <w:r w:rsidRPr="00432323">
        <w:rPr>
          <w:rFonts w:ascii="Arial" w:hAnsi="Arial" w:cs="Arial"/>
          <w:szCs w:val="24"/>
        </w:rPr>
        <w:t>This amendment aligns the time that a bail decision is stayed when the DPP gives the court notice of a proposed application for a review of bail (24 hours) with the time allowed under the Bail Act for the DPP to make an application for a review of bail (2 hours</w:t>
      </w:r>
      <w:r w:rsidR="008E0DE9" w:rsidRPr="00432323">
        <w:rPr>
          <w:rFonts w:ascii="Arial" w:hAnsi="Arial" w:cs="Arial"/>
          <w:szCs w:val="24"/>
        </w:rPr>
        <w:t xml:space="preserve"> or by 10am on day if the decision is made after 4pm</w:t>
      </w:r>
      <w:r w:rsidRPr="00432323">
        <w:rPr>
          <w:rFonts w:ascii="Arial" w:hAnsi="Arial" w:cs="Arial"/>
          <w:szCs w:val="24"/>
        </w:rPr>
        <w:t xml:space="preserve">). </w:t>
      </w:r>
    </w:p>
    <w:p w14:paraId="4D7B4E24" w14:textId="74CD2415" w:rsidR="00050155" w:rsidRPr="00432323" w:rsidRDefault="00050155" w:rsidP="00050155">
      <w:pPr>
        <w:rPr>
          <w:rFonts w:ascii="Arial" w:hAnsi="Arial" w:cs="Arial"/>
          <w:szCs w:val="24"/>
        </w:rPr>
      </w:pPr>
      <w:r w:rsidRPr="00432323">
        <w:rPr>
          <w:rFonts w:ascii="Arial" w:hAnsi="Arial" w:cs="Arial"/>
          <w:szCs w:val="24"/>
        </w:rPr>
        <w:t>Section 44 of the Bail Act applies to the right of review of bail decisions for an accused person charged with a family violence offence or a serious offence.</w:t>
      </w:r>
      <w:r w:rsidR="00BD5092" w:rsidRPr="00432323">
        <w:rPr>
          <w:rFonts w:ascii="Arial" w:hAnsi="Arial" w:cs="Arial"/>
          <w:szCs w:val="24"/>
        </w:rPr>
        <w:t xml:space="preserve"> </w:t>
      </w:r>
      <w:r w:rsidRPr="00432323">
        <w:rPr>
          <w:rFonts w:ascii="Arial" w:hAnsi="Arial" w:cs="Arial"/>
          <w:szCs w:val="24"/>
        </w:rPr>
        <w:t>The Bill amends section 44(5)(b) of the Bail Act to provide that the operation of the bail decision is stayed until the first of the following happens: the DPP tells the court that made the decision that an application will not be made or the period for making the application and giving written notice of the application has ended.</w:t>
      </w:r>
      <w:r w:rsidR="008E0DE9" w:rsidRPr="00432323">
        <w:rPr>
          <w:rFonts w:ascii="Arial" w:hAnsi="Arial" w:cs="Arial"/>
          <w:szCs w:val="24"/>
        </w:rPr>
        <w:t xml:space="preserve"> Currently, section 44 allows for a bail decision to be stayed for up to 24 hours, even in circumstances where the DPP has decided not to pursue a review or has not met the timeframes required by section 44(3) to be able to advance an application for review. This amendment will align</w:t>
      </w:r>
      <w:r w:rsidR="00AF14C4" w:rsidRPr="00432323">
        <w:rPr>
          <w:rFonts w:ascii="Arial" w:hAnsi="Arial" w:cs="Arial"/>
          <w:szCs w:val="24"/>
        </w:rPr>
        <w:t xml:space="preserve"> timeframes for the stay</w:t>
      </w:r>
      <w:r w:rsidR="008E0DE9" w:rsidRPr="00432323">
        <w:rPr>
          <w:rFonts w:ascii="Arial" w:hAnsi="Arial" w:cs="Arial"/>
          <w:szCs w:val="24"/>
        </w:rPr>
        <w:t xml:space="preserve"> with the section 44(3) deadline, which in practice will allow a bail decision to take effect sooner than the current section 44(5)(b)</w:t>
      </w:r>
      <w:r w:rsidR="00AF14C4" w:rsidRPr="00432323">
        <w:rPr>
          <w:rFonts w:ascii="Arial" w:hAnsi="Arial" w:cs="Arial"/>
          <w:szCs w:val="24"/>
        </w:rPr>
        <w:t xml:space="preserve">, where </w:t>
      </w:r>
      <w:r w:rsidR="008E0DE9" w:rsidRPr="00432323">
        <w:rPr>
          <w:rFonts w:ascii="Arial" w:hAnsi="Arial" w:cs="Arial"/>
          <w:szCs w:val="24"/>
        </w:rPr>
        <w:t>the stay continue</w:t>
      </w:r>
      <w:r w:rsidR="00AF14C4" w:rsidRPr="00432323">
        <w:rPr>
          <w:rFonts w:ascii="Arial" w:hAnsi="Arial" w:cs="Arial"/>
          <w:szCs w:val="24"/>
        </w:rPr>
        <w:t>s</w:t>
      </w:r>
      <w:r w:rsidR="008E0DE9" w:rsidRPr="00432323">
        <w:rPr>
          <w:rFonts w:ascii="Arial" w:hAnsi="Arial" w:cs="Arial"/>
          <w:szCs w:val="24"/>
        </w:rPr>
        <w:t xml:space="preserve"> even in the event parties are aware an application for a review will not take place.    </w:t>
      </w:r>
      <w:r w:rsidRPr="00432323">
        <w:rPr>
          <w:rFonts w:ascii="Arial" w:hAnsi="Arial" w:cs="Arial"/>
          <w:szCs w:val="24"/>
        </w:rPr>
        <w:t xml:space="preserve"> </w:t>
      </w:r>
    </w:p>
    <w:p w14:paraId="0E71A1A9" w14:textId="22D5E210" w:rsidR="00050155" w:rsidRPr="00432323" w:rsidRDefault="00050155" w:rsidP="00050155">
      <w:pPr>
        <w:rPr>
          <w:rFonts w:ascii="Arial" w:hAnsi="Arial" w:cs="Arial"/>
          <w:szCs w:val="24"/>
        </w:rPr>
      </w:pPr>
      <w:r w:rsidRPr="00432323">
        <w:rPr>
          <w:rFonts w:ascii="Arial" w:hAnsi="Arial" w:cs="Arial"/>
          <w:szCs w:val="24"/>
        </w:rPr>
        <w:t xml:space="preserve">The amendment </w:t>
      </w:r>
      <w:r w:rsidR="00AF14C4" w:rsidRPr="00432323">
        <w:rPr>
          <w:rFonts w:ascii="Arial" w:hAnsi="Arial" w:cs="Arial"/>
          <w:szCs w:val="24"/>
        </w:rPr>
        <w:t xml:space="preserve">promotes the right to liberty (section 18 of the HR Act) by allowing a bail decision to be </w:t>
      </w:r>
      <w:r w:rsidR="00BD5092" w:rsidRPr="00432323">
        <w:rPr>
          <w:rFonts w:ascii="Arial" w:hAnsi="Arial" w:cs="Arial"/>
          <w:szCs w:val="24"/>
        </w:rPr>
        <w:t>affected</w:t>
      </w:r>
      <w:r w:rsidR="00AF14C4" w:rsidRPr="00432323">
        <w:rPr>
          <w:rFonts w:ascii="Arial" w:hAnsi="Arial" w:cs="Arial"/>
          <w:szCs w:val="24"/>
        </w:rPr>
        <w:t xml:space="preserve"> sooner (in recognition of the likelihood that the decisions </w:t>
      </w:r>
      <w:r w:rsidR="00BD5092" w:rsidRPr="00432323">
        <w:rPr>
          <w:rFonts w:ascii="Arial" w:hAnsi="Arial" w:cs="Arial"/>
          <w:szCs w:val="24"/>
        </w:rPr>
        <w:lastRenderedPageBreak/>
        <w:t xml:space="preserve">the </w:t>
      </w:r>
      <w:r w:rsidR="00AF14C4" w:rsidRPr="00432323">
        <w:rPr>
          <w:rFonts w:ascii="Arial" w:hAnsi="Arial" w:cs="Arial"/>
          <w:szCs w:val="24"/>
        </w:rPr>
        <w:t xml:space="preserve">DPP would seek to review are most likely to be grants of bail). It also promotes the </w:t>
      </w:r>
      <w:r w:rsidRPr="00432323">
        <w:rPr>
          <w:rFonts w:ascii="Arial" w:hAnsi="Arial" w:cs="Arial"/>
          <w:szCs w:val="24"/>
        </w:rPr>
        <w:t>rights in criminal proceedings (section 22 of the HR Act) by allowing a person to be tried without unreasonable delay</w:t>
      </w:r>
      <w:r w:rsidR="00AF14C4" w:rsidRPr="00432323">
        <w:rPr>
          <w:rFonts w:ascii="Arial" w:hAnsi="Arial" w:cs="Arial"/>
          <w:szCs w:val="24"/>
        </w:rPr>
        <w:t xml:space="preserve"> and the outcome of that ‘trial’ to take effect once it has been decided. </w:t>
      </w:r>
      <w:r w:rsidRPr="00432323">
        <w:rPr>
          <w:rFonts w:ascii="Arial" w:hAnsi="Arial" w:cs="Arial"/>
          <w:szCs w:val="24"/>
        </w:rPr>
        <w:t xml:space="preserve">The amendment does not limit rights. </w:t>
      </w:r>
    </w:p>
    <w:p w14:paraId="3F7A790C" w14:textId="55F71AF0" w:rsidR="00050155" w:rsidRPr="00432323" w:rsidRDefault="00050155" w:rsidP="00050155">
      <w:pPr>
        <w:rPr>
          <w:rFonts w:ascii="Arial" w:hAnsi="Arial" w:cs="Arial"/>
          <w:szCs w:val="24"/>
          <w:u w:val="single"/>
        </w:rPr>
      </w:pPr>
      <w:r w:rsidRPr="00432323">
        <w:rPr>
          <w:rFonts w:ascii="Arial" w:hAnsi="Arial" w:cs="Arial"/>
          <w:szCs w:val="24"/>
          <w:u w:val="single"/>
        </w:rPr>
        <w:t>Allow a non</w:t>
      </w:r>
      <w:r w:rsidR="0085687A" w:rsidRPr="00432323">
        <w:rPr>
          <w:rFonts w:ascii="Arial" w:hAnsi="Arial" w:cs="Arial"/>
          <w:szCs w:val="24"/>
          <w:u w:val="single"/>
        </w:rPr>
        <w:t>-</w:t>
      </w:r>
      <w:r w:rsidRPr="00432323">
        <w:rPr>
          <w:rFonts w:ascii="Arial" w:hAnsi="Arial" w:cs="Arial"/>
          <w:szCs w:val="24"/>
          <w:u w:val="single"/>
        </w:rPr>
        <w:t>parole period to be set for offences committed in custody (</w:t>
      </w:r>
      <w:r w:rsidRPr="00432323">
        <w:rPr>
          <w:rFonts w:ascii="Arial" w:hAnsi="Arial" w:cs="Arial"/>
          <w:i/>
          <w:iCs/>
          <w:szCs w:val="24"/>
          <w:u w:val="single"/>
        </w:rPr>
        <w:t>Crimes (Sentencing) Act 2005</w:t>
      </w:r>
      <w:r w:rsidRPr="00432323">
        <w:rPr>
          <w:rFonts w:ascii="Arial" w:hAnsi="Arial" w:cs="Arial"/>
          <w:szCs w:val="24"/>
          <w:u w:val="single"/>
        </w:rPr>
        <w:t>)</w:t>
      </w:r>
    </w:p>
    <w:p w14:paraId="58829D5F" w14:textId="2F3627EB" w:rsidR="00050155" w:rsidRPr="00432323" w:rsidRDefault="00050155" w:rsidP="00050155">
      <w:pPr>
        <w:rPr>
          <w:rFonts w:ascii="Arial" w:hAnsi="Arial" w:cs="Arial"/>
          <w:bCs/>
          <w:iCs/>
          <w:szCs w:val="24"/>
        </w:rPr>
      </w:pPr>
      <w:r w:rsidRPr="00432323">
        <w:rPr>
          <w:rFonts w:ascii="Arial" w:hAnsi="Arial" w:cs="Arial"/>
          <w:bCs/>
          <w:iCs/>
          <w:szCs w:val="24"/>
        </w:rPr>
        <w:t>This amendment engages and promotes the right to liberty and security of person (section 18 of the HR Act), as it will allow the court to set non</w:t>
      </w:r>
      <w:r w:rsidR="0085687A" w:rsidRPr="00432323">
        <w:rPr>
          <w:rFonts w:ascii="Arial" w:hAnsi="Arial" w:cs="Arial"/>
          <w:bCs/>
          <w:iCs/>
          <w:szCs w:val="24"/>
        </w:rPr>
        <w:t>-</w:t>
      </w:r>
      <w:r w:rsidRPr="00432323">
        <w:rPr>
          <w:rFonts w:ascii="Arial" w:hAnsi="Arial" w:cs="Arial"/>
          <w:bCs/>
          <w:iCs/>
          <w:szCs w:val="24"/>
        </w:rPr>
        <w:t xml:space="preserve">parole periods for sentences imposed for offences that occur in custody, based on consideration of individual circumstances and offending. </w:t>
      </w:r>
    </w:p>
    <w:p w14:paraId="25DC2173" w14:textId="2404D4A8" w:rsidR="00050155" w:rsidRPr="00432323" w:rsidRDefault="00050155" w:rsidP="00050155">
      <w:pPr>
        <w:rPr>
          <w:rFonts w:ascii="Arial" w:hAnsi="Arial" w:cs="Arial"/>
          <w:bCs/>
          <w:iCs/>
          <w:szCs w:val="24"/>
        </w:rPr>
      </w:pPr>
      <w:r w:rsidRPr="00432323">
        <w:rPr>
          <w:rFonts w:ascii="Arial" w:hAnsi="Arial" w:cs="Arial"/>
          <w:bCs/>
          <w:iCs/>
          <w:szCs w:val="24"/>
        </w:rPr>
        <w:t xml:space="preserve">This amendment repeals section 64 (2)(e) of the </w:t>
      </w:r>
      <w:r w:rsidRPr="00432323">
        <w:rPr>
          <w:rFonts w:ascii="Arial" w:hAnsi="Arial" w:cs="Arial"/>
          <w:bCs/>
          <w:i/>
          <w:szCs w:val="24"/>
        </w:rPr>
        <w:t>Crimes (Sentencing) Act 2005</w:t>
      </w:r>
      <w:r w:rsidRPr="00432323">
        <w:rPr>
          <w:rFonts w:ascii="Arial" w:hAnsi="Arial" w:cs="Arial"/>
          <w:bCs/>
          <w:iCs/>
          <w:szCs w:val="24"/>
        </w:rPr>
        <w:t>, which provid</w:t>
      </w:r>
      <w:r w:rsidR="00BD5092" w:rsidRPr="00432323">
        <w:rPr>
          <w:rFonts w:ascii="Arial" w:hAnsi="Arial" w:cs="Arial"/>
          <w:bCs/>
          <w:iCs/>
          <w:szCs w:val="24"/>
        </w:rPr>
        <w:t>es</w:t>
      </w:r>
      <w:r w:rsidRPr="00432323">
        <w:rPr>
          <w:rFonts w:ascii="Arial" w:hAnsi="Arial" w:cs="Arial"/>
          <w:bCs/>
          <w:iCs/>
          <w:szCs w:val="24"/>
        </w:rPr>
        <w:t xml:space="preserve"> that sentences of imprisonment for offences committed while in lawful custody are excluded sentences of imprisonment for Part 5.2, which governs the setting of non</w:t>
      </w:r>
      <w:r w:rsidR="0060424F" w:rsidRPr="00432323">
        <w:rPr>
          <w:rFonts w:ascii="Arial" w:hAnsi="Arial" w:cs="Arial"/>
          <w:bCs/>
          <w:iCs/>
          <w:szCs w:val="24"/>
        </w:rPr>
        <w:t>-</w:t>
      </w:r>
      <w:r w:rsidRPr="00432323">
        <w:rPr>
          <w:rFonts w:ascii="Arial" w:hAnsi="Arial" w:cs="Arial"/>
          <w:bCs/>
          <w:iCs/>
          <w:szCs w:val="24"/>
        </w:rPr>
        <w:t>parole periods.</w:t>
      </w:r>
      <w:r w:rsidR="00BD5092" w:rsidRPr="00432323">
        <w:rPr>
          <w:rFonts w:ascii="Arial" w:hAnsi="Arial" w:cs="Arial"/>
          <w:bCs/>
          <w:iCs/>
          <w:szCs w:val="24"/>
        </w:rPr>
        <w:t xml:space="preserve"> </w:t>
      </w:r>
      <w:r w:rsidRPr="00432323">
        <w:rPr>
          <w:rFonts w:ascii="Arial" w:hAnsi="Arial" w:cs="Arial"/>
          <w:bCs/>
          <w:iCs/>
          <w:szCs w:val="24"/>
        </w:rPr>
        <w:t>The repeal of section 64(2)(e) permits the court to set a non</w:t>
      </w:r>
      <w:r w:rsidR="0060424F" w:rsidRPr="00432323">
        <w:rPr>
          <w:rFonts w:ascii="Arial" w:hAnsi="Arial" w:cs="Arial"/>
          <w:bCs/>
          <w:iCs/>
          <w:szCs w:val="24"/>
        </w:rPr>
        <w:t>-</w:t>
      </w:r>
      <w:r w:rsidRPr="00432323">
        <w:rPr>
          <w:rFonts w:ascii="Arial" w:hAnsi="Arial" w:cs="Arial"/>
          <w:bCs/>
          <w:iCs/>
          <w:szCs w:val="24"/>
        </w:rPr>
        <w:t>parole period for a sentence of imprisonment imposed for an offence committed while in lawful custody.</w:t>
      </w:r>
    </w:p>
    <w:p w14:paraId="08FC0DC0" w14:textId="194044B3" w:rsidR="00050155" w:rsidRPr="00432323" w:rsidRDefault="00050155" w:rsidP="00050155">
      <w:pPr>
        <w:rPr>
          <w:rFonts w:ascii="Arial" w:hAnsi="Arial" w:cs="Arial"/>
          <w:bCs/>
          <w:iCs/>
          <w:szCs w:val="24"/>
        </w:rPr>
      </w:pPr>
      <w:r w:rsidRPr="00432323">
        <w:rPr>
          <w:rFonts w:ascii="Arial" w:hAnsi="Arial" w:cs="Arial"/>
          <w:bCs/>
          <w:iCs/>
          <w:szCs w:val="24"/>
        </w:rPr>
        <w:t xml:space="preserve">This amendment addresses the issue considered in </w:t>
      </w:r>
      <w:r w:rsidRPr="00432323">
        <w:rPr>
          <w:rFonts w:ascii="Arial" w:hAnsi="Arial" w:cs="Arial"/>
          <w:bCs/>
          <w:i/>
          <w:szCs w:val="24"/>
        </w:rPr>
        <w:t xml:space="preserve">Biddle v Gatherer </w:t>
      </w:r>
      <w:r w:rsidRPr="00432323">
        <w:rPr>
          <w:rFonts w:ascii="Arial" w:hAnsi="Arial" w:cs="Arial"/>
          <w:bCs/>
          <w:iCs/>
          <w:szCs w:val="24"/>
        </w:rPr>
        <w:t>[2021] ACTSC 236, in which Justice Loukas-Karlsson commented that “section 64 (2) (e) may require some legislative attention as to whether greater flexibility in sentencing is appropriate”</w:t>
      </w:r>
      <w:r w:rsidR="009F2913" w:rsidRPr="00432323">
        <w:rPr>
          <w:rFonts w:ascii="Arial" w:hAnsi="Arial" w:cs="Arial"/>
          <w:bCs/>
          <w:iCs/>
          <w:szCs w:val="24"/>
        </w:rPr>
        <w:t>.</w:t>
      </w:r>
    </w:p>
    <w:p w14:paraId="48A8317A" w14:textId="1F0617A5" w:rsidR="00050155" w:rsidRPr="00432323" w:rsidRDefault="00050155" w:rsidP="001B4D18">
      <w:pPr>
        <w:spacing w:after="0"/>
        <w:rPr>
          <w:rFonts w:ascii="Arial" w:hAnsi="Arial" w:cs="Arial"/>
          <w:b/>
          <w:i/>
          <w:szCs w:val="24"/>
        </w:rPr>
      </w:pPr>
      <w:r w:rsidRPr="00432323">
        <w:rPr>
          <w:rFonts w:ascii="Arial" w:hAnsi="Arial" w:cs="Arial"/>
          <w:bCs/>
          <w:iCs/>
          <w:szCs w:val="24"/>
        </w:rPr>
        <w:t xml:space="preserve">This amendment promotes the right to liberty and security of person by providing detainees who offend in custody with the opportunity to apply for parole, where the </w:t>
      </w:r>
      <w:r w:rsidR="00BD5092" w:rsidRPr="00432323">
        <w:rPr>
          <w:rFonts w:ascii="Arial" w:hAnsi="Arial" w:cs="Arial"/>
          <w:bCs/>
          <w:iCs/>
          <w:szCs w:val="24"/>
        </w:rPr>
        <w:t>c</w:t>
      </w:r>
      <w:r w:rsidRPr="00432323">
        <w:rPr>
          <w:rFonts w:ascii="Arial" w:hAnsi="Arial" w:cs="Arial"/>
          <w:bCs/>
          <w:iCs/>
          <w:szCs w:val="24"/>
        </w:rPr>
        <w:t>ourt is satisfied a non</w:t>
      </w:r>
      <w:r w:rsidR="0085687A" w:rsidRPr="00432323">
        <w:rPr>
          <w:rFonts w:ascii="Arial" w:hAnsi="Arial" w:cs="Arial"/>
          <w:bCs/>
          <w:iCs/>
          <w:szCs w:val="24"/>
        </w:rPr>
        <w:t>-</w:t>
      </w:r>
      <w:r w:rsidRPr="00432323">
        <w:rPr>
          <w:rFonts w:ascii="Arial" w:hAnsi="Arial" w:cs="Arial"/>
          <w:bCs/>
          <w:iCs/>
          <w:szCs w:val="24"/>
        </w:rPr>
        <w:t>parole period should be set when sentencing an offender. The amendment will allow the court to set a non</w:t>
      </w:r>
      <w:r w:rsidR="0060424F" w:rsidRPr="00432323">
        <w:rPr>
          <w:rFonts w:ascii="Arial" w:hAnsi="Arial" w:cs="Arial"/>
          <w:bCs/>
          <w:iCs/>
          <w:szCs w:val="24"/>
        </w:rPr>
        <w:t>-</w:t>
      </w:r>
      <w:r w:rsidRPr="00432323">
        <w:rPr>
          <w:rFonts w:ascii="Arial" w:hAnsi="Arial" w:cs="Arial"/>
          <w:bCs/>
          <w:iCs/>
          <w:szCs w:val="24"/>
        </w:rPr>
        <w:t xml:space="preserve">parole period in accordance with the requirements under sections 65 and 66 of the </w:t>
      </w:r>
      <w:r w:rsidRPr="00432323">
        <w:rPr>
          <w:rFonts w:ascii="Arial" w:hAnsi="Arial" w:cs="Arial"/>
          <w:bCs/>
          <w:i/>
          <w:szCs w:val="24"/>
        </w:rPr>
        <w:t>Crimes (Sentencing) Act 2005</w:t>
      </w:r>
      <w:r w:rsidRPr="00432323">
        <w:rPr>
          <w:rFonts w:ascii="Arial" w:hAnsi="Arial" w:cs="Arial"/>
          <w:bCs/>
          <w:iCs/>
          <w:szCs w:val="24"/>
        </w:rPr>
        <w:t>. The amendment will enable the court to determine the appropriateness and length of a non</w:t>
      </w:r>
      <w:r w:rsidR="0060424F" w:rsidRPr="00432323">
        <w:rPr>
          <w:rFonts w:ascii="Arial" w:hAnsi="Arial" w:cs="Arial"/>
          <w:bCs/>
          <w:iCs/>
          <w:szCs w:val="24"/>
        </w:rPr>
        <w:t>-</w:t>
      </w:r>
      <w:r w:rsidRPr="00432323">
        <w:rPr>
          <w:rFonts w:ascii="Arial" w:hAnsi="Arial" w:cs="Arial"/>
          <w:bCs/>
          <w:iCs/>
          <w:szCs w:val="24"/>
        </w:rPr>
        <w:t xml:space="preserve">parole period with regard to the individual circumstances of each detainee, and will facilitate the ability of detainees to become eligible for parole despite custodial offending. </w:t>
      </w:r>
    </w:p>
    <w:p w14:paraId="5E01CC9F" w14:textId="489A63A1" w:rsidR="002F0FD2" w:rsidRPr="00432323" w:rsidRDefault="001E4E37" w:rsidP="001E4E37">
      <w:pPr>
        <w:autoSpaceDE w:val="0"/>
        <w:autoSpaceDN w:val="0"/>
        <w:adjustRightInd w:val="0"/>
        <w:spacing w:before="240" w:after="120"/>
        <w:rPr>
          <w:rFonts w:ascii="Arial" w:hAnsi="Arial" w:cs="Arial"/>
          <w:b/>
          <w:szCs w:val="24"/>
        </w:rPr>
      </w:pPr>
      <w:r w:rsidRPr="00432323">
        <w:rPr>
          <w:rFonts w:ascii="Arial" w:hAnsi="Arial" w:cs="Arial"/>
          <w:b/>
          <w:szCs w:val="24"/>
        </w:rPr>
        <w:t>Rights Limited</w:t>
      </w:r>
    </w:p>
    <w:p w14:paraId="7C9E11BA" w14:textId="0C549283" w:rsidR="00BD5638" w:rsidRPr="00432323" w:rsidRDefault="004F778C" w:rsidP="005826F8">
      <w:pPr>
        <w:shd w:val="clear" w:color="auto" w:fill="FFFFFF"/>
        <w:spacing w:before="240" w:after="120" w:line="240" w:lineRule="auto"/>
        <w:rPr>
          <w:rFonts w:eastAsia="Times New Roman"/>
          <w:color w:val="000000"/>
          <w:szCs w:val="24"/>
          <w:lang w:eastAsia="en-AU"/>
        </w:rPr>
      </w:pPr>
      <w:bookmarkStart w:id="11" w:name="_Hlk146105539"/>
      <w:r w:rsidRPr="00432323">
        <w:rPr>
          <w:rFonts w:ascii="Arial" w:eastAsia="Times New Roman" w:hAnsi="Arial" w:cs="Arial"/>
          <w:color w:val="000000"/>
          <w:szCs w:val="24"/>
          <w:lang w:eastAsia="en-AU"/>
        </w:rPr>
        <w:t>The</w:t>
      </w:r>
      <w:r w:rsidR="005274B8" w:rsidRPr="00432323">
        <w:rPr>
          <w:rFonts w:ascii="Arial" w:eastAsia="Times New Roman" w:hAnsi="Arial" w:cs="Arial"/>
          <w:color w:val="000000"/>
          <w:szCs w:val="24"/>
          <w:lang w:eastAsia="en-AU"/>
        </w:rPr>
        <w:t xml:space="preserve"> Bill engages and limits the </w:t>
      </w:r>
      <w:r w:rsidRPr="00432323">
        <w:rPr>
          <w:rFonts w:ascii="Arial" w:eastAsia="Times New Roman" w:hAnsi="Arial" w:cs="Arial"/>
          <w:color w:val="000000"/>
          <w:szCs w:val="24"/>
          <w:lang w:eastAsia="en-AU"/>
        </w:rPr>
        <w:t xml:space="preserve">following rights under the HR Act: </w:t>
      </w:r>
    </w:p>
    <w:p w14:paraId="2C04BBFA" w14:textId="5839A2DB" w:rsidR="00556C84" w:rsidRPr="00432323" w:rsidRDefault="00556C84" w:rsidP="004F778C">
      <w:pPr>
        <w:pStyle w:val="ListParagraph"/>
        <w:numPr>
          <w:ilvl w:val="0"/>
          <w:numId w:val="41"/>
        </w:numPr>
        <w:shd w:val="clear" w:color="auto" w:fill="FFFFFF"/>
        <w:spacing w:before="240" w:after="120" w:line="240" w:lineRule="auto"/>
        <w:rPr>
          <w:rFonts w:eastAsia="Times New Roman"/>
          <w:color w:val="000000"/>
          <w:sz w:val="24"/>
          <w:szCs w:val="24"/>
        </w:rPr>
      </w:pPr>
      <w:r w:rsidRPr="00432323">
        <w:rPr>
          <w:rFonts w:ascii="Arial" w:eastAsia="Times New Roman" w:hAnsi="Arial" w:cs="Arial"/>
          <w:color w:val="000000"/>
          <w:sz w:val="24"/>
          <w:szCs w:val="24"/>
        </w:rPr>
        <w:t xml:space="preserve">Section 12 – Right to privacy and reputation </w:t>
      </w:r>
    </w:p>
    <w:bookmarkEnd w:id="11"/>
    <w:p w14:paraId="689BDB44" w14:textId="117DF7E2" w:rsidR="00556C84" w:rsidRPr="00432323" w:rsidRDefault="00556C84" w:rsidP="004F778C">
      <w:pPr>
        <w:pStyle w:val="ListParagraph"/>
        <w:numPr>
          <w:ilvl w:val="0"/>
          <w:numId w:val="41"/>
        </w:numPr>
        <w:shd w:val="clear" w:color="auto" w:fill="FFFFFF"/>
        <w:spacing w:before="240" w:after="120" w:line="240" w:lineRule="auto"/>
        <w:rPr>
          <w:rFonts w:eastAsia="Times New Roman"/>
          <w:color w:val="000000"/>
          <w:sz w:val="24"/>
          <w:szCs w:val="24"/>
        </w:rPr>
      </w:pPr>
      <w:r w:rsidRPr="00432323">
        <w:rPr>
          <w:rFonts w:ascii="Arial" w:eastAsia="Times New Roman" w:hAnsi="Arial" w:cs="Arial"/>
          <w:color w:val="000000"/>
          <w:sz w:val="24"/>
          <w:szCs w:val="24"/>
        </w:rPr>
        <w:t>Section 18 – Right to liberty and security of person</w:t>
      </w:r>
    </w:p>
    <w:p w14:paraId="289B648E" w14:textId="58605460" w:rsidR="00DF086F" w:rsidRPr="00432323" w:rsidRDefault="00DF086F" w:rsidP="00DF086F">
      <w:pPr>
        <w:pStyle w:val="ListParagraph"/>
        <w:numPr>
          <w:ilvl w:val="0"/>
          <w:numId w:val="41"/>
        </w:numPr>
        <w:shd w:val="clear" w:color="auto" w:fill="FFFFFF"/>
        <w:spacing w:before="240" w:after="120" w:line="240" w:lineRule="auto"/>
        <w:rPr>
          <w:rFonts w:eastAsia="Times New Roman"/>
          <w:color w:val="000000"/>
          <w:sz w:val="24"/>
          <w:szCs w:val="24"/>
        </w:rPr>
      </w:pPr>
      <w:r w:rsidRPr="00432323">
        <w:rPr>
          <w:rFonts w:ascii="Arial" w:eastAsia="Times New Roman" w:hAnsi="Arial" w:cs="Arial"/>
          <w:color w:val="000000"/>
          <w:sz w:val="24"/>
          <w:szCs w:val="24"/>
        </w:rPr>
        <w:t xml:space="preserve">Section 21 – Right to a fair trial </w:t>
      </w:r>
    </w:p>
    <w:p w14:paraId="3001DC65" w14:textId="54CB1722" w:rsidR="001113A7" w:rsidRPr="00432323" w:rsidRDefault="001113A7" w:rsidP="004F778C">
      <w:pPr>
        <w:pStyle w:val="ListParagraph"/>
        <w:numPr>
          <w:ilvl w:val="0"/>
          <w:numId w:val="41"/>
        </w:numPr>
        <w:shd w:val="clear" w:color="auto" w:fill="FFFFFF"/>
        <w:spacing w:before="240" w:after="120" w:line="240" w:lineRule="auto"/>
        <w:rPr>
          <w:rFonts w:eastAsia="Times New Roman"/>
          <w:color w:val="000000"/>
          <w:sz w:val="24"/>
          <w:szCs w:val="24"/>
        </w:rPr>
      </w:pPr>
      <w:r w:rsidRPr="00432323">
        <w:rPr>
          <w:rFonts w:ascii="Arial" w:eastAsia="Times New Roman" w:hAnsi="Arial" w:cs="Arial"/>
          <w:color w:val="000000"/>
          <w:sz w:val="24"/>
          <w:szCs w:val="24"/>
        </w:rPr>
        <w:t xml:space="preserve">Section 22 – Rights in criminal proceedings </w:t>
      </w:r>
    </w:p>
    <w:p w14:paraId="39A7A1CD" w14:textId="38C04915" w:rsidR="005274B8" w:rsidRPr="00432323" w:rsidRDefault="005274B8" w:rsidP="005274B8">
      <w:pPr>
        <w:shd w:val="clear" w:color="auto" w:fill="FFFFFF"/>
        <w:spacing w:before="240" w:after="120" w:line="240" w:lineRule="auto"/>
        <w:rPr>
          <w:rFonts w:eastAsia="Times New Roman"/>
          <w:color w:val="000000"/>
          <w:szCs w:val="24"/>
          <w:lang w:eastAsia="en-AU"/>
        </w:rPr>
      </w:pPr>
      <w:r w:rsidRPr="00432323">
        <w:rPr>
          <w:rFonts w:ascii="Arial" w:eastAsia="Times New Roman" w:hAnsi="Arial" w:cs="Arial"/>
          <w:color w:val="000000"/>
          <w:szCs w:val="24"/>
          <w:lang w:eastAsia="en-AU"/>
        </w:rPr>
        <w:lastRenderedPageBreak/>
        <w:t>The preamble to the HR Act notes that few rights are absolute and that they may be subject only to the reasonable limits in law that can be demonstrably justified in a free and democratic society. Section 28(2) of the HR Act contains the framework that is used to determine the acceptable limitations that may be placed on human rights.</w:t>
      </w:r>
    </w:p>
    <w:p w14:paraId="78074105" w14:textId="1937C805" w:rsidR="00204660" w:rsidRPr="00432323" w:rsidRDefault="00204660" w:rsidP="00204660">
      <w:pPr>
        <w:rPr>
          <w:rFonts w:ascii="Arial" w:hAnsi="Arial" w:cs="Arial"/>
          <w:szCs w:val="24"/>
          <w:u w:val="single"/>
        </w:rPr>
      </w:pPr>
      <w:r w:rsidRPr="00432323">
        <w:rPr>
          <w:rFonts w:ascii="Arial" w:hAnsi="Arial" w:cs="Arial"/>
          <w:szCs w:val="24"/>
          <w:u w:val="single"/>
        </w:rPr>
        <w:t>Improve enforceability of infringement notice offences (</w:t>
      </w:r>
      <w:r w:rsidRPr="00432323">
        <w:rPr>
          <w:rFonts w:ascii="Arial" w:hAnsi="Arial" w:cs="Arial"/>
          <w:i/>
          <w:iCs/>
          <w:szCs w:val="24"/>
          <w:u w:val="single"/>
        </w:rPr>
        <w:t xml:space="preserve">Magistrates Court </w:t>
      </w:r>
      <w:r w:rsidR="00DD4D32" w:rsidRPr="00432323">
        <w:rPr>
          <w:rFonts w:ascii="Arial" w:hAnsi="Arial" w:cs="Arial"/>
          <w:i/>
          <w:iCs/>
          <w:szCs w:val="24"/>
          <w:u w:val="single"/>
        </w:rPr>
        <w:t>Act 1930</w:t>
      </w:r>
      <w:r w:rsidR="00DD4D32" w:rsidRPr="00432323">
        <w:rPr>
          <w:rFonts w:ascii="Arial" w:hAnsi="Arial" w:cs="Arial"/>
          <w:szCs w:val="24"/>
          <w:u w:val="single"/>
        </w:rPr>
        <w:t>)</w:t>
      </w:r>
    </w:p>
    <w:p w14:paraId="66E6E39D" w14:textId="54427B19" w:rsidR="00E172AA" w:rsidRPr="00432323" w:rsidRDefault="00E172AA" w:rsidP="00874F6A">
      <w:pPr>
        <w:rPr>
          <w:rFonts w:ascii="Arial" w:hAnsi="Arial" w:cs="Arial"/>
          <w:b/>
          <w:i/>
          <w:szCs w:val="24"/>
        </w:rPr>
      </w:pPr>
      <w:r w:rsidRPr="00432323">
        <w:rPr>
          <w:rFonts w:ascii="Arial" w:hAnsi="Arial" w:cs="Arial"/>
          <w:szCs w:val="24"/>
        </w:rPr>
        <w:t>Th</w:t>
      </w:r>
      <w:r w:rsidR="00556C84" w:rsidRPr="00432323">
        <w:rPr>
          <w:rFonts w:ascii="Arial" w:hAnsi="Arial" w:cs="Arial"/>
          <w:szCs w:val="24"/>
        </w:rPr>
        <w:t>is</w:t>
      </w:r>
      <w:r w:rsidRPr="00432323">
        <w:rPr>
          <w:rFonts w:ascii="Arial" w:hAnsi="Arial" w:cs="Arial"/>
          <w:szCs w:val="24"/>
        </w:rPr>
        <w:t xml:space="preserve"> amendment </w:t>
      </w:r>
      <w:r w:rsidR="00556C84" w:rsidRPr="00432323">
        <w:rPr>
          <w:rFonts w:ascii="Arial" w:hAnsi="Arial" w:cs="Arial"/>
          <w:szCs w:val="24"/>
        </w:rPr>
        <w:t>improves</w:t>
      </w:r>
      <w:r w:rsidRPr="00432323">
        <w:rPr>
          <w:rFonts w:ascii="Arial" w:hAnsi="Arial" w:cs="Arial"/>
          <w:szCs w:val="24"/>
        </w:rPr>
        <w:t xml:space="preserve"> the enforceabili</w:t>
      </w:r>
      <w:r w:rsidR="00F21F2E" w:rsidRPr="00432323">
        <w:rPr>
          <w:rFonts w:ascii="Arial" w:hAnsi="Arial" w:cs="Arial"/>
          <w:szCs w:val="24"/>
        </w:rPr>
        <w:t xml:space="preserve">ty of infringement notice offences </w:t>
      </w:r>
      <w:r w:rsidR="00556C84" w:rsidRPr="00432323">
        <w:rPr>
          <w:rFonts w:ascii="Arial" w:hAnsi="Arial" w:cs="Arial"/>
          <w:szCs w:val="24"/>
        </w:rPr>
        <w:t xml:space="preserve">and </w:t>
      </w:r>
      <w:r w:rsidR="00F21F2E" w:rsidRPr="00432323">
        <w:rPr>
          <w:rFonts w:ascii="Arial" w:hAnsi="Arial" w:cs="Arial"/>
          <w:szCs w:val="24"/>
        </w:rPr>
        <w:t xml:space="preserve">builds on the work of the </w:t>
      </w:r>
      <w:r w:rsidR="00F21F2E" w:rsidRPr="00432323">
        <w:rPr>
          <w:rFonts w:ascii="Arial" w:hAnsi="Arial" w:cs="Arial"/>
          <w:i/>
          <w:iCs/>
          <w:szCs w:val="24"/>
        </w:rPr>
        <w:t>Magistrates Court (Infringement Notice) Amendment Act 2020</w:t>
      </w:r>
      <w:r w:rsidR="00F21F2E" w:rsidRPr="00432323">
        <w:rPr>
          <w:rFonts w:ascii="Arial" w:hAnsi="Arial" w:cs="Arial"/>
          <w:szCs w:val="24"/>
        </w:rPr>
        <w:t>, which has not yet commenced</w:t>
      </w:r>
      <w:r w:rsidRPr="00432323">
        <w:rPr>
          <w:rFonts w:ascii="Arial" w:hAnsi="Arial" w:cs="Arial"/>
          <w:szCs w:val="24"/>
        </w:rPr>
        <w:t>.</w:t>
      </w:r>
      <w:r w:rsidR="00556C84" w:rsidRPr="00432323">
        <w:rPr>
          <w:rFonts w:ascii="Arial" w:hAnsi="Arial" w:cs="Arial"/>
          <w:szCs w:val="24"/>
        </w:rPr>
        <w:t xml:space="preserve"> </w:t>
      </w:r>
      <w:r w:rsidR="00F21F2E" w:rsidRPr="00432323">
        <w:rPr>
          <w:rFonts w:ascii="Arial" w:hAnsi="Arial" w:cs="Arial"/>
          <w:szCs w:val="24"/>
        </w:rPr>
        <w:t>The framework operates by finding alternative options for people to pay penalties for infringement notices, including through undertaking approved social work.</w:t>
      </w:r>
    </w:p>
    <w:p w14:paraId="11B5F12B" w14:textId="720CC2E9" w:rsidR="00E172AA" w:rsidRPr="00432323" w:rsidRDefault="00B31B95" w:rsidP="00874F6A">
      <w:pPr>
        <w:rPr>
          <w:rFonts w:ascii="Arial" w:hAnsi="Arial" w:cs="Arial"/>
          <w:szCs w:val="24"/>
        </w:rPr>
      </w:pPr>
      <w:r w:rsidRPr="00432323">
        <w:rPr>
          <w:rFonts w:ascii="Arial" w:hAnsi="Arial" w:cs="Arial"/>
          <w:szCs w:val="24"/>
        </w:rPr>
        <w:t>Where people are seeking alternative options for repaying infringement notices</w:t>
      </w:r>
      <w:r w:rsidR="00F21F2E" w:rsidRPr="00432323">
        <w:rPr>
          <w:rFonts w:ascii="Arial" w:hAnsi="Arial" w:cs="Arial"/>
          <w:szCs w:val="24"/>
        </w:rPr>
        <w:t xml:space="preserve">, the framework requires the person making the application to provide details about their circumstances and financial </w:t>
      </w:r>
      <w:r w:rsidR="00556C84" w:rsidRPr="00432323">
        <w:rPr>
          <w:rFonts w:ascii="Arial" w:hAnsi="Arial" w:cs="Arial"/>
          <w:szCs w:val="24"/>
        </w:rPr>
        <w:t>situation.</w:t>
      </w:r>
      <w:r w:rsidR="00BD5092" w:rsidRPr="00432323">
        <w:rPr>
          <w:rFonts w:ascii="Arial" w:hAnsi="Arial" w:cs="Arial"/>
          <w:szCs w:val="24"/>
        </w:rPr>
        <w:t xml:space="preserve"> </w:t>
      </w:r>
      <w:r w:rsidR="00556C84" w:rsidRPr="00432323">
        <w:rPr>
          <w:rFonts w:ascii="Arial" w:hAnsi="Arial" w:cs="Arial"/>
          <w:szCs w:val="24"/>
        </w:rPr>
        <w:t>The</w:t>
      </w:r>
      <w:r w:rsidR="00F21F2E" w:rsidRPr="00432323">
        <w:rPr>
          <w:rFonts w:ascii="Arial" w:hAnsi="Arial" w:cs="Arial"/>
          <w:szCs w:val="24"/>
        </w:rPr>
        <w:t xml:space="preserve"> new provisions </w:t>
      </w:r>
      <w:r w:rsidR="00BD5092" w:rsidRPr="00432323">
        <w:rPr>
          <w:rFonts w:ascii="Arial" w:hAnsi="Arial" w:cs="Arial"/>
          <w:szCs w:val="24"/>
        </w:rPr>
        <w:t xml:space="preserve">will </w:t>
      </w:r>
      <w:r w:rsidR="00F21F2E" w:rsidRPr="00432323">
        <w:rPr>
          <w:rFonts w:ascii="Arial" w:hAnsi="Arial" w:cs="Arial"/>
          <w:szCs w:val="24"/>
        </w:rPr>
        <w:t>provid</w:t>
      </w:r>
      <w:r w:rsidR="00AB6D01" w:rsidRPr="00432323">
        <w:rPr>
          <w:rFonts w:ascii="Arial" w:hAnsi="Arial" w:cs="Arial"/>
          <w:szCs w:val="24"/>
        </w:rPr>
        <w:t>e</w:t>
      </w:r>
      <w:r w:rsidR="00F21F2E" w:rsidRPr="00432323">
        <w:rPr>
          <w:rFonts w:ascii="Arial" w:hAnsi="Arial" w:cs="Arial"/>
          <w:szCs w:val="24"/>
        </w:rPr>
        <w:t xml:space="preserve"> an opportunity to persons on infringement notice management plans to provide additional information about their circumstances and financial situation </w:t>
      </w:r>
      <w:r w:rsidR="00AB6D01" w:rsidRPr="00432323">
        <w:rPr>
          <w:rFonts w:ascii="Arial" w:hAnsi="Arial" w:cs="Arial"/>
          <w:szCs w:val="24"/>
        </w:rPr>
        <w:t>(such as if they hold a concession card or</w:t>
      </w:r>
      <w:r w:rsidR="00BD5092" w:rsidRPr="00432323">
        <w:rPr>
          <w:rFonts w:ascii="Arial" w:hAnsi="Arial" w:cs="Arial"/>
          <w:szCs w:val="24"/>
        </w:rPr>
        <w:t xml:space="preserve"> about</w:t>
      </w:r>
      <w:r w:rsidR="00AB6D01" w:rsidRPr="00432323">
        <w:rPr>
          <w:rFonts w:ascii="Arial" w:hAnsi="Arial" w:cs="Arial"/>
          <w:szCs w:val="24"/>
        </w:rPr>
        <w:t xml:space="preserve"> their suitability to participate in community work) </w:t>
      </w:r>
      <w:r w:rsidR="00F21F2E" w:rsidRPr="00432323">
        <w:rPr>
          <w:rFonts w:ascii="Arial" w:hAnsi="Arial" w:cs="Arial"/>
          <w:szCs w:val="24"/>
        </w:rPr>
        <w:t xml:space="preserve">ahead of the administering authority cancelling the plan. </w:t>
      </w:r>
    </w:p>
    <w:p w14:paraId="3AC097FD" w14:textId="6E9E4945" w:rsidR="00F21F2E" w:rsidRPr="00432323" w:rsidRDefault="00B31B95" w:rsidP="00F21F2E">
      <w:pPr>
        <w:rPr>
          <w:rFonts w:ascii="Arial" w:hAnsi="Arial" w:cs="Arial"/>
          <w:bCs/>
          <w:iCs/>
          <w:szCs w:val="24"/>
        </w:rPr>
      </w:pPr>
      <w:r w:rsidRPr="00432323">
        <w:rPr>
          <w:rFonts w:ascii="Arial" w:hAnsi="Arial" w:cs="Arial"/>
          <w:bCs/>
          <w:iCs/>
          <w:szCs w:val="24"/>
        </w:rPr>
        <w:t>This approach engages</w:t>
      </w:r>
      <w:r w:rsidR="0085687A" w:rsidRPr="00432323">
        <w:rPr>
          <w:rFonts w:ascii="Arial" w:hAnsi="Arial" w:cs="Arial"/>
          <w:bCs/>
          <w:iCs/>
          <w:szCs w:val="24"/>
        </w:rPr>
        <w:t>, but does not limit,</w:t>
      </w:r>
      <w:r w:rsidR="00F21F2E" w:rsidRPr="00432323">
        <w:rPr>
          <w:rFonts w:ascii="Arial" w:hAnsi="Arial" w:cs="Arial"/>
          <w:bCs/>
          <w:iCs/>
          <w:szCs w:val="24"/>
        </w:rPr>
        <w:t xml:space="preserve"> the right to privacy and reputation (section 12</w:t>
      </w:r>
      <w:r w:rsidR="00556C84" w:rsidRPr="00432323">
        <w:rPr>
          <w:rFonts w:ascii="Arial" w:hAnsi="Arial" w:cs="Arial"/>
          <w:bCs/>
          <w:iCs/>
          <w:szCs w:val="24"/>
        </w:rPr>
        <w:t xml:space="preserve"> of the HR Act).</w:t>
      </w:r>
      <w:r w:rsidR="00F21F2E" w:rsidRPr="00432323">
        <w:rPr>
          <w:rFonts w:ascii="Arial" w:hAnsi="Arial" w:cs="Arial"/>
          <w:bCs/>
          <w:iCs/>
          <w:szCs w:val="24"/>
        </w:rPr>
        <w:t xml:space="preserve"> </w:t>
      </w:r>
      <w:r w:rsidR="0040240C" w:rsidRPr="00432323">
        <w:rPr>
          <w:rFonts w:ascii="Arial" w:hAnsi="Arial" w:cs="Arial"/>
          <w:bCs/>
          <w:iCs/>
          <w:szCs w:val="24"/>
        </w:rPr>
        <w:t>The relevant aspects of this right are expressed as the right ‘not to have his or her privacy, family, home or correspondence interfered with unlawfully or arbitrarily’ and ‘not to have his or her reputation unlawfully attacked’.</w:t>
      </w:r>
    </w:p>
    <w:p w14:paraId="5C7B7968" w14:textId="6D137A68" w:rsidR="0040240C" w:rsidRPr="00432323" w:rsidRDefault="0040240C" w:rsidP="00F21F2E">
      <w:pPr>
        <w:rPr>
          <w:rFonts w:ascii="Arial" w:hAnsi="Arial" w:cs="Arial"/>
          <w:bCs/>
          <w:iCs/>
          <w:szCs w:val="24"/>
        </w:rPr>
      </w:pPr>
      <w:r w:rsidRPr="00432323">
        <w:rPr>
          <w:rFonts w:ascii="Arial" w:hAnsi="Arial" w:cs="Arial"/>
          <w:bCs/>
          <w:iCs/>
          <w:szCs w:val="24"/>
        </w:rPr>
        <w:t xml:space="preserve">The requests for information will be supported by law, and </w:t>
      </w:r>
      <w:r w:rsidR="00B31B95" w:rsidRPr="00432323">
        <w:rPr>
          <w:rFonts w:ascii="Arial" w:hAnsi="Arial" w:cs="Arial"/>
          <w:bCs/>
          <w:iCs/>
          <w:szCs w:val="24"/>
        </w:rPr>
        <w:t>the opportunity to provide the information is not mandatory. The request for information provided for in the amendment does not put the person in a more disadvantageous position than they are upon receiving an infringement notice in the first place. In collecting, using and storing any information the administering authority would be required to act in accordance with existing ACT information protection and privacy legislation.</w:t>
      </w:r>
    </w:p>
    <w:p w14:paraId="783EBBA9" w14:textId="6D7C7027" w:rsidR="00204660" w:rsidRPr="00432323" w:rsidRDefault="00204660" w:rsidP="00204660">
      <w:pPr>
        <w:rPr>
          <w:rFonts w:ascii="Arial" w:hAnsi="Arial" w:cs="Arial"/>
          <w:szCs w:val="24"/>
          <w:u w:val="single"/>
        </w:rPr>
      </w:pPr>
      <w:r w:rsidRPr="00432323">
        <w:rPr>
          <w:rFonts w:ascii="Arial" w:hAnsi="Arial" w:cs="Arial"/>
          <w:szCs w:val="24"/>
          <w:u w:val="single"/>
        </w:rPr>
        <w:t>Introduce</w:t>
      </w:r>
      <w:r w:rsidR="0039350B" w:rsidRPr="00432323">
        <w:rPr>
          <w:rFonts w:ascii="Arial" w:hAnsi="Arial" w:cs="Arial"/>
          <w:szCs w:val="24"/>
          <w:u w:val="single"/>
        </w:rPr>
        <w:t xml:space="preserve"> the</w:t>
      </w:r>
      <w:r w:rsidRPr="00432323">
        <w:rPr>
          <w:rFonts w:ascii="Arial" w:hAnsi="Arial" w:cs="Arial"/>
          <w:szCs w:val="24"/>
          <w:u w:val="single"/>
        </w:rPr>
        <w:t xml:space="preserve"> offence </w:t>
      </w:r>
      <w:r w:rsidR="0039350B" w:rsidRPr="00432323">
        <w:rPr>
          <w:rFonts w:ascii="Arial" w:hAnsi="Arial" w:cs="Arial"/>
          <w:szCs w:val="24"/>
          <w:u w:val="single"/>
        </w:rPr>
        <w:t xml:space="preserve">of improper inquiry by </w:t>
      </w:r>
      <w:r w:rsidRPr="00432323">
        <w:rPr>
          <w:rFonts w:ascii="Arial" w:hAnsi="Arial" w:cs="Arial"/>
          <w:szCs w:val="24"/>
          <w:u w:val="single"/>
        </w:rPr>
        <w:t>juror (</w:t>
      </w:r>
      <w:r w:rsidRPr="00432323">
        <w:rPr>
          <w:rFonts w:ascii="Arial" w:hAnsi="Arial" w:cs="Arial"/>
          <w:i/>
          <w:iCs/>
          <w:szCs w:val="24"/>
          <w:u w:val="single"/>
        </w:rPr>
        <w:t>Juries Act 1967</w:t>
      </w:r>
      <w:r w:rsidRPr="00432323">
        <w:rPr>
          <w:rFonts w:ascii="Arial" w:hAnsi="Arial" w:cs="Arial"/>
          <w:szCs w:val="24"/>
          <w:u w:val="single"/>
        </w:rPr>
        <w:t>)</w:t>
      </w:r>
    </w:p>
    <w:p w14:paraId="79EDB9E2" w14:textId="4D4E784F" w:rsidR="0039350B" w:rsidRPr="00432323" w:rsidRDefault="0039350B" w:rsidP="00204660">
      <w:pPr>
        <w:rPr>
          <w:rFonts w:ascii="Arial" w:hAnsi="Arial" w:cs="Arial"/>
          <w:szCs w:val="24"/>
        </w:rPr>
      </w:pPr>
      <w:r w:rsidRPr="00432323">
        <w:rPr>
          <w:rFonts w:ascii="Arial" w:hAnsi="Arial" w:cs="Arial"/>
          <w:szCs w:val="24"/>
        </w:rPr>
        <w:t xml:space="preserve">The amendment makes it an offence for a sworn jury member to make inquiries about matters relevant to a criminal trial, without the authorisation of the court. This </w:t>
      </w:r>
      <w:r w:rsidR="00BD5092" w:rsidRPr="00432323">
        <w:rPr>
          <w:rFonts w:ascii="Arial" w:hAnsi="Arial" w:cs="Arial"/>
          <w:szCs w:val="24"/>
        </w:rPr>
        <w:t xml:space="preserve">amendment </w:t>
      </w:r>
      <w:r w:rsidRPr="00432323">
        <w:rPr>
          <w:rFonts w:ascii="Arial" w:hAnsi="Arial" w:cs="Arial"/>
          <w:szCs w:val="24"/>
        </w:rPr>
        <w:t>is</w:t>
      </w:r>
      <w:r w:rsidR="00BD5092" w:rsidRPr="00432323">
        <w:rPr>
          <w:rFonts w:ascii="Arial" w:hAnsi="Arial" w:cs="Arial"/>
          <w:szCs w:val="24"/>
        </w:rPr>
        <w:t xml:space="preserve"> intended</w:t>
      </w:r>
      <w:r w:rsidRPr="00432323">
        <w:rPr>
          <w:rFonts w:ascii="Arial" w:hAnsi="Arial" w:cs="Arial"/>
          <w:szCs w:val="24"/>
        </w:rPr>
        <w:t xml:space="preserve"> to prevent information or evidence that has not been tested in the courtroom being considered during jury deliberations. The offence does not apply to someone making an inquiry with the authorisation of the court.</w:t>
      </w:r>
    </w:p>
    <w:p w14:paraId="1119B0B1" w14:textId="60270A8C" w:rsidR="00874F6A" w:rsidRPr="00432323" w:rsidRDefault="00874F6A" w:rsidP="00874F6A">
      <w:pPr>
        <w:rPr>
          <w:rFonts w:ascii="Arial" w:hAnsi="Arial" w:cs="Arial"/>
          <w:b/>
          <w:i/>
          <w:szCs w:val="24"/>
        </w:rPr>
      </w:pPr>
      <w:r w:rsidRPr="00432323">
        <w:rPr>
          <w:rFonts w:ascii="Arial" w:hAnsi="Arial" w:cs="Arial"/>
          <w:b/>
          <w:i/>
          <w:szCs w:val="24"/>
        </w:rPr>
        <w:t>1. Nature of the right and the limitation (s 28 (2) (a) and (c))</w:t>
      </w:r>
    </w:p>
    <w:p w14:paraId="7322114F" w14:textId="4644AB30" w:rsidR="0039350B" w:rsidRPr="00432323" w:rsidRDefault="0039350B" w:rsidP="0039350B">
      <w:pPr>
        <w:rPr>
          <w:rFonts w:ascii="Arial" w:hAnsi="Arial" w:cs="Arial"/>
          <w:szCs w:val="24"/>
        </w:rPr>
      </w:pPr>
      <w:r w:rsidRPr="00432323">
        <w:rPr>
          <w:rFonts w:ascii="Arial" w:hAnsi="Arial" w:cs="Arial"/>
          <w:szCs w:val="24"/>
        </w:rPr>
        <w:t xml:space="preserve">Section 22 (1) of the </w:t>
      </w:r>
      <w:r w:rsidR="008B239E" w:rsidRPr="00432323">
        <w:rPr>
          <w:rFonts w:ascii="Arial" w:hAnsi="Arial" w:cs="Arial"/>
          <w:szCs w:val="24"/>
        </w:rPr>
        <w:t>HR Act</w:t>
      </w:r>
      <w:r w:rsidRPr="00432323">
        <w:rPr>
          <w:rFonts w:ascii="Arial" w:hAnsi="Arial" w:cs="Arial"/>
          <w:szCs w:val="24"/>
        </w:rPr>
        <w:t xml:space="preserve"> provides that </w:t>
      </w:r>
      <w:r w:rsidRPr="00432323">
        <w:rPr>
          <w:rFonts w:ascii="Arial" w:hAnsi="Arial" w:cs="Arial"/>
        </w:rPr>
        <w:t xml:space="preserve">everyone charged with a criminal offence has the right to be presumed innocent until proved guilty according to law. The amendment engages and limits this right by creating a reverse burden of proof. </w:t>
      </w:r>
    </w:p>
    <w:p w14:paraId="54CC969E" w14:textId="4C824DA6" w:rsidR="0039350B" w:rsidRPr="00432323" w:rsidRDefault="0039350B" w:rsidP="00874F6A">
      <w:pPr>
        <w:rPr>
          <w:rFonts w:ascii="Arial" w:hAnsi="Arial" w:cs="Arial"/>
          <w:szCs w:val="24"/>
        </w:rPr>
      </w:pPr>
      <w:r w:rsidRPr="00432323">
        <w:rPr>
          <w:rFonts w:ascii="Arial" w:hAnsi="Arial" w:cs="Arial"/>
          <w:szCs w:val="24"/>
        </w:rPr>
        <w:lastRenderedPageBreak/>
        <w:t>This amendment provides that the defendant has the evidential burden in proving they were given authorisation of the court to make the inquiry</w:t>
      </w:r>
      <w:r w:rsidR="00163715" w:rsidRPr="00432323">
        <w:rPr>
          <w:rFonts w:ascii="Arial" w:hAnsi="Arial" w:cs="Arial"/>
          <w:szCs w:val="24"/>
        </w:rPr>
        <w:t>, and therefore did not commit an offence</w:t>
      </w:r>
      <w:r w:rsidRPr="00432323">
        <w:rPr>
          <w:rFonts w:ascii="Arial" w:hAnsi="Arial" w:cs="Arial"/>
          <w:szCs w:val="24"/>
        </w:rPr>
        <w:t xml:space="preserve">. As this shifts the burden of proof to the accused, it is known as ‘reverse burden of proof’ and will limit the presumption of innocence. </w:t>
      </w:r>
    </w:p>
    <w:p w14:paraId="3DE9BB76" w14:textId="62372126" w:rsidR="00EA4C36" w:rsidRPr="00432323" w:rsidRDefault="00EA4C36" w:rsidP="00874F6A">
      <w:pPr>
        <w:rPr>
          <w:rFonts w:ascii="Arial" w:hAnsi="Arial" w:cs="Arial"/>
          <w:szCs w:val="24"/>
        </w:rPr>
      </w:pPr>
      <w:r w:rsidRPr="00432323">
        <w:rPr>
          <w:rFonts w:ascii="Arial" w:hAnsi="Arial" w:cs="Arial"/>
          <w:szCs w:val="24"/>
        </w:rPr>
        <w:t>The amendment also engage</w:t>
      </w:r>
      <w:r w:rsidR="00713A65" w:rsidRPr="00432323">
        <w:rPr>
          <w:rFonts w:ascii="Arial" w:hAnsi="Arial" w:cs="Arial"/>
          <w:szCs w:val="24"/>
        </w:rPr>
        <w:t>s</w:t>
      </w:r>
      <w:r w:rsidRPr="00432323">
        <w:rPr>
          <w:rFonts w:ascii="Arial" w:hAnsi="Arial" w:cs="Arial"/>
          <w:szCs w:val="24"/>
        </w:rPr>
        <w:t xml:space="preserve"> and limit</w:t>
      </w:r>
      <w:r w:rsidR="00713A65" w:rsidRPr="00432323">
        <w:rPr>
          <w:rFonts w:ascii="Arial" w:hAnsi="Arial" w:cs="Arial"/>
          <w:szCs w:val="24"/>
        </w:rPr>
        <w:t>s</w:t>
      </w:r>
      <w:r w:rsidRPr="00432323">
        <w:rPr>
          <w:rFonts w:ascii="Arial" w:hAnsi="Arial" w:cs="Arial"/>
          <w:szCs w:val="24"/>
        </w:rPr>
        <w:t xml:space="preserve"> the right to liberty (section 18 of the HR Act) as the offence carries a maximum penalty of </w:t>
      </w:r>
      <w:r w:rsidR="004833AD" w:rsidRPr="00432323">
        <w:rPr>
          <w:rFonts w:ascii="Arial" w:hAnsi="Arial" w:cs="Arial"/>
          <w:szCs w:val="24"/>
        </w:rPr>
        <w:t xml:space="preserve">two years </w:t>
      </w:r>
      <w:r w:rsidRPr="00432323">
        <w:rPr>
          <w:rFonts w:ascii="Arial" w:hAnsi="Arial" w:cs="Arial"/>
          <w:szCs w:val="24"/>
        </w:rPr>
        <w:t>imprisonment. Section 18 of the HR Act provides that no-one may be arbitrarily arrested and detained, and no one will be deprived of their liberty, except on ground</w:t>
      </w:r>
      <w:r w:rsidR="00366DAA" w:rsidRPr="00432323">
        <w:rPr>
          <w:rFonts w:ascii="Arial" w:hAnsi="Arial" w:cs="Arial"/>
          <w:szCs w:val="24"/>
        </w:rPr>
        <w:t>s</w:t>
      </w:r>
      <w:r w:rsidRPr="00432323">
        <w:rPr>
          <w:rFonts w:ascii="Arial" w:hAnsi="Arial" w:cs="Arial"/>
          <w:szCs w:val="24"/>
        </w:rPr>
        <w:t xml:space="preserve"> and in accordance with the procedures established by law. </w:t>
      </w:r>
      <w:r w:rsidR="00366DAA" w:rsidRPr="00432323">
        <w:rPr>
          <w:rFonts w:ascii="Arial" w:hAnsi="Arial" w:cs="Arial"/>
        </w:rPr>
        <w:t>Arrest or detention may be ‘arbitrary’ if it is unreasonable, unjust, inappropriate or disproportionate in all the circumstances of the case or not in accordance with due process.</w:t>
      </w:r>
    </w:p>
    <w:p w14:paraId="219C431B" w14:textId="47ACD38F" w:rsidR="00874F6A" w:rsidRPr="00432323" w:rsidRDefault="00874F6A" w:rsidP="00874F6A">
      <w:pPr>
        <w:rPr>
          <w:rFonts w:ascii="Arial" w:hAnsi="Arial" w:cs="Arial"/>
          <w:b/>
          <w:i/>
          <w:szCs w:val="24"/>
        </w:rPr>
      </w:pPr>
      <w:r w:rsidRPr="00432323">
        <w:rPr>
          <w:rFonts w:ascii="Arial" w:hAnsi="Arial" w:cs="Arial"/>
          <w:b/>
          <w:i/>
          <w:szCs w:val="24"/>
        </w:rPr>
        <w:t>2. Legitimate purpose (s 28 (2) (b))</w:t>
      </w:r>
    </w:p>
    <w:p w14:paraId="1ADA90BB" w14:textId="77777777" w:rsidR="0039350B" w:rsidRPr="00432323" w:rsidRDefault="0039350B" w:rsidP="0039350B">
      <w:pPr>
        <w:rPr>
          <w:rFonts w:ascii="Arial" w:hAnsi="Arial" w:cs="Arial"/>
          <w:szCs w:val="24"/>
        </w:rPr>
      </w:pPr>
      <w:r w:rsidRPr="00432323">
        <w:rPr>
          <w:rFonts w:ascii="Arial" w:hAnsi="Arial" w:cs="Arial"/>
          <w:szCs w:val="24"/>
        </w:rPr>
        <w:t xml:space="preserve">The legitimate purpose of the limitation is to ensure there is equal access to information and a jury decision is not influenced by irrelevant information that has not been tested by both parties in court. </w:t>
      </w:r>
    </w:p>
    <w:p w14:paraId="4DEF0BCE" w14:textId="29E11EB4" w:rsidR="0039350B" w:rsidRPr="00432323" w:rsidRDefault="0039350B" w:rsidP="0039350B">
      <w:pPr>
        <w:rPr>
          <w:rFonts w:ascii="Arial" w:hAnsi="Arial" w:cs="Arial"/>
        </w:rPr>
      </w:pPr>
      <w:r w:rsidRPr="00432323">
        <w:rPr>
          <w:rFonts w:ascii="Arial" w:hAnsi="Arial" w:cs="Arial"/>
        </w:rPr>
        <w:t xml:space="preserve">Equal access to a fair hearing means that each party must have a reasonable opportunity to present their case. </w:t>
      </w:r>
      <w:r w:rsidR="003C7769" w:rsidRPr="00432323">
        <w:rPr>
          <w:rFonts w:ascii="Arial" w:hAnsi="Arial" w:cs="Arial"/>
        </w:rPr>
        <w:t>If a juror obtains information from an unauthorised inquiry, the prosecution and defence have not had a reasonable opportunity to present their case on this information, including on its relevance or probative value. This is problematic as a</w:t>
      </w:r>
      <w:r w:rsidRPr="00432323">
        <w:rPr>
          <w:rFonts w:ascii="Arial" w:hAnsi="Arial" w:cs="Arial"/>
        </w:rPr>
        <w:t xml:space="preserve"> juror</w:t>
      </w:r>
      <w:r w:rsidR="008B239E" w:rsidRPr="00432323">
        <w:rPr>
          <w:rFonts w:ascii="Arial" w:hAnsi="Arial" w:cs="Arial"/>
        </w:rPr>
        <w:t>’</w:t>
      </w:r>
      <w:r w:rsidRPr="00432323">
        <w:rPr>
          <w:rFonts w:ascii="Arial" w:hAnsi="Arial" w:cs="Arial"/>
        </w:rPr>
        <w:t xml:space="preserve">s opinion on the case may be swayed by this information. </w:t>
      </w:r>
    </w:p>
    <w:p w14:paraId="02C71D42" w14:textId="26170D66" w:rsidR="00874F6A" w:rsidRPr="00432323" w:rsidRDefault="00874F6A" w:rsidP="00874F6A">
      <w:pPr>
        <w:rPr>
          <w:rFonts w:ascii="Arial" w:hAnsi="Arial" w:cs="Arial"/>
          <w:b/>
          <w:i/>
          <w:szCs w:val="24"/>
        </w:rPr>
      </w:pPr>
      <w:r w:rsidRPr="00432323">
        <w:rPr>
          <w:rFonts w:ascii="Arial" w:hAnsi="Arial" w:cs="Arial"/>
          <w:b/>
          <w:i/>
          <w:szCs w:val="24"/>
        </w:rPr>
        <w:t>3. Rational connection between the limitation and the purpose (s 28 (2) (d))</w:t>
      </w:r>
    </w:p>
    <w:p w14:paraId="064DC384" w14:textId="4F37EDE6" w:rsidR="003C7769" w:rsidRPr="00432323" w:rsidRDefault="00EA5C19" w:rsidP="0039350B">
      <w:pPr>
        <w:rPr>
          <w:rFonts w:ascii="Arial" w:hAnsi="Arial" w:cs="Arial"/>
          <w:szCs w:val="24"/>
        </w:rPr>
      </w:pPr>
      <w:r w:rsidRPr="00432323">
        <w:rPr>
          <w:rFonts w:ascii="Arial" w:hAnsi="Arial" w:cs="Arial"/>
          <w:szCs w:val="24"/>
        </w:rPr>
        <w:t>Prohibiting juror inquiries without the authorisation of the court ensures the jury is only considering relevant information and evidence that both the prosecution and the defence able to test in front of all jury members. This engages and promotes the right to a fair trial (section 21 of the HR Act) for the accused.</w:t>
      </w:r>
    </w:p>
    <w:p w14:paraId="2FAE61C7" w14:textId="484E12BC" w:rsidR="008E2BD7" w:rsidRPr="00432323" w:rsidRDefault="008E2BD7" w:rsidP="0039350B">
      <w:pPr>
        <w:rPr>
          <w:rFonts w:ascii="Arial" w:hAnsi="Arial" w:cs="Arial"/>
          <w:szCs w:val="24"/>
        </w:rPr>
      </w:pPr>
      <w:r w:rsidRPr="00432323">
        <w:rPr>
          <w:rFonts w:ascii="Arial" w:hAnsi="Arial" w:cs="Arial"/>
          <w:szCs w:val="24"/>
        </w:rPr>
        <w:t>Introducing a new offence is an appropriate</w:t>
      </w:r>
      <w:r w:rsidR="00D604F8" w:rsidRPr="00432323">
        <w:rPr>
          <w:rFonts w:ascii="Arial" w:hAnsi="Arial" w:cs="Arial"/>
          <w:szCs w:val="24"/>
        </w:rPr>
        <w:t xml:space="preserve"> and effective</w:t>
      </w:r>
      <w:r w:rsidRPr="00432323">
        <w:rPr>
          <w:rFonts w:ascii="Arial" w:hAnsi="Arial" w:cs="Arial"/>
          <w:szCs w:val="24"/>
        </w:rPr>
        <w:t xml:space="preserve"> mechanism for </w:t>
      </w:r>
      <w:r w:rsidR="00C85A37" w:rsidRPr="00432323">
        <w:rPr>
          <w:rFonts w:ascii="Arial" w:hAnsi="Arial" w:cs="Arial"/>
          <w:szCs w:val="24"/>
        </w:rPr>
        <w:t>achieving the legitimate purpose</w:t>
      </w:r>
      <w:r w:rsidRPr="00432323">
        <w:rPr>
          <w:rFonts w:ascii="Arial" w:hAnsi="Arial" w:cs="Arial"/>
          <w:szCs w:val="24"/>
        </w:rPr>
        <w:t xml:space="preserve">, given the </w:t>
      </w:r>
      <w:r w:rsidR="00D604F8" w:rsidRPr="00432323">
        <w:rPr>
          <w:rFonts w:ascii="Arial" w:hAnsi="Arial" w:cs="Arial"/>
          <w:szCs w:val="24"/>
        </w:rPr>
        <w:t xml:space="preserve">significant </w:t>
      </w:r>
      <w:r w:rsidRPr="00432323">
        <w:rPr>
          <w:rFonts w:ascii="Arial" w:hAnsi="Arial" w:cs="Arial"/>
          <w:szCs w:val="24"/>
        </w:rPr>
        <w:t>consequences that arise from jurors making unauthorised inquiries. Jurors will be provided information about this offence when they commence on a jury, to encourage them to act in accordance with the law and not make inquiries about matters relevant to a criminal trial, without the authorisation of the court.</w:t>
      </w:r>
    </w:p>
    <w:p w14:paraId="7631A377" w14:textId="0DECD38A" w:rsidR="00D45D4B" w:rsidRPr="00432323" w:rsidRDefault="00D45D4B" w:rsidP="0039350B">
      <w:pPr>
        <w:rPr>
          <w:rFonts w:ascii="Arial" w:hAnsi="Arial" w:cs="Arial"/>
        </w:rPr>
      </w:pPr>
      <w:r w:rsidRPr="00432323">
        <w:rPr>
          <w:rFonts w:ascii="Arial" w:hAnsi="Arial" w:cs="Arial"/>
          <w:szCs w:val="24"/>
        </w:rPr>
        <w:t xml:space="preserve">In </w:t>
      </w:r>
      <w:r w:rsidRPr="00432323">
        <w:rPr>
          <w:rFonts w:ascii="Arial" w:hAnsi="Arial" w:cs="Arial"/>
        </w:rPr>
        <w:t xml:space="preserve">the Tasmania Law Reform Institute Final Report No. 30 ‘Jurors, Social Media and the Right of an Accused to a Fair Trial’ published January 2020 (the TLRI report) noted that some jurors think a direction by a judge not to go on social media is simply advice and not an order of the court that may have vast ramifications on the trial. </w:t>
      </w:r>
      <w:r w:rsidR="00366DAA" w:rsidRPr="00432323">
        <w:rPr>
          <w:rFonts w:ascii="Arial" w:hAnsi="Arial" w:cs="Arial"/>
        </w:rPr>
        <w:t xml:space="preserve">There are also situations where some jurors may actively and dishonestly seek their own information. </w:t>
      </w:r>
      <w:r w:rsidRPr="00432323">
        <w:rPr>
          <w:rFonts w:ascii="Arial" w:hAnsi="Arial" w:cs="Arial"/>
          <w:szCs w:val="24"/>
        </w:rPr>
        <w:t>Therefore,</w:t>
      </w:r>
      <w:r w:rsidR="000A54FD" w:rsidRPr="00432323">
        <w:rPr>
          <w:rFonts w:ascii="Arial" w:hAnsi="Arial" w:cs="Arial"/>
          <w:szCs w:val="24"/>
        </w:rPr>
        <w:t xml:space="preserve"> a</w:t>
      </w:r>
      <w:r w:rsidRPr="00432323">
        <w:rPr>
          <w:rFonts w:ascii="Arial" w:hAnsi="Arial" w:cs="Arial"/>
          <w:szCs w:val="24"/>
        </w:rPr>
        <w:t xml:space="preserve"> maximum penalty</w:t>
      </w:r>
      <w:r w:rsidR="000A54FD" w:rsidRPr="00432323">
        <w:rPr>
          <w:rFonts w:ascii="Arial" w:hAnsi="Arial" w:cs="Arial"/>
          <w:szCs w:val="24"/>
        </w:rPr>
        <w:t xml:space="preserve"> of imprisonment</w:t>
      </w:r>
      <w:r w:rsidRPr="00432323">
        <w:rPr>
          <w:rFonts w:ascii="Arial" w:hAnsi="Arial" w:cs="Arial"/>
          <w:szCs w:val="24"/>
        </w:rPr>
        <w:t xml:space="preserve"> </w:t>
      </w:r>
      <w:r w:rsidR="000A54FD" w:rsidRPr="00432323">
        <w:rPr>
          <w:rFonts w:ascii="Arial" w:hAnsi="Arial" w:cs="Arial"/>
          <w:szCs w:val="24"/>
        </w:rPr>
        <w:t>for</w:t>
      </w:r>
      <w:r w:rsidRPr="00432323">
        <w:rPr>
          <w:rFonts w:ascii="Arial" w:hAnsi="Arial" w:cs="Arial"/>
          <w:szCs w:val="24"/>
        </w:rPr>
        <w:t xml:space="preserve"> this new </w:t>
      </w:r>
      <w:r w:rsidRPr="00432323">
        <w:rPr>
          <w:rFonts w:ascii="Arial" w:hAnsi="Arial" w:cs="Arial"/>
          <w:szCs w:val="24"/>
        </w:rPr>
        <w:lastRenderedPageBreak/>
        <w:t xml:space="preserve">offence </w:t>
      </w:r>
      <w:r w:rsidR="001D1303" w:rsidRPr="00432323">
        <w:rPr>
          <w:rFonts w:ascii="Arial" w:hAnsi="Arial" w:cs="Arial"/>
          <w:szCs w:val="24"/>
        </w:rPr>
        <w:t xml:space="preserve">is appropriate to signify the seriousness of the conduct, </w:t>
      </w:r>
      <w:r w:rsidRPr="00432323">
        <w:rPr>
          <w:rFonts w:ascii="Arial" w:hAnsi="Arial" w:cs="Arial"/>
          <w:szCs w:val="24"/>
        </w:rPr>
        <w:t xml:space="preserve"> that it is criminal offence </w:t>
      </w:r>
      <w:r w:rsidR="004E513A" w:rsidRPr="00432323">
        <w:rPr>
          <w:rFonts w:ascii="Arial" w:hAnsi="Arial" w:cs="Arial"/>
          <w:szCs w:val="24"/>
        </w:rPr>
        <w:t xml:space="preserve">to conduct an improper inquiry, and </w:t>
      </w:r>
      <w:r w:rsidRPr="00432323">
        <w:rPr>
          <w:rFonts w:ascii="Arial" w:hAnsi="Arial" w:cs="Arial"/>
          <w:szCs w:val="24"/>
        </w:rPr>
        <w:t>not simply advice</w:t>
      </w:r>
      <w:r w:rsidR="004D741D" w:rsidRPr="00432323">
        <w:rPr>
          <w:rFonts w:ascii="Arial" w:hAnsi="Arial" w:cs="Arial"/>
          <w:szCs w:val="24"/>
        </w:rPr>
        <w:t xml:space="preserve"> given by the judge</w:t>
      </w:r>
      <w:r w:rsidR="004E513A" w:rsidRPr="00432323">
        <w:rPr>
          <w:rFonts w:ascii="Arial" w:hAnsi="Arial" w:cs="Arial"/>
          <w:szCs w:val="24"/>
        </w:rPr>
        <w:t>. The maximum penalty also stresses this seriousness and</w:t>
      </w:r>
      <w:r w:rsidRPr="00432323">
        <w:rPr>
          <w:rFonts w:ascii="Arial" w:hAnsi="Arial" w:cs="Arial"/>
          <w:szCs w:val="24"/>
        </w:rPr>
        <w:t xml:space="preserve"> </w:t>
      </w:r>
      <w:r w:rsidR="004E513A" w:rsidRPr="00432323">
        <w:rPr>
          <w:rFonts w:ascii="Arial" w:hAnsi="Arial" w:cs="Arial"/>
          <w:szCs w:val="24"/>
        </w:rPr>
        <w:t>is intended to</w:t>
      </w:r>
      <w:r w:rsidRPr="00432323">
        <w:rPr>
          <w:rFonts w:ascii="Arial" w:hAnsi="Arial" w:cs="Arial"/>
          <w:szCs w:val="24"/>
        </w:rPr>
        <w:t xml:space="preserve"> act as an appropriate general and specific deterrent from that behaviour. </w:t>
      </w:r>
    </w:p>
    <w:p w14:paraId="25B7A3F5" w14:textId="58009EE3" w:rsidR="00874F6A" w:rsidRPr="00432323" w:rsidRDefault="00874F6A" w:rsidP="00204660">
      <w:pPr>
        <w:rPr>
          <w:rFonts w:ascii="Arial" w:hAnsi="Arial" w:cs="Arial"/>
          <w:b/>
          <w:i/>
          <w:szCs w:val="24"/>
        </w:rPr>
      </w:pPr>
      <w:r w:rsidRPr="00432323">
        <w:rPr>
          <w:rFonts w:ascii="Arial" w:hAnsi="Arial" w:cs="Arial"/>
          <w:b/>
          <w:i/>
          <w:szCs w:val="24"/>
        </w:rPr>
        <w:t>4. Proportionality (s 28 (2) (e))</w:t>
      </w:r>
    </w:p>
    <w:p w14:paraId="2774555F" w14:textId="3A3FB39A" w:rsidR="00EA5C19" w:rsidRPr="00432323" w:rsidRDefault="0039350B" w:rsidP="0039350B">
      <w:pPr>
        <w:rPr>
          <w:rFonts w:ascii="Arial" w:hAnsi="Arial" w:cs="Arial"/>
          <w:szCs w:val="24"/>
        </w:rPr>
      </w:pPr>
      <w:r w:rsidRPr="00432323">
        <w:rPr>
          <w:rFonts w:ascii="Arial" w:hAnsi="Arial" w:cs="Arial"/>
          <w:szCs w:val="24"/>
        </w:rPr>
        <w:t>The amendment is proportionate to the aim of achieving a right to a fair trial. This is particularly for situations where an innocent person could be found guilty of an offence due to juror relying on information found in th</w:t>
      </w:r>
      <w:r w:rsidR="003B4463" w:rsidRPr="00432323">
        <w:rPr>
          <w:rFonts w:ascii="Arial" w:hAnsi="Arial" w:cs="Arial"/>
          <w:szCs w:val="24"/>
        </w:rPr>
        <w:t>at jurors</w:t>
      </w:r>
      <w:r w:rsidRPr="00432323">
        <w:rPr>
          <w:rFonts w:ascii="Arial" w:hAnsi="Arial" w:cs="Arial"/>
          <w:szCs w:val="24"/>
        </w:rPr>
        <w:t xml:space="preserve"> own unauthorised inquir</w:t>
      </w:r>
      <w:r w:rsidR="003B4463" w:rsidRPr="00432323">
        <w:rPr>
          <w:rFonts w:ascii="Arial" w:hAnsi="Arial" w:cs="Arial"/>
          <w:szCs w:val="24"/>
        </w:rPr>
        <w:t>y</w:t>
      </w:r>
      <w:r w:rsidRPr="00432323">
        <w:rPr>
          <w:rFonts w:ascii="Arial" w:hAnsi="Arial" w:cs="Arial"/>
          <w:szCs w:val="24"/>
        </w:rPr>
        <w:t xml:space="preserve">. </w:t>
      </w:r>
    </w:p>
    <w:p w14:paraId="06EAA8F3" w14:textId="517C07A2" w:rsidR="00E872B3" w:rsidRPr="00432323" w:rsidRDefault="003B4463" w:rsidP="00526464">
      <w:pPr>
        <w:rPr>
          <w:rFonts w:ascii="Arial" w:hAnsi="Arial" w:cs="Arial"/>
          <w:bCs/>
          <w:iCs/>
          <w:szCs w:val="24"/>
        </w:rPr>
      </w:pPr>
      <w:r w:rsidRPr="00432323">
        <w:rPr>
          <w:rFonts w:ascii="Arial" w:hAnsi="Arial" w:cs="Arial"/>
          <w:bCs/>
          <w:iCs/>
          <w:szCs w:val="24"/>
        </w:rPr>
        <w:t xml:space="preserve">If jurors rely on information obtained without the court’s authorisation, or information that has not been considered by both parties in the courtroom, it is possible that the judicial officer may order a mistrial. </w:t>
      </w:r>
      <w:r w:rsidRPr="00432323">
        <w:rPr>
          <w:rFonts w:ascii="Arial" w:hAnsi="Arial" w:cs="Arial"/>
        </w:rPr>
        <w:t>A mistrial is costly for the community in terms of the time and resources used for the criminal trial. The alleged victim and the accused both have to wait until the retrial is listed and heard again. The alleged victim and witnesses may have to give evidence again which could result in re-traumatisation, while the community and the accused bear the cost of a second trial.</w:t>
      </w:r>
      <w:r w:rsidR="004833AD" w:rsidRPr="00432323">
        <w:rPr>
          <w:rFonts w:ascii="Arial" w:hAnsi="Arial" w:cs="Arial"/>
          <w:bCs/>
          <w:iCs/>
          <w:szCs w:val="24"/>
        </w:rPr>
        <w:t xml:space="preserve"> </w:t>
      </w:r>
    </w:p>
    <w:p w14:paraId="19B88AFF" w14:textId="3438ED0C" w:rsidR="00A75594" w:rsidRPr="00432323" w:rsidRDefault="00526464" w:rsidP="00526464">
      <w:pPr>
        <w:rPr>
          <w:rFonts w:ascii="Arial" w:hAnsi="Arial" w:cs="Arial"/>
          <w:bCs/>
          <w:iCs/>
          <w:szCs w:val="24"/>
        </w:rPr>
      </w:pPr>
      <w:r w:rsidRPr="00432323">
        <w:rPr>
          <w:rFonts w:ascii="Arial" w:hAnsi="Arial" w:cs="Arial"/>
          <w:bCs/>
          <w:iCs/>
          <w:szCs w:val="24"/>
        </w:rPr>
        <w:t>Noting the</w:t>
      </w:r>
      <w:r w:rsidR="00A75594" w:rsidRPr="00432323">
        <w:rPr>
          <w:rFonts w:ascii="Arial" w:hAnsi="Arial" w:cs="Arial"/>
          <w:bCs/>
          <w:iCs/>
          <w:szCs w:val="24"/>
        </w:rPr>
        <w:t>se</w:t>
      </w:r>
      <w:r w:rsidRPr="00432323">
        <w:rPr>
          <w:rFonts w:ascii="Arial" w:hAnsi="Arial" w:cs="Arial"/>
          <w:bCs/>
          <w:iCs/>
          <w:szCs w:val="24"/>
        </w:rPr>
        <w:t xml:space="preserve"> costs to the parties and the community, the maximum penalty is proportionate to the offending behaviour. </w:t>
      </w:r>
      <w:r w:rsidR="00A75594" w:rsidRPr="00432323">
        <w:rPr>
          <w:rFonts w:ascii="Arial" w:hAnsi="Arial" w:cs="Arial"/>
          <w:bCs/>
          <w:iCs/>
          <w:szCs w:val="24"/>
        </w:rPr>
        <w:t>It is set at a maximum penalty of 2 years imprisonment to achieve the aim of deterring the behaviour while also reflecting both the seriousness of the offence and the seriousness of the consequences that flow from it.</w:t>
      </w:r>
    </w:p>
    <w:p w14:paraId="5D5D782A" w14:textId="6174DBC7" w:rsidR="00D45D4B" w:rsidRPr="00432323" w:rsidRDefault="00D45D4B" w:rsidP="00526464">
      <w:pPr>
        <w:rPr>
          <w:rFonts w:ascii="Arial" w:hAnsi="Arial" w:cs="Arial"/>
          <w:bCs/>
          <w:iCs/>
          <w:szCs w:val="24"/>
        </w:rPr>
      </w:pPr>
      <w:r w:rsidRPr="00432323">
        <w:rPr>
          <w:rFonts w:ascii="Arial" w:hAnsi="Arial" w:cs="Arial"/>
          <w:bCs/>
          <w:iCs/>
          <w:szCs w:val="24"/>
        </w:rPr>
        <w:t xml:space="preserve">The </w:t>
      </w:r>
      <w:r w:rsidR="00E872B3" w:rsidRPr="00432323">
        <w:rPr>
          <w:rFonts w:ascii="Arial" w:hAnsi="Arial" w:cs="Arial"/>
          <w:bCs/>
          <w:iCs/>
          <w:szCs w:val="24"/>
        </w:rPr>
        <w:t>improper inquiry offence</w:t>
      </w:r>
      <w:r w:rsidRPr="00432323">
        <w:rPr>
          <w:rFonts w:ascii="Arial" w:hAnsi="Arial" w:cs="Arial"/>
          <w:bCs/>
          <w:iCs/>
          <w:szCs w:val="24"/>
        </w:rPr>
        <w:t xml:space="preserve"> is also objectively more serious than other offences in the </w:t>
      </w:r>
      <w:r w:rsidRPr="00432323">
        <w:rPr>
          <w:rFonts w:ascii="Arial" w:hAnsi="Arial" w:cs="Arial"/>
          <w:bCs/>
          <w:i/>
          <w:szCs w:val="24"/>
        </w:rPr>
        <w:t>Juries Act 1967</w:t>
      </w:r>
      <w:r w:rsidRPr="00432323">
        <w:rPr>
          <w:rFonts w:ascii="Arial" w:hAnsi="Arial" w:cs="Arial"/>
          <w:bCs/>
          <w:iCs/>
          <w:szCs w:val="24"/>
        </w:rPr>
        <w:t xml:space="preserve">. For example, breaching confidentiality of jury deliberations (under section 42C of the </w:t>
      </w:r>
      <w:r w:rsidRPr="00432323">
        <w:rPr>
          <w:rFonts w:ascii="Arial" w:hAnsi="Arial" w:cs="Arial"/>
          <w:bCs/>
          <w:i/>
          <w:szCs w:val="24"/>
        </w:rPr>
        <w:t>Juries Act 1967</w:t>
      </w:r>
      <w:r w:rsidRPr="00432323">
        <w:rPr>
          <w:rFonts w:ascii="Arial" w:hAnsi="Arial" w:cs="Arial"/>
          <w:bCs/>
          <w:iCs/>
          <w:szCs w:val="24"/>
        </w:rPr>
        <w:t xml:space="preserve">) has a maximum penalty of 50 penalty units, 6 months imprisonment or both. However, while that </w:t>
      </w:r>
      <w:r w:rsidR="004E513A" w:rsidRPr="00432323">
        <w:rPr>
          <w:rFonts w:ascii="Arial" w:hAnsi="Arial" w:cs="Arial"/>
          <w:bCs/>
          <w:iCs/>
          <w:szCs w:val="24"/>
        </w:rPr>
        <w:t xml:space="preserve">conduct </w:t>
      </w:r>
      <w:r w:rsidRPr="00432323">
        <w:rPr>
          <w:rFonts w:ascii="Arial" w:hAnsi="Arial" w:cs="Arial"/>
          <w:bCs/>
          <w:iCs/>
          <w:szCs w:val="24"/>
        </w:rPr>
        <w:t>may expose the discussions of jurors that led to their decision, the purpose</w:t>
      </w:r>
      <w:r w:rsidR="004E513A" w:rsidRPr="00432323">
        <w:rPr>
          <w:rFonts w:ascii="Arial" w:hAnsi="Arial" w:cs="Arial"/>
          <w:bCs/>
          <w:iCs/>
          <w:szCs w:val="24"/>
        </w:rPr>
        <w:t xml:space="preserve"> of this offence</w:t>
      </w:r>
      <w:r w:rsidRPr="00432323">
        <w:rPr>
          <w:rFonts w:ascii="Arial" w:hAnsi="Arial" w:cs="Arial"/>
          <w:bCs/>
          <w:iCs/>
          <w:szCs w:val="24"/>
        </w:rPr>
        <w:t xml:space="preserve"> is to protect the integrity of those deliberations so each jury can have frank and open discussions. </w:t>
      </w:r>
      <w:r w:rsidR="004E513A" w:rsidRPr="00432323">
        <w:rPr>
          <w:rFonts w:ascii="Arial" w:hAnsi="Arial" w:cs="Arial"/>
          <w:bCs/>
          <w:iCs/>
          <w:szCs w:val="24"/>
        </w:rPr>
        <w:t>A</w:t>
      </w:r>
      <w:r w:rsidRPr="00432323">
        <w:rPr>
          <w:rFonts w:ascii="Arial" w:hAnsi="Arial" w:cs="Arial"/>
          <w:bCs/>
          <w:iCs/>
          <w:szCs w:val="24"/>
        </w:rPr>
        <w:t xml:space="preserve"> juror conducting their own improper inquiry could lead to that </w:t>
      </w:r>
      <w:r w:rsidR="004E513A" w:rsidRPr="00432323">
        <w:rPr>
          <w:rFonts w:ascii="Arial" w:hAnsi="Arial" w:cs="Arial"/>
          <w:bCs/>
          <w:iCs/>
          <w:szCs w:val="24"/>
        </w:rPr>
        <w:t xml:space="preserve">potentially inaccurate or untested </w:t>
      </w:r>
      <w:r w:rsidRPr="00432323">
        <w:rPr>
          <w:rFonts w:ascii="Arial" w:hAnsi="Arial" w:cs="Arial"/>
          <w:bCs/>
          <w:iCs/>
          <w:szCs w:val="24"/>
        </w:rPr>
        <w:t xml:space="preserve">information being </w:t>
      </w:r>
      <w:r w:rsidR="004E513A" w:rsidRPr="00432323">
        <w:rPr>
          <w:rFonts w:ascii="Arial" w:hAnsi="Arial" w:cs="Arial"/>
          <w:bCs/>
          <w:iCs/>
          <w:szCs w:val="24"/>
        </w:rPr>
        <w:t>discussed</w:t>
      </w:r>
      <w:r w:rsidRPr="00432323">
        <w:rPr>
          <w:rFonts w:ascii="Arial" w:hAnsi="Arial" w:cs="Arial"/>
          <w:bCs/>
          <w:iCs/>
          <w:szCs w:val="24"/>
        </w:rPr>
        <w:t xml:space="preserve"> </w:t>
      </w:r>
      <w:r w:rsidR="004E513A" w:rsidRPr="00432323">
        <w:rPr>
          <w:rFonts w:ascii="Arial" w:hAnsi="Arial" w:cs="Arial"/>
          <w:bCs/>
          <w:iCs/>
          <w:szCs w:val="24"/>
        </w:rPr>
        <w:t>in a jury deliberation, relied on in making a decision</w:t>
      </w:r>
      <w:r w:rsidRPr="00432323">
        <w:rPr>
          <w:rFonts w:ascii="Arial" w:hAnsi="Arial" w:cs="Arial"/>
          <w:bCs/>
          <w:iCs/>
          <w:szCs w:val="24"/>
        </w:rPr>
        <w:t xml:space="preserve"> and potentially lead to a guilty verdict. That guilty verdict could then result in an innocent person being imprisoned for a crime they did not commit. Thus, the ramifications for the conduct are serious enough to justify the maximum penalty. </w:t>
      </w:r>
    </w:p>
    <w:p w14:paraId="7F1B145B" w14:textId="5B842FD6" w:rsidR="00526464" w:rsidRPr="00432323" w:rsidRDefault="004833AD" w:rsidP="00526464">
      <w:pPr>
        <w:rPr>
          <w:rFonts w:ascii="Arial" w:hAnsi="Arial" w:cs="Arial"/>
          <w:bCs/>
          <w:iCs/>
          <w:szCs w:val="24"/>
        </w:rPr>
      </w:pPr>
      <w:r w:rsidRPr="00432323">
        <w:rPr>
          <w:rFonts w:ascii="Arial" w:hAnsi="Arial" w:cs="Arial"/>
          <w:bCs/>
          <w:iCs/>
          <w:szCs w:val="24"/>
        </w:rPr>
        <w:t>The</w:t>
      </w:r>
      <w:r w:rsidR="00526464" w:rsidRPr="00432323">
        <w:rPr>
          <w:rFonts w:ascii="Arial" w:hAnsi="Arial" w:cs="Arial"/>
          <w:bCs/>
          <w:iCs/>
          <w:szCs w:val="24"/>
        </w:rPr>
        <w:t xml:space="preserve"> penalty of two years imprisonment</w:t>
      </w:r>
      <w:r w:rsidRPr="00432323">
        <w:rPr>
          <w:rFonts w:ascii="Arial" w:hAnsi="Arial" w:cs="Arial"/>
          <w:bCs/>
          <w:iCs/>
          <w:szCs w:val="24"/>
        </w:rPr>
        <w:t xml:space="preserve"> is the maximum penalty</w:t>
      </w:r>
      <w:r w:rsidR="00526464" w:rsidRPr="00432323">
        <w:rPr>
          <w:rFonts w:ascii="Arial" w:hAnsi="Arial" w:cs="Arial"/>
          <w:bCs/>
          <w:iCs/>
          <w:szCs w:val="24"/>
        </w:rPr>
        <w:t xml:space="preserve"> that can be imposed in the most serious cases. </w:t>
      </w:r>
      <w:r w:rsidR="00A75594" w:rsidRPr="00432323">
        <w:rPr>
          <w:rFonts w:ascii="Arial" w:hAnsi="Arial" w:cs="Arial"/>
          <w:bCs/>
          <w:iCs/>
          <w:szCs w:val="24"/>
        </w:rPr>
        <w:t xml:space="preserve">The amendment does not create a mandatory sentencing regime and judicial sentencing discretion is retained to </w:t>
      </w:r>
      <w:r w:rsidRPr="00432323">
        <w:rPr>
          <w:rFonts w:ascii="Arial" w:hAnsi="Arial" w:cs="Arial"/>
          <w:bCs/>
          <w:iCs/>
          <w:szCs w:val="24"/>
        </w:rPr>
        <w:t>ensure</w:t>
      </w:r>
      <w:r w:rsidR="00A75594" w:rsidRPr="00432323">
        <w:rPr>
          <w:rFonts w:ascii="Arial" w:hAnsi="Arial" w:cs="Arial"/>
          <w:bCs/>
          <w:iCs/>
          <w:szCs w:val="24"/>
        </w:rPr>
        <w:t xml:space="preserve"> that justice is done as appropriate in in each individual case. </w:t>
      </w:r>
    </w:p>
    <w:p w14:paraId="5CB1BBA8" w14:textId="3C58ABA1" w:rsidR="00A75594" w:rsidRPr="00432323" w:rsidRDefault="00A75594" w:rsidP="00526464">
      <w:pPr>
        <w:rPr>
          <w:rFonts w:ascii="Arial" w:hAnsi="Arial" w:cs="Arial"/>
        </w:rPr>
      </w:pPr>
      <w:r w:rsidRPr="00432323">
        <w:rPr>
          <w:rFonts w:ascii="Arial" w:hAnsi="Arial" w:cs="Arial"/>
          <w:szCs w:val="24"/>
        </w:rPr>
        <w:t>Other jurisdictions which also have a juror misconduct offence are New South Wales (</w:t>
      </w:r>
      <w:r w:rsidRPr="00432323">
        <w:rPr>
          <w:rFonts w:ascii="Arial" w:hAnsi="Arial" w:cs="Arial"/>
          <w:i/>
          <w:iCs/>
        </w:rPr>
        <w:t>Jury Act 1977</w:t>
      </w:r>
      <w:r w:rsidRPr="00432323">
        <w:rPr>
          <w:rFonts w:ascii="Arial" w:hAnsi="Arial" w:cs="Arial"/>
        </w:rPr>
        <w:t xml:space="preserve"> (NSW), s 68C)</w:t>
      </w:r>
      <w:r w:rsidRPr="00432323">
        <w:rPr>
          <w:rFonts w:ascii="Arial" w:hAnsi="Arial" w:cs="Arial"/>
          <w:szCs w:val="24"/>
        </w:rPr>
        <w:t>, Victoria (</w:t>
      </w:r>
      <w:r w:rsidRPr="00432323">
        <w:rPr>
          <w:rFonts w:ascii="Arial" w:hAnsi="Arial" w:cs="Arial"/>
          <w:i/>
          <w:iCs/>
        </w:rPr>
        <w:t xml:space="preserve">Juries Act 2000 </w:t>
      </w:r>
      <w:r w:rsidRPr="00432323">
        <w:rPr>
          <w:rFonts w:ascii="Arial" w:hAnsi="Arial" w:cs="Arial"/>
        </w:rPr>
        <w:t>(Vic), S 78A</w:t>
      </w:r>
      <w:r w:rsidRPr="00432323">
        <w:rPr>
          <w:rFonts w:ascii="Arial" w:hAnsi="Arial" w:cs="Arial"/>
          <w:szCs w:val="24"/>
        </w:rPr>
        <w:t xml:space="preserve">) and </w:t>
      </w:r>
      <w:r w:rsidRPr="00432323">
        <w:rPr>
          <w:rFonts w:ascii="Arial" w:hAnsi="Arial" w:cs="Arial"/>
          <w:szCs w:val="24"/>
        </w:rPr>
        <w:lastRenderedPageBreak/>
        <w:t>Queensland (</w:t>
      </w:r>
      <w:r w:rsidRPr="00432323">
        <w:rPr>
          <w:rFonts w:ascii="Arial" w:hAnsi="Arial" w:cs="Arial"/>
          <w:i/>
          <w:iCs/>
        </w:rPr>
        <w:t>Jury Act 1995</w:t>
      </w:r>
      <w:r w:rsidRPr="00432323">
        <w:rPr>
          <w:rFonts w:ascii="Arial" w:hAnsi="Arial" w:cs="Arial"/>
        </w:rPr>
        <w:t xml:space="preserve"> (QLD), 69A)</w:t>
      </w:r>
      <w:r w:rsidRPr="00432323">
        <w:rPr>
          <w:rFonts w:ascii="Arial" w:hAnsi="Arial" w:cs="Arial"/>
          <w:szCs w:val="24"/>
        </w:rPr>
        <w:t xml:space="preserve">. While Victoria’s maximum penalty for this offence is 120 penalty units, Queensland has a </w:t>
      </w:r>
      <w:r w:rsidR="004833AD" w:rsidRPr="00432323">
        <w:rPr>
          <w:rFonts w:ascii="Arial" w:hAnsi="Arial" w:cs="Arial"/>
          <w:szCs w:val="24"/>
        </w:rPr>
        <w:t xml:space="preserve">maximum </w:t>
      </w:r>
      <w:r w:rsidRPr="00432323">
        <w:rPr>
          <w:rFonts w:ascii="Arial" w:hAnsi="Arial" w:cs="Arial"/>
          <w:szCs w:val="24"/>
        </w:rPr>
        <w:t xml:space="preserve">penalty of 2 years imprisonment, and New South Wales has a maximum penalty of 50 penalty units, imprisonment for 2 years or both. The maximum penalty in the ACT offence is comparable to New South Wales and Queensland equivalent offences. </w:t>
      </w:r>
    </w:p>
    <w:p w14:paraId="4B62D762" w14:textId="4A1FACCF" w:rsidR="00EA5C19" w:rsidRPr="00432323" w:rsidRDefault="00EA5C19" w:rsidP="003B4463">
      <w:pPr>
        <w:rPr>
          <w:rFonts w:ascii="Arial" w:hAnsi="Arial" w:cs="Arial"/>
          <w:bCs/>
          <w:iCs/>
          <w:szCs w:val="24"/>
        </w:rPr>
      </w:pPr>
      <w:r w:rsidRPr="00432323">
        <w:rPr>
          <w:rFonts w:ascii="Arial" w:hAnsi="Arial" w:cs="Arial"/>
          <w:szCs w:val="24"/>
        </w:rPr>
        <w:t xml:space="preserve">The amendment does not seek to change the jury’s right to ask the court questions or to clarify issues during a proceeding. </w:t>
      </w:r>
      <w:r w:rsidRPr="00432323">
        <w:rPr>
          <w:rFonts w:ascii="Arial" w:hAnsi="Arial" w:cs="Arial"/>
          <w:bCs/>
          <w:iCs/>
          <w:szCs w:val="24"/>
        </w:rPr>
        <w:t xml:space="preserve">During a criminal proceeding, the jury may send notes or questions to the judicial officer presiding over the case. If a further inquiry is required, the judicial officer can make this decision and therefore would be authorising any such inquiry. </w:t>
      </w:r>
    </w:p>
    <w:p w14:paraId="0EF675C3" w14:textId="5F928C2F" w:rsidR="006908FF" w:rsidRPr="00432323" w:rsidRDefault="003B4463" w:rsidP="00204660">
      <w:pPr>
        <w:rPr>
          <w:rFonts w:ascii="Arial" w:hAnsi="Arial" w:cs="Arial"/>
        </w:rPr>
      </w:pPr>
      <w:r w:rsidRPr="00432323">
        <w:rPr>
          <w:rFonts w:ascii="Arial" w:hAnsi="Arial" w:cs="Arial"/>
        </w:rPr>
        <w:t>The introduction of this offence impresses on the community and future jurors the importance of not conducting their own inquiries</w:t>
      </w:r>
      <w:r w:rsidR="007542BB" w:rsidRPr="00432323">
        <w:rPr>
          <w:rFonts w:ascii="Arial" w:hAnsi="Arial" w:cs="Arial"/>
        </w:rPr>
        <w:t xml:space="preserve"> and relying only on the information put forward in the courtroom.</w:t>
      </w:r>
    </w:p>
    <w:p w14:paraId="1418DEAA" w14:textId="7FD266BB" w:rsidR="00EA5C19" w:rsidRPr="00432323" w:rsidRDefault="00EA5C19" w:rsidP="00204660">
      <w:pPr>
        <w:rPr>
          <w:rFonts w:ascii="Arial" w:hAnsi="Arial" w:cs="Arial"/>
          <w:bCs/>
          <w:iCs/>
          <w:szCs w:val="24"/>
        </w:rPr>
      </w:pPr>
      <w:r w:rsidRPr="00432323">
        <w:rPr>
          <w:rFonts w:ascii="Arial" w:hAnsi="Arial" w:cs="Arial"/>
          <w:bCs/>
          <w:iCs/>
          <w:szCs w:val="24"/>
        </w:rPr>
        <w:t xml:space="preserve">The reverse evidential burden is reasonable because the elements that the defendant is being asked to prove are uniquely within the knowledge of, and capable of being established by, the defendant. If a juror conducts their own unauthorised inquiry or inquiries, it should be clear on the evidence that this is not authorised by the court. For example, if a juror brings books or written material on a subject matter relating to </w:t>
      </w:r>
      <w:r w:rsidR="00AB6D01" w:rsidRPr="00432323">
        <w:rPr>
          <w:rFonts w:ascii="Arial" w:hAnsi="Arial" w:cs="Arial"/>
          <w:bCs/>
          <w:iCs/>
          <w:szCs w:val="24"/>
        </w:rPr>
        <w:t xml:space="preserve">the </w:t>
      </w:r>
      <w:r w:rsidRPr="00432323">
        <w:rPr>
          <w:rFonts w:ascii="Arial" w:hAnsi="Arial" w:cs="Arial"/>
          <w:bCs/>
          <w:iCs/>
          <w:szCs w:val="24"/>
        </w:rPr>
        <w:t xml:space="preserve">case into the jury room, but this written material has not been discussed in the courtroom by the prosecution and the defence, it would likely be an improper juror inquiry. However, a juror may believe there are specifics directions from the court that authorise this material. </w:t>
      </w:r>
      <w:r w:rsidR="00411323" w:rsidRPr="00432323">
        <w:rPr>
          <w:rFonts w:ascii="Arial" w:hAnsi="Arial" w:cs="Arial"/>
          <w:bCs/>
          <w:iCs/>
          <w:szCs w:val="24"/>
        </w:rPr>
        <w:t>If so, it is reasonable for the juror to be required to provide information on why they believe or how the court had expressly authorised the inquiry.</w:t>
      </w:r>
      <w:r w:rsidRPr="00432323">
        <w:rPr>
          <w:rFonts w:ascii="Arial" w:hAnsi="Arial" w:cs="Arial"/>
          <w:bCs/>
          <w:iCs/>
          <w:szCs w:val="24"/>
        </w:rPr>
        <w:t xml:space="preserve"> </w:t>
      </w:r>
      <w:r w:rsidR="00411323" w:rsidRPr="00432323">
        <w:rPr>
          <w:rFonts w:ascii="Arial" w:hAnsi="Arial" w:cs="Arial"/>
          <w:bCs/>
          <w:iCs/>
          <w:szCs w:val="24"/>
        </w:rPr>
        <w:t>I</w:t>
      </w:r>
      <w:r w:rsidRPr="00432323">
        <w:rPr>
          <w:rFonts w:ascii="Arial" w:hAnsi="Arial" w:cs="Arial"/>
          <w:bCs/>
          <w:iCs/>
          <w:szCs w:val="24"/>
        </w:rPr>
        <w:t xml:space="preserve">t would be </w:t>
      </w:r>
      <w:r w:rsidR="002742C3" w:rsidRPr="00432323">
        <w:rPr>
          <w:rFonts w:ascii="Arial" w:hAnsi="Arial" w:cs="Arial"/>
          <w:bCs/>
          <w:iCs/>
          <w:szCs w:val="24"/>
        </w:rPr>
        <w:t>un</w:t>
      </w:r>
      <w:r w:rsidRPr="00432323">
        <w:rPr>
          <w:rFonts w:ascii="Arial" w:hAnsi="Arial" w:cs="Arial"/>
          <w:bCs/>
          <w:iCs/>
          <w:szCs w:val="24"/>
        </w:rPr>
        <w:t xml:space="preserve">reasonable </w:t>
      </w:r>
      <w:r w:rsidR="00411323" w:rsidRPr="00432323">
        <w:rPr>
          <w:rFonts w:ascii="Arial" w:hAnsi="Arial" w:cs="Arial"/>
          <w:bCs/>
          <w:iCs/>
          <w:szCs w:val="24"/>
        </w:rPr>
        <w:t>for</w:t>
      </w:r>
      <w:r w:rsidRPr="00432323">
        <w:rPr>
          <w:rFonts w:ascii="Arial" w:hAnsi="Arial" w:cs="Arial"/>
          <w:bCs/>
          <w:iCs/>
          <w:szCs w:val="24"/>
        </w:rPr>
        <w:t xml:space="preserve"> the prosecution </w:t>
      </w:r>
      <w:r w:rsidR="00411323" w:rsidRPr="00432323">
        <w:rPr>
          <w:rFonts w:ascii="Arial" w:hAnsi="Arial" w:cs="Arial"/>
          <w:bCs/>
          <w:iCs/>
          <w:szCs w:val="24"/>
        </w:rPr>
        <w:t>to establish the relevant element of this offence</w:t>
      </w:r>
      <w:r w:rsidR="00633E3A" w:rsidRPr="00432323">
        <w:rPr>
          <w:rFonts w:ascii="Arial" w:hAnsi="Arial" w:cs="Arial"/>
          <w:bCs/>
          <w:iCs/>
          <w:szCs w:val="24"/>
        </w:rPr>
        <w:t xml:space="preserve"> </w:t>
      </w:r>
      <w:r w:rsidRPr="00432323">
        <w:rPr>
          <w:rFonts w:ascii="Arial" w:hAnsi="Arial" w:cs="Arial"/>
          <w:bCs/>
          <w:iCs/>
          <w:szCs w:val="24"/>
        </w:rPr>
        <w:t xml:space="preserve">of this improper juror inquiry </w:t>
      </w:r>
      <w:r w:rsidR="00633E3A" w:rsidRPr="00432323">
        <w:rPr>
          <w:rFonts w:ascii="Arial" w:hAnsi="Arial" w:cs="Arial"/>
          <w:bCs/>
          <w:iCs/>
          <w:szCs w:val="24"/>
        </w:rPr>
        <w:t>unless it is shown that the court had authorised the juror to make the inquiry.</w:t>
      </w:r>
    </w:p>
    <w:p w14:paraId="19B237A9" w14:textId="573E6005" w:rsidR="00204660" w:rsidRPr="00432323" w:rsidRDefault="00204660" w:rsidP="00204660">
      <w:pPr>
        <w:rPr>
          <w:rFonts w:ascii="Arial" w:hAnsi="Arial" w:cs="Arial"/>
          <w:szCs w:val="24"/>
          <w:u w:val="single"/>
        </w:rPr>
      </w:pPr>
      <w:r w:rsidRPr="00432323">
        <w:rPr>
          <w:rFonts w:ascii="Arial" w:hAnsi="Arial" w:cs="Arial"/>
          <w:szCs w:val="24"/>
          <w:u w:val="single"/>
        </w:rPr>
        <w:t>Introduce a model for majority verdicts by juries</w:t>
      </w:r>
      <w:r w:rsidRPr="00432323">
        <w:rPr>
          <w:rFonts w:ascii="Arial" w:hAnsi="Arial" w:cs="Arial"/>
          <w:i/>
          <w:iCs/>
          <w:szCs w:val="24"/>
          <w:u w:val="single"/>
        </w:rPr>
        <w:t xml:space="preserve"> </w:t>
      </w:r>
      <w:r w:rsidRPr="00432323">
        <w:rPr>
          <w:rFonts w:ascii="Arial" w:hAnsi="Arial" w:cs="Arial"/>
          <w:szCs w:val="24"/>
          <w:u w:val="single"/>
        </w:rPr>
        <w:t>(</w:t>
      </w:r>
      <w:r w:rsidRPr="00432323">
        <w:rPr>
          <w:rFonts w:ascii="Arial" w:hAnsi="Arial" w:cs="Arial"/>
          <w:i/>
          <w:iCs/>
          <w:szCs w:val="24"/>
          <w:u w:val="single"/>
        </w:rPr>
        <w:t>Juries Act 1967</w:t>
      </w:r>
      <w:r w:rsidRPr="00432323">
        <w:rPr>
          <w:rFonts w:ascii="Arial" w:hAnsi="Arial" w:cs="Arial"/>
          <w:szCs w:val="24"/>
          <w:u w:val="single"/>
        </w:rPr>
        <w:t>)</w:t>
      </w:r>
    </w:p>
    <w:p w14:paraId="305594E9" w14:textId="709777F0" w:rsidR="00874F6A" w:rsidRPr="00432323" w:rsidRDefault="00874F6A" w:rsidP="00874F6A">
      <w:pPr>
        <w:rPr>
          <w:rFonts w:ascii="Arial" w:hAnsi="Arial" w:cs="Arial"/>
          <w:b/>
          <w:i/>
          <w:szCs w:val="24"/>
        </w:rPr>
      </w:pPr>
      <w:r w:rsidRPr="00432323">
        <w:rPr>
          <w:rFonts w:ascii="Arial" w:hAnsi="Arial" w:cs="Arial"/>
          <w:b/>
          <w:i/>
          <w:szCs w:val="24"/>
        </w:rPr>
        <w:t>1. Nature of the right and the limitation (s 28 (2) (a) and (c))</w:t>
      </w:r>
    </w:p>
    <w:p w14:paraId="09A55AE7" w14:textId="77777777" w:rsidR="004858FC" w:rsidRPr="00432323" w:rsidRDefault="004858FC" w:rsidP="004858FC">
      <w:pPr>
        <w:rPr>
          <w:rFonts w:ascii="Arial" w:hAnsi="Arial" w:cs="Arial"/>
        </w:rPr>
      </w:pPr>
      <w:r w:rsidRPr="00432323">
        <w:rPr>
          <w:rFonts w:ascii="Arial" w:hAnsi="Arial" w:cs="Arial"/>
        </w:rPr>
        <w:t xml:space="preserve">Section 21(1) of the HR Act provides that everyone has the right to have criminal charges, and rights and obligations recognised by law, decided by a competent, independent and impartial court or tribunal after a fair and public hearing (“right to a fair trial”). </w:t>
      </w:r>
    </w:p>
    <w:p w14:paraId="279CFD7A" w14:textId="17EA0067" w:rsidR="004858FC" w:rsidRPr="00432323" w:rsidRDefault="004858FC" w:rsidP="004858FC">
      <w:pPr>
        <w:rPr>
          <w:rFonts w:ascii="Arial" w:hAnsi="Arial" w:cs="Arial"/>
        </w:rPr>
      </w:pPr>
      <w:r w:rsidRPr="00432323">
        <w:rPr>
          <w:rFonts w:ascii="Arial" w:hAnsi="Arial" w:cs="Arial"/>
        </w:rPr>
        <w:t>The ACT’s criminal trial system permits, and for some offences requires, a trial by jury. By amending the Juries Act to only require 11 jurors out of 12 to be in agreement for a verdict, the amendment is engaging and limiting the right to a fair trial by amending the requirements for the decision by a “competent, independent and impartial court or tribunal”.</w:t>
      </w:r>
    </w:p>
    <w:p w14:paraId="5E3E7D51" w14:textId="77777777" w:rsidR="00874F6A" w:rsidRPr="00432323" w:rsidRDefault="00874F6A" w:rsidP="00874F6A">
      <w:pPr>
        <w:rPr>
          <w:rFonts w:ascii="Arial" w:hAnsi="Arial" w:cs="Arial"/>
          <w:szCs w:val="24"/>
        </w:rPr>
      </w:pPr>
      <w:r w:rsidRPr="00432323">
        <w:rPr>
          <w:rFonts w:ascii="Arial" w:hAnsi="Arial" w:cs="Arial"/>
          <w:b/>
          <w:i/>
          <w:szCs w:val="24"/>
        </w:rPr>
        <w:t>2. Legitimate purpose (s 28 (2) (b))</w:t>
      </w:r>
    </w:p>
    <w:p w14:paraId="7B7A9172" w14:textId="2C4CC280" w:rsidR="004858FC" w:rsidRPr="00432323" w:rsidRDefault="004858FC" w:rsidP="004858FC">
      <w:pPr>
        <w:rPr>
          <w:rFonts w:ascii="Arial" w:hAnsi="Arial" w:cs="Arial"/>
        </w:rPr>
      </w:pPr>
      <w:r w:rsidRPr="00432323">
        <w:rPr>
          <w:rFonts w:ascii="Arial" w:hAnsi="Arial" w:cs="Arial"/>
        </w:rPr>
        <w:lastRenderedPageBreak/>
        <w:t xml:space="preserve">The legitimate purpose of the limitation is to promote the effectiveness of the criminal justice system and to recognise that in a diverse community, people may not always agree, or alternatively that one or several people may be unreasonable or unrepresentative of the community. This limitation will also protect victims </w:t>
      </w:r>
      <w:r w:rsidR="0027497E" w:rsidRPr="00432323">
        <w:rPr>
          <w:rFonts w:ascii="Arial" w:hAnsi="Arial" w:cs="Arial"/>
        </w:rPr>
        <w:t xml:space="preserve">of crime </w:t>
      </w:r>
      <w:r w:rsidRPr="00432323">
        <w:rPr>
          <w:rFonts w:ascii="Arial" w:hAnsi="Arial" w:cs="Arial"/>
        </w:rPr>
        <w:t>by reducing the likelihood that they will be required to provide evidence, be cross-examined and live through the potentially traumatic experience of a trial more than once</w:t>
      </w:r>
      <w:r w:rsidR="00BC25CE" w:rsidRPr="00432323">
        <w:rPr>
          <w:rFonts w:ascii="Arial" w:hAnsi="Arial" w:cs="Arial"/>
        </w:rPr>
        <w:t xml:space="preserve"> in circumstances where there is evidence that the majority of the jury (11 of 12 jurors) consider that the offence was committed beyond reasonable doubt</w:t>
      </w:r>
      <w:r w:rsidRPr="00432323">
        <w:rPr>
          <w:rFonts w:ascii="Arial" w:hAnsi="Arial" w:cs="Arial"/>
        </w:rPr>
        <w:t>.</w:t>
      </w:r>
    </w:p>
    <w:p w14:paraId="1E5A81FE" w14:textId="6999CEBC" w:rsidR="00874F6A" w:rsidRPr="00432323" w:rsidRDefault="00874F6A" w:rsidP="00874F6A">
      <w:pPr>
        <w:rPr>
          <w:rFonts w:ascii="Arial" w:hAnsi="Arial" w:cs="Arial"/>
          <w:szCs w:val="24"/>
        </w:rPr>
      </w:pPr>
      <w:r w:rsidRPr="00432323">
        <w:rPr>
          <w:rFonts w:ascii="Arial" w:hAnsi="Arial" w:cs="Arial"/>
          <w:b/>
          <w:i/>
          <w:szCs w:val="24"/>
        </w:rPr>
        <w:t>3. Rational connection between the limitation and the purpose (s 28 (2) (d))</w:t>
      </w:r>
    </w:p>
    <w:p w14:paraId="3D84D2B9" w14:textId="77777777" w:rsidR="004858FC" w:rsidRPr="00432323" w:rsidRDefault="004858FC" w:rsidP="004858FC">
      <w:pPr>
        <w:rPr>
          <w:rFonts w:ascii="Arial" w:hAnsi="Arial" w:cs="Arial"/>
        </w:rPr>
      </w:pPr>
      <w:r w:rsidRPr="00432323">
        <w:rPr>
          <w:rFonts w:ascii="Arial" w:hAnsi="Arial" w:cs="Arial"/>
          <w:bCs/>
          <w:iCs/>
          <w:szCs w:val="24"/>
        </w:rPr>
        <w:t>There is a rational connection between the purpose of promoting effectiveness of the criminal justice system, and of protecting victims, with any limit on the right to a fair trial</w:t>
      </w:r>
      <w:r w:rsidRPr="00432323">
        <w:rPr>
          <w:rFonts w:ascii="Arial" w:hAnsi="Arial" w:cs="Arial"/>
        </w:rPr>
        <w:t>.</w:t>
      </w:r>
    </w:p>
    <w:p w14:paraId="2B94CA17" w14:textId="3CEB026D" w:rsidR="004858FC" w:rsidRPr="00432323" w:rsidRDefault="004858FC" w:rsidP="004858FC">
      <w:pPr>
        <w:rPr>
          <w:rFonts w:ascii="Arial" w:hAnsi="Arial" w:cs="Arial"/>
          <w:bCs/>
          <w:iCs/>
          <w:szCs w:val="24"/>
        </w:rPr>
      </w:pPr>
      <w:r w:rsidRPr="00432323">
        <w:rPr>
          <w:rFonts w:ascii="Arial" w:hAnsi="Arial" w:cs="Arial"/>
          <w:bCs/>
          <w:iCs/>
          <w:szCs w:val="24"/>
        </w:rPr>
        <w:t xml:space="preserve">By allowing majority verdicts to be accepted by the court, there will be improved effectiveness of the justice system and reduced </w:t>
      </w:r>
      <w:r w:rsidR="00BC25CE" w:rsidRPr="00432323">
        <w:rPr>
          <w:rFonts w:ascii="Arial" w:hAnsi="Arial" w:cs="Arial"/>
          <w:bCs/>
          <w:iCs/>
          <w:szCs w:val="24"/>
        </w:rPr>
        <w:t xml:space="preserve">re-traumatisation </w:t>
      </w:r>
      <w:r w:rsidRPr="00432323">
        <w:rPr>
          <w:rFonts w:ascii="Arial" w:hAnsi="Arial" w:cs="Arial"/>
          <w:bCs/>
          <w:iCs/>
          <w:szCs w:val="24"/>
        </w:rPr>
        <w:t>for victims by increasing the likelihood that a verdict might be reached even if there is some diversity in the approach of the jurors</w:t>
      </w:r>
      <w:r w:rsidR="00BC25CE" w:rsidRPr="00432323">
        <w:rPr>
          <w:rFonts w:ascii="Arial" w:hAnsi="Arial" w:cs="Arial"/>
          <w:bCs/>
          <w:iCs/>
          <w:szCs w:val="24"/>
        </w:rPr>
        <w:t xml:space="preserve"> such that one juror is “holding out” while the rest of the jury agree that the prosecution has proved the offence was committed beyond reasonable doubt</w:t>
      </w:r>
      <w:r w:rsidRPr="00432323">
        <w:rPr>
          <w:rFonts w:ascii="Arial" w:hAnsi="Arial" w:cs="Arial"/>
          <w:bCs/>
          <w:iCs/>
          <w:szCs w:val="24"/>
        </w:rPr>
        <w:t xml:space="preserve">. </w:t>
      </w:r>
    </w:p>
    <w:p w14:paraId="6A5DECE2" w14:textId="2FFEBA5E" w:rsidR="00874F6A" w:rsidRPr="00432323" w:rsidRDefault="00874F6A" w:rsidP="00204660">
      <w:pPr>
        <w:rPr>
          <w:rFonts w:ascii="Arial" w:hAnsi="Arial" w:cs="Arial"/>
          <w:szCs w:val="24"/>
        </w:rPr>
      </w:pPr>
      <w:r w:rsidRPr="00432323">
        <w:rPr>
          <w:rFonts w:ascii="Arial" w:hAnsi="Arial" w:cs="Arial"/>
          <w:b/>
          <w:i/>
          <w:szCs w:val="24"/>
        </w:rPr>
        <w:t>4. Proportionality (s 28 (2) (e))</w:t>
      </w:r>
    </w:p>
    <w:p w14:paraId="35A3BE15" w14:textId="1D14390A" w:rsidR="004858FC" w:rsidRPr="00432323" w:rsidRDefault="004858FC" w:rsidP="004858FC">
      <w:pPr>
        <w:rPr>
          <w:rFonts w:ascii="Arial" w:hAnsi="Arial" w:cs="Arial"/>
        </w:rPr>
      </w:pPr>
      <w:r w:rsidRPr="00432323">
        <w:rPr>
          <w:rFonts w:ascii="Arial" w:hAnsi="Arial" w:cs="Arial"/>
        </w:rPr>
        <w:t xml:space="preserve">This amendment is a proportionate to the aim of achieving effectiveness in the criminal justice system and reducing </w:t>
      </w:r>
      <w:r w:rsidR="00BC25CE" w:rsidRPr="00432323">
        <w:rPr>
          <w:rFonts w:ascii="Arial" w:hAnsi="Arial" w:cs="Arial"/>
        </w:rPr>
        <w:t>re-traumatisation to victims</w:t>
      </w:r>
      <w:r w:rsidRPr="00432323">
        <w:rPr>
          <w:rFonts w:ascii="Arial" w:hAnsi="Arial" w:cs="Arial"/>
        </w:rPr>
        <w:t>, in that the amendment does not significantly change the decision-making of a “competent, independent and impartial court” by still requiring 11 of the 12 jurors to determine beyond reasonable doubt that an offence was committed.</w:t>
      </w:r>
    </w:p>
    <w:p w14:paraId="65BFEF70" w14:textId="77777777" w:rsidR="004858FC" w:rsidRPr="00432323" w:rsidRDefault="004858FC" w:rsidP="004858FC">
      <w:pPr>
        <w:rPr>
          <w:rFonts w:ascii="Arial" w:hAnsi="Arial" w:cs="Arial"/>
        </w:rPr>
      </w:pPr>
      <w:r w:rsidRPr="00432323">
        <w:rPr>
          <w:rFonts w:ascii="Arial" w:hAnsi="Arial" w:cs="Arial"/>
        </w:rPr>
        <w:t xml:space="preserve">This is an amendment that has been widely adopted by other human rights jurisdictions, including the United Kingdom (10:2 majority verdicts); New Zealand (11:1 majority verdicts), Victoria (11:1 majority verdicts) and Queensland (11:1 majority verdicts). </w:t>
      </w:r>
    </w:p>
    <w:p w14:paraId="33E11EF9" w14:textId="65BDBD08" w:rsidR="004858FC" w:rsidRPr="00432323" w:rsidRDefault="004858FC" w:rsidP="00204660">
      <w:pPr>
        <w:rPr>
          <w:rFonts w:ascii="Arial" w:hAnsi="Arial" w:cs="Arial"/>
        </w:rPr>
      </w:pPr>
      <w:r w:rsidRPr="00432323">
        <w:rPr>
          <w:rFonts w:ascii="Arial" w:hAnsi="Arial" w:cs="Arial"/>
        </w:rPr>
        <w:t>Further, the amendment includes a requirement that a reasonable period (of at least 6 hours) to have passed, having regard to the complexity and nature of the trial, as an important safeguard for the independence and impartiality of the relevant court and the right to a fair trial before a majority verdict can be offered.</w:t>
      </w:r>
    </w:p>
    <w:p w14:paraId="618C1CFB" w14:textId="3AEE1892" w:rsidR="00050155" w:rsidRPr="00432323" w:rsidRDefault="00050155" w:rsidP="00050155">
      <w:pPr>
        <w:tabs>
          <w:tab w:val="left" w:pos="2160"/>
        </w:tabs>
        <w:autoSpaceDE w:val="0"/>
        <w:autoSpaceDN w:val="0"/>
        <w:adjustRightInd w:val="0"/>
        <w:spacing w:before="240" w:after="120"/>
        <w:rPr>
          <w:rFonts w:ascii="Arial" w:hAnsi="Arial" w:cs="Arial"/>
          <w:b/>
          <w:szCs w:val="24"/>
        </w:rPr>
      </w:pPr>
      <w:r w:rsidRPr="00432323">
        <w:rPr>
          <w:rFonts w:ascii="Arial" w:hAnsi="Arial" w:cs="Arial"/>
          <w:b/>
          <w:szCs w:val="24"/>
        </w:rPr>
        <w:t>Human rights not engaged</w:t>
      </w:r>
    </w:p>
    <w:p w14:paraId="1ADB6879" w14:textId="77777777" w:rsidR="00050155" w:rsidRPr="00432323" w:rsidRDefault="00050155" w:rsidP="00050155">
      <w:pPr>
        <w:rPr>
          <w:rFonts w:ascii="Arial" w:hAnsi="Arial" w:cs="Arial"/>
          <w:szCs w:val="24"/>
          <w:u w:val="single"/>
        </w:rPr>
      </w:pPr>
      <w:r w:rsidRPr="00432323">
        <w:rPr>
          <w:rFonts w:ascii="Arial" w:hAnsi="Arial" w:cs="Arial"/>
          <w:szCs w:val="24"/>
          <w:u w:val="single"/>
        </w:rPr>
        <w:t>Remove the element requiring the prosecution to prove that damage to property does not exceed $5000 in the minor property damage offence (</w:t>
      </w:r>
      <w:r w:rsidRPr="00432323">
        <w:rPr>
          <w:rFonts w:ascii="Arial" w:hAnsi="Arial" w:cs="Arial"/>
          <w:i/>
          <w:iCs/>
          <w:szCs w:val="24"/>
          <w:u w:val="single"/>
        </w:rPr>
        <w:t>Crimes Act 1900</w:t>
      </w:r>
      <w:r w:rsidRPr="00432323">
        <w:rPr>
          <w:rFonts w:ascii="Arial" w:hAnsi="Arial" w:cs="Arial"/>
          <w:szCs w:val="24"/>
          <w:u w:val="single"/>
        </w:rPr>
        <w:t>)</w:t>
      </w:r>
    </w:p>
    <w:p w14:paraId="6E43981C" w14:textId="1EC8D848" w:rsidR="00050155" w:rsidRPr="00432323" w:rsidRDefault="00050155" w:rsidP="00050155">
      <w:pPr>
        <w:rPr>
          <w:rFonts w:ascii="Arial" w:hAnsi="Arial" w:cs="Arial"/>
          <w:bCs/>
          <w:iCs/>
          <w:szCs w:val="24"/>
        </w:rPr>
      </w:pPr>
      <w:r w:rsidRPr="00432323">
        <w:rPr>
          <w:rFonts w:ascii="Arial" w:hAnsi="Arial" w:cs="Arial"/>
          <w:bCs/>
          <w:iCs/>
          <w:szCs w:val="24"/>
        </w:rPr>
        <w:lastRenderedPageBreak/>
        <w:t xml:space="preserve">This amendment amends the minor property damage offence to remove the requirement for the prosecution to establish that damage to property does not exceed $5,000. This amendment does not engage human rights. </w:t>
      </w:r>
    </w:p>
    <w:p w14:paraId="1F8463DB" w14:textId="77777777" w:rsidR="00050155" w:rsidRPr="00432323" w:rsidRDefault="00050155" w:rsidP="00050155">
      <w:pPr>
        <w:rPr>
          <w:rFonts w:ascii="Arial" w:hAnsi="Arial" w:cs="Arial"/>
          <w:szCs w:val="24"/>
          <w:u w:val="single"/>
        </w:rPr>
      </w:pPr>
      <w:r w:rsidRPr="00432323">
        <w:rPr>
          <w:rFonts w:ascii="Arial" w:hAnsi="Arial" w:cs="Arial"/>
          <w:szCs w:val="24"/>
          <w:u w:val="single"/>
        </w:rPr>
        <w:t>Clarify that the court may impose a fine in addition to, or instead of, any other sentence</w:t>
      </w:r>
      <w:r w:rsidRPr="00432323">
        <w:rPr>
          <w:rFonts w:ascii="Arial" w:hAnsi="Arial" w:cs="Arial"/>
          <w:i/>
          <w:iCs/>
          <w:szCs w:val="24"/>
          <w:u w:val="single"/>
        </w:rPr>
        <w:t xml:space="preserve"> </w:t>
      </w:r>
      <w:r w:rsidRPr="00432323">
        <w:rPr>
          <w:rFonts w:ascii="Arial" w:hAnsi="Arial" w:cs="Arial"/>
          <w:szCs w:val="24"/>
          <w:u w:val="single"/>
        </w:rPr>
        <w:t>(</w:t>
      </w:r>
      <w:r w:rsidRPr="00432323">
        <w:rPr>
          <w:rFonts w:ascii="Arial" w:hAnsi="Arial" w:cs="Arial"/>
          <w:i/>
          <w:iCs/>
          <w:szCs w:val="24"/>
          <w:u w:val="single"/>
        </w:rPr>
        <w:t>Crimes (Sentencing) Act 2005</w:t>
      </w:r>
      <w:r w:rsidRPr="00432323">
        <w:rPr>
          <w:rFonts w:ascii="Arial" w:hAnsi="Arial" w:cs="Arial"/>
          <w:szCs w:val="24"/>
          <w:u w:val="single"/>
        </w:rPr>
        <w:t>)</w:t>
      </w:r>
    </w:p>
    <w:p w14:paraId="34F79DC1" w14:textId="77777777" w:rsidR="00050155" w:rsidRPr="00432323" w:rsidRDefault="00050155" w:rsidP="00050155">
      <w:pPr>
        <w:rPr>
          <w:rFonts w:ascii="Arial" w:hAnsi="Arial" w:cs="Arial"/>
          <w:bCs/>
          <w:iCs/>
          <w:szCs w:val="24"/>
        </w:rPr>
      </w:pPr>
      <w:r w:rsidRPr="00432323">
        <w:rPr>
          <w:rFonts w:ascii="Arial" w:hAnsi="Arial" w:cs="Arial"/>
          <w:bCs/>
          <w:iCs/>
          <w:szCs w:val="24"/>
        </w:rPr>
        <w:t xml:space="preserve">This is a technical amendment which clarifies that the court may impose a fine in addition to, or instead of, any other sentence. The amendment does not engage rights under the HR Act. </w:t>
      </w:r>
    </w:p>
    <w:p w14:paraId="1A6BBCBF" w14:textId="77777777" w:rsidR="00050155" w:rsidRPr="00432323" w:rsidRDefault="00050155" w:rsidP="00050155">
      <w:pPr>
        <w:rPr>
          <w:rFonts w:ascii="Arial" w:hAnsi="Arial" w:cs="Arial"/>
          <w:szCs w:val="24"/>
          <w:u w:val="single"/>
        </w:rPr>
      </w:pPr>
      <w:r w:rsidRPr="00432323">
        <w:rPr>
          <w:rFonts w:ascii="Arial" w:hAnsi="Arial" w:cs="Arial"/>
          <w:szCs w:val="24"/>
          <w:u w:val="single"/>
        </w:rPr>
        <w:t>Require a statutory review of the unexplained wealth scheme three years after the 2022 Review (</w:t>
      </w:r>
      <w:r w:rsidRPr="00432323">
        <w:rPr>
          <w:rFonts w:ascii="Arial" w:hAnsi="Arial" w:cs="Arial"/>
          <w:i/>
          <w:iCs/>
          <w:szCs w:val="24"/>
          <w:u w:val="single"/>
        </w:rPr>
        <w:t>Confiscation of Criminal Assets Act 2003</w:t>
      </w:r>
      <w:r w:rsidRPr="00432323">
        <w:rPr>
          <w:rFonts w:ascii="Arial" w:hAnsi="Arial" w:cs="Arial"/>
          <w:szCs w:val="24"/>
          <w:u w:val="single"/>
        </w:rPr>
        <w:t>)</w:t>
      </w:r>
    </w:p>
    <w:p w14:paraId="3234B7BD" w14:textId="77777777" w:rsidR="00050155" w:rsidRPr="00432323" w:rsidRDefault="00050155" w:rsidP="00050155">
      <w:pPr>
        <w:rPr>
          <w:rFonts w:ascii="Arial" w:hAnsi="Arial" w:cs="Arial"/>
          <w:szCs w:val="24"/>
        </w:rPr>
      </w:pPr>
      <w:r w:rsidRPr="00432323">
        <w:rPr>
          <w:rFonts w:ascii="Arial" w:hAnsi="Arial" w:cs="Arial"/>
          <w:szCs w:val="24"/>
        </w:rPr>
        <w:t xml:space="preserve">This amendment requires a further statutory review of the unexplained wealth scheme to be conducted in August 2025. The amendment does not engage human rights under the HR Act. </w:t>
      </w:r>
    </w:p>
    <w:p w14:paraId="50FAD5D4" w14:textId="77777777" w:rsidR="0085687A" w:rsidRPr="00432323" w:rsidRDefault="0085687A" w:rsidP="0085687A">
      <w:pPr>
        <w:rPr>
          <w:rFonts w:ascii="Arial" w:hAnsi="Arial" w:cs="Arial"/>
          <w:szCs w:val="24"/>
          <w:u w:val="single"/>
        </w:rPr>
      </w:pPr>
      <w:r w:rsidRPr="00432323">
        <w:rPr>
          <w:rFonts w:ascii="Arial" w:hAnsi="Arial" w:cs="Arial"/>
          <w:szCs w:val="24"/>
          <w:u w:val="single"/>
        </w:rPr>
        <w:t>Update relevant references to the new title of Domestic, Family and Sexual Violence Coordinator-General (</w:t>
      </w:r>
      <w:r w:rsidRPr="00432323">
        <w:rPr>
          <w:rFonts w:ascii="Arial" w:hAnsi="Arial" w:cs="Arial"/>
          <w:i/>
          <w:iCs/>
          <w:szCs w:val="24"/>
          <w:u w:val="single"/>
        </w:rPr>
        <w:t>Victims of Crime Act 1994</w:t>
      </w:r>
      <w:r w:rsidRPr="00432323">
        <w:rPr>
          <w:rFonts w:ascii="Arial" w:hAnsi="Arial" w:cs="Arial"/>
          <w:szCs w:val="24"/>
          <w:u w:val="single"/>
        </w:rPr>
        <w:t xml:space="preserve"> and </w:t>
      </w:r>
      <w:r w:rsidRPr="00432323">
        <w:rPr>
          <w:rFonts w:ascii="Arial" w:hAnsi="Arial" w:cs="Arial"/>
          <w:i/>
          <w:iCs/>
          <w:szCs w:val="24"/>
          <w:u w:val="single"/>
        </w:rPr>
        <w:t>Crimes (Sentencing) Regulation 2006</w:t>
      </w:r>
      <w:r w:rsidRPr="00432323">
        <w:rPr>
          <w:rFonts w:ascii="Arial" w:hAnsi="Arial" w:cs="Arial"/>
          <w:szCs w:val="24"/>
          <w:u w:val="single"/>
        </w:rPr>
        <w:t>)</w:t>
      </w:r>
    </w:p>
    <w:p w14:paraId="41EA118A" w14:textId="77777777" w:rsidR="0085687A" w:rsidRPr="00432323" w:rsidRDefault="0085687A" w:rsidP="0085687A">
      <w:pPr>
        <w:rPr>
          <w:rFonts w:ascii="Arial" w:hAnsi="Arial" w:cs="Arial"/>
          <w:bCs/>
          <w:iCs/>
          <w:szCs w:val="24"/>
        </w:rPr>
      </w:pPr>
      <w:r w:rsidRPr="00432323">
        <w:rPr>
          <w:rFonts w:ascii="Arial" w:hAnsi="Arial" w:cs="Arial"/>
          <w:bCs/>
          <w:iCs/>
          <w:szCs w:val="24"/>
        </w:rPr>
        <w:t xml:space="preserve">This is a technical amendment and does not engage human rights under the HR Act. </w:t>
      </w:r>
    </w:p>
    <w:p w14:paraId="4D60B198" w14:textId="77777777" w:rsidR="00874F6A" w:rsidRPr="00432323" w:rsidRDefault="00874F6A" w:rsidP="001B4D18">
      <w:pPr>
        <w:spacing w:after="0"/>
        <w:rPr>
          <w:rFonts w:ascii="Arial" w:hAnsi="Arial" w:cs="Arial"/>
          <w:szCs w:val="24"/>
        </w:rPr>
      </w:pPr>
      <w:r w:rsidRPr="00432323">
        <w:rPr>
          <w:rFonts w:ascii="Arial" w:hAnsi="Arial" w:cs="Arial"/>
          <w:szCs w:val="24"/>
        </w:rPr>
        <w:br w:type="page"/>
      </w:r>
    </w:p>
    <w:p w14:paraId="0BD0DDFF" w14:textId="241D57F2" w:rsidR="00DE4C04" w:rsidRPr="00DE4C04" w:rsidRDefault="00DE4C04" w:rsidP="00B55BED">
      <w:pPr>
        <w:jc w:val="center"/>
        <w:rPr>
          <w:rFonts w:ascii="Arial" w:hAnsi="Arial" w:cs="Arial"/>
          <w:szCs w:val="24"/>
        </w:rPr>
      </w:pPr>
      <w:r w:rsidRPr="00DE4C04">
        <w:rPr>
          <w:rFonts w:ascii="Arial" w:hAnsi="Arial" w:cs="Arial"/>
          <w:szCs w:val="24"/>
        </w:rPr>
        <w:lastRenderedPageBreak/>
        <w:t>CRIMES LEGISLATION AMENDMENT BILL 2023</w:t>
      </w:r>
    </w:p>
    <w:p w14:paraId="37C9AECE" w14:textId="77777777" w:rsidR="00B55BED" w:rsidRPr="00DE4C04" w:rsidRDefault="00B55BED" w:rsidP="00B55BED">
      <w:pPr>
        <w:pStyle w:val="Heading4"/>
        <w:ind w:left="-108"/>
        <w:jc w:val="center"/>
        <w:rPr>
          <w:rFonts w:ascii="Arial" w:hAnsi="Arial" w:cs="Arial"/>
        </w:rPr>
      </w:pPr>
      <w:r w:rsidRPr="00DE4C04">
        <w:rPr>
          <w:rFonts w:ascii="Arial" w:hAnsi="Arial" w:cs="Arial"/>
          <w:i/>
          <w:iCs/>
        </w:rPr>
        <w:t>Human Rights Act 2004</w:t>
      </w:r>
      <w:r w:rsidRPr="00DE4C04">
        <w:rPr>
          <w:rFonts w:ascii="Arial" w:hAnsi="Arial" w:cs="Arial"/>
        </w:rPr>
        <w:t xml:space="preserve"> </w:t>
      </w:r>
      <w:r w:rsidRPr="00DE4C04">
        <w:rPr>
          <w:rFonts w:ascii="Arial" w:hAnsi="Arial" w:cs="Arial"/>
          <w:i/>
          <w:iCs/>
        </w:rPr>
        <w:t>- Compatibility Statement</w:t>
      </w:r>
    </w:p>
    <w:p w14:paraId="4F43F019" w14:textId="77777777" w:rsidR="00B55BED" w:rsidRPr="00DE4C04" w:rsidRDefault="00B55BED" w:rsidP="00B55BED">
      <w:pPr>
        <w:rPr>
          <w:rFonts w:ascii="Arial" w:hAnsi="Arial" w:cs="Arial"/>
          <w:szCs w:val="24"/>
        </w:rPr>
      </w:pPr>
    </w:p>
    <w:p w14:paraId="7C5ED20F" w14:textId="77777777" w:rsidR="00B55BED" w:rsidRPr="00DE4C04" w:rsidRDefault="00B55BED" w:rsidP="00B55BED">
      <w:pPr>
        <w:rPr>
          <w:rFonts w:ascii="Arial" w:hAnsi="Arial" w:cs="Arial"/>
          <w:szCs w:val="24"/>
        </w:rPr>
      </w:pPr>
    </w:p>
    <w:p w14:paraId="5CAD87A1" w14:textId="05DC3170" w:rsidR="00B55BED" w:rsidRPr="00432323" w:rsidRDefault="00B55BED" w:rsidP="00B55BED">
      <w:pPr>
        <w:jc w:val="both"/>
        <w:rPr>
          <w:rFonts w:ascii="Arial" w:hAnsi="Arial" w:cs="Arial"/>
          <w:szCs w:val="24"/>
        </w:rPr>
      </w:pPr>
      <w:r w:rsidRPr="00DE4C04">
        <w:rPr>
          <w:rFonts w:ascii="Arial" w:hAnsi="Arial" w:cs="Arial"/>
          <w:szCs w:val="24"/>
        </w:rPr>
        <w:t xml:space="preserve">In accordance with section 37 of the </w:t>
      </w:r>
      <w:r w:rsidRPr="00DE4C04">
        <w:rPr>
          <w:rFonts w:ascii="Arial" w:hAnsi="Arial" w:cs="Arial"/>
          <w:i/>
          <w:iCs/>
          <w:szCs w:val="24"/>
        </w:rPr>
        <w:t>Human Rights Act 2004</w:t>
      </w:r>
      <w:r w:rsidRPr="00DE4C04">
        <w:rPr>
          <w:rFonts w:ascii="Arial" w:hAnsi="Arial" w:cs="Arial"/>
          <w:szCs w:val="24"/>
        </w:rPr>
        <w:t xml:space="preserve"> I have examined the</w:t>
      </w:r>
      <w:r w:rsidR="00DE4C04">
        <w:rPr>
          <w:rFonts w:ascii="Arial" w:hAnsi="Arial" w:cs="Arial"/>
          <w:szCs w:val="24"/>
        </w:rPr>
        <w:t xml:space="preserve"> </w:t>
      </w:r>
      <w:r w:rsidR="00DE4C04" w:rsidRPr="00DE4C04">
        <w:rPr>
          <w:rFonts w:ascii="Arial" w:hAnsi="Arial" w:cs="Arial"/>
          <w:b/>
          <w:bCs/>
          <w:szCs w:val="24"/>
        </w:rPr>
        <w:t>Crimes Legislation Amendment Bill 2023</w:t>
      </w:r>
      <w:r w:rsidRPr="00DE4C04">
        <w:rPr>
          <w:rFonts w:ascii="Arial" w:hAnsi="Arial" w:cs="Arial"/>
          <w:szCs w:val="24"/>
        </w:rPr>
        <w:t>. In my opinion, having regard to the outline of the policy considerations and justification of any limitations on rights outlined in this explanatory statement, the Bill as pr</w:t>
      </w:r>
      <w:r w:rsidRPr="00432323">
        <w:rPr>
          <w:rFonts w:ascii="Arial" w:hAnsi="Arial" w:cs="Arial"/>
          <w:szCs w:val="24"/>
        </w:rPr>
        <w:t>esented to the Legislative Assembly</w:t>
      </w:r>
      <w:r w:rsidRPr="00432323">
        <w:rPr>
          <w:rFonts w:ascii="Arial" w:hAnsi="Arial" w:cs="Arial"/>
          <w:b/>
          <w:szCs w:val="24"/>
        </w:rPr>
        <w:t xml:space="preserve"> is </w:t>
      </w:r>
      <w:r w:rsidRPr="00432323">
        <w:rPr>
          <w:rFonts w:ascii="Arial" w:hAnsi="Arial" w:cs="Arial"/>
          <w:szCs w:val="24"/>
        </w:rPr>
        <w:t xml:space="preserve">consistent with the </w:t>
      </w:r>
      <w:r w:rsidRPr="00432323">
        <w:rPr>
          <w:rFonts w:ascii="Arial" w:hAnsi="Arial" w:cs="Arial"/>
          <w:i/>
          <w:iCs/>
          <w:szCs w:val="24"/>
        </w:rPr>
        <w:t>Human Rights Act 2004.</w:t>
      </w:r>
    </w:p>
    <w:p w14:paraId="083900D6" w14:textId="77777777" w:rsidR="00B55BED" w:rsidRPr="00432323" w:rsidRDefault="00B55BED" w:rsidP="00B55BED">
      <w:pPr>
        <w:rPr>
          <w:rFonts w:ascii="Arial" w:hAnsi="Arial" w:cs="Arial"/>
          <w:szCs w:val="24"/>
        </w:rPr>
      </w:pPr>
    </w:p>
    <w:p w14:paraId="0DE1C0F3" w14:textId="77777777" w:rsidR="00B55BED" w:rsidRPr="00432323" w:rsidRDefault="00B55BED" w:rsidP="00B55BED">
      <w:pPr>
        <w:rPr>
          <w:rFonts w:ascii="Arial" w:hAnsi="Arial" w:cs="Arial"/>
          <w:szCs w:val="24"/>
        </w:rPr>
      </w:pPr>
    </w:p>
    <w:p w14:paraId="28B3EE64" w14:textId="77777777" w:rsidR="00B55BED" w:rsidRPr="00432323" w:rsidRDefault="00B55BED" w:rsidP="00B55BED">
      <w:pPr>
        <w:rPr>
          <w:rFonts w:ascii="Arial" w:hAnsi="Arial" w:cs="Arial"/>
          <w:szCs w:val="24"/>
        </w:rPr>
      </w:pPr>
      <w:r w:rsidRPr="00432323">
        <w:rPr>
          <w:rFonts w:ascii="Arial" w:hAnsi="Arial" w:cs="Arial"/>
          <w:szCs w:val="24"/>
        </w:rPr>
        <w:t>………………………………………………….</w:t>
      </w:r>
    </w:p>
    <w:p w14:paraId="19CD2A14" w14:textId="289A632F" w:rsidR="00B55BED" w:rsidRPr="00432323" w:rsidRDefault="000C7327" w:rsidP="00B55BED">
      <w:pPr>
        <w:rPr>
          <w:rFonts w:ascii="Arial" w:hAnsi="Arial" w:cs="Arial"/>
          <w:szCs w:val="24"/>
        </w:rPr>
      </w:pPr>
      <w:r w:rsidRPr="00432323">
        <w:rPr>
          <w:rFonts w:ascii="Arial" w:hAnsi="Arial" w:cs="Arial"/>
          <w:szCs w:val="24"/>
        </w:rPr>
        <w:t>Shane Rattenbury</w:t>
      </w:r>
      <w:r w:rsidR="00050F68" w:rsidRPr="00432323">
        <w:rPr>
          <w:rFonts w:ascii="Arial" w:hAnsi="Arial" w:cs="Arial"/>
          <w:szCs w:val="24"/>
        </w:rPr>
        <w:t xml:space="preserve"> </w:t>
      </w:r>
      <w:r w:rsidR="00B55BED" w:rsidRPr="00432323">
        <w:rPr>
          <w:rFonts w:ascii="Arial" w:hAnsi="Arial" w:cs="Arial"/>
          <w:szCs w:val="24"/>
        </w:rPr>
        <w:t>MLA</w:t>
      </w:r>
      <w:r w:rsidR="00B55BED" w:rsidRPr="00432323">
        <w:rPr>
          <w:rFonts w:ascii="Arial" w:hAnsi="Arial" w:cs="Arial"/>
          <w:szCs w:val="24"/>
        </w:rPr>
        <w:br/>
        <w:t>Attorney-General</w:t>
      </w:r>
    </w:p>
    <w:p w14:paraId="6ED3FA22" w14:textId="77777777" w:rsidR="00B55BED" w:rsidRPr="00432323" w:rsidRDefault="00B55BED" w:rsidP="00B55BED">
      <w:pPr>
        <w:spacing w:before="200"/>
        <w:rPr>
          <w:rFonts w:ascii="Arial" w:hAnsi="Arial" w:cs="Arial"/>
          <w:szCs w:val="24"/>
        </w:rPr>
      </w:pPr>
    </w:p>
    <w:p w14:paraId="4FFA97DB" w14:textId="77777777" w:rsidR="00B55BED" w:rsidRPr="00432323" w:rsidRDefault="00B55BED" w:rsidP="00D21B72">
      <w:pPr>
        <w:rPr>
          <w:rFonts w:ascii="Arial" w:hAnsi="Arial" w:cs="Arial"/>
          <w:szCs w:val="24"/>
        </w:rPr>
      </w:pPr>
    </w:p>
    <w:p w14:paraId="75C30062" w14:textId="77777777" w:rsidR="00D21B72" w:rsidRPr="00432323" w:rsidRDefault="00D21B72" w:rsidP="00D21B72">
      <w:pPr>
        <w:keepNext/>
        <w:autoSpaceDE w:val="0"/>
        <w:autoSpaceDN w:val="0"/>
        <w:adjustRightInd w:val="0"/>
        <w:spacing w:before="240" w:after="120"/>
        <w:jc w:val="center"/>
        <w:rPr>
          <w:rFonts w:ascii="Arial" w:hAnsi="Arial" w:cs="Arial"/>
          <w:bCs/>
          <w:szCs w:val="24"/>
        </w:rPr>
      </w:pPr>
    </w:p>
    <w:p w14:paraId="17FDD1FD" w14:textId="77777777" w:rsidR="00B55BED" w:rsidRPr="00432323" w:rsidRDefault="00B55BED">
      <w:pPr>
        <w:spacing w:after="0" w:line="240" w:lineRule="auto"/>
        <w:rPr>
          <w:rFonts w:ascii="Arial" w:hAnsi="Arial" w:cs="Arial"/>
          <w:b/>
          <w:bCs/>
          <w:szCs w:val="24"/>
          <w:lang w:eastAsia="en-AU"/>
        </w:rPr>
      </w:pPr>
      <w:r w:rsidRPr="00432323">
        <w:rPr>
          <w:rFonts w:ascii="Arial" w:hAnsi="Arial" w:cs="Arial"/>
          <w:b/>
          <w:bCs/>
          <w:szCs w:val="24"/>
          <w:lang w:eastAsia="en-AU"/>
        </w:rPr>
        <w:br w:type="page"/>
      </w:r>
    </w:p>
    <w:p w14:paraId="30B8358E" w14:textId="77777777" w:rsidR="00DE4C04" w:rsidRPr="00DE4C04" w:rsidRDefault="00DE4C04" w:rsidP="00DE4C04">
      <w:pPr>
        <w:jc w:val="center"/>
        <w:rPr>
          <w:rFonts w:ascii="Arial" w:hAnsi="Arial" w:cs="Arial"/>
          <w:b/>
          <w:bCs/>
          <w:szCs w:val="24"/>
        </w:rPr>
      </w:pPr>
      <w:bookmarkStart w:id="12" w:name="_Toc426711261"/>
      <w:bookmarkStart w:id="13" w:name="_Toc429052824"/>
      <w:bookmarkStart w:id="14" w:name="_Toc146871481"/>
      <w:r w:rsidRPr="00DE4C04">
        <w:rPr>
          <w:rFonts w:ascii="Arial" w:hAnsi="Arial" w:cs="Arial"/>
          <w:b/>
          <w:bCs/>
          <w:szCs w:val="24"/>
        </w:rPr>
        <w:lastRenderedPageBreak/>
        <w:t>CRIMES LEGISLATION AMENDMENT BILL 2023</w:t>
      </w:r>
    </w:p>
    <w:p w14:paraId="7B72276F" w14:textId="77777777" w:rsidR="00702566" w:rsidRPr="00432323" w:rsidRDefault="00702566" w:rsidP="00A363CB">
      <w:pPr>
        <w:pStyle w:val="Title"/>
        <w:spacing w:before="240" w:after="120"/>
        <w:rPr>
          <w:rFonts w:ascii="Arial" w:hAnsi="Arial" w:cs="Arial"/>
          <w:sz w:val="24"/>
          <w:szCs w:val="24"/>
          <w:lang w:eastAsia="en-AU"/>
        </w:rPr>
      </w:pPr>
      <w:r w:rsidRPr="00432323">
        <w:rPr>
          <w:rFonts w:ascii="Arial" w:hAnsi="Arial" w:cs="Arial"/>
          <w:sz w:val="24"/>
          <w:szCs w:val="24"/>
          <w:lang w:eastAsia="en-AU"/>
        </w:rPr>
        <w:t>Detail</w:t>
      </w:r>
      <w:bookmarkEnd w:id="12"/>
      <w:bookmarkEnd w:id="13"/>
      <w:bookmarkEnd w:id="14"/>
    </w:p>
    <w:p w14:paraId="655FC8CE" w14:textId="77777777" w:rsidR="00AC5B87" w:rsidRPr="00432323" w:rsidRDefault="00AC5B87" w:rsidP="00AC5B87">
      <w:pPr>
        <w:pStyle w:val="Heading1"/>
        <w:rPr>
          <w:rFonts w:ascii="Arial" w:hAnsi="Arial" w:cs="Arial"/>
          <w:sz w:val="24"/>
          <w:szCs w:val="24"/>
          <w:lang w:eastAsia="en-AU"/>
        </w:rPr>
      </w:pPr>
      <w:bookmarkStart w:id="15" w:name="_Preamble"/>
      <w:bookmarkStart w:id="16" w:name="_Toc146871482"/>
      <w:bookmarkEnd w:id="15"/>
      <w:r w:rsidRPr="00432323">
        <w:rPr>
          <w:rFonts w:ascii="Arial" w:hAnsi="Arial" w:cs="Arial"/>
          <w:sz w:val="24"/>
          <w:szCs w:val="24"/>
          <w:lang w:eastAsia="en-AU"/>
        </w:rPr>
        <w:t xml:space="preserve">Part </w:t>
      </w:r>
      <w:r w:rsidR="00326167" w:rsidRPr="00432323">
        <w:rPr>
          <w:rFonts w:ascii="Arial" w:hAnsi="Arial" w:cs="Arial"/>
          <w:sz w:val="24"/>
          <w:szCs w:val="24"/>
          <w:lang w:eastAsia="en-AU"/>
        </w:rPr>
        <w:fldChar w:fldCharType="begin"/>
      </w:r>
      <w:r w:rsidRPr="00432323">
        <w:rPr>
          <w:rFonts w:ascii="Arial" w:hAnsi="Arial" w:cs="Arial"/>
          <w:sz w:val="24"/>
          <w:szCs w:val="24"/>
          <w:lang w:eastAsia="en-AU"/>
        </w:rPr>
        <w:instrText xml:space="preserve"> SEQ Part \* ARABIC </w:instrText>
      </w:r>
      <w:r w:rsidR="00326167" w:rsidRPr="00432323">
        <w:rPr>
          <w:rFonts w:ascii="Arial" w:hAnsi="Arial" w:cs="Arial"/>
          <w:sz w:val="24"/>
          <w:szCs w:val="24"/>
          <w:lang w:eastAsia="en-AU"/>
        </w:rPr>
        <w:fldChar w:fldCharType="separate"/>
      </w:r>
      <w:r w:rsidR="00C87B10" w:rsidRPr="00432323">
        <w:rPr>
          <w:rFonts w:ascii="Arial" w:hAnsi="Arial" w:cs="Arial"/>
          <w:noProof/>
          <w:sz w:val="24"/>
          <w:szCs w:val="24"/>
          <w:lang w:eastAsia="en-AU"/>
        </w:rPr>
        <w:t>1</w:t>
      </w:r>
      <w:r w:rsidR="00326167" w:rsidRPr="00432323">
        <w:rPr>
          <w:rFonts w:ascii="Arial" w:hAnsi="Arial" w:cs="Arial"/>
          <w:sz w:val="24"/>
          <w:szCs w:val="24"/>
          <w:lang w:eastAsia="en-AU"/>
        </w:rPr>
        <w:fldChar w:fldCharType="end"/>
      </w:r>
      <w:r w:rsidRPr="00432323">
        <w:rPr>
          <w:rFonts w:ascii="Arial" w:hAnsi="Arial" w:cs="Arial"/>
          <w:sz w:val="24"/>
          <w:szCs w:val="24"/>
          <w:lang w:eastAsia="en-AU"/>
        </w:rPr>
        <w:t xml:space="preserve"> – Preliminary</w:t>
      </w:r>
      <w:bookmarkEnd w:id="16"/>
    </w:p>
    <w:p w14:paraId="26A76DDD" w14:textId="72CF5D63" w:rsidR="00702566" w:rsidRPr="00432323" w:rsidRDefault="00C71A66" w:rsidP="00C07F8C">
      <w:pPr>
        <w:pStyle w:val="Heading4"/>
        <w:rPr>
          <w:rFonts w:ascii="Arial" w:hAnsi="Arial" w:cs="Arial"/>
          <w:bCs/>
          <w:lang w:eastAsia="en-AU"/>
        </w:rPr>
      </w:pPr>
      <w:r w:rsidRPr="00432323">
        <w:rPr>
          <w:rFonts w:ascii="Arial" w:hAnsi="Arial" w:cs="Arial"/>
        </w:rPr>
        <w:t xml:space="preserve">Clause </w:t>
      </w:r>
      <w:r w:rsidR="00326167" w:rsidRPr="00432323">
        <w:rPr>
          <w:rFonts w:ascii="Arial" w:hAnsi="Arial" w:cs="Arial"/>
        </w:rPr>
        <w:fldChar w:fldCharType="begin"/>
      </w:r>
      <w:r w:rsidRPr="00432323">
        <w:rPr>
          <w:rFonts w:ascii="Arial" w:hAnsi="Arial" w:cs="Arial"/>
        </w:rPr>
        <w:instrText xml:space="preserve"> SEQ Clause \* ARABIC </w:instrText>
      </w:r>
      <w:r w:rsidR="00326167" w:rsidRPr="00432323">
        <w:rPr>
          <w:rFonts w:ascii="Arial" w:hAnsi="Arial" w:cs="Arial"/>
        </w:rPr>
        <w:fldChar w:fldCharType="separate"/>
      </w:r>
      <w:r w:rsidR="008A28B9" w:rsidRPr="00432323">
        <w:rPr>
          <w:rFonts w:ascii="Arial" w:hAnsi="Arial" w:cs="Arial"/>
          <w:noProof/>
        </w:rPr>
        <w:t>1</w:t>
      </w:r>
      <w:r w:rsidR="00326167" w:rsidRPr="00432323">
        <w:rPr>
          <w:rFonts w:ascii="Arial" w:hAnsi="Arial" w:cs="Arial"/>
        </w:rPr>
        <w:fldChar w:fldCharType="end"/>
      </w:r>
      <w:r w:rsidR="00702566" w:rsidRPr="00432323">
        <w:rPr>
          <w:rFonts w:ascii="Arial" w:hAnsi="Arial" w:cs="Arial"/>
          <w:bCs/>
          <w:lang w:eastAsia="en-AU"/>
        </w:rPr>
        <w:t xml:space="preserve"> — Name of Act</w:t>
      </w:r>
    </w:p>
    <w:p w14:paraId="002E87C3" w14:textId="16F52572" w:rsidR="00702566" w:rsidRPr="00432323" w:rsidRDefault="00702566" w:rsidP="00A363CB">
      <w:pPr>
        <w:keepNext/>
        <w:autoSpaceDE w:val="0"/>
        <w:autoSpaceDN w:val="0"/>
        <w:adjustRightInd w:val="0"/>
        <w:spacing w:before="240" w:after="120"/>
        <w:rPr>
          <w:rFonts w:ascii="Arial" w:hAnsi="Arial" w:cs="Arial"/>
          <w:szCs w:val="24"/>
          <w:lang w:eastAsia="en-AU"/>
        </w:rPr>
      </w:pPr>
      <w:r w:rsidRPr="00432323">
        <w:rPr>
          <w:rFonts w:ascii="Arial" w:hAnsi="Arial" w:cs="Arial"/>
          <w:szCs w:val="24"/>
          <w:lang w:eastAsia="en-AU"/>
        </w:rPr>
        <w:t xml:space="preserve">This is a technical clause that names the short title of the Act. The name of the Act </w:t>
      </w:r>
      <w:r w:rsidR="00807087" w:rsidRPr="00432323">
        <w:rPr>
          <w:rFonts w:ascii="Arial" w:hAnsi="Arial" w:cs="Arial"/>
          <w:szCs w:val="24"/>
          <w:lang w:eastAsia="en-AU"/>
        </w:rPr>
        <w:t>will</w:t>
      </w:r>
      <w:r w:rsidRPr="00432323">
        <w:rPr>
          <w:rFonts w:ascii="Arial" w:hAnsi="Arial" w:cs="Arial"/>
          <w:szCs w:val="24"/>
          <w:lang w:eastAsia="en-AU"/>
        </w:rPr>
        <w:t xml:space="preserve"> be</w:t>
      </w:r>
      <w:r w:rsidR="001B7E69" w:rsidRPr="00432323">
        <w:rPr>
          <w:rFonts w:ascii="Arial" w:hAnsi="Arial" w:cs="Arial"/>
          <w:szCs w:val="24"/>
          <w:lang w:eastAsia="en-AU"/>
        </w:rPr>
        <w:t xml:space="preserve"> </w:t>
      </w:r>
      <w:r w:rsidRPr="00432323">
        <w:rPr>
          <w:rFonts w:ascii="Arial" w:hAnsi="Arial" w:cs="Arial"/>
          <w:szCs w:val="24"/>
          <w:lang w:eastAsia="en-AU"/>
        </w:rPr>
        <w:t xml:space="preserve">the </w:t>
      </w:r>
      <w:r w:rsidR="00172E6A" w:rsidRPr="00432323">
        <w:rPr>
          <w:rFonts w:ascii="Arial" w:hAnsi="Arial" w:cs="Arial"/>
          <w:i/>
          <w:szCs w:val="24"/>
        </w:rPr>
        <w:t>Crimes</w:t>
      </w:r>
      <w:r w:rsidR="000C7327" w:rsidRPr="00432323">
        <w:rPr>
          <w:rFonts w:ascii="Arial" w:hAnsi="Arial" w:cs="Arial"/>
          <w:i/>
          <w:szCs w:val="24"/>
        </w:rPr>
        <w:t xml:space="preserve"> Legislation Amendment Act 2023</w:t>
      </w:r>
      <w:r w:rsidRPr="00432323">
        <w:rPr>
          <w:rFonts w:ascii="Arial" w:hAnsi="Arial" w:cs="Arial"/>
          <w:szCs w:val="24"/>
          <w:lang w:eastAsia="en-AU"/>
        </w:rPr>
        <w:t>.</w:t>
      </w:r>
    </w:p>
    <w:p w14:paraId="141AFA77" w14:textId="569E491C" w:rsidR="00702566" w:rsidRPr="00432323" w:rsidRDefault="00C71A66" w:rsidP="00C07F8C">
      <w:pPr>
        <w:pStyle w:val="Heading4"/>
        <w:rPr>
          <w:rFonts w:ascii="Arial" w:hAnsi="Arial" w:cs="Arial"/>
          <w:bCs/>
          <w:lang w:eastAsia="en-AU"/>
        </w:rPr>
      </w:pPr>
      <w:r w:rsidRPr="00432323">
        <w:rPr>
          <w:rFonts w:ascii="Arial" w:hAnsi="Arial" w:cs="Arial"/>
        </w:rPr>
        <w:t xml:space="preserve">Clause </w:t>
      </w:r>
      <w:r w:rsidR="00326167" w:rsidRPr="00432323">
        <w:rPr>
          <w:rFonts w:ascii="Arial" w:hAnsi="Arial" w:cs="Arial"/>
        </w:rPr>
        <w:fldChar w:fldCharType="begin"/>
      </w:r>
      <w:r w:rsidRPr="00432323">
        <w:rPr>
          <w:rFonts w:ascii="Arial" w:hAnsi="Arial" w:cs="Arial"/>
        </w:rPr>
        <w:instrText xml:space="preserve"> SEQ Clause \* ARABIC </w:instrText>
      </w:r>
      <w:r w:rsidR="00326167" w:rsidRPr="00432323">
        <w:rPr>
          <w:rFonts w:ascii="Arial" w:hAnsi="Arial" w:cs="Arial"/>
        </w:rPr>
        <w:fldChar w:fldCharType="separate"/>
      </w:r>
      <w:r w:rsidR="008A28B9" w:rsidRPr="00432323">
        <w:rPr>
          <w:rFonts w:ascii="Arial" w:hAnsi="Arial" w:cs="Arial"/>
          <w:noProof/>
        </w:rPr>
        <w:t>2</w:t>
      </w:r>
      <w:r w:rsidR="00326167" w:rsidRPr="00432323">
        <w:rPr>
          <w:rFonts w:ascii="Arial" w:hAnsi="Arial" w:cs="Arial"/>
        </w:rPr>
        <w:fldChar w:fldCharType="end"/>
      </w:r>
      <w:r w:rsidRPr="00432323">
        <w:rPr>
          <w:rFonts w:ascii="Arial" w:hAnsi="Arial" w:cs="Arial"/>
          <w:bCs/>
          <w:lang w:eastAsia="en-AU"/>
        </w:rPr>
        <w:t xml:space="preserve"> </w:t>
      </w:r>
      <w:r w:rsidR="00702566" w:rsidRPr="00432323">
        <w:rPr>
          <w:rFonts w:ascii="Arial" w:hAnsi="Arial" w:cs="Arial"/>
          <w:bCs/>
          <w:lang w:eastAsia="en-AU"/>
        </w:rPr>
        <w:t>— Commencement</w:t>
      </w:r>
    </w:p>
    <w:p w14:paraId="173779E5" w14:textId="30E6BE18" w:rsidR="007532C4" w:rsidRPr="00432323" w:rsidRDefault="001F7F5F" w:rsidP="00DF7319">
      <w:pPr>
        <w:keepNext/>
        <w:autoSpaceDE w:val="0"/>
        <w:autoSpaceDN w:val="0"/>
        <w:adjustRightInd w:val="0"/>
        <w:spacing w:before="240" w:after="120"/>
        <w:rPr>
          <w:rFonts w:ascii="Arial" w:hAnsi="Arial" w:cs="Arial"/>
          <w:szCs w:val="24"/>
          <w:lang w:eastAsia="en-AU"/>
        </w:rPr>
      </w:pPr>
      <w:r w:rsidRPr="00432323">
        <w:rPr>
          <w:rFonts w:ascii="Arial" w:hAnsi="Arial" w:cs="Arial"/>
          <w:szCs w:val="24"/>
          <w:lang w:eastAsia="en-AU"/>
        </w:rPr>
        <w:t>This clause provid</w:t>
      </w:r>
      <w:r w:rsidR="00393C03" w:rsidRPr="00432323">
        <w:rPr>
          <w:rFonts w:ascii="Arial" w:hAnsi="Arial" w:cs="Arial"/>
          <w:szCs w:val="24"/>
          <w:lang w:eastAsia="en-AU"/>
        </w:rPr>
        <w:t>es that the Act</w:t>
      </w:r>
      <w:r w:rsidR="007532C4" w:rsidRPr="00432323">
        <w:rPr>
          <w:rFonts w:ascii="Arial" w:hAnsi="Arial" w:cs="Arial"/>
          <w:szCs w:val="24"/>
          <w:lang w:eastAsia="en-AU"/>
        </w:rPr>
        <w:t>, other than the provisions mentioned below,</w:t>
      </w:r>
      <w:r w:rsidR="00DF7319" w:rsidRPr="00432323">
        <w:rPr>
          <w:rFonts w:ascii="Arial" w:hAnsi="Arial" w:cs="Arial"/>
          <w:szCs w:val="24"/>
          <w:lang w:eastAsia="en-AU"/>
        </w:rPr>
        <w:t xml:space="preserve"> </w:t>
      </w:r>
      <w:r w:rsidR="00393C03" w:rsidRPr="00432323">
        <w:rPr>
          <w:rFonts w:ascii="Arial" w:hAnsi="Arial" w:cs="Arial"/>
          <w:szCs w:val="24"/>
          <w:lang w:eastAsia="en-AU"/>
        </w:rPr>
        <w:t>will commence</w:t>
      </w:r>
      <w:r w:rsidR="005D0412" w:rsidRPr="00432323">
        <w:rPr>
          <w:rFonts w:ascii="Arial" w:hAnsi="Arial" w:cs="Arial"/>
          <w:szCs w:val="24"/>
          <w:lang w:eastAsia="en-AU"/>
        </w:rPr>
        <w:t xml:space="preserve"> </w:t>
      </w:r>
      <w:r w:rsidR="00DF7319" w:rsidRPr="00432323">
        <w:rPr>
          <w:rFonts w:ascii="Arial" w:hAnsi="Arial" w:cs="Arial"/>
          <w:szCs w:val="24"/>
          <w:lang w:eastAsia="en-AU"/>
        </w:rPr>
        <w:t>on</w:t>
      </w:r>
      <w:r w:rsidR="00DE4C04">
        <w:rPr>
          <w:rFonts w:ascii="Arial" w:hAnsi="Arial" w:cs="Arial"/>
          <w:szCs w:val="24"/>
          <w:lang w:eastAsia="en-AU"/>
        </w:rPr>
        <w:t xml:space="preserve"> the 7</w:t>
      </w:r>
      <w:r w:rsidR="00DE4C04" w:rsidRPr="00DE4C04">
        <w:rPr>
          <w:rFonts w:ascii="Arial" w:hAnsi="Arial" w:cs="Arial"/>
          <w:szCs w:val="24"/>
          <w:lang w:eastAsia="en-AU"/>
        </w:rPr>
        <w:t>th</w:t>
      </w:r>
      <w:r w:rsidR="00DE4C04">
        <w:rPr>
          <w:rFonts w:ascii="Arial" w:hAnsi="Arial" w:cs="Arial"/>
          <w:szCs w:val="24"/>
          <w:lang w:eastAsia="en-AU"/>
        </w:rPr>
        <w:t xml:space="preserve"> day after its notification day</w:t>
      </w:r>
      <w:r w:rsidR="00DF7319" w:rsidRPr="00B96646">
        <w:rPr>
          <w:rFonts w:ascii="Arial" w:hAnsi="Arial" w:cs="Arial"/>
          <w:szCs w:val="24"/>
          <w:lang w:eastAsia="en-AU"/>
        </w:rPr>
        <w:t>.</w:t>
      </w:r>
      <w:r w:rsidR="001D41C0" w:rsidRPr="00432323">
        <w:rPr>
          <w:rFonts w:ascii="Arial" w:hAnsi="Arial" w:cs="Arial"/>
          <w:szCs w:val="24"/>
          <w:lang w:eastAsia="en-AU"/>
        </w:rPr>
        <w:t xml:space="preserve"> </w:t>
      </w:r>
      <w:r w:rsidR="007532C4" w:rsidRPr="00432323">
        <w:rPr>
          <w:rFonts w:ascii="Arial" w:hAnsi="Arial" w:cs="Arial"/>
          <w:szCs w:val="24"/>
          <w:lang w:eastAsia="en-AU"/>
        </w:rPr>
        <w:t xml:space="preserve">Sections </w:t>
      </w:r>
      <w:r w:rsidR="0085687A" w:rsidRPr="00432323">
        <w:rPr>
          <w:rFonts w:ascii="Arial" w:hAnsi="Arial" w:cs="Arial"/>
          <w:szCs w:val="24"/>
          <w:lang w:eastAsia="en-AU"/>
        </w:rPr>
        <w:t xml:space="preserve">14, </w:t>
      </w:r>
      <w:r w:rsidR="007532C4" w:rsidRPr="00432323">
        <w:rPr>
          <w:rFonts w:ascii="Arial" w:hAnsi="Arial" w:cs="Arial"/>
          <w:szCs w:val="24"/>
          <w:lang w:eastAsia="en-AU"/>
        </w:rPr>
        <w:t xml:space="preserve">15 and </w:t>
      </w:r>
      <w:r w:rsidR="0085687A" w:rsidRPr="00432323">
        <w:rPr>
          <w:rFonts w:ascii="Arial" w:hAnsi="Arial" w:cs="Arial"/>
          <w:szCs w:val="24"/>
          <w:lang w:eastAsia="en-AU"/>
        </w:rPr>
        <w:t xml:space="preserve">18 </w:t>
      </w:r>
      <w:r w:rsidR="007532C4" w:rsidRPr="00432323">
        <w:rPr>
          <w:rFonts w:ascii="Arial" w:hAnsi="Arial" w:cs="Arial"/>
          <w:szCs w:val="24"/>
          <w:lang w:eastAsia="en-AU"/>
        </w:rPr>
        <w:t xml:space="preserve">commence 6 months after the Act’s notification day. Parts 9 and 10 commence on the later of the commencement of section 16 of the </w:t>
      </w:r>
      <w:r w:rsidR="007532C4" w:rsidRPr="00432323">
        <w:rPr>
          <w:rFonts w:ascii="Arial" w:hAnsi="Arial" w:cs="Arial"/>
          <w:i/>
          <w:iCs/>
          <w:szCs w:val="24"/>
          <w:lang w:eastAsia="en-AU"/>
        </w:rPr>
        <w:t xml:space="preserve">Magistrates Court (Infringement </w:t>
      </w:r>
      <w:r w:rsidR="00C568F8" w:rsidRPr="00432323">
        <w:rPr>
          <w:rFonts w:ascii="Arial" w:hAnsi="Arial" w:cs="Arial"/>
          <w:i/>
          <w:iCs/>
          <w:szCs w:val="24"/>
          <w:lang w:eastAsia="en-AU"/>
        </w:rPr>
        <w:t>N</w:t>
      </w:r>
      <w:r w:rsidR="007532C4" w:rsidRPr="00432323">
        <w:rPr>
          <w:rFonts w:ascii="Arial" w:hAnsi="Arial" w:cs="Arial"/>
          <w:i/>
          <w:iCs/>
          <w:szCs w:val="24"/>
          <w:lang w:eastAsia="en-AU"/>
        </w:rPr>
        <w:t xml:space="preserve">otices) Amendment Act 2020 </w:t>
      </w:r>
      <w:r w:rsidR="007532C4" w:rsidRPr="00432323">
        <w:rPr>
          <w:rFonts w:ascii="Arial" w:hAnsi="Arial" w:cs="Arial"/>
          <w:szCs w:val="24"/>
          <w:lang w:eastAsia="en-AU"/>
        </w:rPr>
        <w:t xml:space="preserve">and the day after the Act’s notification day. </w:t>
      </w:r>
    </w:p>
    <w:p w14:paraId="3E1BACD4" w14:textId="3D1FBB00" w:rsidR="00C87B10" w:rsidRPr="00432323" w:rsidRDefault="00C87B10" w:rsidP="00C87B10">
      <w:pPr>
        <w:pStyle w:val="Heading4"/>
        <w:rPr>
          <w:rFonts w:ascii="Arial" w:hAnsi="Arial" w:cs="Arial"/>
          <w:bCs/>
          <w:lang w:eastAsia="en-AU"/>
        </w:rPr>
      </w:pPr>
      <w:r w:rsidRPr="00432323">
        <w:rPr>
          <w:rFonts w:ascii="Arial" w:hAnsi="Arial" w:cs="Arial"/>
        </w:rPr>
        <w:t xml:space="preserve">Clause </w:t>
      </w:r>
      <w:r w:rsidR="008E4B06" w:rsidRPr="00432323">
        <w:rPr>
          <w:rFonts w:ascii="Arial" w:hAnsi="Arial" w:cs="Arial"/>
        </w:rPr>
        <w:fldChar w:fldCharType="begin"/>
      </w:r>
      <w:r w:rsidR="008E4B06" w:rsidRPr="00432323">
        <w:rPr>
          <w:rFonts w:ascii="Arial" w:hAnsi="Arial" w:cs="Arial"/>
        </w:rPr>
        <w:instrText xml:space="preserve"> SEQ Clause \* ARABIC </w:instrText>
      </w:r>
      <w:r w:rsidR="008E4B06" w:rsidRPr="00432323">
        <w:rPr>
          <w:rFonts w:ascii="Arial" w:hAnsi="Arial" w:cs="Arial"/>
        </w:rPr>
        <w:fldChar w:fldCharType="separate"/>
      </w:r>
      <w:r w:rsidR="008A28B9" w:rsidRPr="00432323">
        <w:rPr>
          <w:rFonts w:ascii="Arial" w:hAnsi="Arial" w:cs="Arial"/>
          <w:noProof/>
        </w:rPr>
        <w:t>3</w:t>
      </w:r>
      <w:r w:rsidR="008E4B06" w:rsidRPr="00432323">
        <w:rPr>
          <w:rFonts w:ascii="Arial" w:hAnsi="Arial" w:cs="Arial"/>
          <w:noProof/>
        </w:rPr>
        <w:fldChar w:fldCharType="end"/>
      </w:r>
      <w:r w:rsidRPr="00432323">
        <w:rPr>
          <w:rFonts w:ascii="Arial" w:hAnsi="Arial" w:cs="Arial"/>
          <w:bCs/>
          <w:lang w:eastAsia="en-AU"/>
        </w:rPr>
        <w:t xml:space="preserve"> — Legislation </w:t>
      </w:r>
      <w:r w:rsidR="008A28B9" w:rsidRPr="00432323">
        <w:rPr>
          <w:rFonts w:ascii="Arial" w:hAnsi="Arial" w:cs="Arial"/>
          <w:bCs/>
          <w:lang w:eastAsia="en-AU"/>
        </w:rPr>
        <w:t>a</w:t>
      </w:r>
      <w:r w:rsidRPr="00432323">
        <w:rPr>
          <w:rFonts w:ascii="Arial" w:hAnsi="Arial" w:cs="Arial"/>
          <w:bCs/>
          <w:lang w:eastAsia="en-AU"/>
        </w:rPr>
        <w:t>mended</w:t>
      </w:r>
    </w:p>
    <w:p w14:paraId="269078A0" w14:textId="02CEFB05" w:rsidR="00AC5B87" w:rsidRPr="00432323" w:rsidRDefault="00C87B10" w:rsidP="00AC5B87">
      <w:pPr>
        <w:spacing w:before="240" w:after="120"/>
        <w:rPr>
          <w:rFonts w:ascii="Arial" w:hAnsi="Arial" w:cs="Arial"/>
          <w:i/>
          <w:iCs/>
          <w:szCs w:val="24"/>
          <w:lang w:eastAsia="en-AU"/>
        </w:rPr>
      </w:pPr>
      <w:r w:rsidRPr="00432323">
        <w:rPr>
          <w:rFonts w:ascii="Arial" w:hAnsi="Arial" w:cs="Arial"/>
          <w:szCs w:val="24"/>
          <w:lang w:eastAsia="en-AU"/>
        </w:rPr>
        <w:t xml:space="preserve">This clause </w:t>
      </w:r>
      <w:r w:rsidR="00442BD2" w:rsidRPr="00432323">
        <w:rPr>
          <w:rFonts w:ascii="Arial" w:hAnsi="Arial" w:cs="Arial"/>
          <w:szCs w:val="24"/>
          <w:lang w:eastAsia="en-AU"/>
        </w:rPr>
        <w:t xml:space="preserve">lists the legislation amended by this Bill. This Bill will amend the </w:t>
      </w:r>
      <w:r w:rsidR="003A3082" w:rsidRPr="00432323">
        <w:rPr>
          <w:rFonts w:ascii="Arial" w:hAnsi="Arial" w:cs="Arial"/>
          <w:i/>
          <w:iCs/>
          <w:szCs w:val="24"/>
          <w:lang w:eastAsia="en-AU"/>
        </w:rPr>
        <w:t xml:space="preserve">Bail Act 1992, </w:t>
      </w:r>
      <w:r w:rsidR="007532C4" w:rsidRPr="00432323">
        <w:rPr>
          <w:rFonts w:ascii="Arial" w:hAnsi="Arial" w:cs="Arial"/>
          <w:i/>
          <w:iCs/>
          <w:szCs w:val="24"/>
          <w:lang w:eastAsia="en-AU"/>
        </w:rPr>
        <w:t>Confiscation of Criminal Assets Act 2003</w:t>
      </w:r>
      <w:r w:rsidR="007532C4" w:rsidRPr="00432323">
        <w:rPr>
          <w:rFonts w:ascii="Arial" w:hAnsi="Arial" w:cs="Arial"/>
          <w:szCs w:val="24"/>
          <w:lang w:eastAsia="en-AU"/>
        </w:rPr>
        <w:t xml:space="preserve">, </w:t>
      </w:r>
      <w:r w:rsidR="003A3082" w:rsidRPr="00432323">
        <w:rPr>
          <w:rFonts w:ascii="Arial" w:hAnsi="Arial" w:cs="Arial"/>
          <w:i/>
          <w:iCs/>
          <w:szCs w:val="24"/>
          <w:lang w:eastAsia="en-AU"/>
        </w:rPr>
        <w:t>Crimes Act 1900, Crimes (Sentencing) Act 2005</w:t>
      </w:r>
      <w:r w:rsidR="003A3082" w:rsidRPr="00432323">
        <w:rPr>
          <w:rFonts w:ascii="Arial" w:hAnsi="Arial" w:cs="Arial"/>
          <w:szCs w:val="24"/>
          <w:lang w:eastAsia="en-AU"/>
        </w:rPr>
        <w:t xml:space="preserve">, </w:t>
      </w:r>
      <w:r w:rsidR="00172E6A" w:rsidRPr="00432323">
        <w:rPr>
          <w:rFonts w:ascii="Arial" w:hAnsi="Arial" w:cs="Arial"/>
          <w:i/>
          <w:iCs/>
          <w:szCs w:val="24"/>
          <w:lang w:eastAsia="en-AU"/>
        </w:rPr>
        <w:t>Crimes (Sentencing) Regulation 2006</w:t>
      </w:r>
      <w:r w:rsidR="00172E6A" w:rsidRPr="00432323">
        <w:rPr>
          <w:rFonts w:ascii="Arial" w:hAnsi="Arial" w:cs="Arial"/>
          <w:szCs w:val="24"/>
          <w:lang w:eastAsia="en-AU"/>
        </w:rPr>
        <w:t xml:space="preserve">, </w:t>
      </w:r>
      <w:r w:rsidR="007532C4" w:rsidRPr="00432323">
        <w:rPr>
          <w:rFonts w:ascii="Arial" w:hAnsi="Arial" w:cs="Arial"/>
          <w:i/>
          <w:iCs/>
          <w:szCs w:val="24"/>
          <w:lang w:eastAsia="en-AU"/>
        </w:rPr>
        <w:t>Evidence Act 2011</w:t>
      </w:r>
      <w:r w:rsidR="007532C4" w:rsidRPr="00432323">
        <w:rPr>
          <w:rFonts w:ascii="Arial" w:hAnsi="Arial" w:cs="Arial"/>
          <w:szCs w:val="24"/>
          <w:lang w:eastAsia="en-AU"/>
        </w:rPr>
        <w:t xml:space="preserve">, </w:t>
      </w:r>
      <w:r w:rsidR="00874F6A" w:rsidRPr="00432323">
        <w:rPr>
          <w:rFonts w:ascii="Arial" w:hAnsi="Arial" w:cs="Arial"/>
          <w:szCs w:val="24"/>
          <w:lang w:eastAsia="en-AU"/>
        </w:rPr>
        <w:t>Juries</w:t>
      </w:r>
      <w:r w:rsidR="00874F6A" w:rsidRPr="00432323">
        <w:rPr>
          <w:rFonts w:ascii="Arial" w:hAnsi="Arial" w:cs="Arial"/>
          <w:i/>
          <w:iCs/>
          <w:szCs w:val="24"/>
          <w:lang w:eastAsia="en-AU"/>
        </w:rPr>
        <w:t xml:space="preserve"> Act 1967</w:t>
      </w:r>
      <w:r w:rsidR="00874F6A" w:rsidRPr="00432323">
        <w:rPr>
          <w:rFonts w:ascii="Arial" w:hAnsi="Arial" w:cs="Arial"/>
          <w:szCs w:val="24"/>
          <w:lang w:eastAsia="en-AU"/>
        </w:rPr>
        <w:t xml:space="preserve">, </w:t>
      </w:r>
      <w:r w:rsidR="003A3082" w:rsidRPr="00432323">
        <w:rPr>
          <w:rFonts w:ascii="Arial" w:hAnsi="Arial" w:cs="Arial"/>
          <w:i/>
          <w:iCs/>
          <w:szCs w:val="24"/>
          <w:lang w:eastAsia="en-AU"/>
        </w:rPr>
        <w:t xml:space="preserve">Magistrates Court </w:t>
      </w:r>
      <w:r w:rsidR="00DD4D32" w:rsidRPr="00432323">
        <w:rPr>
          <w:rFonts w:ascii="Arial" w:hAnsi="Arial" w:cs="Arial"/>
          <w:i/>
          <w:iCs/>
          <w:szCs w:val="24"/>
          <w:lang w:eastAsia="en-AU"/>
        </w:rPr>
        <w:t>Act 1930</w:t>
      </w:r>
      <w:r w:rsidR="007532C4" w:rsidRPr="00432323">
        <w:rPr>
          <w:rFonts w:ascii="Arial" w:hAnsi="Arial" w:cs="Arial"/>
          <w:i/>
          <w:iCs/>
          <w:szCs w:val="24"/>
          <w:lang w:eastAsia="en-AU"/>
        </w:rPr>
        <w:t>, Magistrates Court Regulation 2009</w:t>
      </w:r>
      <w:r w:rsidR="00DD4D32" w:rsidRPr="00432323">
        <w:rPr>
          <w:rFonts w:ascii="Arial" w:hAnsi="Arial" w:cs="Arial"/>
          <w:i/>
          <w:iCs/>
          <w:szCs w:val="24"/>
          <w:lang w:eastAsia="en-AU"/>
        </w:rPr>
        <w:t xml:space="preserve"> </w:t>
      </w:r>
      <w:r w:rsidR="00874F6A" w:rsidRPr="00432323">
        <w:rPr>
          <w:rFonts w:ascii="Arial" w:hAnsi="Arial" w:cs="Arial"/>
          <w:szCs w:val="24"/>
          <w:lang w:eastAsia="en-AU"/>
        </w:rPr>
        <w:t>and</w:t>
      </w:r>
      <w:r w:rsidR="00172E6A" w:rsidRPr="00432323">
        <w:rPr>
          <w:rFonts w:ascii="Arial" w:hAnsi="Arial" w:cs="Arial"/>
          <w:szCs w:val="24"/>
          <w:lang w:eastAsia="en-AU"/>
        </w:rPr>
        <w:t xml:space="preserve"> </w:t>
      </w:r>
      <w:r w:rsidR="00172E6A" w:rsidRPr="00432323">
        <w:rPr>
          <w:rFonts w:ascii="Arial" w:hAnsi="Arial" w:cs="Arial"/>
          <w:i/>
          <w:iCs/>
          <w:szCs w:val="24"/>
          <w:lang w:eastAsia="en-AU"/>
        </w:rPr>
        <w:t>Victims of Crime Act 1994</w:t>
      </w:r>
      <w:r w:rsidR="00874F6A" w:rsidRPr="00432323">
        <w:rPr>
          <w:rFonts w:ascii="Arial" w:hAnsi="Arial" w:cs="Arial"/>
          <w:szCs w:val="24"/>
          <w:lang w:eastAsia="en-AU"/>
        </w:rPr>
        <w:t>.</w:t>
      </w:r>
    </w:p>
    <w:p w14:paraId="0F705FFB" w14:textId="60E96894" w:rsidR="00CF129B" w:rsidRPr="00432323" w:rsidRDefault="00AC5B87" w:rsidP="00A363CB">
      <w:pPr>
        <w:pStyle w:val="Heading1"/>
        <w:rPr>
          <w:rFonts w:ascii="Arial" w:hAnsi="Arial" w:cs="Arial"/>
          <w:sz w:val="24"/>
          <w:szCs w:val="24"/>
          <w:lang w:eastAsia="en-AU"/>
        </w:rPr>
      </w:pPr>
      <w:bookmarkStart w:id="17" w:name="_Part_2_–"/>
      <w:bookmarkStart w:id="18" w:name="_Toc426711263"/>
      <w:bookmarkStart w:id="19" w:name="_Toc429052826"/>
      <w:bookmarkStart w:id="20" w:name="_Toc146871483"/>
      <w:bookmarkEnd w:id="17"/>
      <w:r w:rsidRPr="00432323">
        <w:rPr>
          <w:rFonts w:ascii="Arial" w:hAnsi="Arial" w:cs="Arial"/>
          <w:sz w:val="24"/>
          <w:szCs w:val="24"/>
          <w:lang w:eastAsia="en-AU"/>
        </w:rPr>
        <w:t xml:space="preserve">Part </w:t>
      </w:r>
      <w:r w:rsidR="00326167" w:rsidRPr="00432323">
        <w:rPr>
          <w:rFonts w:ascii="Arial" w:hAnsi="Arial" w:cs="Arial"/>
          <w:sz w:val="24"/>
          <w:szCs w:val="24"/>
          <w:lang w:eastAsia="en-AU"/>
        </w:rPr>
        <w:fldChar w:fldCharType="begin"/>
      </w:r>
      <w:r w:rsidRPr="00432323">
        <w:rPr>
          <w:rFonts w:ascii="Arial" w:hAnsi="Arial" w:cs="Arial"/>
          <w:sz w:val="24"/>
          <w:szCs w:val="24"/>
          <w:lang w:eastAsia="en-AU"/>
        </w:rPr>
        <w:instrText xml:space="preserve"> SEQ Part \* ARABIC </w:instrText>
      </w:r>
      <w:r w:rsidR="00326167" w:rsidRPr="00432323">
        <w:rPr>
          <w:rFonts w:ascii="Arial" w:hAnsi="Arial" w:cs="Arial"/>
          <w:sz w:val="24"/>
          <w:szCs w:val="24"/>
          <w:lang w:eastAsia="en-AU"/>
        </w:rPr>
        <w:fldChar w:fldCharType="separate"/>
      </w:r>
      <w:r w:rsidR="008A28B9" w:rsidRPr="00432323">
        <w:rPr>
          <w:rFonts w:ascii="Arial" w:hAnsi="Arial" w:cs="Arial"/>
          <w:noProof/>
          <w:sz w:val="24"/>
          <w:szCs w:val="24"/>
          <w:lang w:eastAsia="en-AU"/>
        </w:rPr>
        <w:t>2</w:t>
      </w:r>
      <w:r w:rsidR="00326167" w:rsidRPr="00432323">
        <w:rPr>
          <w:rFonts w:ascii="Arial" w:hAnsi="Arial" w:cs="Arial"/>
          <w:sz w:val="24"/>
          <w:szCs w:val="24"/>
          <w:lang w:eastAsia="en-AU"/>
        </w:rPr>
        <w:fldChar w:fldCharType="end"/>
      </w:r>
      <w:r w:rsidR="00CF129B" w:rsidRPr="00432323">
        <w:rPr>
          <w:rFonts w:ascii="Arial" w:hAnsi="Arial" w:cs="Arial"/>
          <w:sz w:val="24"/>
          <w:szCs w:val="24"/>
          <w:lang w:eastAsia="en-AU"/>
        </w:rPr>
        <w:t xml:space="preserve"> – </w:t>
      </w:r>
      <w:bookmarkEnd w:id="18"/>
      <w:bookmarkEnd w:id="19"/>
      <w:r w:rsidR="007532C4" w:rsidRPr="00432323">
        <w:rPr>
          <w:rFonts w:ascii="Arial" w:hAnsi="Arial" w:cs="Arial"/>
          <w:sz w:val="24"/>
          <w:szCs w:val="24"/>
          <w:lang w:eastAsia="en-AU"/>
        </w:rPr>
        <w:t>Bail Act 1992</w:t>
      </w:r>
      <w:bookmarkEnd w:id="20"/>
    </w:p>
    <w:p w14:paraId="69157E4D" w14:textId="582CAA86" w:rsidR="00AC5B87" w:rsidRPr="00432323" w:rsidRDefault="00AC5B87" w:rsidP="00DF7319">
      <w:pPr>
        <w:pStyle w:val="Heading4"/>
        <w:keepNext w:val="0"/>
        <w:rPr>
          <w:rFonts w:ascii="Arial" w:hAnsi="Arial" w:cs="Arial"/>
          <w:lang w:eastAsia="en-AU"/>
        </w:rPr>
      </w:pPr>
      <w:bookmarkStart w:id="21" w:name="_Clause_6_–"/>
      <w:bookmarkEnd w:id="21"/>
      <w:r w:rsidRPr="00432323">
        <w:rPr>
          <w:rFonts w:ascii="Arial" w:hAnsi="Arial" w:cs="Arial"/>
        </w:rPr>
        <w:t xml:space="preserve">Clause </w:t>
      </w:r>
      <w:r w:rsidR="00326167" w:rsidRPr="00432323">
        <w:rPr>
          <w:rFonts w:ascii="Arial" w:hAnsi="Arial" w:cs="Arial"/>
        </w:rPr>
        <w:fldChar w:fldCharType="begin"/>
      </w:r>
      <w:r w:rsidRPr="00432323">
        <w:rPr>
          <w:rFonts w:ascii="Arial" w:hAnsi="Arial" w:cs="Arial"/>
        </w:rPr>
        <w:instrText xml:space="preserve"> SEQ Clause \* ARABIC </w:instrText>
      </w:r>
      <w:r w:rsidR="00326167" w:rsidRPr="00432323">
        <w:rPr>
          <w:rFonts w:ascii="Arial" w:hAnsi="Arial" w:cs="Arial"/>
        </w:rPr>
        <w:fldChar w:fldCharType="separate"/>
      </w:r>
      <w:r w:rsidR="008A28B9" w:rsidRPr="00432323">
        <w:rPr>
          <w:rFonts w:ascii="Arial" w:hAnsi="Arial" w:cs="Arial"/>
          <w:noProof/>
        </w:rPr>
        <w:t>4</w:t>
      </w:r>
      <w:r w:rsidR="00326167" w:rsidRPr="00432323">
        <w:rPr>
          <w:rFonts w:ascii="Arial" w:hAnsi="Arial" w:cs="Arial"/>
        </w:rPr>
        <w:fldChar w:fldCharType="end"/>
      </w:r>
      <w:r w:rsidRPr="00432323">
        <w:rPr>
          <w:rFonts w:ascii="Arial" w:hAnsi="Arial" w:cs="Arial"/>
          <w:bCs/>
          <w:lang w:eastAsia="en-AU"/>
        </w:rPr>
        <w:t xml:space="preserve"> </w:t>
      </w:r>
      <w:r w:rsidRPr="00432323">
        <w:rPr>
          <w:rFonts w:ascii="Arial" w:hAnsi="Arial" w:cs="Arial"/>
          <w:lang w:eastAsia="en-AU"/>
        </w:rPr>
        <w:t xml:space="preserve">– </w:t>
      </w:r>
      <w:r w:rsidR="008A28B9" w:rsidRPr="00432323">
        <w:rPr>
          <w:rFonts w:ascii="Arial" w:hAnsi="Arial" w:cs="Arial"/>
          <w:lang w:eastAsia="en-AU"/>
        </w:rPr>
        <w:t xml:space="preserve">Right of review of bail decisions – prosecution – Section 44 (5) (b) </w:t>
      </w:r>
    </w:p>
    <w:p w14:paraId="59B259BD" w14:textId="086CDE0C" w:rsidR="00AF14C4" w:rsidRPr="00432323" w:rsidRDefault="00F5684E" w:rsidP="00AF14C4">
      <w:pPr>
        <w:rPr>
          <w:rFonts w:ascii="Arial" w:hAnsi="Arial" w:cs="Arial"/>
          <w:szCs w:val="24"/>
        </w:rPr>
      </w:pPr>
      <w:r w:rsidRPr="00432323">
        <w:rPr>
          <w:rFonts w:ascii="Arial" w:hAnsi="Arial" w:cs="Arial"/>
          <w:szCs w:val="24"/>
        </w:rPr>
        <w:t xml:space="preserve">This clause </w:t>
      </w:r>
      <w:r w:rsidR="00AF14C4" w:rsidRPr="00432323">
        <w:rPr>
          <w:rFonts w:ascii="Arial" w:hAnsi="Arial" w:cs="Arial"/>
          <w:szCs w:val="24"/>
        </w:rPr>
        <w:t xml:space="preserve">aligns the time that a bail decision is stayed when the DPP gives the court notice of a proposed application for a review of bail (24 hours) with the time allowed under the Bail Act for the DPP to make an application for a review of bail (2 hours or by 10am on day if the decision is made after 4pm). </w:t>
      </w:r>
    </w:p>
    <w:p w14:paraId="2A2988EB" w14:textId="77777777" w:rsidR="00AF14C4" w:rsidRPr="00432323" w:rsidRDefault="00AF14C4" w:rsidP="00AF14C4">
      <w:pPr>
        <w:rPr>
          <w:rFonts w:ascii="Arial" w:hAnsi="Arial" w:cs="Arial"/>
          <w:szCs w:val="24"/>
        </w:rPr>
      </w:pPr>
      <w:r w:rsidRPr="00432323">
        <w:rPr>
          <w:rFonts w:ascii="Arial" w:hAnsi="Arial" w:cs="Arial"/>
          <w:szCs w:val="24"/>
        </w:rPr>
        <w:t xml:space="preserve">Section 44 of the Bail Act applies to the right of review of bail decisions for an accused person charged with a family violence offence or a serious offence. The Bill amends section 44(5)(b) of the Bail Act to provide that the operation of the bail decision is stayed until the first of the following happens: the DPP tells the court that made the decision that an application will not be made or the period for making the application and giving written notice of the application has ended. Currently, section 44 allows for a bail decision to be stayed for up to 24 hours, even in circumstances where the DPP has decided not to pursue a review or has not met the timeframes required by section 44(3) to be able to advance an application for review. This amendment will align timeframes for the stay with the section 44(3) deadline, which in practice will allow a bail decision to take effect sooner than the current section </w:t>
      </w:r>
      <w:r w:rsidRPr="00432323">
        <w:rPr>
          <w:rFonts w:ascii="Arial" w:hAnsi="Arial" w:cs="Arial"/>
          <w:szCs w:val="24"/>
        </w:rPr>
        <w:lastRenderedPageBreak/>
        <w:t xml:space="preserve">44(5)(b), where the stay continues even in the event parties are aware an application for a review will not take place.     </w:t>
      </w:r>
    </w:p>
    <w:p w14:paraId="13D89AEA" w14:textId="5AD7B1D5" w:rsidR="007532C4" w:rsidRPr="00432323" w:rsidRDefault="007532C4" w:rsidP="007532C4">
      <w:pPr>
        <w:pStyle w:val="Heading1"/>
        <w:rPr>
          <w:rFonts w:ascii="Arial" w:hAnsi="Arial" w:cs="Arial"/>
          <w:sz w:val="24"/>
          <w:szCs w:val="24"/>
          <w:lang w:eastAsia="en-AU"/>
        </w:rPr>
      </w:pPr>
      <w:bookmarkStart w:id="22" w:name="_Toc146871484"/>
      <w:r w:rsidRPr="00432323">
        <w:rPr>
          <w:rFonts w:ascii="Arial" w:hAnsi="Arial" w:cs="Arial"/>
          <w:sz w:val="24"/>
          <w:szCs w:val="24"/>
          <w:lang w:eastAsia="en-AU"/>
        </w:rPr>
        <w:t xml:space="preserve">Part </w:t>
      </w:r>
      <w:r w:rsidRPr="00432323">
        <w:rPr>
          <w:rFonts w:ascii="Arial" w:hAnsi="Arial" w:cs="Arial"/>
          <w:sz w:val="24"/>
          <w:szCs w:val="24"/>
          <w:lang w:eastAsia="en-AU"/>
        </w:rPr>
        <w:fldChar w:fldCharType="begin"/>
      </w:r>
      <w:r w:rsidRPr="00432323">
        <w:rPr>
          <w:rFonts w:ascii="Arial" w:hAnsi="Arial" w:cs="Arial"/>
          <w:sz w:val="24"/>
          <w:szCs w:val="24"/>
          <w:lang w:eastAsia="en-AU"/>
        </w:rPr>
        <w:instrText xml:space="preserve"> SEQ Part \* ARABIC </w:instrText>
      </w:r>
      <w:r w:rsidRPr="00432323">
        <w:rPr>
          <w:rFonts w:ascii="Arial" w:hAnsi="Arial" w:cs="Arial"/>
          <w:sz w:val="24"/>
          <w:szCs w:val="24"/>
          <w:lang w:eastAsia="en-AU"/>
        </w:rPr>
        <w:fldChar w:fldCharType="separate"/>
      </w:r>
      <w:r w:rsidR="008A28B9" w:rsidRPr="00432323">
        <w:rPr>
          <w:rFonts w:ascii="Arial" w:hAnsi="Arial" w:cs="Arial"/>
          <w:noProof/>
          <w:sz w:val="24"/>
          <w:szCs w:val="24"/>
          <w:lang w:eastAsia="en-AU"/>
        </w:rPr>
        <w:t>3</w:t>
      </w:r>
      <w:r w:rsidRPr="00432323">
        <w:rPr>
          <w:rFonts w:ascii="Arial" w:hAnsi="Arial" w:cs="Arial"/>
          <w:sz w:val="24"/>
          <w:szCs w:val="24"/>
          <w:lang w:eastAsia="en-AU"/>
        </w:rPr>
        <w:fldChar w:fldCharType="end"/>
      </w:r>
      <w:r w:rsidRPr="00432323">
        <w:rPr>
          <w:rFonts w:ascii="Arial" w:hAnsi="Arial" w:cs="Arial"/>
          <w:sz w:val="24"/>
          <w:szCs w:val="24"/>
          <w:lang w:eastAsia="en-AU"/>
        </w:rPr>
        <w:t xml:space="preserve"> – Confiscation of Criminal Assets Act 2003</w:t>
      </w:r>
      <w:bookmarkEnd w:id="22"/>
    </w:p>
    <w:p w14:paraId="77BBCBAF" w14:textId="75308C2F" w:rsidR="007532C4" w:rsidRPr="00432323" w:rsidRDefault="007532C4" w:rsidP="007532C4">
      <w:pPr>
        <w:pStyle w:val="Heading4"/>
        <w:keepNext w:val="0"/>
        <w:rPr>
          <w:rFonts w:ascii="Arial" w:hAnsi="Arial" w:cs="Arial"/>
          <w:lang w:eastAsia="en-AU"/>
        </w:rPr>
      </w:pPr>
      <w:r w:rsidRPr="00432323">
        <w:rPr>
          <w:rFonts w:ascii="Arial" w:hAnsi="Arial" w:cs="Arial"/>
        </w:rPr>
        <w:t xml:space="preserve">Clause </w:t>
      </w:r>
      <w:r w:rsidRPr="00432323">
        <w:rPr>
          <w:rFonts w:ascii="Arial" w:hAnsi="Arial" w:cs="Arial"/>
        </w:rPr>
        <w:fldChar w:fldCharType="begin"/>
      </w:r>
      <w:r w:rsidRPr="00432323">
        <w:rPr>
          <w:rFonts w:ascii="Arial" w:hAnsi="Arial" w:cs="Arial"/>
        </w:rPr>
        <w:instrText xml:space="preserve"> SEQ Clause \* ARABIC </w:instrText>
      </w:r>
      <w:r w:rsidRPr="00432323">
        <w:rPr>
          <w:rFonts w:ascii="Arial" w:hAnsi="Arial" w:cs="Arial"/>
        </w:rPr>
        <w:fldChar w:fldCharType="separate"/>
      </w:r>
      <w:r w:rsidR="008A28B9" w:rsidRPr="00432323">
        <w:rPr>
          <w:rFonts w:ascii="Arial" w:hAnsi="Arial" w:cs="Arial"/>
          <w:noProof/>
        </w:rPr>
        <w:t>5</w:t>
      </w:r>
      <w:r w:rsidRPr="00432323">
        <w:rPr>
          <w:rFonts w:ascii="Arial" w:hAnsi="Arial" w:cs="Arial"/>
        </w:rPr>
        <w:fldChar w:fldCharType="end"/>
      </w:r>
      <w:r w:rsidRPr="00432323">
        <w:rPr>
          <w:rFonts w:ascii="Arial" w:hAnsi="Arial" w:cs="Arial"/>
          <w:bCs/>
          <w:lang w:eastAsia="en-AU"/>
        </w:rPr>
        <w:t xml:space="preserve"> </w:t>
      </w:r>
      <w:r w:rsidRPr="00432323">
        <w:rPr>
          <w:rFonts w:ascii="Arial" w:hAnsi="Arial" w:cs="Arial"/>
          <w:lang w:eastAsia="en-AU"/>
        </w:rPr>
        <w:t>– New section 258A</w:t>
      </w:r>
    </w:p>
    <w:p w14:paraId="7A82001E" w14:textId="5BEDE9FE" w:rsidR="007532C4" w:rsidRPr="00432323" w:rsidRDefault="007532C4" w:rsidP="007532C4">
      <w:pPr>
        <w:pStyle w:val="Heading4"/>
        <w:keepNext w:val="0"/>
        <w:rPr>
          <w:rFonts w:ascii="Arial" w:hAnsi="Arial" w:cs="Arial"/>
          <w:b w:val="0"/>
          <w:lang w:eastAsia="en-AU"/>
        </w:rPr>
      </w:pPr>
      <w:r w:rsidRPr="00432323">
        <w:rPr>
          <w:rFonts w:ascii="Arial" w:hAnsi="Arial" w:cs="Arial"/>
          <w:b w:val="0"/>
          <w:lang w:eastAsia="en-AU"/>
        </w:rPr>
        <w:t xml:space="preserve">This clause inserts new section 258A which provides that the Minister must review the operation and effectiveness of the unexplained wealth provisions as soon as practicable after 3 August 2025 and present a report of the review to the Legislative Assembly by 3 August 2026. The section expires on 3 August 2027. </w:t>
      </w:r>
    </w:p>
    <w:p w14:paraId="0BD73391" w14:textId="243AF7BE" w:rsidR="007532C4" w:rsidRPr="00432323" w:rsidRDefault="007532C4" w:rsidP="007532C4">
      <w:pPr>
        <w:pStyle w:val="Heading1"/>
        <w:rPr>
          <w:rFonts w:ascii="Arial" w:hAnsi="Arial" w:cs="Arial"/>
          <w:sz w:val="24"/>
          <w:szCs w:val="24"/>
          <w:lang w:eastAsia="en-AU"/>
        </w:rPr>
      </w:pPr>
      <w:bookmarkStart w:id="23" w:name="_Toc146871485"/>
      <w:r w:rsidRPr="00432323">
        <w:rPr>
          <w:rFonts w:ascii="Arial" w:hAnsi="Arial" w:cs="Arial"/>
          <w:sz w:val="24"/>
          <w:szCs w:val="24"/>
          <w:lang w:eastAsia="en-AU"/>
        </w:rPr>
        <w:t xml:space="preserve">Part </w:t>
      </w:r>
      <w:r w:rsidRPr="00432323">
        <w:rPr>
          <w:rFonts w:ascii="Arial" w:hAnsi="Arial" w:cs="Arial"/>
          <w:sz w:val="24"/>
          <w:szCs w:val="24"/>
          <w:lang w:eastAsia="en-AU"/>
        </w:rPr>
        <w:fldChar w:fldCharType="begin"/>
      </w:r>
      <w:r w:rsidRPr="00432323">
        <w:rPr>
          <w:rFonts w:ascii="Arial" w:hAnsi="Arial" w:cs="Arial"/>
          <w:sz w:val="24"/>
          <w:szCs w:val="24"/>
          <w:lang w:eastAsia="en-AU"/>
        </w:rPr>
        <w:instrText xml:space="preserve"> SEQ Part \* ARABIC </w:instrText>
      </w:r>
      <w:r w:rsidRPr="00432323">
        <w:rPr>
          <w:rFonts w:ascii="Arial" w:hAnsi="Arial" w:cs="Arial"/>
          <w:sz w:val="24"/>
          <w:szCs w:val="24"/>
          <w:lang w:eastAsia="en-AU"/>
        </w:rPr>
        <w:fldChar w:fldCharType="separate"/>
      </w:r>
      <w:r w:rsidR="008A28B9" w:rsidRPr="00432323">
        <w:rPr>
          <w:rFonts w:ascii="Arial" w:hAnsi="Arial" w:cs="Arial"/>
          <w:noProof/>
          <w:sz w:val="24"/>
          <w:szCs w:val="24"/>
          <w:lang w:eastAsia="en-AU"/>
        </w:rPr>
        <w:t>4</w:t>
      </w:r>
      <w:r w:rsidRPr="00432323">
        <w:rPr>
          <w:rFonts w:ascii="Arial" w:hAnsi="Arial" w:cs="Arial"/>
          <w:sz w:val="24"/>
          <w:szCs w:val="24"/>
          <w:lang w:eastAsia="en-AU"/>
        </w:rPr>
        <w:fldChar w:fldCharType="end"/>
      </w:r>
      <w:r w:rsidRPr="00432323">
        <w:rPr>
          <w:rFonts w:ascii="Arial" w:hAnsi="Arial" w:cs="Arial"/>
          <w:sz w:val="24"/>
          <w:szCs w:val="24"/>
          <w:lang w:eastAsia="en-AU"/>
        </w:rPr>
        <w:t xml:space="preserve"> – Crimes Act 1900</w:t>
      </w:r>
      <w:bookmarkEnd w:id="23"/>
    </w:p>
    <w:p w14:paraId="59E1E797" w14:textId="6C3D093A" w:rsidR="007532C4" w:rsidRPr="00432323" w:rsidRDefault="007532C4" w:rsidP="007532C4">
      <w:pPr>
        <w:pStyle w:val="Heading4"/>
        <w:keepNext w:val="0"/>
        <w:rPr>
          <w:rFonts w:ascii="Arial" w:hAnsi="Arial" w:cs="Arial"/>
          <w:lang w:eastAsia="en-AU"/>
        </w:rPr>
      </w:pPr>
      <w:r w:rsidRPr="00432323">
        <w:rPr>
          <w:rFonts w:ascii="Arial" w:hAnsi="Arial" w:cs="Arial"/>
        </w:rPr>
        <w:t xml:space="preserve">Clause </w:t>
      </w:r>
      <w:r w:rsidRPr="00432323">
        <w:rPr>
          <w:rFonts w:ascii="Arial" w:hAnsi="Arial" w:cs="Arial"/>
        </w:rPr>
        <w:fldChar w:fldCharType="begin"/>
      </w:r>
      <w:r w:rsidRPr="00432323">
        <w:rPr>
          <w:rFonts w:ascii="Arial" w:hAnsi="Arial" w:cs="Arial"/>
        </w:rPr>
        <w:instrText xml:space="preserve"> SEQ Clause \* ARABIC </w:instrText>
      </w:r>
      <w:r w:rsidRPr="00432323">
        <w:rPr>
          <w:rFonts w:ascii="Arial" w:hAnsi="Arial" w:cs="Arial"/>
        </w:rPr>
        <w:fldChar w:fldCharType="separate"/>
      </w:r>
      <w:r w:rsidR="008A28B9" w:rsidRPr="00432323">
        <w:rPr>
          <w:rFonts w:ascii="Arial" w:hAnsi="Arial" w:cs="Arial"/>
          <w:noProof/>
        </w:rPr>
        <w:t>6</w:t>
      </w:r>
      <w:r w:rsidRPr="00432323">
        <w:rPr>
          <w:rFonts w:ascii="Arial" w:hAnsi="Arial" w:cs="Arial"/>
        </w:rPr>
        <w:fldChar w:fldCharType="end"/>
      </w:r>
      <w:r w:rsidRPr="00432323">
        <w:rPr>
          <w:rFonts w:ascii="Arial" w:hAnsi="Arial" w:cs="Arial"/>
          <w:bCs/>
          <w:lang w:eastAsia="en-AU"/>
        </w:rPr>
        <w:t xml:space="preserve"> </w:t>
      </w:r>
      <w:r w:rsidRPr="00432323">
        <w:rPr>
          <w:rFonts w:ascii="Arial" w:hAnsi="Arial" w:cs="Arial"/>
          <w:lang w:eastAsia="en-AU"/>
        </w:rPr>
        <w:t>– Destroying or damaging property – Section 116 (3) (d)</w:t>
      </w:r>
    </w:p>
    <w:p w14:paraId="4A7E623F" w14:textId="557D6968" w:rsidR="007532C4" w:rsidRPr="00432323" w:rsidRDefault="007532C4" w:rsidP="007532C4">
      <w:pPr>
        <w:pStyle w:val="Heading4"/>
        <w:keepNext w:val="0"/>
        <w:rPr>
          <w:rFonts w:ascii="Arial" w:hAnsi="Arial" w:cs="Arial"/>
          <w:b w:val="0"/>
          <w:lang w:eastAsia="en-AU"/>
        </w:rPr>
      </w:pPr>
      <w:r w:rsidRPr="00432323">
        <w:rPr>
          <w:rFonts w:ascii="Arial" w:hAnsi="Arial" w:cs="Arial"/>
          <w:b w:val="0"/>
          <w:lang w:eastAsia="en-AU"/>
        </w:rPr>
        <w:t xml:space="preserve">This clause omits section 116 (3) (d) </w:t>
      </w:r>
      <w:r w:rsidR="008A28B9" w:rsidRPr="00432323">
        <w:rPr>
          <w:rFonts w:ascii="Arial" w:hAnsi="Arial" w:cs="Arial"/>
          <w:b w:val="0"/>
          <w:lang w:eastAsia="en-AU"/>
        </w:rPr>
        <w:t xml:space="preserve">which currently provides that the damage to property does not exceed $5,000. </w:t>
      </w:r>
    </w:p>
    <w:p w14:paraId="6D8BF548" w14:textId="3262C07C" w:rsidR="007532C4" w:rsidRPr="00432323" w:rsidRDefault="007532C4" w:rsidP="007532C4">
      <w:pPr>
        <w:pStyle w:val="Heading1"/>
        <w:rPr>
          <w:rFonts w:ascii="Arial" w:hAnsi="Arial" w:cs="Arial"/>
          <w:sz w:val="24"/>
          <w:szCs w:val="24"/>
          <w:lang w:eastAsia="en-AU"/>
        </w:rPr>
      </w:pPr>
      <w:bookmarkStart w:id="24" w:name="_Toc146871486"/>
      <w:r w:rsidRPr="00432323">
        <w:rPr>
          <w:rFonts w:ascii="Arial" w:hAnsi="Arial" w:cs="Arial"/>
          <w:sz w:val="24"/>
          <w:szCs w:val="24"/>
          <w:lang w:eastAsia="en-AU"/>
        </w:rPr>
        <w:t xml:space="preserve">Part </w:t>
      </w:r>
      <w:r w:rsidRPr="00432323">
        <w:rPr>
          <w:rFonts w:ascii="Arial" w:hAnsi="Arial" w:cs="Arial"/>
          <w:sz w:val="24"/>
          <w:szCs w:val="24"/>
          <w:lang w:eastAsia="en-AU"/>
        </w:rPr>
        <w:fldChar w:fldCharType="begin"/>
      </w:r>
      <w:r w:rsidRPr="00432323">
        <w:rPr>
          <w:rFonts w:ascii="Arial" w:hAnsi="Arial" w:cs="Arial"/>
          <w:sz w:val="24"/>
          <w:szCs w:val="24"/>
          <w:lang w:eastAsia="en-AU"/>
        </w:rPr>
        <w:instrText xml:space="preserve"> SEQ Part \* ARABIC </w:instrText>
      </w:r>
      <w:r w:rsidRPr="00432323">
        <w:rPr>
          <w:rFonts w:ascii="Arial" w:hAnsi="Arial" w:cs="Arial"/>
          <w:sz w:val="24"/>
          <w:szCs w:val="24"/>
          <w:lang w:eastAsia="en-AU"/>
        </w:rPr>
        <w:fldChar w:fldCharType="separate"/>
      </w:r>
      <w:r w:rsidR="008A28B9" w:rsidRPr="00432323">
        <w:rPr>
          <w:rFonts w:ascii="Arial" w:hAnsi="Arial" w:cs="Arial"/>
          <w:noProof/>
          <w:sz w:val="24"/>
          <w:szCs w:val="24"/>
          <w:lang w:eastAsia="en-AU"/>
        </w:rPr>
        <w:t>5</w:t>
      </w:r>
      <w:r w:rsidRPr="00432323">
        <w:rPr>
          <w:rFonts w:ascii="Arial" w:hAnsi="Arial" w:cs="Arial"/>
          <w:sz w:val="24"/>
          <w:szCs w:val="24"/>
          <w:lang w:eastAsia="en-AU"/>
        </w:rPr>
        <w:fldChar w:fldCharType="end"/>
      </w:r>
      <w:r w:rsidRPr="00432323">
        <w:rPr>
          <w:rFonts w:ascii="Arial" w:hAnsi="Arial" w:cs="Arial"/>
          <w:sz w:val="24"/>
          <w:szCs w:val="24"/>
          <w:lang w:eastAsia="en-AU"/>
        </w:rPr>
        <w:t xml:space="preserve"> – Crimes (Sentencing) Act 2005</w:t>
      </w:r>
      <w:bookmarkEnd w:id="24"/>
      <w:r w:rsidRPr="00432323">
        <w:rPr>
          <w:rFonts w:ascii="Arial" w:hAnsi="Arial" w:cs="Arial"/>
          <w:sz w:val="24"/>
          <w:szCs w:val="24"/>
          <w:lang w:eastAsia="en-AU"/>
        </w:rPr>
        <w:t xml:space="preserve"> </w:t>
      </w:r>
    </w:p>
    <w:p w14:paraId="2D4DC8AA" w14:textId="6577F030" w:rsidR="007532C4" w:rsidRPr="00432323" w:rsidRDefault="007532C4" w:rsidP="007532C4">
      <w:pPr>
        <w:pStyle w:val="Heading4"/>
        <w:keepNext w:val="0"/>
        <w:rPr>
          <w:rFonts w:ascii="Arial" w:hAnsi="Arial" w:cs="Arial"/>
          <w:lang w:eastAsia="en-AU"/>
        </w:rPr>
      </w:pPr>
      <w:r w:rsidRPr="00432323">
        <w:rPr>
          <w:rFonts w:ascii="Arial" w:hAnsi="Arial" w:cs="Arial"/>
        </w:rPr>
        <w:t xml:space="preserve">Clause </w:t>
      </w:r>
      <w:r w:rsidRPr="00432323">
        <w:rPr>
          <w:rFonts w:ascii="Arial" w:hAnsi="Arial" w:cs="Arial"/>
        </w:rPr>
        <w:fldChar w:fldCharType="begin"/>
      </w:r>
      <w:r w:rsidRPr="00432323">
        <w:rPr>
          <w:rFonts w:ascii="Arial" w:hAnsi="Arial" w:cs="Arial"/>
        </w:rPr>
        <w:instrText xml:space="preserve"> SEQ Clause \* ARABIC </w:instrText>
      </w:r>
      <w:r w:rsidRPr="00432323">
        <w:rPr>
          <w:rFonts w:ascii="Arial" w:hAnsi="Arial" w:cs="Arial"/>
        </w:rPr>
        <w:fldChar w:fldCharType="separate"/>
      </w:r>
      <w:r w:rsidR="008A28B9" w:rsidRPr="00432323">
        <w:rPr>
          <w:rFonts w:ascii="Arial" w:hAnsi="Arial" w:cs="Arial"/>
          <w:noProof/>
        </w:rPr>
        <w:t>7</w:t>
      </w:r>
      <w:r w:rsidRPr="00432323">
        <w:rPr>
          <w:rFonts w:ascii="Arial" w:hAnsi="Arial" w:cs="Arial"/>
        </w:rPr>
        <w:fldChar w:fldCharType="end"/>
      </w:r>
      <w:r w:rsidRPr="00432323">
        <w:rPr>
          <w:rFonts w:ascii="Arial" w:hAnsi="Arial" w:cs="Arial"/>
          <w:bCs/>
          <w:lang w:eastAsia="en-AU"/>
        </w:rPr>
        <w:t xml:space="preserve"> </w:t>
      </w:r>
      <w:r w:rsidRPr="00432323">
        <w:rPr>
          <w:rFonts w:ascii="Arial" w:hAnsi="Arial" w:cs="Arial"/>
          <w:lang w:eastAsia="en-AU"/>
        </w:rPr>
        <w:t xml:space="preserve">– Fines – orders to pay – Section 14 (1) </w:t>
      </w:r>
    </w:p>
    <w:p w14:paraId="1C17DED4" w14:textId="3884851F" w:rsidR="007532C4" w:rsidRPr="00432323" w:rsidRDefault="00F5684E" w:rsidP="007532C4">
      <w:pPr>
        <w:pStyle w:val="Heading4"/>
        <w:keepNext w:val="0"/>
        <w:rPr>
          <w:rFonts w:ascii="Arial" w:hAnsi="Arial" w:cs="Arial"/>
          <w:b w:val="0"/>
          <w:lang w:eastAsia="en-AU"/>
        </w:rPr>
      </w:pPr>
      <w:r w:rsidRPr="00432323">
        <w:rPr>
          <w:rFonts w:ascii="Arial" w:hAnsi="Arial" w:cs="Arial"/>
          <w:b w:val="0"/>
          <w:lang w:eastAsia="en-AU"/>
        </w:rPr>
        <w:t xml:space="preserve">This clause omits the words ‘that is punishable by fine.’ </w:t>
      </w:r>
      <w:r w:rsidR="00516820" w:rsidRPr="00432323">
        <w:rPr>
          <w:rFonts w:ascii="Arial" w:hAnsi="Arial" w:cs="Arial"/>
          <w:b w:val="0"/>
          <w:lang w:eastAsia="en-AU"/>
        </w:rPr>
        <w:t xml:space="preserve">This has the effect of clarifying any inconsistency </w:t>
      </w:r>
      <w:r w:rsidRPr="00432323">
        <w:rPr>
          <w:rFonts w:ascii="Arial" w:hAnsi="Arial" w:cs="Arial"/>
          <w:b w:val="0"/>
          <w:lang w:eastAsia="en-AU"/>
        </w:rPr>
        <w:t>with section 14 (4).</w:t>
      </w:r>
    </w:p>
    <w:p w14:paraId="758EFD65" w14:textId="7872B085" w:rsidR="00064F55" w:rsidRPr="00432323" w:rsidRDefault="00064F55" w:rsidP="00064F55">
      <w:pPr>
        <w:pStyle w:val="Heading4"/>
        <w:keepNext w:val="0"/>
        <w:rPr>
          <w:rFonts w:ascii="Arial" w:hAnsi="Arial" w:cs="Arial"/>
          <w:b w:val="0"/>
          <w:lang w:eastAsia="en-AU"/>
        </w:rPr>
      </w:pPr>
      <w:r w:rsidRPr="00432323">
        <w:rPr>
          <w:rFonts w:ascii="Arial" w:hAnsi="Arial" w:cs="Arial"/>
        </w:rPr>
        <w:t xml:space="preserve">Clause </w:t>
      </w:r>
      <w:r w:rsidR="00AB6D01" w:rsidRPr="00432323">
        <w:rPr>
          <w:rFonts w:ascii="Arial" w:hAnsi="Arial" w:cs="Arial"/>
        </w:rPr>
        <w:t>8</w:t>
      </w:r>
      <w:r w:rsidR="00F5684E" w:rsidRPr="00432323">
        <w:rPr>
          <w:rFonts w:ascii="Arial" w:hAnsi="Arial" w:cs="Arial"/>
        </w:rPr>
        <w:t xml:space="preserve"> – Section 64 (2), definition of </w:t>
      </w:r>
      <w:r w:rsidR="00F5684E" w:rsidRPr="00432323">
        <w:rPr>
          <w:rFonts w:ascii="Arial" w:hAnsi="Arial" w:cs="Arial"/>
          <w:i/>
          <w:iCs/>
        </w:rPr>
        <w:t>excluded sentence of imprisonment</w:t>
      </w:r>
      <w:r w:rsidR="00F5684E" w:rsidRPr="00432323">
        <w:rPr>
          <w:rFonts w:ascii="Arial" w:hAnsi="Arial" w:cs="Arial"/>
        </w:rPr>
        <w:t xml:space="preserve">, paragraph (a) </w:t>
      </w:r>
    </w:p>
    <w:p w14:paraId="099BF21F" w14:textId="1AC9D26E" w:rsidR="00064F55" w:rsidRPr="00432323" w:rsidRDefault="00064F55" w:rsidP="00064F55">
      <w:pPr>
        <w:rPr>
          <w:rFonts w:ascii="Arial" w:hAnsi="Arial" w:cs="Arial"/>
          <w:lang w:eastAsia="en-AU"/>
        </w:rPr>
      </w:pPr>
      <w:r w:rsidRPr="00432323">
        <w:rPr>
          <w:rFonts w:ascii="Arial" w:hAnsi="Arial" w:cs="Arial"/>
          <w:lang w:eastAsia="en-AU"/>
        </w:rPr>
        <w:t xml:space="preserve">This clause </w:t>
      </w:r>
      <w:r w:rsidR="00F5684E" w:rsidRPr="00432323">
        <w:rPr>
          <w:rFonts w:ascii="Arial" w:hAnsi="Arial" w:cs="Arial"/>
          <w:lang w:eastAsia="en-AU"/>
        </w:rPr>
        <w:t>omits</w:t>
      </w:r>
      <w:r w:rsidRPr="00432323">
        <w:rPr>
          <w:rFonts w:ascii="Arial" w:hAnsi="Arial" w:cs="Arial"/>
          <w:lang w:eastAsia="en-AU"/>
        </w:rPr>
        <w:t xml:space="preserve"> section 64 (2) (e) of the </w:t>
      </w:r>
      <w:r w:rsidRPr="00432323">
        <w:rPr>
          <w:rFonts w:ascii="Arial" w:hAnsi="Arial" w:cs="Arial"/>
          <w:i/>
          <w:iCs/>
          <w:lang w:eastAsia="en-AU"/>
        </w:rPr>
        <w:t>Crimes (Sentencing) Act 2005</w:t>
      </w:r>
      <w:r w:rsidRPr="00432323">
        <w:rPr>
          <w:rFonts w:ascii="Arial" w:hAnsi="Arial" w:cs="Arial"/>
          <w:lang w:eastAsia="en-AU"/>
        </w:rPr>
        <w:t xml:space="preserve">, which provides that a sentence of imprisonment imposed for an offence committed while in lawful custody is an excluded sentence of imprisonment for the application of Part 5.2 of the </w:t>
      </w:r>
      <w:r w:rsidRPr="00432323">
        <w:rPr>
          <w:rFonts w:ascii="Arial" w:hAnsi="Arial" w:cs="Arial"/>
          <w:i/>
          <w:iCs/>
          <w:lang w:eastAsia="en-AU"/>
        </w:rPr>
        <w:t>Crimes (Sentencing) Act 2005</w:t>
      </w:r>
      <w:r w:rsidRPr="00432323">
        <w:rPr>
          <w:rFonts w:ascii="Arial" w:hAnsi="Arial" w:cs="Arial"/>
          <w:lang w:eastAsia="en-AU"/>
        </w:rPr>
        <w:t xml:space="preserve">. </w:t>
      </w:r>
    </w:p>
    <w:p w14:paraId="3EA44E6D" w14:textId="6C960749" w:rsidR="00064F55" w:rsidRPr="00432323" w:rsidRDefault="00064F55" w:rsidP="00064F55">
      <w:pPr>
        <w:rPr>
          <w:rFonts w:ascii="Arial" w:hAnsi="Arial" w:cs="Arial"/>
          <w:lang w:eastAsia="en-AU"/>
        </w:rPr>
      </w:pPr>
      <w:r w:rsidRPr="00432323">
        <w:rPr>
          <w:rFonts w:ascii="Arial" w:hAnsi="Arial" w:cs="Arial"/>
          <w:lang w:eastAsia="en-AU"/>
        </w:rPr>
        <w:t>The effect of repealing section 64 (2) (e) is that the court will be permitted to set a non</w:t>
      </w:r>
      <w:r w:rsidR="00CC69BC" w:rsidRPr="00432323">
        <w:rPr>
          <w:rFonts w:ascii="Arial" w:hAnsi="Arial" w:cs="Arial"/>
          <w:lang w:eastAsia="en-AU"/>
        </w:rPr>
        <w:t>-</w:t>
      </w:r>
      <w:r w:rsidRPr="00432323">
        <w:rPr>
          <w:rFonts w:ascii="Arial" w:hAnsi="Arial" w:cs="Arial"/>
          <w:lang w:eastAsia="en-AU"/>
        </w:rPr>
        <w:t xml:space="preserve">parole period for a sentence of imprisonment imposed for an offence committed while in lawful custody pursuant to Parts 5.2 and 5.3 of the </w:t>
      </w:r>
      <w:r w:rsidRPr="00432323">
        <w:rPr>
          <w:rFonts w:ascii="Arial" w:hAnsi="Arial" w:cs="Arial"/>
          <w:i/>
          <w:iCs/>
          <w:lang w:eastAsia="en-AU"/>
        </w:rPr>
        <w:t>Crimes (Sentencing) Act 2005</w:t>
      </w:r>
      <w:r w:rsidRPr="00432323">
        <w:rPr>
          <w:rFonts w:ascii="Arial" w:hAnsi="Arial" w:cs="Arial"/>
          <w:lang w:eastAsia="en-AU"/>
        </w:rPr>
        <w:t xml:space="preserve">. </w:t>
      </w:r>
    </w:p>
    <w:p w14:paraId="40618A28" w14:textId="310F2EB6" w:rsidR="00064F55" w:rsidRPr="00432323" w:rsidRDefault="00064F55" w:rsidP="00064F55">
      <w:pPr>
        <w:rPr>
          <w:rFonts w:ascii="Arial" w:hAnsi="Arial" w:cs="Arial"/>
          <w:lang w:eastAsia="en-AU"/>
        </w:rPr>
      </w:pPr>
      <w:r w:rsidRPr="00432323">
        <w:rPr>
          <w:rFonts w:ascii="Arial" w:hAnsi="Arial" w:cs="Arial"/>
          <w:lang w:eastAsia="en-AU"/>
        </w:rPr>
        <w:t>The purpose of this clause is to allow the court the discretion to consider the individual circumstances and facts of the custodial offending to determine whether</w:t>
      </w:r>
      <w:r w:rsidR="00E46736" w:rsidRPr="00432323">
        <w:rPr>
          <w:rFonts w:ascii="Arial" w:hAnsi="Arial" w:cs="Arial"/>
          <w:lang w:eastAsia="en-AU"/>
        </w:rPr>
        <w:t xml:space="preserve"> </w:t>
      </w:r>
      <w:r w:rsidRPr="00432323">
        <w:rPr>
          <w:rFonts w:ascii="Arial" w:hAnsi="Arial" w:cs="Arial"/>
          <w:lang w:eastAsia="en-AU"/>
        </w:rPr>
        <w:t>to set a non</w:t>
      </w:r>
      <w:r w:rsidR="00CC69BC" w:rsidRPr="00432323">
        <w:rPr>
          <w:rFonts w:ascii="Arial" w:hAnsi="Arial" w:cs="Arial"/>
          <w:lang w:eastAsia="en-AU"/>
        </w:rPr>
        <w:t>-</w:t>
      </w:r>
      <w:r w:rsidRPr="00432323">
        <w:rPr>
          <w:rFonts w:ascii="Arial" w:hAnsi="Arial" w:cs="Arial"/>
          <w:lang w:eastAsia="en-AU"/>
        </w:rPr>
        <w:t>parole period</w:t>
      </w:r>
      <w:r w:rsidR="00E46736" w:rsidRPr="00432323">
        <w:rPr>
          <w:rFonts w:ascii="Arial" w:hAnsi="Arial" w:cs="Arial"/>
          <w:lang w:eastAsia="en-AU"/>
        </w:rPr>
        <w:t xml:space="preserve"> and the length of that period</w:t>
      </w:r>
      <w:r w:rsidRPr="00432323">
        <w:rPr>
          <w:rFonts w:ascii="Arial" w:hAnsi="Arial" w:cs="Arial"/>
          <w:lang w:eastAsia="en-AU"/>
        </w:rPr>
        <w:t>. This may allow more detainees the opportunity to become eligible for parole, which may support their rehabilitation and reduce the risk of further offending.</w:t>
      </w:r>
    </w:p>
    <w:p w14:paraId="39BCA40F" w14:textId="4F3A8D47" w:rsidR="0085687A" w:rsidRPr="00432323" w:rsidRDefault="0085687A" w:rsidP="00B469D4">
      <w:pPr>
        <w:keepNext/>
        <w:rPr>
          <w:rFonts w:ascii="Arial" w:hAnsi="Arial" w:cs="Arial"/>
          <w:b/>
          <w:bCs/>
          <w:lang w:eastAsia="en-AU"/>
        </w:rPr>
      </w:pPr>
      <w:r w:rsidRPr="00432323">
        <w:rPr>
          <w:rFonts w:ascii="Arial" w:hAnsi="Arial" w:cs="Arial"/>
          <w:b/>
          <w:bCs/>
          <w:lang w:eastAsia="en-AU"/>
        </w:rPr>
        <w:lastRenderedPageBreak/>
        <w:t>Clause 9</w:t>
      </w:r>
      <w:r w:rsidR="00506DC3" w:rsidRPr="00432323">
        <w:rPr>
          <w:rFonts w:ascii="Arial" w:hAnsi="Arial" w:cs="Arial"/>
          <w:b/>
          <w:bCs/>
          <w:lang w:eastAsia="en-AU"/>
        </w:rPr>
        <w:t xml:space="preserve"> – Dictionary, note 2</w:t>
      </w:r>
    </w:p>
    <w:p w14:paraId="73B08875" w14:textId="12CBA0AA" w:rsidR="00506DC3" w:rsidRPr="00432323" w:rsidRDefault="0085687A" w:rsidP="00064F55">
      <w:pPr>
        <w:rPr>
          <w:rFonts w:ascii="Arial" w:hAnsi="Arial" w:cs="Arial"/>
          <w:lang w:eastAsia="en-AU"/>
        </w:rPr>
      </w:pPr>
      <w:r w:rsidRPr="00432323">
        <w:rPr>
          <w:rFonts w:ascii="Arial" w:hAnsi="Arial" w:cs="Arial"/>
          <w:lang w:eastAsia="en-AU"/>
        </w:rPr>
        <w:t>This clause</w:t>
      </w:r>
      <w:r w:rsidR="00506DC3" w:rsidRPr="00432323">
        <w:rPr>
          <w:rFonts w:ascii="Arial" w:hAnsi="Arial" w:cs="Arial"/>
          <w:lang w:eastAsia="en-AU"/>
        </w:rPr>
        <w:t xml:space="preserve"> inserts “corrections officer” into note 2 of the Dictionary, to refer to the definition of “corrections officer” in the </w:t>
      </w:r>
      <w:r w:rsidR="00506DC3" w:rsidRPr="00432323">
        <w:rPr>
          <w:rFonts w:ascii="Arial" w:hAnsi="Arial" w:cs="Arial"/>
          <w:i/>
          <w:iCs/>
          <w:lang w:eastAsia="en-AU"/>
        </w:rPr>
        <w:t>Legislation Act 2001</w:t>
      </w:r>
      <w:r w:rsidR="00506DC3" w:rsidRPr="00432323">
        <w:rPr>
          <w:rFonts w:ascii="Arial" w:hAnsi="Arial" w:cs="Arial"/>
          <w:lang w:eastAsia="en-AU"/>
        </w:rPr>
        <w:t>, Dictionary, Part 1.</w:t>
      </w:r>
    </w:p>
    <w:p w14:paraId="0453E159" w14:textId="7C19E6B5" w:rsidR="0085687A" w:rsidRPr="00432323" w:rsidRDefault="0085687A" w:rsidP="00064F55">
      <w:pPr>
        <w:rPr>
          <w:rFonts w:ascii="Arial" w:hAnsi="Arial" w:cs="Arial"/>
          <w:b/>
          <w:bCs/>
          <w:i/>
          <w:iCs/>
          <w:lang w:eastAsia="en-AU"/>
        </w:rPr>
      </w:pPr>
      <w:r w:rsidRPr="00432323">
        <w:rPr>
          <w:rFonts w:ascii="Arial" w:hAnsi="Arial" w:cs="Arial"/>
          <w:b/>
          <w:bCs/>
          <w:lang w:eastAsia="en-AU"/>
        </w:rPr>
        <w:t>Clause 10</w:t>
      </w:r>
      <w:r w:rsidR="00506DC3" w:rsidRPr="00432323">
        <w:rPr>
          <w:rFonts w:ascii="Arial" w:hAnsi="Arial" w:cs="Arial"/>
          <w:b/>
          <w:bCs/>
          <w:lang w:eastAsia="en-AU"/>
        </w:rPr>
        <w:t xml:space="preserve"> – Dictionary, definition of </w:t>
      </w:r>
      <w:r w:rsidR="00506DC3" w:rsidRPr="00432323">
        <w:rPr>
          <w:rFonts w:ascii="Arial" w:hAnsi="Arial" w:cs="Arial"/>
          <w:b/>
          <w:bCs/>
          <w:i/>
          <w:iCs/>
          <w:lang w:eastAsia="en-AU"/>
        </w:rPr>
        <w:t>corrections officer</w:t>
      </w:r>
    </w:p>
    <w:p w14:paraId="269225E4" w14:textId="62FEC7CA" w:rsidR="0085687A" w:rsidRPr="00432323" w:rsidRDefault="0085687A" w:rsidP="00064F55">
      <w:pPr>
        <w:rPr>
          <w:rFonts w:ascii="Arial" w:hAnsi="Arial" w:cs="Arial"/>
          <w:lang w:eastAsia="en-AU"/>
        </w:rPr>
      </w:pPr>
      <w:r w:rsidRPr="00432323">
        <w:rPr>
          <w:rFonts w:ascii="Arial" w:hAnsi="Arial" w:cs="Arial"/>
          <w:lang w:eastAsia="en-AU"/>
        </w:rPr>
        <w:t>This clause</w:t>
      </w:r>
      <w:r w:rsidR="00506DC3" w:rsidRPr="00432323">
        <w:rPr>
          <w:rFonts w:ascii="Arial" w:hAnsi="Arial" w:cs="Arial"/>
          <w:lang w:eastAsia="en-AU"/>
        </w:rPr>
        <w:t xml:space="preserve"> </w:t>
      </w:r>
      <w:r w:rsidR="00E60861" w:rsidRPr="00432323">
        <w:rPr>
          <w:rFonts w:ascii="Arial" w:hAnsi="Arial" w:cs="Arial"/>
          <w:lang w:eastAsia="en-AU"/>
        </w:rPr>
        <w:t xml:space="preserve">omits the definition of “corrections officer” in the Dictionary to rely on the definition of “corrections officer” in the </w:t>
      </w:r>
      <w:r w:rsidR="00E60861" w:rsidRPr="00432323">
        <w:rPr>
          <w:rFonts w:ascii="Arial" w:hAnsi="Arial" w:cs="Arial"/>
          <w:i/>
          <w:iCs/>
          <w:lang w:eastAsia="en-AU"/>
        </w:rPr>
        <w:t>Legislation Act 2001</w:t>
      </w:r>
      <w:r w:rsidR="00E60861" w:rsidRPr="00432323">
        <w:rPr>
          <w:rFonts w:ascii="Arial" w:hAnsi="Arial" w:cs="Arial"/>
          <w:lang w:eastAsia="en-AU"/>
        </w:rPr>
        <w:t>, Dictionary, Part 1.</w:t>
      </w:r>
      <w:r w:rsidR="00506DC3" w:rsidRPr="00432323" w:rsidDel="00506DC3">
        <w:rPr>
          <w:rFonts w:ascii="Arial" w:hAnsi="Arial" w:cs="Arial"/>
          <w:lang w:eastAsia="en-AU"/>
        </w:rPr>
        <w:t xml:space="preserve"> </w:t>
      </w:r>
    </w:p>
    <w:p w14:paraId="5ACC1FEA" w14:textId="67305E8D" w:rsidR="007532C4" w:rsidRPr="00432323" w:rsidRDefault="007532C4" w:rsidP="001B4D18">
      <w:pPr>
        <w:rPr>
          <w:rFonts w:ascii="Arial" w:hAnsi="Arial" w:cs="Arial"/>
          <w:szCs w:val="24"/>
          <w:lang w:eastAsia="en-AU"/>
        </w:rPr>
      </w:pPr>
      <w:r w:rsidRPr="00432323">
        <w:rPr>
          <w:rFonts w:ascii="Arial" w:hAnsi="Arial" w:cs="Arial"/>
          <w:b/>
          <w:bCs/>
          <w:szCs w:val="24"/>
          <w:lang w:eastAsia="en-AU"/>
        </w:rPr>
        <w:t xml:space="preserve">Part </w:t>
      </w:r>
      <w:r w:rsidRPr="00432323">
        <w:rPr>
          <w:rFonts w:ascii="Arial" w:hAnsi="Arial" w:cs="Arial"/>
          <w:b/>
          <w:bCs/>
          <w:szCs w:val="24"/>
          <w:lang w:eastAsia="en-AU"/>
        </w:rPr>
        <w:fldChar w:fldCharType="begin"/>
      </w:r>
      <w:r w:rsidRPr="00432323">
        <w:rPr>
          <w:rFonts w:ascii="Arial" w:hAnsi="Arial" w:cs="Arial"/>
          <w:b/>
          <w:bCs/>
          <w:szCs w:val="24"/>
          <w:lang w:eastAsia="en-AU"/>
        </w:rPr>
        <w:instrText xml:space="preserve"> SEQ Part \* ARABIC </w:instrText>
      </w:r>
      <w:r w:rsidRPr="00432323">
        <w:rPr>
          <w:rFonts w:ascii="Arial" w:hAnsi="Arial" w:cs="Arial"/>
          <w:b/>
          <w:bCs/>
          <w:szCs w:val="24"/>
          <w:lang w:eastAsia="en-AU"/>
        </w:rPr>
        <w:fldChar w:fldCharType="separate"/>
      </w:r>
      <w:r w:rsidR="008A28B9" w:rsidRPr="00432323">
        <w:rPr>
          <w:rFonts w:ascii="Arial" w:hAnsi="Arial" w:cs="Arial"/>
          <w:b/>
          <w:bCs/>
          <w:noProof/>
          <w:szCs w:val="24"/>
          <w:lang w:eastAsia="en-AU"/>
        </w:rPr>
        <w:t>6</w:t>
      </w:r>
      <w:r w:rsidRPr="00432323">
        <w:rPr>
          <w:rFonts w:ascii="Arial" w:hAnsi="Arial" w:cs="Arial"/>
          <w:b/>
          <w:bCs/>
          <w:szCs w:val="24"/>
          <w:lang w:eastAsia="en-AU"/>
        </w:rPr>
        <w:fldChar w:fldCharType="end"/>
      </w:r>
      <w:r w:rsidRPr="00432323">
        <w:rPr>
          <w:rFonts w:ascii="Arial" w:hAnsi="Arial" w:cs="Arial"/>
          <w:b/>
          <w:bCs/>
          <w:szCs w:val="24"/>
          <w:lang w:eastAsia="en-AU"/>
        </w:rPr>
        <w:t xml:space="preserve"> – </w:t>
      </w:r>
      <w:r w:rsidR="008A28B9" w:rsidRPr="00432323">
        <w:rPr>
          <w:rFonts w:ascii="Arial" w:hAnsi="Arial" w:cs="Arial"/>
          <w:b/>
          <w:bCs/>
          <w:szCs w:val="24"/>
          <w:lang w:eastAsia="en-AU"/>
        </w:rPr>
        <w:t>Crimes (Sentencing) Regulation 2006</w:t>
      </w:r>
      <w:r w:rsidR="008A28B9" w:rsidRPr="00432323">
        <w:rPr>
          <w:rFonts w:ascii="Arial" w:hAnsi="Arial" w:cs="Arial"/>
          <w:szCs w:val="24"/>
          <w:lang w:eastAsia="en-AU"/>
        </w:rPr>
        <w:t xml:space="preserve"> </w:t>
      </w:r>
    </w:p>
    <w:p w14:paraId="63F136FC" w14:textId="428EFDE9" w:rsidR="007532C4" w:rsidRPr="00432323" w:rsidRDefault="007532C4" w:rsidP="007532C4">
      <w:pPr>
        <w:pStyle w:val="Heading4"/>
        <w:keepNext w:val="0"/>
        <w:rPr>
          <w:rFonts w:ascii="Arial" w:hAnsi="Arial" w:cs="Arial"/>
          <w:lang w:eastAsia="en-AU"/>
        </w:rPr>
      </w:pPr>
      <w:r w:rsidRPr="00432323">
        <w:rPr>
          <w:rFonts w:ascii="Arial" w:hAnsi="Arial" w:cs="Arial"/>
        </w:rPr>
        <w:t xml:space="preserve">Clause </w:t>
      </w:r>
      <w:r w:rsidR="0085687A" w:rsidRPr="00432323">
        <w:rPr>
          <w:rFonts w:ascii="Arial" w:hAnsi="Arial" w:cs="Arial"/>
        </w:rPr>
        <w:t>11</w:t>
      </w:r>
      <w:r w:rsidR="0085687A" w:rsidRPr="00432323">
        <w:rPr>
          <w:rFonts w:ascii="Arial" w:hAnsi="Arial" w:cs="Arial"/>
          <w:bCs/>
          <w:lang w:eastAsia="en-AU"/>
        </w:rPr>
        <w:t xml:space="preserve"> </w:t>
      </w:r>
      <w:r w:rsidRPr="00432323">
        <w:rPr>
          <w:rFonts w:ascii="Arial" w:hAnsi="Arial" w:cs="Arial"/>
          <w:lang w:eastAsia="en-AU"/>
        </w:rPr>
        <w:t xml:space="preserve">– </w:t>
      </w:r>
      <w:r w:rsidR="00F5684E" w:rsidRPr="00432323">
        <w:rPr>
          <w:rFonts w:ascii="Arial" w:hAnsi="Arial" w:cs="Arial"/>
          <w:lang w:eastAsia="en-AU"/>
        </w:rPr>
        <w:t xml:space="preserve">Criminal justice entities – Act, s 136 (4) def </w:t>
      </w:r>
      <w:r w:rsidR="00F5684E" w:rsidRPr="00432323">
        <w:rPr>
          <w:rFonts w:ascii="Arial" w:hAnsi="Arial" w:cs="Arial"/>
          <w:i/>
          <w:iCs/>
          <w:lang w:eastAsia="en-AU"/>
        </w:rPr>
        <w:t xml:space="preserve">criminal justice </w:t>
      </w:r>
      <w:r w:rsidR="00F5684E" w:rsidRPr="00432323">
        <w:rPr>
          <w:rFonts w:ascii="Arial" w:hAnsi="Arial" w:cs="Arial"/>
          <w:lang w:eastAsia="en-AU"/>
        </w:rPr>
        <w:t>entity, par (i</w:t>
      </w:r>
      <w:r w:rsidR="00C716F3" w:rsidRPr="00432323">
        <w:rPr>
          <w:rFonts w:ascii="Arial" w:hAnsi="Arial" w:cs="Arial"/>
          <w:lang w:eastAsia="en-AU"/>
        </w:rPr>
        <w:t xml:space="preserve">) – </w:t>
      </w:r>
      <w:r w:rsidR="008A28B9" w:rsidRPr="00432323">
        <w:rPr>
          <w:rFonts w:ascii="Arial" w:hAnsi="Arial" w:cs="Arial"/>
          <w:lang w:eastAsia="en-AU"/>
        </w:rPr>
        <w:t>Section 3 (1) (i) and (j)</w:t>
      </w:r>
    </w:p>
    <w:p w14:paraId="37D75FBA" w14:textId="68931A40" w:rsidR="007532C4" w:rsidRPr="00432323" w:rsidRDefault="007542BB" w:rsidP="007542BB">
      <w:pPr>
        <w:tabs>
          <w:tab w:val="left" w:pos="425"/>
        </w:tabs>
        <w:spacing w:before="240" w:after="0"/>
        <w:rPr>
          <w:rFonts w:ascii="Arial" w:hAnsi="Arial" w:cs="Arial"/>
          <w:i/>
          <w:iCs/>
        </w:rPr>
      </w:pPr>
      <w:r w:rsidRPr="00432323">
        <w:rPr>
          <w:rFonts w:ascii="Arial" w:hAnsi="Arial" w:cs="Arial"/>
        </w:rPr>
        <w:t>This clause updates the reference in the Crimes (Sentencing) Regulation 2006 to the two former titles within legislation to recognise the new title of the Domestic, Family and Sexual Violence Coordinator-General.</w:t>
      </w:r>
    </w:p>
    <w:p w14:paraId="5C8037EA" w14:textId="2516D150" w:rsidR="007532C4" w:rsidRPr="00432323" w:rsidRDefault="007532C4" w:rsidP="007532C4">
      <w:pPr>
        <w:pStyle w:val="Heading1"/>
        <w:rPr>
          <w:rFonts w:ascii="Arial" w:hAnsi="Arial" w:cs="Arial"/>
          <w:sz w:val="24"/>
          <w:szCs w:val="24"/>
          <w:lang w:eastAsia="en-AU"/>
        </w:rPr>
      </w:pPr>
      <w:bookmarkStart w:id="25" w:name="_Toc146871487"/>
      <w:r w:rsidRPr="00432323">
        <w:rPr>
          <w:rFonts w:ascii="Arial" w:hAnsi="Arial" w:cs="Arial"/>
          <w:sz w:val="24"/>
          <w:szCs w:val="24"/>
          <w:lang w:eastAsia="en-AU"/>
        </w:rPr>
        <w:t xml:space="preserve">Part </w:t>
      </w:r>
      <w:r w:rsidRPr="00432323">
        <w:rPr>
          <w:rFonts w:ascii="Arial" w:hAnsi="Arial" w:cs="Arial"/>
          <w:sz w:val="24"/>
          <w:szCs w:val="24"/>
          <w:lang w:eastAsia="en-AU"/>
        </w:rPr>
        <w:fldChar w:fldCharType="begin"/>
      </w:r>
      <w:r w:rsidRPr="00432323">
        <w:rPr>
          <w:rFonts w:ascii="Arial" w:hAnsi="Arial" w:cs="Arial"/>
          <w:sz w:val="24"/>
          <w:szCs w:val="24"/>
          <w:lang w:eastAsia="en-AU"/>
        </w:rPr>
        <w:instrText xml:space="preserve"> SEQ Part \* ARABIC </w:instrText>
      </w:r>
      <w:r w:rsidRPr="00432323">
        <w:rPr>
          <w:rFonts w:ascii="Arial" w:hAnsi="Arial" w:cs="Arial"/>
          <w:sz w:val="24"/>
          <w:szCs w:val="24"/>
          <w:lang w:eastAsia="en-AU"/>
        </w:rPr>
        <w:fldChar w:fldCharType="separate"/>
      </w:r>
      <w:r w:rsidR="008A28B9" w:rsidRPr="00432323">
        <w:rPr>
          <w:rFonts w:ascii="Arial" w:hAnsi="Arial" w:cs="Arial"/>
          <w:noProof/>
          <w:sz w:val="24"/>
          <w:szCs w:val="24"/>
          <w:lang w:eastAsia="en-AU"/>
        </w:rPr>
        <w:t>7</w:t>
      </w:r>
      <w:r w:rsidRPr="00432323">
        <w:rPr>
          <w:rFonts w:ascii="Arial" w:hAnsi="Arial" w:cs="Arial"/>
          <w:sz w:val="24"/>
          <w:szCs w:val="24"/>
          <w:lang w:eastAsia="en-AU"/>
        </w:rPr>
        <w:fldChar w:fldCharType="end"/>
      </w:r>
      <w:r w:rsidRPr="00432323">
        <w:rPr>
          <w:rFonts w:ascii="Arial" w:hAnsi="Arial" w:cs="Arial"/>
          <w:sz w:val="24"/>
          <w:szCs w:val="24"/>
          <w:lang w:eastAsia="en-AU"/>
        </w:rPr>
        <w:t xml:space="preserve"> – </w:t>
      </w:r>
      <w:r w:rsidR="008A28B9" w:rsidRPr="00432323">
        <w:rPr>
          <w:rFonts w:ascii="Arial" w:hAnsi="Arial" w:cs="Arial"/>
          <w:sz w:val="24"/>
          <w:szCs w:val="24"/>
          <w:lang w:eastAsia="en-AU"/>
        </w:rPr>
        <w:t>Evidence Act 2011</w:t>
      </w:r>
      <w:bookmarkEnd w:id="25"/>
      <w:r w:rsidR="008A28B9" w:rsidRPr="00432323">
        <w:rPr>
          <w:rFonts w:ascii="Arial" w:hAnsi="Arial" w:cs="Arial"/>
          <w:sz w:val="24"/>
          <w:szCs w:val="24"/>
          <w:lang w:eastAsia="en-AU"/>
        </w:rPr>
        <w:t xml:space="preserve"> </w:t>
      </w:r>
    </w:p>
    <w:p w14:paraId="3DEDE194" w14:textId="758B4139" w:rsidR="007532C4" w:rsidRPr="00432323" w:rsidRDefault="007532C4" w:rsidP="007532C4">
      <w:pPr>
        <w:pStyle w:val="Heading4"/>
        <w:keepNext w:val="0"/>
        <w:rPr>
          <w:rFonts w:ascii="Arial" w:hAnsi="Arial" w:cs="Arial"/>
          <w:lang w:eastAsia="en-AU"/>
        </w:rPr>
      </w:pPr>
      <w:r w:rsidRPr="00432323">
        <w:rPr>
          <w:rFonts w:ascii="Arial" w:hAnsi="Arial" w:cs="Arial"/>
        </w:rPr>
        <w:t xml:space="preserve">Clause </w:t>
      </w:r>
      <w:r w:rsidR="0085687A" w:rsidRPr="00432323">
        <w:rPr>
          <w:rFonts w:ascii="Arial" w:hAnsi="Arial" w:cs="Arial"/>
        </w:rPr>
        <w:t>12</w:t>
      </w:r>
      <w:r w:rsidRPr="00432323">
        <w:rPr>
          <w:rFonts w:ascii="Arial" w:hAnsi="Arial" w:cs="Arial"/>
          <w:bCs/>
          <w:lang w:eastAsia="en-AU"/>
        </w:rPr>
        <w:t xml:space="preserve"> </w:t>
      </w:r>
      <w:r w:rsidRPr="00432323">
        <w:rPr>
          <w:rFonts w:ascii="Arial" w:hAnsi="Arial" w:cs="Arial"/>
          <w:lang w:eastAsia="en-AU"/>
        </w:rPr>
        <w:t xml:space="preserve">– </w:t>
      </w:r>
      <w:r w:rsidR="008A28B9" w:rsidRPr="00432323">
        <w:rPr>
          <w:rFonts w:ascii="Arial" w:hAnsi="Arial" w:cs="Arial"/>
          <w:lang w:eastAsia="en-AU"/>
        </w:rPr>
        <w:t xml:space="preserve">Exclusion of evidence of reasons for judicial etc decisions – Section 129 (5) (a) (ii) </w:t>
      </w:r>
    </w:p>
    <w:p w14:paraId="64432D98" w14:textId="77777777" w:rsidR="007542BB" w:rsidRPr="00432323" w:rsidRDefault="007542BB" w:rsidP="007542BB">
      <w:pPr>
        <w:pStyle w:val="Heading4"/>
        <w:keepNext w:val="0"/>
        <w:rPr>
          <w:rFonts w:ascii="Arial" w:hAnsi="Arial" w:cs="Arial"/>
          <w:b w:val="0"/>
          <w:lang w:eastAsia="en-AU"/>
        </w:rPr>
      </w:pPr>
      <w:r w:rsidRPr="00432323">
        <w:rPr>
          <w:rFonts w:ascii="Arial" w:hAnsi="Arial" w:cs="Arial"/>
          <w:b w:val="0"/>
          <w:lang w:eastAsia="en-AU"/>
        </w:rPr>
        <w:t>This clause inserts the words ‘</w:t>
      </w:r>
      <w:r w:rsidRPr="00432323">
        <w:rPr>
          <w:rFonts w:ascii="Arial" w:hAnsi="Arial" w:cs="Arial"/>
          <w:b w:val="0"/>
          <w:i/>
          <w:iCs/>
          <w:lang w:eastAsia="en-AU"/>
        </w:rPr>
        <w:t>section 42AB or</w:t>
      </w:r>
      <w:r w:rsidRPr="00432323">
        <w:rPr>
          <w:rFonts w:ascii="Arial" w:hAnsi="Arial" w:cs="Arial"/>
          <w:b w:val="0"/>
          <w:lang w:eastAsia="en-AU"/>
        </w:rPr>
        <w:t xml:space="preserve">’ after the words </w:t>
      </w:r>
      <w:r w:rsidRPr="00432323">
        <w:rPr>
          <w:rFonts w:ascii="Arial" w:hAnsi="Arial" w:cs="Arial"/>
          <w:b w:val="0"/>
          <w:i/>
          <w:iCs/>
          <w:lang w:eastAsia="en-AU"/>
        </w:rPr>
        <w:t>Juries Act 1967,</w:t>
      </w:r>
      <w:r w:rsidRPr="00432323">
        <w:rPr>
          <w:rFonts w:ascii="Arial" w:hAnsi="Arial" w:cs="Arial"/>
          <w:b w:val="0"/>
          <w:lang w:eastAsia="en-AU"/>
        </w:rPr>
        <w:t xml:space="preserve"> in section 129 (5) (a) (ii). </w:t>
      </w:r>
    </w:p>
    <w:p w14:paraId="0039060D" w14:textId="77777777" w:rsidR="007542BB" w:rsidRPr="00432323" w:rsidRDefault="007542BB" w:rsidP="007542BB">
      <w:pPr>
        <w:rPr>
          <w:rFonts w:ascii="Arial" w:hAnsi="Arial" w:cs="Arial"/>
          <w:lang w:eastAsia="en-AU"/>
        </w:rPr>
      </w:pPr>
      <w:r w:rsidRPr="00432323">
        <w:rPr>
          <w:rFonts w:ascii="Arial" w:hAnsi="Arial" w:cs="Arial"/>
          <w:lang w:eastAsia="en-AU"/>
        </w:rPr>
        <w:t xml:space="preserve">It is noted that section </w:t>
      </w:r>
      <w:r w:rsidRPr="00432323">
        <w:rPr>
          <w:rFonts w:ascii="Arial" w:hAnsi="Arial" w:cs="Arial"/>
        </w:rPr>
        <w:t xml:space="preserve">129 of the </w:t>
      </w:r>
      <w:r w:rsidRPr="00432323">
        <w:rPr>
          <w:rFonts w:ascii="Arial" w:hAnsi="Arial" w:cs="Arial"/>
          <w:i/>
          <w:iCs/>
        </w:rPr>
        <w:t>Evidence Act 2011</w:t>
      </w:r>
      <w:r w:rsidRPr="00432323">
        <w:rPr>
          <w:rFonts w:ascii="Arial" w:hAnsi="Arial" w:cs="Arial"/>
        </w:rPr>
        <w:t xml:space="preserve"> relates to evidence of reasons for decisions of a judge or evidence of reasons for decisions made by a member of a jury, not being tendered as evidence or being published. However, at subsection (5) (a) (ii) there is an exception to this rule relating to offences against section 43 of the </w:t>
      </w:r>
      <w:r w:rsidRPr="00432323">
        <w:rPr>
          <w:rFonts w:ascii="Arial" w:hAnsi="Arial" w:cs="Arial"/>
          <w:i/>
          <w:iCs/>
        </w:rPr>
        <w:t>Juries Act 1967</w:t>
      </w:r>
      <w:r w:rsidRPr="00432323">
        <w:rPr>
          <w:rFonts w:ascii="Arial" w:hAnsi="Arial" w:cs="Arial"/>
          <w:i/>
          <w:iCs/>
          <w:lang w:eastAsia="en-AU"/>
        </w:rPr>
        <w:t xml:space="preserve"> </w:t>
      </w:r>
      <w:r w:rsidRPr="00432323">
        <w:rPr>
          <w:rFonts w:ascii="Arial" w:hAnsi="Arial" w:cs="Arial"/>
          <w:lang w:eastAsia="en-AU"/>
        </w:rPr>
        <w:t xml:space="preserve">(Personation of jurors). The amendment adds the improper juror inquiry offence to this exclusion at section 129 of the </w:t>
      </w:r>
      <w:r w:rsidRPr="00432323">
        <w:rPr>
          <w:rFonts w:ascii="Arial" w:hAnsi="Arial" w:cs="Arial"/>
          <w:i/>
          <w:iCs/>
          <w:lang w:eastAsia="en-AU"/>
        </w:rPr>
        <w:t>Evidence Act 2011</w:t>
      </w:r>
      <w:r w:rsidRPr="00432323">
        <w:rPr>
          <w:rFonts w:ascii="Arial" w:hAnsi="Arial" w:cs="Arial"/>
          <w:lang w:eastAsia="en-AU"/>
        </w:rPr>
        <w:t xml:space="preserve">. </w:t>
      </w:r>
    </w:p>
    <w:p w14:paraId="69F3AEE0" w14:textId="2D644237" w:rsidR="007532C4" w:rsidRPr="00432323" w:rsidRDefault="007542BB" w:rsidP="007532C4">
      <w:pPr>
        <w:pStyle w:val="Heading4"/>
        <w:keepNext w:val="0"/>
        <w:rPr>
          <w:rFonts w:ascii="Arial" w:hAnsi="Arial" w:cs="Arial"/>
          <w:b w:val="0"/>
          <w:lang w:eastAsia="en-AU"/>
        </w:rPr>
      </w:pPr>
      <w:r w:rsidRPr="00432323">
        <w:rPr>
          <w:rFonts w:ascii="Arial" w:hAnsi="Arial" w:cs="Arial"/>
          <w:b w:val="0"/>
          <w:lang w:eastAsia="en-AU"/>
        </w:rPr>
        <w:t xml:space="preserve">The purpose of this amendment is to allow investigation and prosecution of the improper juror inquiry offence by ensuring it is not a further offence by disclosing </w:t>
      </w:r>
      <w:r w:rsidRPr="00432323">
        <w:rPr>
          <w:rFonts w:ascii="Arial" w:hAnsi="Arial" w:cs="Arial"/>
          <w:b w:val="0"/>
        </w:rPr>
        <w:t>evidence of jury deliberations in prosecuting the specific offence.</w:t>
      </w:r>
      <w:r w:rsidRPr="00432323">
        <w:t xml:space="preserve"> </w:t>
      </w:r>
    </w:p>
    <w:p w14:paraId="4488A57C" w14:textId="2716F6CC" w:rsidR="007532C4" w:rsidRPr="00432323" w:rsidRDefault="007532C4" w:rsidP="007532C4">
      <w:pPr>
        <w:pStyle w:val="Heading1"/>
        <w:rPr>
          <w:rFonts w:ascii="Arial" w:hAnsi="Arial" w:cs="Arial"/>
          <w:sz w:val="24"/>
          <w:szCs w:val="24"/>
          <w:lang w:eastAsia="en-AU"/>
        </w:rPr>
      </w:pPr>
      <w:bookmarkStart w:id="26" w:name="_Toc146871488"/>
      <w:r w:rsidRPr="00432323">
        <w:rPr>
          <w:rFonts w:ascii="Arial" w:hAnsi="Arial" w:cs="Arial"/>
          <w:sz w:val="24"/>
          <w:szCs w:val="24"/>
          <w:lang w:eastAsia="en-AU"/>
        </w:rPr>
        <w:t xml:space="preserve">Part </w:t>
      </w:r>
      <w:r w:rsidRPr="00432323">
        <w:rPr>
          <w:rFonts w:ascii="Arial" w:hAnsi="Arial" w:cs="Arial"/>
          <w:sz w:val="24"/>
          <w:szCs w:val="24"/>
          <w:lang w:eastAsia="en-AU"/>
        </w:rPr>
        <w:fldChar w:fldCharType="begin"/>
      </w:r>
      <w:r w:rsidRPr="00432323">
        <w:rPr>
          <w:rFonts w:ascii="Arial" w:hAnsi="Arial" w:cs="Arial"/>
          <w:sz w:val="24"/>
          <w:szCs w:val="24"/>
          <w:lang w:eastAsia="en-AU"/>
        </w:rPr>
        <w:instrText xml:space="preserve"> SEQ Part \* ARABIC </w:instrText>
      </w:r>
      <w:r w:rsidRPr="00432323">
        <w:rPr>
          <w:rFonts w:ascii="Arial" w:hAnsi="Arial" w:cs="Arial"/>
          <w:sz w:val="24"/>
          <w:szCs w:val="24"/>
          <w:lang w:eastAsia="en-AU"/>
        </w:rPr>
        <w:fldChar w:fldCharType="separate"/>
      </w:r>
      <w:r w:rsidR="008A28B9" w:rsidRPr="00432323">
        <w:rPr>
          <w:rFonts w:ascii="Arial" w:hAnsi="Arial" w:cs="Arial"/>
          <w:noProof/>
          <w:sz w:val="24"/>
          <w:szCs w:val="24"/>
          <w:lang w:eastAsia="en-AU"/>
        </w:rPr>
        <w:t>8</w:t>
      </w:r>
      <w:r w:rsidRPr="00432323">
        <w:rPr>
          <w:rFonts w:ascii="Arial" w:hAnsi="Arial" w:cs="Arial"/>
          <w:sz w:val="24"/>
          <w:szCs w:val="24"/>
          <w:lang w:eastAsia="en-AU"/>
        </w:rPr>
        <w:fldChar w:fldCharType="end"/>
      </w:r>
      <w:r w:rsidRPr="00432323">
        <w:rPr>
          <w:rFonts w:ascii="Arial" w:hAnsi="Arial" w:cs="Arial"/>
          <w:sz w:val="24"/>
          <w:szCs w:val="24"/>
          <w:lang w:eastAsia="en-AU"/>
        </w:rPr>
        <w:t xml:space="preserve"> – </w:t>
      </w:r>
      <w:r w:rsidR="008A28B9" w:rsidRPr="00432323">
        <w:rPr>
          <w:rFonts w:ascii="Arial" w:hAnsi="Arial" w:cs="Arial"/>
          <w:sz w:val="24"/>
          <w:szCs w:val="24"/>
          <w:lang w:eastAsia="en-AU"/>
        </w:rPr>
        <w:t>Juries Act 1967</w:t>
      </w:r>
      <w:bookmarkEnd w:id="26"/>
    </w:p>
    <w:p w14:paraId="3D030D0E" w14:textId="556257DD" w:rsidR="0085687A" w:rsidRPr="00432323" w:rsidRDefault="0085687A" w:rsidP="007532C4">
      <w:pPr>
        <w:pStyle w:val="Heading4"/>
        <w:keepNext w:val="0"/>
        <w:rPr>
          <w:rFonts w:ascii="Arial" w:hAnsi="Arial" w:cs="Arial"/>
        </w:rPr>
      </w:pPr>
      <w:r w:rsidRPr="00432323">
        <w:rPr>
          <w:rFonts w:ascii="Arial" w:hAnsi="Arial" w:cs="Arial"/>
        </w:rPr>
        <w:t>Clause 13</w:t>
      </w:r>
      <w:r w:rsidR="00091792" w:rsidRPr="00432323">
        <w:rPr>
          <w:rFonts w:ascii="Arial" w:hAnsi="Arial" w:cs="Arial"/>
        </w:rPr>
        <w:t xml:space="preserve"> – </w:t>
      </w:r>
      <w:r w:rsidR="00C716F3" w:rsidRPr="00432323">
        <w:rPr>
          <w:rFonts w:ascii="Arial" w:hAnsi="Arial" w:cs="Arial"/>
        </w:rPr>
        <w:t>New</w:t>
      </w:r>
      <w:r w:rsidR="00091792" w:rsidRPr="00432323">
        <w:rPr>
          <w:rFonts w:ascii="Arial" w:hAnsi="Arial" w:cs="Arial"/>
        </w:rPr>
        <w:t xml:space="preserve"> </w:t>
      </w:r>
      <w:r w:rsidR="00C716F3" w:rsidRPr="00432323">
        <w:rPr>
          <w:rFonts w:ascii="Arial" w:hAnsi="Arial" w:cs="Arial"/>
        </w:rPr>
        <w:t>s</w:t>
      </w:r>
      <w:r w:rsidR="00091792" w:rsidRPr="00432323">
        <w:rPr>
          <w:rFonts w:ascii="Arial" w:hAnsi="Arial" w:cs="Arial"/>
        </w:rPr>
        <w:t>ection 4</w:t>
      </w:r>
    </w:p>
    <w:p w14:paraId="6B912A04" w14:textId="2B8357A6" w:rsidR="0085687A" w:rsidRPr="00432323" w:rsidRDefault="0085687A" w:rsidP="001B4D18">
      <w:pPr>
        <w:rPr>
          <w:rFonts w:ascii="Arial" w:hAnsi="Arial" w:cs="Arial"/>
        </w:rPr>
      </w:pPr>
      <w:r w:rsidRPr="00432323">
        <w:rPr>
          <w:rFonts w:ascii="Arial" w:hAnsi="Arial" w:cs="Arial"/>
        </w:rPr>
        <w:t>This clause</w:t>
      </w:r>
      <w:r w:rsidR="00091792" w:rsidRPr="00432323">
        <w:rPr>
          <w:rFonts w:ascii="Arial" w:hAnsi="Arial" w:cs="Arial"/>
        </w:rPr>
        <w:t xml:space="preserve"> inserts section 4 to provide that other legislation applies in relation to offences against this Act. The Notes refer to the application of Chapter 2 of the </w:t>
      </w:r>
      <w:r w:rsidR="00091792" w:rsidRPr="00432323">
        <w:rPr>
          <w:rFonts w:ascii="Arial" w:hAnsi="Arial" w:cs="Arial"/>
          <w:i/>
          <w:iCs/>
        </w:rPr>
        <w:t>Criminal Code 2002</w:t>
      </w:r>
      <w:r w:rsidR="00091792" w:rsidRPr="00432323">
        <w:rPr>
          <w:rFonts w:ascii="Arial" w:hAnsi="Arial" w:cs="Arial"/>
        </w:rPr>
        <w:t xml:space="preserve"> and section 133 of the Legislation Act, which relates to the value of penalty units. This is a standard provision inserted into an Act when the first new offence is inserted into the Act after 1 January 2003 in accordance with section 8 of the </w:t>
      </w:r>
      <w:r w:rsidR="00091792" w:rsidRPr="00432323">
        <w:rPr>
          <w:rFonts w:ascii="Arial" w:hAnsi="Arial" w:cs="Arial"/>
          <w:i/>
          <w:iCs/>
        </w:rPr>
        <w:t>Criminal Code 2002</w:t>
      </w:r>
      <w:r w:rsidR="00091792" w:rsidRPr="00432323">
        <w:rPr>
          <w:rFonts w:ascii="Arial" w:hAnsi="Arial" w:cs="Arial"/>
        </w:rPr>
        <w:t>.</w:t>
      </w:r>
    </w:p>
    <w:p w14:paraId="49416548" w14:textId="610CC5A8" w:rsidR="007532C4" w:rsidRPr="00432323" w:rsidRDefault="007532C4" w:rsidP="007532C4">
      <w:pPr>
        <w:pStyle w:val="Heading4"/>
        <w:keepNext w:val="0"/>
        <w:rPr>
          <w:rFonts w:ascii="Arial" w:hAnsi="Arial" w:cs="Arial"/>
          <w:lang w:eastAsia="en-AU"/>
        </w:rPr>
      </w:pPr>
      <w:r w:rsidRPr="00432323">
        <w:rPr>
          <w:rFonts w:ascii="Arial" w:hAnsi="Arial" w:cs="Arial"/>
        </w:rPr>
        <w:lastRenderedPageBreak/>
        <w:t xml:space="preserve">Clause </w:t>
      </w:r>
      <w:r w:rsidR="00091792" w:rsidRPr="00432323">
        <w:rPr>
          <w:rFonts w:ascii="Arial" w:hAnsi="Arial" w:cs="Arial"/>
        </w:rPr>
        <w:t>14</w:t>
      </w:r>
      <w:r w:rsidR="00091792" w:rsidRPr="00432323">
        <w:rPr>
          <w:rFonts w:ascii="Arial" w:hAnsi="Arial" w:cs="Arial"/>
          <w:bCs/>
          <w:lang w:eastAsia="en-AU"/>
        </w:rPr>
        <w:t xml:space="preserve"> </w:t>
      </w:r>
      <w:r w:rsidRPr="00432323">
        <w:rPr>
          <w:rFonts w:ascii="Arial" w:hAnsi="Arial" w:cs="Arial"/>
          <w:lang w:eastAsia="en-AU"/>
        </w:rPr>
        <w:t xml:space="preserve">– </w:t>
      </w:r>
      <w:r w:rsidR="008A28B9" w:rsidRPr="00432323">
        <w:rPr>
          <w:rFonts w:ascii="Arial" w:hAnsi="Arial" w:cs="Arial"/>
          <w:lang w:eastAsia="en-AU"/>
        </w:rPr>
        <w:t xml:space="preserve">Section 38 </w:t>
      </w:r>
    </w:p>
    <w:p w14:paraId="140C0AE3" w14:textId="77777777" w:rsidR="00C716F3" w:rsidRPr="00432323" w:rsidRDefault="002F40BD" w:rsidP="007532C4">
      <w:pPr>
        <w:pStyle w:val="Heading4"/>
        <w:keepNext w:val="0"/>
        <w:rPr>
          <w:rFonts w:ascii="Arial" w:hAnsi="Arial" w:cs="Arial"/>
          <w:b w:val="0"/>
          <w:lang w:eastAsia="en-AU"/>
        </w:rPr>
      </w:pPr>
      <w:r w:rsidRPr="00432323">
        <w:rPr>
          <w:rFonts w:ascii="Arial" w:hAnsi="Arial" w:cs="Arial"/>
          <w:b w:val="0"/>
          <w:lang w:eastAsia="en-AU"/>
        </w:rPr>
        <w:t>This clause inserts section 37A to define “majority verdict” and “unanimous verdict”</w:t>
      </w:r>
      <w:r w:rsidR="00C716F3" w:rsidRPr="00432323">
        <w:rPr>
          <w:rFonts w:ascii="Arial" w:hAnsi="Arial" w:cs="Arial"/>
          <w:b w:val="0"/>
          <w:lang w:eastAsia="en-AU"/>
        </w:rPr>
        <w:t xml:space="preserve">. A majority verdict is defined of a verdict agreed by 11 jurors for a jury consisting of 12 jurors. A unanimous verdict is defined as a verdict agreed by all jurors. </w:t>
      </w:r>
    </w:p>
    <w:p w14:paraId="0EDFE042" w14:textId="6A42255E" w:rsidR="00C716F3" w:rsidRPr="00432323" w:rsidRDefault="00C716F3" w:rsidP="00C716F3">
      <w:pPr>
        <w:pStyle w:val="Heading4"/>
        <w:keepNext w:val="0"/>
        <w:rPr>
          <w:rFonts w:ascii="Arial" w:hAnsi="Arial" w:cs="Arial"/>
          <w:b w:val="0"/>
          <w:lang w:eastAsia="en-AU"/>
        </w:rPr>
      </w:pPr>
      <w:r w:rsidRPr="00432323">
        <w:rPr>
          <w:rFonts w:ascii="Arial" w:hAnsi="Arial" w:cs="Arial"/>
          <w:b w:val="0"/>
          <w:lang w:eastAsia="en-AU"/>
        </w:rPr>
        <w:t xml:space="preserve">The clause substitutes section 38 which provides that a majority verdict must be taken for an </w:t>
      </w:r>
      <w:r w:rsidR="002F40BD" w:rsidRPr="00432323">
        <w:rPr>
          <w:rFonts w:ascii="Arial" w:hAnsi="Arial" w:cs="Arial"/>
          <w:b w:val="0"/>
          <w:lang w:eastAsia="en-AU"/>
        </w:rPr>
        <w:t xml:space="preserve">offence against a territory law </w:t>
      </w:r>
      <w:r w:rsidRPr="00432323">
        <w:rPr>
          <w:rFonts w:ascii="Arial" w:hAnsi="Arial" w:cs="Arial"/>
          <w:b w:val="0"/>
          <w:lang w:eastAsia="en-AU"/>
        </w:rPr>
        <w:t xml:space="preserve">if the judge is satisfied that </w:t>
      </w:r>
      <w:r w:rsidR="002F40BD" w:rsidRPr="00432323">
        <w:rPr>
          <w:rFonts w:ascii="Arial" w:hAnsi="Arial" w:cs="Arial"/>
          <w:b w:val="0"/>
          <w:lang w:eastAsia="en-AU"/>
        </w:rPr>
        <w:t xml:space="preserve">a reasonable period </w:t>
      </w:r>
      <w:r w:rsidRPr="00432323">
        <w:rPr>
          <w:rFonts w:ascii="Arial" w:hAnsi="Arial" w:cs="Arial"/>
          <w:b w:val="0"/>
          <w:lang w:eastAsia="en-AU"/>
        </w:rPr>
        <w:t xml:space="preserve">(of at least 6 hours) </w:t>
      </w:r>
      <w:r w:rsidR="002F40BD" w:rsidRPr="00432323">
        <w:rPr>
          <w:rFonts w:ascii="Arial" w:hAnsi="Arial" w:cs="Arial"/>
          <w:b w:val="0"/>
          <w:lang w:eastAsia="en-AU"/>
        </w:rPr>
        <w:t>has passed</w:t>
      </w:r>
      <w:r w:rsidRPr="00432323">
        <w:rPr>
          <w:rFonts w:ascii="Arial" w:hAnsi="Arial" w:cs="Arial"/>
          <w:b w:val="0"/>
          <w:lang w:eastAsia="en-AU"/>
        </w:rPr>
        <w:t xml:space="preserve">, taking into account the complexity and nature of the trial, </w:t>
      </w:r>
      <w:r w:rsidR="002F40BD" w:rsidRPr="00432323">
        <w:rPr>
          <w:rFonts w:ascii="Arial" w:hAnsi="Arial" w:cs="Arial"/>
          <w:b w:val="0"/>
          <w:lang w:eastAsia="en-AU"/>
        </w:rPr>
        <w:t xml:space="preserve">and after examination on oath of 1 or more jurors, that the jury is not likely to reach a unanimous verdict.   </w:t>
      </w:r>
    </w:p>
    <w:p w14:paraId="31C99D90" w14:textId="14AD0F7E" w:rsidR="00C716F3" w:rsidRPr="00432323" w:rsidRDefault="00C716F3" w:rsidP="00C716F3">
      <w:pPr>
        <w:rPr>
          <w:rFonts w:ascii="Arial" w:hAnsi="Arial" w:cs="Arial"/>
          <w:lang w:eastAsia="en-AU"/>
        </w:rPr>
      </w:pPr>
      <w:r w:rsidRPr="00432323">
        <w:rPr>
          <w:rFonts w:ascii="Arial" w:hAnsi="Arial" w:cs="Arial"/>
          <w:lang w:eastAsia="en-AU"/>
        </w:rPr>
        <w:t xml:space="preserve">The clause substitutes section 39 which provides that of a jury has retired, the judge may discharge the jury if satisfied that a reasonable period (of at least 6 hours) has passed, taking into account the complexity and nature of the trial, and after examination on oath of 1 or more jurors, that the jury is not likely to reach a unanimous verdict or, if a majority verdict would be sufficient, a majority verdict. </w:t>
      </w:r>
    </w:p>
    <w:p w14:paraId="23DEF71D" w14:textId="4D05F5B8" w:rsidR="008A28B9" w:rsidRPr="00432323" w:rsidRDefault="008A28B9" w:rsidP="008A28B9">
      <w:pPr>
        <w:pStyle w:val="Heading4"/>
        <w:keepNext w:val="0"/>
        <w:rPr>
          <w:rFonts w:ascii="Arial" w:hAnsi="Arial" w:cs="Arial"/>
          <w:lang w:eastAsia="en-AU"/>
        </w:rPr>
      </w:pPr>
      <w:r w:rsidRPr="00432323">
        <w:rPr>
          <w:rFonts w:ascii="Arial" w:hAnsi="Arial" w:cs="Arial"/>
        </w:rPr>
        <w:t xml:space="preserve">Clause </w:t>
      </w:r>
      <w:r w:rsidRPr="00432323">
        <w:rPr>
          <w:rFonts w:ascii="Arial" w:hAnsi="Arial" w:cs="Arial"/>
        </w:rPr>
        <w:fldChar w:fldCharType="begin"/>
      </w:r>
      <w:r w:rsidRPr="00432323">
        <w:rPr>
          <w:rFonts w:ascii="Arial" w:hAnsi="Arial" w:cs="Arial"/>
        </w:rPr>
        <w:instrText xml:space="preserve"> SEQ Clause \* ARABIC </w:instrText>
      </w:r>
      <w:r w:rsidRPr="00432323">
        <w:rPr>
          <w:rFonts w:ascii="Arial" w:hAnsi="Arial" w:cs="Arial"/>
        </w:rPr>
        <w:fldChar w:fldCharType="separate"/>
      </w:r>
      <w:r w:rsidRPr="00432323">
        <w:rPr>
          <w:rFonts w:ascii="Arial" w:hAnsi="Arial" w:cs="Arial"/>
          <w:noProof/>
        </w:rPr>
        <w:t>1</w:t>
      </w:r>
      <w:r w:rsidRPr="00432323">
        <w:rPr>
          <w:rFonts w:ascii="Arial" w:hAnsi="Arial" w:cs="Arial"/>
        </w:rPr>
        <w:fldChar w:fldCharType="end"/>
      </w:r>
      <w:r w:rsidR="00091792" w:rsidRPr="00432323">
        <w:rPr>
          <w:rFonts w:ascii="Arial" w:hAnsi="Arial" w:cs="Arial"/>
        </w:rPr>
        <w:t>5</w:t>
      </w:r>
      <w:r w:rsidRPr="00432323">
        <w:rPr>
          <w:rFonts w:ascii="Arial" w:hAnsi="Arial" w:cs="Arial"/>
          <w:bCs/>
          <w:lang w:eastAsia="en-AU"/>
        </w:rPr>
        <w:t xml:space="preserve"> </w:t>
      </w:r>
      <w:r w:rsidRPr="00432323">
        <w:rPr>
          <w:rFonts w:ascii="Arial" w:hAnsi="Arial" w:cs="Arial"/>
          <w:lang w:eastAsia="en-AU"/>
        </w:rPr>
        <w:t xml:space="preserve">– Adjournment of trial on discharge of jury for disagreement – Section 40  </w:t>
      </w:r>
    </w:p>
    <w:p w14:paraId="3BBACC1B" w14:textId="1CB73F46" w:rsidR="008A28B9" w:rsidRPr="00432323" w:rsidRDefault="00D77ADD" w:rsidP="008A28B9">
      <w:pPr>
        <w:pStyle w:val="Heading4"/>
        <w:keepNext w:val="0"/>
        <w:rPr>
          <w:rFonts w:ascii="Arial" w:hAnsi="Arial" w:cs="Arial"/>
          <w:b w:val="0"/>
          <w:lang w:eastAsia="en-AU"/>
        </w:rPr>
      </w:pPr>
      <w:r w:rsidRPr="00432323">
        <w:rPr>
          <w:rFonts w:ascii="Arial" w:hAnsi="Arial" w:cs="Arial"/>
          <w:b w:val="0"/>
          <w:lang w:eastAsia="en-AU"/>
        </w:rPr>
        <w:t>This clause changes the reference to section 39 rather than section 38 for adjourning a trial date, as section 39 is now the section for where a jury can be discharged.</w:t>
      </w:r>
    </w:p>
    <w:p w14:paraId="1AFAC83F" w14:textId="69B29E14" w:rsidR="008A28B9" w:rsidRPr="00432323" w:rsidRDefault="008A28B9" w:rsidP="008A28B9">
      <w:pPr>
        <w:pStyle w:val="Heading4"/>
        <w:keepNext w:val="0"/>
        <w:rPr>
          <w:rFonts w:ascii="Arial" w:hAnsi="Arial" w:cs="Arial"/>
          <w:lang w:eastAsia="en-AU"/>
        </w:rPr>
      </w:pPr>
      <w:r w:rsidRPr="00432323">
        <w:rPr>
          <w:rFonts w:ascii="Arial" w:hAnsi="Arial" w:cs="Arial"/>
        </w:rPr>
        <w:t xml:space="preserve">Clause </w:t>
      </w:r>
      <w:r w:rsidR="00091792" w:rsidRPr="00432323">
        <w:rPr>
          <w:rFonts w:ascii="Arial" w:hAnsi="Arial" w:cs="Arial"/>
        </w:rPr>
        <w:fldChar w:fldCharType="begin"/>
      </w:r>
      <w:r w:rsidR="00091792" w:rsidRPr="00432323">
        <w:rPr>
          <w:rFonts w:ascii="Arial" w:hAnsi="Arial" w:cs="Arial"/>
        </w:rPr>
        <w:instrText xml:space="preserve"> SEQ Clause \* ARABIC </w:instrText>
      </w:r>
      <w:r w:rsidR="00091792" w:rsidRPr="00432323">
        <w:rPr>
          <w:rFonts w:ascii="Arial" w:hAnsi="Arial" w:cs="Arial"/>
        </w:rPr>
        <w:fldChar w:fldCharType="separate"/>
      </w:r>
      <w:r w:rsidR="00091792" w:rsidRPr="00432323">
        <w:rPr>
          <w:rFonts w:ascii="Arial" w:hAnsi="Arial" w:cs="Arial"/>
          <w:noProof/>
        </w:rPr>
        <w:t>16</w:t>
      </w:r>
      <w:r w:rsidR="00091792" w:rsidRPr="00432323">
        <w:rPr>
          <w:rFonts w:ascii="Arial" w:hAnsi="Arial" w:cs="Arial"/>
        </w:rPr>
        <w:fldChar w:fldCharType="end"/>
      </w:r>
      <w:r w:rsidR="00091792" w:rsidRPr="00432323">
        <w:rPr>
          <w:rFonts w:ascii="Arial" w:hAnsi="Arial" w:cs="Arial"/>
          <w:bCs/>
          <w:lang w:eastAsia="en-AU"/>
        </w:rPr>
        <w:t xml:space="preserve"> </w:t>
      </w:r>
      <w:r w:rsidRPr="00432323">
        <w:rPr>
          <w:rFonts w:ascii="Arial" w:hAnsi="Arial" w:cs="Arial"/>
          <w:lang w:eastAsia="en-AU"/>
        </w:rPr>
        <w:t xml:space="preserve">– new section 42BA </w:t>
      </w:r>
    </w:p>
    <w:p w14:paraId="572A55B9" w14:textId="7695BF23" w:rsidR="007542BB" w:rsidRPr="00432323" w:rsidRDefault="007542BB" w:rsidP="007542BB">
      <w:pPr>
        <w:tabs>
          <w:tab w:val="left" w:pos="425"/>
        </w:tabs>
        <w:spacing w:before="240" w:after="0"/>
        <w:rPr>
          <w:rFonts w:ascii="Arial" w:hAnsi="Arial" w:cs="Arial"/>
        </w:rPr>
      </w:pPr>
      <w:r w:rsidRPr="00432323">
        <w:rPr>
          <w:rFonts w:ascii="Arial" w:hAnsi="Arial" w:cs="Arial"/>
          <w:lang w:eastAsia="en-AU"/>
        </w:rPr>
        <w:t xml:space="preserve">This </w:t>
      </w:r>
      <w:r w:rsidR="00052235" w:rsidRPr="00432323">
        <w:rPr>
          <w:rFonts w:ascii="Arial" w:hAnsi="Arial" w:cs="Arial"/>
          <w:lang w:eastAsia="en-AU"/>
        </w:rPr>
        <w:t>clause inserts the new section 42BA</w:t>
      </w:r>
      <w:r w:rsidR="00C716F3" w:rsidRPr="00432323">
        <w:rPr>
          <w:rFonts w:ascii="Arial" w:hAnsi="Arial" w:cs="Arial"/>
          <w:lang w:eastAsia="en-AU"/>
        </w:rPr>
        <w:t xml:space="preserve">. </w:t>
      </w:r>
      <w:r w:rsidR="00052235" w:rsidRPr="00432323">
        <w:rPr>
          <w:rFonts w:ascii="Arial" w:hAnsi="Arial" w:cs="Arial"/>
          <w:lang w:eastAsia="en-AU"/>
        </w:rPr>
        <w:t xml:space="preserve">The </w:t>
      </w:r>
      <w:r w:rsidR="00C716F3" w:rsidRPr="00432323">
        <w:rPr>
          <w:rFonts w:ascii="Arial" w:hAnsi="Arial" w:cs="Arial"/>
          <w:lang w:eastAsia="en-AU"/>
        </w:rPr>
        <w:t>section</w:t>
      </w:r>
      <w:r w:rsidRPr="00432323">
        <w:rPr>
          <w:rFonts w:ascii="Arial" w:hAnsi="Arial" w:cs="Arial"/>
        </w:rPr>
        <w:t xml:space="preserve"> introduce</w:t>
      </w:r>
      <w:r w:rsidR="00052235" w:rsidRPr="00432323">
        <w:rPr>
          <w:rFonts w:ascii="Arial" w:hAnsi="Arial" w:cs="Arial"/>
        </w:rPr>
        <w:t>s the new offence</w:t>
      </w:r>
      <w:r w:rsidRPr="00432323">
        <w:rPr>
          <w:rFonts w:ascii="Arial" w:hAnsi="Arial" w:cs="Arial"/>
        </w:rPr>
        <w:t xml:space="preserve"> for </w:t>
      </w:r>
      <w:r w:rsidR="00052235" w:rsidRPr="00432323">
        <w:rPr>
          <w:rFonts w:ascii="Arial" w:hAnsi="Arial" w:cs="Arial"/>
        </w:rPr>
        <w:t xml:space="preserve">an improper inquiry made by a juror about matters relevant to the criminal trial the juror is sworn in. </w:t>
      </w:r>
    </w:p>
    <w:p w14:paraId="64DF9618" w14:textId="2300D010" w:rsidR="00052235" w:rsidRPr="00432323" w:rsidRDefault="00052235" w:rsidP="007542BB">
      <w:pPr>
        <w:tabs>
          <w:tab w:val="left" w:pos="425"/>
        </w:tabs>
        <w:spacing w:before="240" w:after="0"/>
        <w:rPr>
          <w:rFonts w:ascii="Arial" w:hAnsi="Arial" w:cs="Arial"/>
        </w:rPr>
      </w:pPr>
      <w:r w:rsidRPr="00432323">
        <w:rPr>
          <w:rFonts w:ascii="Arial" w:hAnsi="Arial" w:cs="Arial"/>
        </w:rPr>
        <w:t xml:space="preserve">Subsection (1) provides that the juror commits an offence if they are a sworn juror for a criminal trial, if that juror makes an inquiry, the purpose of obtaining that inquiry was to obtain information about any matter relating to the trial, and the inquiry was not made in the proper exercise of that person’s functions as a juror. </w:t>
      </w:r>
    </w:p>
    <w:p w14:paraId="713AAB02" w14:textId="5E8CBE50" w:rsidR="00052235" w:rsidRPr="00432323" w:rsidRDefault="00052235" w:rsidP="00052235">
      <w:pPr>
        <w:tabs>
          <w:tab w:val="left" w:pos="425"/>
        </w:tabs>
        <w:spacing w:before="240" w:after="0"/>
        <w:rPr>
          <w:rFonts w:ascii="Arial" w:hAnsi="Arial" w:cs="Arial"/>
        </w:rPr>
      </w:pPr>
      <w:r w:rsidRPr="00432323">
        <w:rPr>
          <w:rFonts w:ascii="Arial" w:hAnsi="Arial" w:cs="Arial"/>
        </w:rPr>
        <w:t xml:space="preserve">The maximum penalty is 2 years imprisonment. This penalty is to impress on the community the importance of the obligations of a juror, and stress that it is important to only rely on the information put forward during the court proceedings. </w:t>
      </w:r>
    </w:p>
    <w:p w14:paraId="6822F428" w14:textId="7A396CEC" w:rsidR="00052235" w:rsidRPr="00432323" w:rsidRDefault="00BD71D2" w:rsidP="007542BB">
      <w:pPr>
        <w:tabs>
          <w:tab w:val="left" w:pos="425"/>
        </w:tabs>
        <w:spacing w:before="240" w:after="0"/>
        <w:rPr>
          <w:rFonts w:ascii="Arial" w:hAnsi="Arial" w:cs="Arial"/>
        </w:rPr>
      </w:pPr>
      <w:r w:rsidRPr="00432323">
        <w:rPr>
          <w:rFonts w:ascii="Arial" w:hAnsi="Arial" w:cs="Arial"/>
        </w:rPr>
        <w:t xml:space="preserve">It is a key element to this offence that this inquiry is done without authorisation of the court and parties to the proceeding. </w:t>
      </w:r>
      <w:r w:rsidR="00052235" w:rsidRPr="00432323">
        <w:rPr>
          <w:rFonts w:ascii="Arial" w:hAnsi="Arial" w:cs="Arial"/>
        </w:rPr>
        <w:t xml:space="preserve">The defendant charged with the juror misconduct offence will have the evidential burden in proving that the inquiry was made in the proper exercise of the person’s functions as a juror. For clarity, it is provided that if a juror makes an inquiry which contravenes a direction given by the judicial officer in the proceeding, this will not be considered a proper exercise of the person’s functions as juror. </w:t>
      </w:r>
    </w:p>
    <w:p w14:paraId="4A3C514F" w14:textId="608D5133" w:rsidR="007542BB" w:rsidRPr="00432323" w:rsidRDefault="007542BB" w:rsidP="007542BB">
      <w:pPr>
        <w:tabs>
          <w:tab w:val="left" w:pos="425"/>
        </w:tabs>
        <w:spacing w:before="240" w:after="0"/>
        <w:rPr>
          <w:rFonts w:ascii="Arial" w:hAnsi="Arial" w:cs="Arial"/>
        </w:rPr>
      </w:pPr>
      <w:r w:rsidRPr="00432323">
        <w:rPr>
          <w:rFonts w:ascii="Arial" w:hAnsi="Arial" w:cs="Arial"/>
        </w:rPr>
        <w:lastRenderedPageBreak/>
        <w:t>While it is understood that some jurors may research due to confusion about the trial process or a genuine belief that their actions are in the pursuit of ‘fairness’ or discovering the truth, any questions or discussions about the trial need to be authorised by the court. There may be situations where there are investigations or inquiries made by the jury with the authority of the court. For example, the jury may ask for information or clarification on a particular issue such as legal definitions, court and jury processes, or certain evidence. However, any questions of this type</w:t>
      </w:r>
      <w:r w:rsidR="00BD71D2" w:rsidRPr="00432323">
        <w:rPr>
          <w:rFonts w:ascii="Arial" w:hAnsi="Arial" w:cs="Arial"/>
        </w:rPr>
        <w:t xml:space="preserve"> would</w:t>
      </w:r>
      <w:r w:rsidRPr="00432323">
        <w:rPr>
          <w:rFonts w:ascii="Arial" w:hAnsi="Arial" w:cs="Arial"/>
        </w:rPr>
        <w:t xml:space="preserve"> need</w:t>
      </w:r>
      <w:r w:rsidR="00BD71D2" w:rsidRPr="00432323">
        <w:rPr>
          <w:rFonts w:ascii="Arial" w:hAnsi="Arial" w:cs="Arial"/>
        </w:rPr>
        <w:t xml:space="preserve"> </w:t>
      </w:r>
      <w:r w:rsidRPr="00432323">
        <w:rPr>
          <w:rFonts w:ascii="Arial" w:hAnsi="Arial" w:cs="Arial"/>
        </w:rPr>
        <w:t>to be put to the judicial officer for consideration.</w:t>
      </w:r>
    </w:p>
    <w:p w14:paraId="07082689" w14:textId="3E535CE0" w:rsidR="007542BB" w:rsidRPr="00432323" w:rsidRDefault="00BD71D2" w:rsidP="007542BB">
      <w:pPr>
        <w:tabs>
          <w:tab w:val="left" w:pos="425"/>
        </w:tabs>
        <w:spacing w:before="240" w:after="0"/>
        <w:rPr>
          <w:rFonts w:ascii="Arial" w:hAnsi="Arial" w:cs="Arial"/>
        </w:rPr>
      </w:pPr>
      <w:r w:rsidRPr="00432323">
        <w:rPr>
          <w:rFonts w:ascii="Arial" w:hAnsi="Arial" w:cs="Arial"/>
        </w:rPr>
        <w:t>Subsection (4) provides a non-exhaustive list of what making an inquiry may include and provides some examples of the type of conduct that would be an improper inquiry by a juror.</w:t>
      </w:r>
      <w:r w:rsidR="007542BB" w:rsidRPr="00432323">
        <w:rPr>
          <w:rFonts w:ascii="Arial" w:hAnsi="Arial" w:cs="Arial"/>
        </w:rPr>
        <w:t xml:space="preserve"> </w:t>
      </w:r>
    </w:p>
    <w:p w14:paraId="201C508F" w14:textId="5732178F" w:rsidR="00BD71D2" w:rsidRPr="00432323" w:rsidRDefault="00BD71D2" w:rsidP="007542BB">
      <w:pPr>
        <w:tabs>
          <w:tab w:val="left" w:pos="425"/>
        </w:tabs>
        <w:spacing w:before="240" w:after="0"/>
        <w:rPr>
          <w:rFonts w:ascii="Arial" w:hAnsi="Arial" w:cs="Arial"/>
          <w:i/>
          <w:iCs/>
        </w:rPr>
      </w:pPr>
      <w:r w:rsidRPr="00432323">
        <w:rPr>
          <w:rFonts w:ascii="Arial" w:hAnsi="Arial" w:cs="Arial"/>
        </w:rPr>
        <w:t xml:space="preserve">This offence has been modelled on the New South Wales provision on juror misconduct in section 68C of the </w:t>
      </w:r>
      <w:r w:rsidRPr="00432323">
        <w:rPr>
          <w:rFonts w:ascii="Arial" w:hAnsi="Arial" w:cs="Arial"/>
          <w:i/>
          <w:iCs/>
        </w:rPr>
        <w:t>Jury Act 1977 (NSW).</w:t>
      </w:r>
    </w:p>
    <w:p w14:paraId="7D76F1E2" w14:textId="5E320BE2" w:rsidR="007542BB" w:rsidRPr="00432323" w:rsidRDefault="007542BB" w:rsidP="007542BB">
      <w:pPr>
        <w:tabs>
          <w:tab w:val="left" w:pos="425"/>
        </w:tabs>
        <w:spacing w:before="240" w:after="0"/>
        <w:rPr>
          <w:rFonts w:ascii="Arial" w:hAnsi="Arial" w:cs="Arial"/>
        </w:rPr>
      </w:pPr>
      <w:r w:rsidRPr="00432323">
        <w:rPr>
          <w:rFonts w:ascii="Arial" w:hAnsi="Arial" w:cs="Arial"/>
        </w:rPr>
        <w:t xml:space="preserve">This offence does not override or infringe on the courts inherent power to charge a person with contempt of court. </w:t>
      </w:r>
    </w:p>
    <w:p w14:paraId="4BFAF031" w14:textId="0DD100E4" w:rsidR="008A28B9" w:rsidRPr="00432323" w:rsidRDefault="008A28B9" w:rsidP="008A28B9">
      <w:pPr>
        <w:pStyle w:val="Heading4"/>
        <w:keepNext w:val="0"/>
        <w:rPr>
          <w:rFonts w:ascii="Arial" w:hAnsi="Arial" w:cs="Arial"/>
          <w:lang w:eastAsia="en-AU"/>
        </w:rPr>
      </w:pPr>
      <w:r w:rsidRPr="00432323">
        <w:rPr>
          <w:rFonts w:ascii="Arial" w:hAnsi="Arial" w:cs="Arial"/>
        </w:rPr>
        <w:t xml:space="preserve">Clause </w:t>
      </w:r>
      <w:r w:rsidR="00091792" w:rsidRPr="00432323">
        <w:rPr>
          <w:rFonts w:ascii="Arial" w:hAnsi="Arial" w:cs="Arial"/>
        </w:rPr>
        <w:t>17</w:t>
      </w:r>
      <w:r w:rsidR="00091792" w:rsidRPr="00432323">
        <w:rPr>
          <w:rFonts w:ascii="Arial" w:hAnsi="Arial" w:cs="Arial"/>
          <w:bCs/>
          <w:lang w:eastAsia="en-AU"/>
        </w:rPr>
        <w:t xml:space="preserve"> </w:t>
      </w:r>
      <w:r w:rsidRPr="00432323">
        <w:rPr>
          <w:rFonts w:ascii="Arial" w:hAnsi="Arial" w:cs="Arial"/>
          <w:lang w:eastAsia="en-AU"/>
        </w:rPr>
        <w:t xml:space="preserve">– Confidentiality of jury deliberations and identities – Section 42C (11), new definition of </w:t>
      </w:r>
      <w:r w:rsidRPr="00432323">
        <w:rPr>
          <w:rFonts w:ascii="Arial" w:hAnsi="Arial" w:cs="Arial"/>
          <w:i/>
          <w:iCs/>
          <w:lang w:eastAsia="en-AU"/>
        </w:rPr>
        <w:t xml:space="preserve">offence relating to jury deliberations </w:t>
      </w:r>
      <w:r w:rsidRPr="00432323">
        <w:rPr>
          <w:rFonts w:ascii="Arial" w:hAnsi="Arial" w:cs="Arial"/>
          <w:lang w:eastAsia="en-AU"/>
        </w:rPr>
        <w:t xml:space="preserve"> </w:t>
      </w:r>
    </w:p>
    <w:p w14:paraId="74DD709F" w14:textId="79367B90" w:rsidR="008A28B9" w:rsidRPr="00432323" w:rsidRDefault="00D029B3" w:rsidP="008A28B9">
      <w:pPr>
        <w:pStyle w:val="Heading4"/>
        <w:keepNext w:val="0"/>
        <w:rPr>
          <w:rFonts w:ascii="Arial" w:hAnsi="Arial" w:cs="Arial"/>
          <w:b w:val="0"/>
          <w:lang w:eastAsia="en-AU"/>
        </w:rPr>
      </w:pPr>
      <w:r w:rsidRPr="00432323">
        <w:rPr>
          <w:rFonts w:ascii="Arial" w:hAnsi="Arial" w:cs="Arial"/>
          <w:b w:val="0"/>
          <w:lang w:eastAsia="en-AU"/>
        </w:rPr>
        <w:t xml:space="preserve">This clause inserts the new definition of </w:t>
      </w:r>
      <w:r w:rsidR="004B242D" w:rsidRPr="00432323">
        <w:rPr>
          <w:rFonts w:ascii="Arial" w:hAnsi="Arial" w:cs="Arial"/>
          <w:b w:val="0"/>
          <w:lang w:eastAsia="en-AU"/>
        </w:rPr>
        <w:t>“</w:t>
      </w:r>
      <w:r w:rsidRPr="00432323">
        <w:rPr>
          <w:rFonts w:ascii="Arial" w:hAnsi="Arial" w:cs="Arial"/>
          <w:b w:val="0"/>
          <w:lang w:eastAsia="en-AU"/>
        </w:rPr>
        <w:t>offence relating to jury deliberations</w:t>
      </w:r>
      <w:r w:rsidR="004B242D" w:rsidRPr="00432323">
        <w:rPr>
          <w:rFonts w:ascii="Arial" w:hAnsi="Arial" w:cs="Arial"/>
          <w:b w:val="0"/>
          <w:lang w:eastAsia="en-AU"/>
        </w:rPr>
        <w:t>”</w:t>
      </w:r>
      <w:r w:rsidRPr="00432323">
        <w:rPr>
          <w:rFonts w:ascii="Arial" w:hAnsi="Arial" w:cs="Arial"/>
          <w:b w:val="0"/>
          <w:lang w:eastAsia="en-AU"/>
        </w:rPr>
        <w:t xml:space="preserve"> in subsection 11 of section 42C. </w:t>
      </w:r>
    </w:p>
    <w:p w14:paraId="58A2B4BF" w14:textId="2E42C5B9" w:rsidR="00D029B3" w:rsidRPr="00432323" w:rsidRDefault="00D029B3" w:rsidP="00D029B3">
      <w:pPr>
        <w:rPr>
          <w:rFonts w:ascii="Arial" w:hAnsi="Arial" w:cs="Arial"/>
          <w:lang w:eastAsia="en-AU"/>
        </w:rPr>
      </w:pPr>
      <w:r w:rsidRPr="00432323">
        <w:rPr>
          <w:rFonts w:ascii="Arial" w:hAnsi="Arial" w:cs="Arial"/>
        </w:rPr>
        <w:t xml:space="preserve">Confidentiality of jury deliberations is protected under section 42C of the </w:t>
      </w:r>
      <w:r w:rsidRPr="00432323">
        <w:rPr>
          <w:rFonts w:ascii="Arial" w:hAnsi="Arial" w:cs="Arial"/>
          <w:i/>
          <w:iCs/>
        </w:rPr>
        <w:t>Juries Act 1967</w:t>
      </w:r>
      <w:r w:rsidRPr="00432323">
        <w:rPr>
          <w:rFonts w:ascii="Arial" w:hAnsi="Arial" w:cs="Arial"/>
        </w:rPr>
        <w:t xml:space="preserve">, providing it is an offence to disclose protected information under subsection (2), an offence to solicit or obtain protected information under subsection (3), and it is an offence to publish protected information under subsection (4). However, there are exceptions to this provided under subsection (5) (6) and (7). This clause includes investigating or prosecuting improper jury inquiry offence as one of those exceptions. </w:t>
      </w:r>
    </w:p>
    <w:p w14:paraId="088AB051" w14:textId="045E6597" w:rsidR="00D029B3" w:rsidRPr="00432323" w:rsidRDefault="00D029B3" w:rsidP="00D029B3">
      <w:pPr>
        <w:rPr>
          <w:rFonts w:ascii="Arial" w:hAnsi="Arial" w:cs="Arial"/>
          <w:lang w:eastAsia="en-AU"/>
        </w:rPr>
      </w:pPr>
      <w:r w:rsidRPr="00432323">
        <w:rPr>
          <w:rFonts w:ascii="Arial" w:hAnsi="Arial" w:cs="Arial"/>
        </w:rPr>
        <w:t>The purpose of this amendment is to reduce any limitations in investigating the improper juror inquiry offence or admissibility of evidence in the prosecution of the offence. It also ensures the investigating of this new offence does not make a person contravene the confidentiality of jury obligations.</w:t>
      </w:r>
    </w:p>
    <w:p w14:paraId="6E368862" w14:textId="52CB81FD" w:rsidR="008A28B9" w:rsidRPr="00432323" w:rsidRDefault="008A28B9" w:rsidP="008A28B9">
      <w:pPr>
        <w:pStyle w:val="Heading4"/>
        <w:keepNext w:val="0"/>
        <w:rPr>
          <w:rFonts w:ascii="Arial" w:hAnsi="Arial" w:cs="Arial"/>
          <w:lang w:eastAsia="en-AU"/>
        </w:rPr>
      </w:pPr>
      <w:r w:rsidRPr="00432323">
        <w:rPr>
          <w:rFonts w:ascii="Arial" w:hAnsi="Arial" w:cs="Arial"/>
        </w:rPr>
        <w:t xml:space="preserve">Clause </w:t>
      </w:r>
      <w:r w:rsidR="00091792" w:rsidRPr="00432323">
        <w:rPr>
          <w:rFonts w:ascii="Arial" w:hAnsi="Arial" w:cs="Arial"/>
        </w:rPr>
        <w:fldChar w:fldCharType="begin"/>
      </w:r>
      <w:r w:rsidR="00091792" w:rsidRPr="00432323">
        <w:rPr>
          <w:rFonts w:ascii="Arial" w:hAnsi="Arial" w:cs="Arial"/>
        </w:rPr>
        <w:instrText xml:space="preserve"> SEQ Clause \* ARABIC </w:instrText>
      </w:r>
      <w:r w:rsidR="00091792" w:rsidRPr="00432323">
        <w:rPr>
          <w:rFonts w:ascii="Arial" w:hAnsi="Arial" w:cs="Arial"/>
        </w:rPr>
        <w:fldChar w:fldCharType="separate"/>
      </w:r>
      <w:r w:rsidR="00091792" w:rsidRPr="00432323">
        <w:rPr>
          <w:rFonts w:ascii="Arial" w:hAnsi="Arial" w:cs="Arial"/>
          <w:noProof/>
        </w:rPr>
        <w:t>18</w:t>
      </w:r>
      <w:r w:rsidR="00091792" w:rsidRPr="00432323">
        <w:rPr>
          <w:rFonts w:ascii="Arial" w:hAnsi="Arial" w:cs="Arial"/>
        </w:rPr>
        <w:fldChar w:fldCharType="end"/>
      </w:r>
      <w:r w:rsidR="00091792" w:rsidRPr="00432323">
        <w:rPr>
          <w:rFonts w:ascii="Arial" w:hAnsi="Arial" w:cs="Arial"/>
          <w:bCs/>
          <w:lang w:eastAsia="en-AU"/>
        </w:rPr>
        <w:t xml:space="preserve"> </w:t>
      </w:r>
      <w:r w:rsidRPr="00432323">
        <w:rPr>
          <w:rFonts w:ascii="Arial" w:hAnsi="Arial" w:cs="Arial"/>
          <w:lang w:eastAsia="en-AU"/>
        </w:rPr>
        <w:t xml:space="preserve">– Dictionary, new definitions </w:t>
      </w:r>
    </w:p>
    <w:p w14:paraId="3CFF2944" w14:textId="3CF86CA4" w:rsidR="00B469D4" w:rsidRDefault="00091792" w:rsidP="008A28B9">
      <w:pPr>
        <w:pStyle w:val="Heading4"/>
        <w:keepNext w:val="0"/>
        <w:rPr>
          <w:rFonts w:ascii="Arial" w:hAnsi="Arial" w:cs="Arial"/>
          <w:b w:val="0"/>
          <w:lang w:eastAsia="en-AU"/>
        </w:rPr>
      </w:pPr>
      <w:r w:rsidRPr="00432323">
        <w:rPr>
          <w:rFonts w:ascii="Arial" w:hAnsi="Arial" w:cs="Arial"/>
          <w:b w:val="0"/>
          <w:lang w:eastAsia="en-AU"/>
        </w:rPr>
        <w:t xml:space="preserve">This clause </w:t>
      </w:r>
      <w:r w:rsidR="002F40BD" w:rsidRPr="00432323">
        <w:rPr>
          <w:rFonts w:ascii="Arial" w:hAnsi="Arial" w:cs="Arial"/>
          <w:b w:val="0"/>
          <w:lang w:eastAsia="en-AU"/>
        </w:rPr>
        <w:t xml:space="preserve">inserts a dictionary definition for </w:t>
      </w:r>
      <w:r w:rsidR="004B242D" w:rsidRPr="00432323">
        <w:rPr>
          <w:rFonts w:ascii="Arial" w:hAnsi="Arial" w:cs="Arial"/>
          <w:b w:val="0"/>
          <w:lang w:eastAsia="en-AU"/>
        </w:rPr>
        <w:t>“</w:t>
      </w:r>
      <w:r w:rsidR="002F40BD" w:rsidRPr="00432323">
        <w:rPr>
          <w:rFonts w:ascii="Arial" w:hAnsi="Arial" w:cs="Arial"/>
          <w:b w:val="0"/>
          <w:lang w:eastAsia="en-AU"/>
        </w:rPr>
        <w:t>majority verdict</w:t>
      </w:r>
      <w:r w:rsidR="004B242D" w:rsidRPr="00432323">
        <w:rPr>
          <w:rFonts w:ascii="Arial" w:hAnsi="Arial" w:cs="Arial"/>
          <w:b w:val="0"/>
          <w:lang w:eastAsia="en-AU"/>
        </w:rPr>
        <w:t>”</w:t>
      </w:r>
      <w:r w:rsidR="002F40BD" w:rsidRPr="00432323">
        <w:rPr>
          <w:rFonts w:ascii="Arial" w:hAnsi="Arial" w:cs="Arial"/>
          <w:b w:val="0"/>
          <w:lang w:eastAsia="en-AU"/>
        </w:rPr>
        <w:t xml:space="preserve"> and </w:t>
      </w:r>
      <w:r w:rsidR="004B242D" w:rsidRPr="00432323">
        <w:rPr>
          <w:rFonts w:ascii="Arial" w:hAnsi="Arial" w:cs="Arial"/>
          <w:b w:val="0"/>
          <w:lang w:eastAsia="en-AU"/>
        </w:rPr>
        <w:t>“</w:t>
      </w:r>
      <w:r w:rsidR="002F40BD" w:rsidRPr="00432323">
        <w:rPr>
          <w:rFonts w:ascii="Arial" w:hAnsi="Arial" w:cs="Arial"/>
          <w:b w:val="0"/>
          <w:lang w:eastAsia="en-AU"/>
        </w:rPr>
        <w:t>unanimous verdict</w:t>
      </w:r>
      <w:r w:rsidR="004B242D" w:rsidRPr="00432323">
        <w:rPr>
          <w:rFonts w:ascii="Arial" w:hAnsi="Arial" w:cs="Arial"/>
          <w:b w:val="0"/>
          <w:lang w:eastAsia="en-AU"/>
        </w:rPr>
        <w:t>”</w:t>
      </w:r>
      <w:r w:rsidR="002F40BD" w:rsidRPr="00432323">
        <w:rPr>
          <w:rFonts w:ascii="Arial" w:hAnsi="Arial" w:cs="Arial"/>
          <w:b w:val="0"/>
          <w:lang w:eastAsia="en-AU"/>
        </w:rPr>
        <w:t xml:space="preserve">. </w:t>
      </w:r>
    </w:p>
    <w:p w14:paraId="216CA838" w14:textId="77777777" w:rsidR="00B469D4" w:rsidRDefault="00B469D4">
      <w:pPr>
        <w:spacing w:after="0" w:line="240" w:lineRule="auto"/>
        <w:rPr>
          <w:rFonts w:ascii="Arial" w:hAnsi="Arial" w:cs="Arial"/>
          <w:szCs w:val="24"/>
          <w:lang w:eastAsia="en-AU"/>
        </w:rPr>
      </w:pPr>
      <w:r>
        <w:rPr>
          <w:rFonts w:ascii="Arial" w:hAnsi="Arial" w:cs="Arial"/>
          <w:b/>
          <w:lang w:eastAsia="en-AU"/>
        </w:rPr>
        <w:br w:type="page"/>
      </w:r>
    </w:p>
    <w:p w14:paraId="746E0D12" w14:textId="77777777" w:rsidR="008A28B9" w:rsidRPr="00432323" w:rsidRDefault="008A28B9" w:rsidP="008A28B9">
      <w:pPr>
        <w:pStyle w:val="Heading4"/>
        <w:keepNext w:val="0"/>
        <w:rPr>
          <w:rFonts w:ascii="Arial" w:hAnsi="Arial" w:cs="Arial"/>
          <w:b w:val="0"/>
          <w:lang w:eastAsia="en-AU"/>
        </w:rPr>
      </w:pPr>
    </w:p>
    <w:p w14:paraId="1B1E353C" w14:textId="0B4FA5AC" w:rsidR="007532C4" w:rsidRPr="00432323" w:rsidRDefault="007532C4" w:rsidP="007532C4">
      <w:pPr>
        <w:pStyle w:val="Heading1"/>
        <w:rPr>
          <w:rFonts w:ascii="Arial" w:hAnsi="Arial" w:cs="Arial"/>
          <w:sz w:val="24"/>
          <w:szCs w:val="24"/>
          <w:lang w:eastAsia="en-AU"/>
        </w:rPr>
      </w:pPr>
      <w:bookmarkStart w:id="27" w:name="_Toc146871489"/>
      <w:r w:rsidRPr="00432323">
        <w:rPr>
          <w:rFonts w:ascii="Arial" w:hAnsi="Arial" w:cs="Arial"/>
          <w:sz w:val="24"/>
          <w:szCs w:val="24"/>
          <w:lang w:eastAsia="en-AU"/>
        </w:rPr>
        <w:t xml:space="preserve">Part </w:t>
      </w:r>
      <w:r w:rsidRPr="00432323">
        <w:rPr>
          <w:rFonts w:ascii="Arial" w:hAnsi="Arial" w:cs="Arial"/>
          <w:sz w:val="24"/>
          <w:szCs w:val="24"/>
          <w:lang w:eastAsia="en-AU"/>
        </w:rPr>
        <w:fldChar w:fldCharType="begin"/>
      </w:r>
      <w:r w:rsidRPr="00432323">
        <w:rPr>
          <w:rFonts w:ascii="Arial" w:hAnsi="Arial" w:cs="Arial"/>
          <w:sz w:val="24"/>
          <w:szCs w:val="24"/>
          <w:lang w:eastAsia="en-AU"/>
        </w:rPr>
        <w:instrText xml:space="preserve"> SEQ Part \* ARABIC </w:instrText>
      </w:r>
      <w:r w:rsidRPr="00432323">
        <w:rPr>
          <w:rFonts w:ascii="Arial" w:hAnsi="Arial" w:cs="Arial"/>
          <w:sz w:val="24"/>
          <w:szCs w:val="24"/>
          <w:lang w:eastAsia="en-AU"/>
        </w:rPr>
        <w:fldChar w:fldCharType="separate"/>
      </w:r>
      <w:r w:rsidR="008A28B9" w:rsidRPr="00432323">
        <w:rPr>
          <w:rFonts w:ascii="Arial" w:hAnsi="Arial" w:cs="Arial"/>
          <w:noProof/>
          <w:sz w:val="24"/>
          <w:szCs w:val="24"/>
          <w:lang w:eastAsia="en-AU"/>
        </w:rPr>
        <w:t>9</w:t>
      </w:r>
      <w:r w:rsidRPr="00432323">
        <w:rPr>
          <w:rFonts w:ascii="Arial" w:hAnsi="Arial" w:cs="Arial"/>
          <w:sz w:val="24"/>
          <w:szCs w:val="24"/>
          <w:lang w:eastAsia="en-AU"/>
        </w:rPr>
        <w:fldChar w:fldCharType="end"/>
      </w:r>
      <w:r w:rsidRPr="00432323">
        <w:rPr>
          <w:rFonts w:ascii="Arial" w:hAnsi="Arial" w:cs="Arial"/>
          <w:sz w:val="24"/>
          <w:szCs w:val="24"/>
          <w:lang w:eastAsia="en-AU"/>
        </w:rPr>
        <w:t xml:space="preserve"> – </w:t>
      </w:r>
      <w:r w:rsidR="008A28B9" w:rsidRPr="00432323">
        <w:rPr>
          <w:rFonts w:ascii="Arial" w:hAnsi="Arial" w:cs="Arial"/>
          <w:sz w:val="24"/>
          <w:szCs w:val="24"/>
          <w:lang w:eastAsia="en-AU"/>
        </w:rPr>
        <w:t>Magistrates Act 1930</w:t>
      </w:r>
      <w:bookmarkEnd w:id="27"/>
      <w:r w:rsidR="008A28B9" w:rsidRPr="00432323">
        <w:rPr>
          <w:rFonts w:ascii="Arial" w:hAnsi="Arial" w:cs="Arial"/>
          <w:sz w:val="24"/>
          <w:szCs w:val="24"/>
          <w:lang w:eastAsia="en-AU"/>
        </w:rPr>
        <w:t xml:space="preserve"> </w:t>
      </w:r>
    </w:p>
    <w:p w14:paraId="70ED01B5" w14:textId="3E76A84F" w:rsidR="007532C4" w:rsidRPr="00432323" w:rsidRDefault="007532C4" w:rsidP="007532C4">
      <w:pPr>
        <w:pStyle w:val="Heading4"/>
        <w:keepNext w:val="0"/>
        <w:rPr>
          <w:rFonts w:ascii="Arial" w:hAnsi="Arial" w:cs="Arial"/>
          <w:lang w:eastAsia="en-AU"/>
        </w:rPr>
      </w:pPr>
      <w:r w:rsidRPr="00432323">
        <w:rPr>
          <w:rFonts w:ascii="Arial" w:hAnsi="Arial" w:cs="Arial"/>
        </w:rPr>
        <w:t xml:space="preserve">Clause </w:t>
      </w:r>
      <w:r w:rsidR="00091792" w:rsidRPr="00432323">
        <w:rPr>
          <w:rFonts w:ascii="Arial" w:hAnsi="Arial" w:cs="Arial"/>
        </w:rPr>
        <w:t>19</w:t>
      </w:r>
      <w:r w:rsidR="00091792" w:rsidRPr="00432323">
        <w:rPr>
          <w:rFonts w:ascii="Arial" w:hAnsi="Arial" w:cs="Arial"/>
          <w:bCs/>
          <w:lang w:eastAsia="en-AU"/>
        </w:rPr>
        <w:t xml:space="preserve"> </w:t>
      </w:r>
      <w:r w:rsidRPr="00432323">
        <w:rPr>
          <w:rFonts w:ascii="Arial" w:hAnsi="Arial" w:cs="Arial"/>
          <w:lang w:eastAsia="en-AU"/>
        </w:rPr>
        <w:t xml:space="preserve">– </w:t>
      </w:r>
      <w:r w:rsidR="008A28B9" w:rsidRPr="00432323">
        <w:rPr>
          <w:rFonts w:ascii="Arial" w:hAnsi="Arial" w:cs="Arial"/>
          <w:lang w:eastAsia="en-AU"/>
        </w:rPr>
        <w:t xml:space="preserve">Extension of time to pay penalty – Section 124 (1) (a) </w:t>
      </w:r>
    </w:p>
    <w:p w14:paraId="332C3327" w14:textId="361CEF27" w:rsidR="00D9038C" w:rsidRPr="00432323" w:rsidRDefault="004B242D" w:rsidP="00D9038C">
      <w:pPr>
        <w:pStyle w:val="Heading4"/>
        <w:rPr>
          <w:rFonts w:ascii="Arial" w:hAnsi="Arial" w:cs="Arial"/>
          <w:b w:val="0"/>
          <w:lang w:eastAsia="en-AU"/>
        </w:rPr>
      </w:pPr>
      <w:r w:rsidRPr="00432323">
        <w:rPr>
          <w:rFonts w:ascii="Arial" w:hAnsi="Arial" w:cs="Arial"/>
          <w:b w:val="0"/>
          <w:lang w:eastAsia="en-AU"/>
        </w:rPr>
        <w:t xml:space="preserve">This clause inserts the words “infringement notice or”. </w:t>
      </w:r>
      <w:r w:rsidR="00D9038C" w:rsidRPr="00432323">
        <w:rPr>
          <w:rFonts w:ascii="Arial" w:hAnsi="Arial" w:cs="Arial"/>
          <w:b w:val="0"/>
          <w:lang w:eastAsia="en-AU"/>
        </w:rPr>
        <w:t xml:space="preserve">The </w:t>
      </w:r>
      <w:r w:rsidR="00D9038C" w:rsidRPr="00432323">
        <w:rPr>
          <w:rFonts w:ascii="Arial" w:hAnsi="Arial" w:cs="Arial"/>
          <w:b w:val="0"/>
          <w:i/>
          <w:iCs/>
          <w:lang w:eastAsia="en-AU"/>
        </w:rPr>
        <w:t xml:space="preserve">Magistrates Court (Infringement Notices) Amendment Act 2020 </w:t>
      </w:r>
      <w:r w:rsidR="00D9038C" w:rsidRPr="00432323">
        <w:rPr>
          <w:rFonts w:ascii="Arial" w:hAnsi="Arial" w:cs="Arial"/>
          <w:b w:val="0"/>
          <w:lang w:eastAsia="en-AU"/>
        </w:rPr>
        <w:t xml:space="preserve">will, on commencement, introduce a new section 124(1)(a). This provision </w:t>
      </w:r>
      <w:r w:rsidRPr="00432323">
        <w:rPr>
          <w:rFonts w:ascii="Arial" w:hAnsi="Arial" w:cs="Arial"/>
          <w:b w:val="0"/>
          <w:lang w:eastAsia="en-AU"/>
        </w:rPr>
        <w:t>allows</w:t>
      </w:r>
      <w:r w:rsidR="00D9038C" w:rsidRPr="00432323">
        <w:rPr>
          <w:rFonts w:ascii="Arial" w:hAnsi="Arial" w:cs="Arial"/>
          <w:b w:val="0"/>
          <w:lang w:eastAsia="en-AU"/>
        </w:rPr>
        <w:t xml:space="preserve"> people to apply for an extension of time to pay a penalty for a wide range of reasons. </w:t>
      </w:r>
    </w:p>
    <w:p w14:paraId="4F675E76" w14:textId="3650A4F6" w:rsidR="007532C4" w:rsidRPr="00432323" w:rsidRDefault="004B242D" w:rsidP="00D9038C">
      <w:pPr>
        <w:pStyle w:val="Heading4"/>
        <w:keepNext w:val="0"/>
        <w:rPr>
          <w:rFonts w:ascii="Arial" w:hAnsi="Arial" w:cs="Arial"/>
          <w:b w:val="0"/>
          <w:lang w:eastAsia="en-AU"/>
        </w:rPr>
      </w:pPr>
      <w:r w:rsidRPr="00432323">
        <w:rPr>
          <w:rFonts w:ascii="Arial" w:hAnsi="Arial" w:cs="Arial"/>
          <w:b w:val="0"/>
          <w:lang w:eastAsia="en-AU"/>
        </w:rPr>
        <w:t>This clause</w:t>
      </w:r>
      <w:r w:rsidR="00091792" w:rsidRPr="00432323">
        <w:rPr>
          <w:rFonts w:ascii="Arial" w:hAnsi="Arial" w:cs="Arial"/>
          <w:b w:val="0"/>
          <w:lang w:eastAsia="en-AU"/>
        </w:rPr>
        <w:t xml:space="preserve"> </w:t>
      </w:r>
      <w:r w:rsidR="00D9038C" w:rsidRPr="00432323">
        <w:rPr>
          <w:rFonts w:ascii="Arial" w:hAnsi="Arial" w:cs="Arial"/>
          <w:b w:val="0"/>
          <w:lang w:eastAsia="en-AU"/>
        </w:rPr>
        <w:t>extends these reasons further. A person currently has a right to apply for an extension of time to pay a penalty if they have received a reminder notice</w:t>
      </w:r>
      <w:r w:rsidRPr="00432323">
        <w:rPr>
          <w:rFonts w:ascii="Arial" w:hAnsi="Arial" w:cs="Arial"/>
          <w:b w:val="0"/>
          <w:lang w:eastAsia="en-AU"/>
        </w:rPr>
        <w:t>. T</w:t>
      </w:r>
      <w:r w:rsidR="00D9038C" w:rsidRPr="00432323">
        <w:rPr>
          <w:rFonts w:ascii="Arial" w:hAnsi="Arial" w:cs="Arial"/>
          <w:b w:val="0"/>
          <w:lang w:eastAsia="en-AU"/>
        </w:rPr>
        <w:t xml:space="preserve">his requirement has been </w:t>
      </w:r>
      <w:r w:rsidR="00C27D12" w:rsidRPr="00432323">
        <w:rPr>
          <w:rFonts w:ascii="Arial" w:hAnsi="Arial" w:cs="Arial"/>
          <w:b w:val="0"/>
          <w:lang w:eastAsia="en-AU"/>
        </w:rPr>
        <w:t xml:space="preserve">amended to ensure </w:t>
      </w:r>
      <w:r w:rsidR="00D9038C" w:rsidRPr="00432323">
        <w:rPr>
          <w:rFonts w:ascii="Arial" w:hAnsi="Arial" w:cs="Arial"/>
          <w:b w:val="0"/>
          <w:lang w:eastAsia="en-AU"/>
        </w:rPr>
        <w:t>that the person can apply before they have received a reminder noti</w:t>
      </w:r>
      <w:r w:rsidR="00C27D12" w:rsidRPr="00432323">
        <w:rPr>
          <w:rFonts w:ascii="Arial" w:hAnsi="Arial" w:cs="Arial"/>
          <w:b w:val="0"/>
          <w:lang w:eastAsia="en-AU"/>
        </w:rPr>
        <w:t>ce, removing the risk of incurring a financial penalty associated with a reminder notice</w:t>
      </w:r>
      <w:r w:rsidR="00D9038C" w:rsidRPr="00432323">
        <w:rPr>
          <w:rFonts w:ascii="Arial" w:hAnsi="Arial" w:cs="Arial"/>
          <w:b w:val="0"/>
          <w:lang w:eastAsia="en-AU"/>
        </w:rPr>
        <w:t xml:space="preserve">.  </w:t>
      </w:r>
    </w:p>
    <w:p w14:paraId="07B7B270" w14:textId="525EDB12" w:rsidR="008A28B9" w:rsidRPr="00432323" w:rsidRDefault="008A28B9" w:rsidP="008A28B9">
      <w:pPr>
        <w:pStyle w:val="Heading4"/>
        <w:keepNext w:val="0"/>
        <w:rPr>
          <w:rFonts w:ascii="Arial" w:hAnsi="Arial" w:cs="Arial"/>
          <w:lang w:eastAsia="en-AU"/>
        </w:rPr>
      </w:pPr>
      <w:r w:rsidRPr="00432323">
        <w:rPr>
          <w:rFonts w:ascii="Arial" w:hAnsi="Arial" w:cs="Arial"/>
        </w:rPr>
        <w:t xml:space="preserve">Clause </w:t>
      </w:r>
      <w:r w:rsidR="00091792" w:rsidRPr="00432323">
        <w:rPr>
          <w:rFonts w:ascii="Arial" w:hAnsi="Arial" w:cs="Arial"/>
        </w:rPr>
        <w:t>20</w:t>
      </w:r>
      <w:r w:rsidR="00091792" w:rsidRPr="00432323">
        <w:rPr>
          <w:rFonts w:ascii="Arial" w:hAnsi="Arial" w:cs="Arial"/>
          <w:bCs/>
          <w:lang w:eastAsia="en-AU"/>
        </w:rPr>
        <w:t xml:space="preserve"> </w:t>
      </w:r>
      <w:r w:rsidRPr="00432323">
        <w:rPr>
          <w:rFonts w:ascii="Arial" w:hAnsi="Arial" w:cs="Arial"/>
          <w:lang w:eastAsia="en-AU"/>
        </w:rPr>
        <w:t xml:space="preserve">– New section 124 (3)  </w:t>
      </w:r>
    </w:p>
    <w:p w14:paraId="652C3F06" w14:textId="42FB53C3" w:rsidR="004B242D" w:rsidRPr="00432323" w:rsidRDefault="004B242D" w:rsidP="00D60400">
      <w:pPr>
        <w:pStyle w:val="Heading4"/>
        <w:keepNext w:val="0"/>
        <w:rPr>
          <w:rFonts w:ascii="Arial" w:hAnsi="Arial" w:cs="Arial"/>
          <w:b w:val="0"/>
          <w:lang w:eastAsia="en-AU"/>
        </w:rPr>
      </w:pPr>
      <w:r w:rsidRPr="00432323">
        <w:rPr>
          <w:rFonts w:ascii="Arial" w:hAnsi="Arial" w:cs="Arial"/>
          <w:b w:val="0"/>
          <w:lang w:eastAsia="en-AU"/>
        </w:rPr>
        <w:t xml:space="preserve">This clause inserts subsection (3) to provide that if the time to pau an infringement notice penalty is extended and a territory law limits the period to begin a prosecution for the infringement notice offence, the period to begin the prosecution is extended until 1 year after payment of the penalty is required. </w:t>
      </w:r>
    </w:p>
    <w:p w14:paraId="7F0F6F12" w14:textId="448B3053" w:rsidR="00D60400" w:rsidRPr="00432323" w:rsidRDefault="004B242D" w:rsidP="00D60400">
      <w:pPr>
        <w:pStyle w:val="Heading4"/>
        <w:keepNext w:val="0"/>
        <w:rPr>
          <w:rFonts w:ascii="Arial" w:hAnsi="Arial" w:cs="Arial"/>
          <w:b w:val="0"/>
          <w:lang w:eastAsia="en-AU"/>
        </w:rPr>
      </w:pPr>
      <w:r w:rsidRPr="00432323">
        <w:rPr>
          <w:rFonts w:ascii="Arial" w:hAnsi="Arial" w:cs="Arial"/>
          <w:b w:val="0"/>
          <w:lang w:eastAsia="en-AU"/>
        </w:rPr>
        <w:t xml:space="preserve">This clause </w:t>
      </w:r>
      <w:r w:rsidR="00D60400" w:rsidRPr="00432323">
        <w:rPr>
          <w:rFonts w:ascii="Arial" w:hAnsi="Arial" w:cs="Arial"/>
          <w:b w:val="0"/>
          <w:lang w:eastAsia="en-AU"/>
        </w:rPr>
        <w:t>ensures that the underlying offence supporting the alternative pathway remains able to be prosecuted, if necessary</w:t>
      </w:r>
      <w:r w:rsidR="0078202F" w:rsidRPr="00432323">
        <w:rPr>
          <w:rFonts w:ascii="Arial" w:hAnsi="Arial" w:cs="Arial"/>
          <w:b w:val="0"/>
          <w:lang w:eastAsia="en-AU"/>
        </w:rPr>
        <w:t>.</w:t>
      </w:r>
    </w:p>
    <w:p w14:paraId="4ED08235" w14:textId="7EA33D03" w:rsidR="008A28B9" w:rsidRPr="00432323" w:rsidRDefault="008A28B9" w:rsidP="008A28B9">
      <w:pPr>
        <w:pStyle w:val="Heading4"/>
        <w:keepNext w:val="0"/>
        <w:rPr>
          <w:rFonts w:ascii="Arial" w:hAnsi="Arial" w:cs="Arial"/>
          <w:lang w:eastAsia="en-AU"/>
        </w:rPr>
      </w:pPr>
      <w:r w:rsidRPr="00432323">
        <w:rPr>
          <w:rFonts w:ascii="Arial" w:hAnsi="Arial" w:cs="Arial"/>
        </w:rPr>
        <w:t xml:space="preserve">Clause </w:t>
      </w:r>
      <w:r w:rsidR="00091792" w:rsidRPr="00432323">
        <w:rPr>
          <w:rFonts w:ascii="Arial" w:hAnsi="Arial" w:cs="Arial"/>
        </w:rPr>
        <w:fldChar w:fldCharType="begin"/>
      </w:r>
      <w:r w:rsidR="00091792" w:rsidRPr="00432323">
        <w:rPr>
          <w:rFonts w:ascii="Arial" w:hAnsi="Arial" w:cs="Arial"/>
        </w:rPr>
        <w:instrText xml:space="preserve"> SEQ Clause \* ARABIC </w:instrText>
      </w:r>
      <w:r w:rsidR="00091792" w:rsidRPr="00432323">
        <w:rPr>
          <w:rFonts w:ascii="Arial" w:hAnsi="Arial" w:cs="Arial"/>
        </w:rPr>
        <w:fldChar w:fldCharType="separate"/>
      </w:r>
      <w:r w:rsidR="00091792" w:rsidRPr="00432323">
        <w:rPr>
          <w:rFonts w:ascii="Arial" w:hAnsi="Arial" w:cs="Arial"/>
          <w:noProof/>
        </w:rPr>
        <w:t>21</w:t>
      </w:r>
      <w:r w:rsidR="00091792" w:rsidRPr="00432323">
        <w:rPr>
          <w:rFonts w:ascii="Arial" w:hAnsi="Arial" w:cs="Arial"/>
        </w:rPr>
        <w:fldChar w:fldCharType="end"/>
      </w:r>
      <w:r w:rsidR="00091792" w:rsidRPr="00432323">
        <w:rPr>
          <w:rFonts w:ascii="Arial" w:hAnsi="Arial" w:cs="Arial"/>
          <w:bCs/>
          <w:lang w:eastAsia="en-AU"/>
        </w:rPr>
        <w:t xml:space="preserve"> </w:t>
      </w:r>
      <w:r w:rsidRPr="00432323">
        <w:rPr>
          <w:rFonts w:ascii="Arial" w:hAnsi="Arial" w:cs="Arial"/>
          <w:lang w:eastAsia="en-AU"/>
        </w:rPr>
        <w:t xml:space="preserve">– </w:t>
      </w:r>
      <w:r w:rsidR="004B242D" w:rsidRPr="00432323">
        <w:rPr>
          <w:rFonts w:ascii="Arial" w:hAnsi="Arial" w:cs="Arial"/>
          <w:lang w:eastAsia="en-AU"/>
        </w:rPr>
        <w:t>Effect of payment of infringement notice penalty – Section 125</w:t>
      </w:r>
      <w:r w:rsidRPr="00432323">
        <w:rPr>
          <w:rFonts w:ascii="Arial" w:hAnsi="Arial" w:cs="Arial"/>
          <w:lang w:eastAsia="en-AU"/>
        </w:rPr>
        <w:t xml:space="preserve"> (3)  </w:t>
      </w:r>
    </w:p>
    <w:p w14:paraId="359B377F" w14:textId="588BE9FE" w:rsidR="00D60400" w:rsidRPr="00432323" w:rsidRDefault="00D60400" w:rsidP="00D60400">
      <w:pPr>
        <w:pStyle w:val="Heading4"/>
        <w:keepNext w:val="0"/>
        <w:rPr>
          <w:rFonts w:ascii="Arial" w:hAnsi="Arial" w:cs="Arial"/>
          <w:b w:val="0"/>
          <w:lang w:eastAsia="en-AU"/>
        </w:rPr>
      </w:pPr>
      <w:r w:rsidRPr="00432323">
        <w:rPr>
          <w:rFonts w:ascii="Arial" w:hAnsi="Arial" w:cs="Arial"/>
          <w:b w:val="0"/>
          <w:lang w:eastAsia="en-AU"/>
        </w:rPr>
        <w:t>This is a consequential amendment on the insertion of new section 131AC</w:t>
      </w:r>
      <w:r w:rsidR="004B242D" w:rsidRPr="00432323">
        <w:rPr>
          <w:rFonts w:ascii="Arial" w:hAnsi="Arial" w:cs="Arial"/>
          <w:b w:val="0"/>
          <w:lang w:eastAsia="en-AU"/>
        </w:rPr>
        <w:t>B</w:t>
      </w:r>
      <w:r w:rsidRPr="00432323">
        <w:rPr>
          <w:rFonts w:ascii="Arial" w:hAnsi="Arial" w:cs="Arial"/>
          <w:b w:val="0"/>
          <w:lang w:eastAsia="en-AU"/>
        </w:rPr>
        <w:t>.</w:t>
      </w:r>
    </w:p>
    <w:p w14:paraId="5D526365" w14:textId="7DFC8772" w:rsidR="00D60400" w:rsidRPr="00432323" w:rsidRDefault="00D60400" w:rsidP="00D60400">
      <w:pPr>
        <w:pStyle w:val="Heading4"/>
        <w:keepNext w:val="0"/>
        <w:rPr>
          <w:rFonts w:ascii="Arial" w:hAnsi="Arial" w:cs="Arial"/>
          <w:b w:val="0"/>
          <w:lang w:eastAsia="en-AU"/>
        </w:rPr>
      </w:pPr>
      <w:r w:rsidRPr="00432323">
        <w:rPr>
          <w:rFonts w:ascii="Arial" w:hAnsi="Arial" w:cs="Arial"/>
          <w:b w:val="0"/>
          <w:lang w:eastAsia="en-AU"/>
        </w:rPr>
        <w:t xml:space="preserve">Upon commencement, the </w:t>
      </w:r>
      <w:r w:rsidRPr="00432323">
        <w:rPr>
          <w:rFonts w:ascii="Arial" w:hAnsi="Arial" w:cs="Arial"/>
          <w:b w:val="0"/>
          <w:i/>
          <w:iCs/>
          <w:lang w:eastAsia="en-AU"/>
        </w:rPr>
        <w:t>Magistrates Court (Infringement Notices) Amendment Act 2020</w:t>
      </w:r>
      <w:r w:rsidRPr="00432323">
        <w:rPr>
          <w:rFonts w:ascii="Arial" w:hAnsi="Arial" w:cs="Arial"/>
          <w:b w:val="0"/>
          <w:lang w:eastAsia="en-AU"/>
        </w:rPr>
        <w:t xml:space="preserve"> will substitute section 125</w:t>
      </w:r>
      <w:r w:rsidR="004B242D" w:rsidRPr="00432323">
        <w:rPr>
          <w:rFonts w:ascii="Arial" w:hAnsi="Arial" w:cs="Arial"/>
          <w:b w:val="0"/>
          <w:lang w:eastAsia="en-AU"/>
        </w:rPr>
        <w:t xml:space="preserve"> </w:t>
      </w:r>
      <w:r w:rsidRPr="00432323">
        <w:rPr>
          <w:rFonts w:ascii="Arial" w:hAnsi="Arial" w:cs="Arial"/>
          <w:b w:val="0"/>
          <w:lang w:eastAsia="en-AU"/>
        </w:rPr>
        <w:t>(3) with a more streamlined provision.</w:t>
      </w:r>
      <w:r w:rsidR="00D03853" w:rsidRPr="00432323">
        <w:rPr>
          <w:rFonts w:ascii="Arial" w:hAnsi="Arial" w:cs="Arial"/>
          <w:b w:val="0"/>
          <w:lang w:eastAsia="en-AU"/>
        </w:rPr>
        <w:t xml:space="preserve"> The provision states, simply, that section 125 is subject to section 127 (Withdrawal of infringement notices). </w:t>
      </w:r>
      <w:r w:rsidR="004B242D" w:rsidRPr="00432323">
        <w:rPr>
          <w:rFonts w:ascii="Arial" w:hAnsi="Arial" w:cs="Arial"/>
          <w:b w:val="0"/>
          <w:lang w:eastAsia="en-AU"/>
        </w:rPr>
        <w:t>This clause</w:t>
      </w:r>
      <w:r w:rsidR="00D03853" w:rsidRPr="00432323">
        <w:rPr>
          <w:rFonts w:ascii="Arial" w:hAnsi="Arial" w:cs="Arial"/>
          <w:b w:val="0"/>
          <w:lang w:eastAsia="en-AU"/>
        </w:rPr>
        <w:t xml:space="preserve"> continues that approach by adding that section 125 is also subject to section 131AC</w:t>
      </w:r>
      <w:r w:rsidR="004B242D" w:rsidRPr="00432323">
        <w:rPr>
          <w:rFonts w:ascii="Arial" w:hAnsi="Arial" w:cs="Arial"/>
          <w:b w:val="0"/>
          <w:lang w:eastAsia="en-AU"/>
        </w:rPr>
        <w:t>B</w:t>
      </w:r>
      <w:r w:rsidR="00D03853" w:rsidRPr="00432323">
        <w:rPr>
          <w:rFonts w:ascii="Arial" w:hAnsi="Arial" w:cs="Arial"/>
          <w:b w:val="0"/>
          <w:lang w:eastAsia="en-AU"/>
        </w:rPr>
        <w:t xml:space="preserve"> (</w:t>
      </w:r>
      <w:r w:rsidR="004B242D" w:rsidRPr="00432323">
        <w:rPr>
          <w:rFonts w:ascii="Arial" w:hAnsi="Arial" w:cs="Arial"/>
          <w:b w:val="0"/>
          <w:lang w:eastAsia="en-AU"/>
        </w:rPr>
        <w:t xml:space="preserve">Infringement notice management plan – effect of cancellation). </w:t>
      </w:r>
      <w:r w:rsidRPr="00432323">
        <w:rPr>
          <w:rFonts w:ascii="Arial" w:hAnsi="Arial" w:cs="Arial"/>
          <w:b w:val="0"/>
          <w:lang w:eastAsia="en-AU"/>
        </w:rPr>
        <w:t xml:space="preserve"> </w:t>
      </w:r>
    </w:p>
    <w:p w14:paraId="115AD476" w14:textId="6CCE3E8D" w:rsidR="00091792" w:rsidRPr="00432323" w:rsidRDefault="00091792" w:rsidP="008A28B9">
      <w:pPr>
        <w:pStyle w:val="Heading4"/>
        <w:keepNext w:val="0"/>
        <w:rPr>
          <w:rFonts w:ascii="Arial" w:hAnsi="Arial" w:cs="Arial"/>
        </w:rPr>
      </w:pPr>
      <w:r w:rsidRPr="00432323">
        <w:rPr>
          <w:rFonts w:ascii="Arial" w:hAnsi="Arial" w:cs="Arial"/>
        </w:rPr>
        <w:t>Clause 22 –</w:t>
      </w:r>
      <w:r w:rsidR="004B242D" w:rsidRPr="00432323">
        <w:rPr>
          <w:rFonts w:ascii="Arial" w:hAnsi="Arial" w:cs="Arial"/>
        </w:rPr>
        <w:t xml:space="preserve"> Application for infringement notice management plan or addition to plan – decision - </w:t>
      </w:r>
      <w:r w:rsidRPr="00432323">
        <w:rPr>
          <w:rFonts w:ascii="Arial" w:hAnsi="Arial" w:cs="Arial"/>
        </w:rPr>
        <w:t>New section 131AB</w:t>
      </w:r>
      <w:r w:rsidR="00A70BA8" w:rsidRPr="00432323">
        <w:rPr>
          <w:rFonts w:ascii="Arial" w:hAnsi="Arial" w:cs="Arial"/>
        </w:rPr>
        <w:t xml:space="preserve"> </w:t>
      </w:r>
      <w:r w:rsidRPr="00432323">
        <w:rPr>
          <w:rFonts w:ascii="Arial" w:hAnsi="Arial" w:cs="Arial"/>
        </w:rPr>
        <w:t>(4A)</w:t>
      </w:r>
    </w:p>
    <w:p w14:paraId="01217C45" w14:textId="77777777" w:rsidR="004D15D3" w:rsidRPr="00432323" w:rsidRDefault="004D15D3" w:rsidP="008A28B9">
      <w:pPr>
        <w:pStyle w:val="Heading4"/>
        <w:keepNext w:val="0"/>
        <w:rPr>
          <w:rFonts w:ascii="Arial" w:hAnsi="Arial" w:cs="Arial"/>
          <w:b w:val="0"/>
          <w:bCs/>
        </w:rPr>
      </w:pPr>
      <w:r w:rsidRPr="00432323">
        <w:rPr>
          <w:rFonts w:ascii="Arial" w:hAnsi="Arial" w:cs="Arial"/>
          <w:b w:val="0"/>
          <w:bCs/>
        </w:rPr>
        <w:t>This clause corrects a procedural issue under the framework. Section 131AB states that holders of cards mentioned in section 131AA(4)(b) must have their applications for an infringement notice management plan approved.</w:t>
      </w:r>
    </w:p>
    <w:p w14:paraId="0BC19A0E" w14:textId="61DF4739" w:rsidR="004D15D3" w:rsidRPr="00432323" w:rsidRDefault="004D15D3" w:rsidP="008A28B9">
      <w:pPr>
        <w:pStyle w:val="Heading4"/>
        <w:keepNext w:val="0"/>
        <w:rPr>
          <w:rFonts w:ascii="Arial" w:hAnsi="Arial" w:cs="Arial"/>
          <w:b w:val="0"/>
          <w:bCs/>
        </w:rPr>
      </w:pPr>
      <w:r w:rsidRPr="00432323">
        <w:rPr>
          <w:rFonts w:ascii="Arial" w:hAnsi="Arial" w:cs="Arial"/>
          <w:b w:val="0"/>
          <w:bCs/>
        </w:rPr>
        <w:lastRenderedPageBreak/>
        <w:t xml:space="preserve">New section 131AB(4A) creates discretion if the person has previously had a infringement notice management plan covering the same infringement notice and it was cancelled under </w:t>
      </w:r>
      <w:r w:rsidR="00A7796A" w:rsidRPr="00432323">
        <w:rPr>
          <w:rFonts w:ascii="Arial" w:hAnsi="Arial" w:cs="Arial"/>
          <w:b w:val="0"/>
          <w:bCs/>
        </w:rPr>
        <w:t>section 131ACA.</w:t>
      </w:r>
      <w:r w:rsidRPr="00432323">
        <w:rPr>
          <w:rFonts w:ascii="Arial" w:hAnsi="Arial" w:cs="Arial"/>
          <w:b w:val="0"/>
          <w:bCs/>
        </w:rPr>
        <w:t xml:space="preserve"> </w:t>
      </w:r>
    </w:p>
    <w:p w14:paraId="594D65EC" w14:textId="59BCC739" w:rsidR="008A28B9" w:rsidRPr="00432323" w:rsidRDefault="008A28B9" w:rsidP="008A28B9">
      <w:pPr>
        <w:pStyle w:val="Heading4"/>
        <w:keepNext w:val="0"/>
        <w:rPr>
          <w:rFonts w:ascii="Arial" w:hAnsi="Arial" w:cs="Arial"/>
          <w:lang w:eastAsia="en-AU"/>
        </w:rPr>
      </w:pPr>
      <w:r w:rsidRPr="00432323">
        <w:rPr>
          <w:rFonts w:ascii="Arial" w:hAnsi="Arial" w:cs="Arial"/>
        </w:rPr>
        <w:t xml:space="preserve">Clause </w:t>
      </w:r>
      <w:r w:rsidRPr="00432323">
        <w:rPr>
          <w:rFonts w:ascii="Arial" w:hAnsi="Arial" w:cs="Arial"/>
        </w:rPr>
        <w:fldChar w:fldCharType="begin"/>
      </w:r>
      <w:r w:rsidRPr="00432323">
        <w:rPr>
          <w:rFonts w:ascii="Arial" w:hAnsi="Arial" w:cs="Arial"/>
        </w:rPr>
        <w:instrText xml:space="preserve"> SEQ Clause \* ARABIC </w:instrText>
      </w:r>
      <w:r w:rsidRPr="00432323">
        <w:rPr>
          <w:rFonts w:ascii="Arial" w:hAnsi="Arial" w:cs="Arial"/>
        </w:rPr>
        <w:fldChar w:fldCharType="separate"/>
      </w:r>
      <w:r w:rsidRPr="00432323">
        <w:rPr>
          <w:rFonts w:ascii="Arial" w:hAnsi="Arial" w:cs="Arial"/>
          <w:noProof/>
        </w:rPr>
        <w:t>23</w:t>
      </w:r>
      <w:r w:rsidRPr="00432323">
        <w:rPr>
          <w:rFonts w:ascii="Arial" w:hAnsi="Arial" w:cs="Arial"/>
        </w:rPr>
        <w:fldChar w:fldCharType="end"/>
      </w:r>
      <w:r w:rsidRPr="00432323">
        <w:rPr>
          <w:rFonts w:ascii="Arial" w:hAnsi="Arial" w:cs="Arial"/>
          <w:bCs/>
          <w:lang w:eastAsia="en-AU"/>
        </w:rPr>
        <w:t xml:space="preserve"> </w:t>
      </w:r>
      <w:r w:rsidRPr="00432323">
        <w:rPr>
          <w:rFonts w:ascii="Arial" w:hAnsi="Arial" w:cs="Arial"/>
          <w:lang w:eastAsia="en-AU"/>
        </w:rPr>
        <w:t>– New section</w:t>
      </w:r>
      <w:r w:rsidR="004B242D" w:rsidRPr="00432323">
        <w:rPr>
          <w:rFonts w:ascii="Arial" w:hAnsi="Arial" w:cs="Arial"/>
          <w:lang w:eastAsia="en-AU"/>
        </w:rPr>
        <w:t>s</w:t>
      </w:r>
      <w:r w:rsidRPr="00432323">
        <w:rPr>
          <w:rFonts w:ascii="Arial" w:hAnsi="Arial" w:cs="Arial"/>
          <w:lang w:eastAsia="en-AU"/>
        </w:rPr>
        <w:t xml:space="preserve"> 131ACA</w:t>
      </w:r>
      <w:r w:rsidR="00091792" w:rsidRPr="00432323">
        <w:rPr>
          <w:rFonts w:ascii="Arial" w:hAnsi="Arial" w:cs="Arial"/>
          <w:lang w:eastAsia="en-AU"/>
        </w:rPr>
        <w:t xml:space="preserve"> and 131ACB</w:t>
      </w:r>
      <w:r w:rsidRPr="00432323">
        <w:rPr>
          <w:rFonts w:ascii="Arial" w:hAnsi="Arial" w:cs="Arial"/>
          <w:lang w:eastAsia="en-AU"/>
        </w:rPr>
        <w:t xml:space="preserve"> </w:t>
      </w:r>
    </w:p>
    <w:p w14:paraId="0199B5D5" w14:textId="77777777" w:rsidR="009F1B03" w:rsidRPr="00432323" w:rsidRDefault="00D03853" w:rsidP="008A28B9">
      <w:pPr>
        <w:pStyle w:val="Heading4"/>
        <w:keepNext w:val="0"/>
        <w:rPr>
          <w:rFonts w:ascii="Arial" w:hAnsi="Arial" w:cs="Arial"/>
          <w:b w:val="0"/>
          <w:lang w:eastAsia="en-AU"/>
        </w:rPr>
      </w:pPr>
      <w:r w:rsidRPr="00432323">
        <w:rPr>
          <w:rFonts w:ascii="Arial" w:hAnsi="Arial" w:cs="Arial"/>
          <w:b w:val="0"/>
          <w:lang w:eastAsia="en-AU"/>
        </w:rPr>
        <w:t xml:space="preserve">The </w:t>
      </w:r>
      <w:r w:rsidRPr="00432323">
        <w:rPr>
          <w:rFonts w:ascii="Arial" w:hAnsi="Arial" w:cs="Arial"/>
          <w:b w:val="0"/>
          <w:i/>
          <w:iCs/>
          <w:lang w:eastAsia="en-AU"/>
        </w:rPr>
        <w:t xml:space="preserve">Magistrates Court (Infringement Notices) Amendment Act 2020 </w:t>
      </w:r>
      <w:r w:rsidRPr="00432323">
        <w:rPr>
          <w:rFonts w:ascii="Arial" w:hAnsi="Arial" w:cs="Arial"/>
          <w:b w:val="0"/>
          <w:lang w:eastAsia="en-AU"/>
        </w:rPr>
        <w:t>has not yet commenced. Upon commencement, it will establish a new framework for alternatives to pay penalties issued under infringement notices. These alternatives include participating in approved social work and entering into infringement notice management plans to pay penalties in manageable instalments.</w:t>
      </w:r>
    </w:p>
    <w:p w14:paraId="371D6A54" w14:textId="05967BBB" w:rsidR="00982BB6" w:rsidRPr="00432323" w:rsidRDefault="004B242D" w:rsidP="008A28B9">
      <w:pPr>
        <w:pStyle w:val="Heading4"/>
        <w:keepNext w:val="0"/>
        <w:rPr>
          <w:rFonts w:ascii="Arial" w:hAnsi="Arial" w:cs="Arial"/>
          <w:b w:val="0"/>
          <w:lang w:eastAsia="en-AU"/>
        </w:rPr>
      </w:pPr>
      <w:r w:rsidRPr="00432323">
        <w:rPr>
          <w:rFonts w:ascii="Arial" w:hAnsi="Arial" w:cs="Arial"/>
          <w:b w:val="0"/>
          <w:lang w:eastAsia="en-AU"/>
        </w:rPr>
        <w:t>This clause</w:t>
      </w:r>
      <w:r w:rsidR="009F1B03" w:rsidRPr="00432323">
        <w:rPr>
          <w:rFonts w:ascii="Arial" w:hAnsi="Arial" w:cs="Arial"/>
          <w:b w:val="0"/>
          <w:lang w:eastAsia="en-AU"/>
        </w:rPr>
        <w:t xml:space="preserve"> insert</w:t>
      </w:r>
      <w:r w:rsidRPr="00432323">
        <w:rPr>
          <w:rFonts w:ascii="Arial" w:hAnsi="Arial" w:cs="Arial"/>
          <w:b w:val="0"/>
          <w:lang w:eastAsia="en-AU"/>
        </w:rPr>
        <w:t>s</w:t>
      </w:r>
      <w:r w:rsidR="009F1B03" w:rsidRPr="00432323">
        <w:rPr>
          <w:rFonts w:ascii="Arial" w:hAnsi="Arial" w:cs="Arial"/>
          <w:b w:val="0"/>
          <w:lang w:eastAsia="en-AU"/>
        </w:rPr>
        <w:t xml:space="preserve"> </w:t>
      </w:r>
      <w:r w:rsidR="00A7796A" w:rsidRPr="00432323">
        <w:rPr>
          <w:rFonts w:ascii="Arial" w:hAnsi="Arial" w:cs="Arial"/>
          <w:b w:val="0"/>
          <w:lang w:eastAsia="en-AU"/>
        </w:rPr>
        <w:t>two</w:t>
      </w:r>
      <w:r w:rsidR="009F1B03" w:rsidRPr="00432323">
        <w:rPr>
          <w:rFonts w:ascii="Arial" w:hAnsi="Arial" w:cs="Arial"/>
          <w:b w:val="0"/>
          <w:lang w:eastAsia="en-AU"/>
        </w:rPr>
        <w:t xml:space="preserve"> new section</w:t>
      </w:r>
      <w:r w:rsidR="00A7796A" w:rsidRPr="00432323">
        <w:rPr>
          <w:rFonts w:ascii="Arial" w:hAnsi="Arial" w:cs="Arial"/>
          <w:b w:val="0"/>
          <w:lang w:eastAsia="en-AU"/>
        </w:rPr>
        <w:t>s</w:t>
      </w:r>
      <w:r w:rsidR="009F1B03" w:rsidRPr="00432323">
        <w:rPr>
          <w:rFonts w:ascii="Arial" w:hAnsi="Arial" w:cs="Arial"/>
          <w:b w:val="0"/>
          <w:lang w:eastAsia="en-AU"/>
        </w:rPr>
        <w:t xml:space="preserve"> into this framework to clarify process</w:t>
      </w:r>
      <w:r w:rsidR="00A7796A" w:rsidRPr="00432323">
        <w:rPr>
          <w:rFonts w:ascii="Arial" w:hAnsi="Arial" w:cs="Arial"/>
          <w:b w:val="0"/>
          <w:lang w:eastAsia="en-AU"/>
        </w:rPr>
        <w:t>,</w:t>
      </w:r>
      <w:r w:rsidR="009F1B03" w:rsidRPr="00432323">
        <w:rPr>
          <w:rFonts w:ascii="Arial" w:hAnsi="Arial" w:cs="Arial"/>
          <w:b w:val="0"/>
          <w:lang w:eastAsia="en-AU"/>
        </w:rPr>
        <w:t xml:space="preserve"> powers</w:t>
      </w:r>
      <w:r w:rsidR="00A7796A" w:rsidRPr="00432323">
        <w:rPr>
          <w:rFonts w:ascii="Arial" w:hAnsi="Arial" w:cs="Arial"/>
          <w:b w:val="0"/>
          <w:lang w:eastAsia="en-AU"/>
        </w:rPr>
        <w:t>, and effects</w:t>
      </w:r>
      <w:r w:rsidR="009F1B03" w:rsidRPr="00432323">
        <w:rPr>
          <w:rFonts w:ascii="Arial" w:hAnsi="Arial" w:cs="Arial"/>
          <w:b w:val="0"/>
          <w:lang w:eastAsia="en-AU"/>
        </w:rPr>
        <w:t xml:space="preserve"> for cancelling an infringement notice management plan established under this scheme. </w:t>
      </w:r>
      <w:r w:rsidR="00982BB6" w:rsidRPr="00432323">
        <w:rPr>
          <w:rFonts w:ascii="Arial" w:hAnsi="Arial" w:cs="Arial"/>
          <w:b w:val="0"/>
          <w:lang w:eastAsia="en-AU"/>
        </w:rPr>
        <w:t>Through this process, an administering authority and a person unable to maintain payments under an infringement notice management plan might agree that approved social work might be a preferable option for the person, or that waiving some penalties or parts of penalties might be preferable.</w:t>
      </w:r>
    </w:p>
    <w:p w14:paraId="094BEE92" w14:textId="4F855377" w:rsidR="008A28B9" w:rsidRPr="00432323" w:rsidRDefault="00982BB6" w:rsidP="008A28B9">
      <w:pPr>
        <w:pStyle w:val="Heading4"/>
        <w:keepNext w:val="0"/>
        <w:rPr>
          <w:rFonts w:ascii="Arial" w:hAnsi="Arial" w:cs="Arial"/>
          <w:b w:val="0"/>
          <w:lang w:eastAsia="en-AU"/>
        </w:rPr>
      </w:pPr>
      <w:r w:rsidRPr="00432323">
        <w:rPr>
          <w:rFonts w:ascii="Arial" w:hAnsi="Arial" w:cs="Arial"/>
          <w:b w:val="0"/>
          <w:lang w:eastAsia="en-AU"/>
        </w:rPr>
        <w:t xml:space="preserve">The administering authority must provide a person with 28 days notice of an intent to cancel the infringement notice management plan. This provides the person an opportunity to provide evidence of their financial circumstances and evidence of their ability to make future payments. </w:t>
      </w:r>
      <w:r w:rsidR="00D03853" w:rsidRPr="00432323">
        <w:rPr>
          <w:rFonts w:ascii="Arial" w:hAnsi="Arial" w:cs="Arial"/>
          <w:b w:val="0"/>
          <w:lang w:eastAsia="en-AU"/>
        </w:rPr>
        <w:t xml:space="preserve"> </w:t>
      </w:r>
    </w:p>
    <w:p w14:paraId="4B9FA950" w14:textId="43B27F74" w:rsidR="007532C4" w:rsidRPr="00432323" w:rsidRDefault="007532C4" w:rsidP="007532C4">
      <w:pPr>
        <w:pStyle w:val="Heading1"/>
        <w:rPr>
          <w:rFonts w:ascii="Arial" w:hAnsi="Arial" w:cs="Arial"/>
          <w:sz w:val="24"/>
          <w:szCs w:val="24"/>
          <w:lang w:eastAsia="en-AU"/>
        </w:rPr>
      </w:pPr>
      <w:bookmarkStart w:id="28" w:name="_Toc146871490"/>
      <w:r w:rsidRPr="00432323">
        <w:rPr>
          <w:rFonts w:ascii="Arial" w:hAnsi="Arial" w:cs="Arial"/>
          <w:sz w:val="24"/>
          <w:szCs w:val="24"/>
          <w:lang w:eastAsia="en-AU"/>
        </w:rPr>
        <w:t xml:space="preserve">Part </w:t>
      </w:r>
      <w:r w:rsidRPr="00432323">
        <w:rPr>
          <w:rFonts w:ascii="Arial" w:hAnsi="Arial" w:cs="Arial"/>
          <w:sz w:val="24"/>
          <w:szCs w:val="24"/>
          <w:lang w:eastAsia="en-AU"/>
        </w:rPr>
        <w:fldChar w:fldCharType="begin"/>
      </w:r>
      <w:r w:rsidRPr="00432323">
        <w:rPr>
          <w:rFonts w:ascii="Arial" w:hAnsi="Arial" w:cs="Arial"/>
          <w:sz w:val="24"/>
          <w:szCs w:val="24"/>
          <w:lang w:eastAsia="en-AU"/>
        </w:rPr>
        <w:instrText xml:space="preserve"> SEQ Part \* ARABIC </w:instrText>
      </w:r>
      <w:r w:rsidRPr="00432323">
        <w:rPr>
          <w:rFonts w:ascii="Arial" w:hAnsi="Arial" w:cs="Arial"/>
          <w:sz w:val="24"/>
          <w:szCs w:val="24"/>
          <w:lang w:eastAsia="en-AU"/>
        </w:rPr>
        <w:fldChar w:fldCharType="separate"/>
      </w:r>
      <w:r w:rsidR="008A28B9" w:rsidRPr="00432323">
        <w:rPr>
          <w:rFonts w:ascii="Arial" w:hAnsi="Arial" w:cs="Arial"/>
          <w:noProof/>
          <w:sz w:val="24"/>
          <w:szCs w:val="24"/>
          <w:lang w:eastAsia="en-AU"/>
        </w:rPr>
        <w:t>10</w:t>
      </w:r>
      <w:r w:rsidRPr="00432323">
        <w:rPr>
          <w:rFonts w:ascii="Arial" w:hAnsi="Arial" w:cs="Arial"/>
          <w:sz w:val="24"/>
          <w:szCs w:val="24"/>
          <w:lang w:eastAsia="en-AU"/>
        </w:rPr>
        <w:fldChar w:fldCharType="end"/>
      </w:r>
      <w:r w:rsidRPr="00432323">
        <w:rPr>
          <w:rFonts w:ascii="Arial" w:hAnsi="Arial" w:cs="Arial"/>
          <w:sz w:val="24"/>
          <w:szCs w:val="24"/>
          <w:lang w:eastAsia="en-AU"/>
        </w:rPr>
        <w:t xml:space="preserve"> – </w:t>
      </w:r>
      <w:r w:rsidR="008A28B9" w:rsidRPr="00432323">
        <w:rPr>
          <w:rFonts w:ascii="Arial" w:hAnsi="Arial" w:cs="Arial"/>
          <w:sz w:val="24"/>
          <w:szCs w:val="24"/>
          <w:lang w:eastAsia="en-AU"/>
        </w:rPr>
        <w:t>Magistrates Court Regulation 2009</w:t>
      </w:r>
      <w:bookmarkEnd w:id="28"/>
      <w:r w:rsidR="008A28B9" w:rsidRPr="00432323">
        <w:rPr>
          <w:rFonts w:ascii="Arial" w:hAnsi="Arial" w:cs="Arial"/>
          <w:sz w:val="24"/>
          <w:szCs w:val="24"/>
          <w:lang w:eastAsia="en-AU"/>
        </w:rPr>
        <w:t xml:space="preserve"> </w:t>
      </w:r>
    </w:p>
    <w:p w14:paraId="472F30BD" w14:textId="791577B1" w:rsidR="007532C4" w:rsidRPr="00432323" w:rsidRDefault="007532C4" w:rsidP="007532C4">
      <w:pPr>
        <w:pStyle w:val="Heading4"/>
        <w:keepNext w:val="0"/>
        <w:rPr>
          <w:rFonts w:ascii="Arial" w:hAnsi="Arial" w:cs="Arial"/>
          <w:lang w:eastAsia="en-AU"/>
        </w:rPr>
      </w:pPr>
      <w:r w:rsidRPr="00432323">
        <w:rPr>
          <w:rFonts w:ascii="Arial" w:hAnsi="Arial" w:cs="Arial"/>
        </w:rPr>
        <w:t xml:space="preserve">Clause </w:t>
      </w:r>
      <w:r w:rsidRPr="00432323">
        <w:rPr>
          <w:rFonts w:ascii="Arial" w:hAnsi="Arial" w:cs="Arial"/>
        </w:rPr>
        <w:fldChar w:fldCharType="begin"/>
      </w:r>
      <w:r w:rsidRPr="00432323">
        <w:rPr>
          <w:rFonts w:ascii="Arial" w:hAnsi="Arial" w:cs="Arial"/>
        </w:rPr>
        <w:instrText xml:space="preserve"> SEQ Clause \* ARABIC </w:instrText>
      </w:r>
      <w:r w:rsidRPr="00432323">
        <w:rPr>
          <w:rFonts w:ascii="Arial" w:hAnsi="Arial" w:cs="Arial"/>
        </w:rPr>
        <w:fldChar w:fldCharType="separate"/>
      </w:r>
      <w:r w:rsidR="008A28B9" w:rsidRPr="00432323">
        <w:rPr>
          <w:rFonts w:ascii="Arial" w:hAnsi="Arial" w:cs="Arial"/>
          <w:noProof/>
        </w:rPr>
        <w:t>24</w:t>
      </w:r>
      <w:r w:rsidRPr="00432323">
        <w:rPr>
          <w:rFonts w:ascii="Arial" w:hAnsi="Arial" w:cs="Arial"/>
        </w:rPr>
        <w:fldChar w:fldCharType="end"/>
      </w:r>
      <w:r w:rsidRPr="00432323">
        <w:rPr>
          <w:rFonts w:ascii="Arial" w:hAnsi="Arial" w:cs="Arial"/>
          <w:bCs/>
          <w:lang w:eastAsia="en-AU"/>
        </w:rPr>
        <w:t xml:space="preserve"> </w:t>
      </w:r>
      <w:r w:rsidRPr="00432323">
        <w:rPr>
          <w:rFonts w:ascii="Arial" w:hAnsi="Arial" w:cs="Arial"/>
          <w:lang w:eastAsia="en-AU"/>
        </w:rPr>
        <w:t xml:space="preserve">– </w:t>
      </w:r>
      <w:r w:rsidR="008A28B9" w:rsidRPr="00432323">
        <w:rPr>
          <w:rFonts w:ascii="Arial" w:hAnsi="Arial" w:cs="Arial"/>
          <w:lang w:eastAsia="en-AU"/>
        </w:rPr>
        <w:t>New section</w:t>
      </w:r>
      <w:r w:rsidR="004B242D" w:rsidRPr="00432323">
        <w:rPr>
          <w:rFonts w:ascii="Arial" w:hAnsi="Arial" w:cs="Arial"/>
          <w:lang w:eastAsia="en-AU"/>
        </w:rPr>
        <w:t>s</w:t>
      </w:r>
      <w:r w:rsidR="008A28B9" w:rsidRPr="00432323">
        <w:rPr>
          <w:rFonts w:ascii="Arial" w:hAnsi="Arial" w:cs="Arial"/>
          <w:lang w:eastAsia="en-AU"/>
        </w:rPr>
        <w:t xml:space="preserve"> 3B</w:t>
      </w:r>
      <w:r w:rsidR="004D15D3" w:rsidRPr="00432323">
        <w:rPr>
          <w:rFonts w:ascii="Arial" w:hAnsi="Arial" w:cs="Arial"/>
          <w:lang w:eastAsia="en-AU"/>
        </w:rPr>
        <w:t xml:space="preserve"> and 3C</w:t>
      </w:r>
    </w:p>
    <w:p w14:paraId="210D174C" w14:textId="26D6F2E0" w:rsidR="004D15D3" w:rsidRPr="00432323" w:rsidRDefault="004D15D3" w:rsidP="004D15D3">
      <w:pPr>
        <w:pStyle w:val="Heading4"/>
        <w:keepNext w:val="0"/>
        <w:rPr>
          <w:rFonts w:ascii="Arial" w:hAnsi="Arial" w:cs="Arial"/>
          <w:b w:val="0"/>
          <w:lang w:eastAsia="en-AU"/>
        </w:rPr>
      </w:pPr>
      <w:r w:rsidRPr="00432323">
        <w:rPr>
          <w:rFonts w:ascii="Arial" w:hAnsi="Arial" w:cs="Arial"/>
          <w:b w:val="0"/>
          <w:lang w:eastAsia="en-AU"/>
        </w:rPr>
        <w:t>This c</w:t>
      </w:r>
      <w:r w:rsidR="00982BB6" w:rsidRPr="00432323">
        <w:rPr>
          <w:rFonts w:ascii="Arial" w:hAnsi="Arial" w:cs="Arial"/>
          <w:b w:val="0"/>
          <w:lang w:eastAsia="en-AU"/>
        </w:rPr>
        <w:t>lause inserts the conditions under which, under section 131ACA(1)(b)(i), the administering authority’s power to cancel an infringement notice management plan is enlivened</w:t>
      </w:r>
      <w:r w:rsidRPr="00432323">
        <w:rPr>
          <w:rFonts w:ascii="Arial" w:hAnsi="Arial" w:cs="Arial"/>
          <w:b w:val="0"/>
          <w:lang w:eastAsia="en-AU"/>
        </w:rPr>
        <w:t xml:space="preserve"> (section 3B) and the matters that need to be considered by the administering authority when deciding to cancel an infringement notice management plan (section 3C)</w:t>
      </w:r>
      <w:r w:rsidR="00982BB6" w:rsidRPr="00432323">
        <w:rPr>
          <w:rFonts w:ascii="Arial" w:hAnsi="Arial" w:cs="Arial"/>
          <w:b w:val="0"/>
          <w:lang w:eastAsia="en-AU"/>
        </w:rPr>
        <w:t>.</w:t>
      </w:r>
    </w:p>
    <w:p w14:paraId="1E817E8A" w14:textId="03EAF12C" w:rsidR="007532C4" w:rsidRPr="00432323" w:rsidRDefault="007532C4" w:rsidP="007532C4">
      <w:pPr>
        <w:pStyle w:val="Heading1"/>
        <w:rPr>
          <w:rFonts w:ascii="Arial" w:hAnsi="Arial" w:cs="Arial"/>
          <w:sz w:val="24"/>
          <w:szCs w:val="24"/>
          <w:lang w:eastAsia="en-AU"/>
        </w:rPr>
      </w:pPr>
      <w:bookmarkStart w:id="29" w:name="_Toc146871491"/>
      <w:r w:rsidRPr="00432323">
        <w:rPr>
          <w:rFonts w:ascii="Arial" w:hAnsi="Arial" w:cs="Arial"/>
          <w:sz w:val="24"/>
          <w:szCs w:val="24"/>
          <w:lang w:eastAsia="en-AU"/>
        </w:rPr>
        <w:t xml:space="preserve">Part </w:t>
      </w:r>
      <w:r w:rsidRPr="00432323">
        <w:rPr>
          <w:rFonts w:ascii="Arial" w:hAnsi="Arial" w:cs="Arial"/>
          <w:sz w:val="24"/>
          <w:szCs w:val="24"/>
          <w:lang w:eastAsia="en-AU"/>
        </w:rPr>
        <w:fldChar w:fldCharType="begin"/>
      </w:r>
      <w:r w:rsidRPr="00432323">
        <w:rPr>
          <w:rFonts w:ascii="Arial" w:hAnsi="Arial" w:cs="Arial"/>
          <w:sz w:val="24"/>
          <w:szCs w:val="24"/>
          <w:lang w:eastAsia="en-AU"/>
        </w:rPr>
        <w:instrText xml:space="preserve"> SEQ Part \* ARABIC </w:instrText>
      </w:r>
      <w:r w:rsidRPr="00432323">
        <w:rPr>
          <w:rFonts w:ascii="Arial" w:hAnsi="Arial" w:cs="Arial"/>
          <w:sz w:val="24"/>
          <w:szCs w:val="24"/>
          <w:lang w:eastAsia="en-AU"/>
        </w:rPr>
        <w:fldChar w:fldCharType="separate"/>
      </w:r>
      <w:r w:rsidR="008A28B9" w:rsidRPr="00432323">
        <w:rPr>
          <w:rFonts w:ascii="Arial" w:hAnsi="Arial" w:cs="Arial"/>
          <w:noProof/>
          <w:sz w:val="24"/>
          <w:szCs w:val="24"/>
          <w:lang w:eastAsia="en-AU"/>
        </w:rPr>
        <w:t>11</w:t>
      </w:r>
      <w:r w:rsidRPr="00432323">
        <w:rPr>
          <w:rFonts w:ascii="Arial" w:hAnsi="Arial" w:cs="Arial"/>
          <w:sz w:val="24"/>
          <w:szCs w:val="24"/>
          <w:lang w:eastAsia="en-AU"/>
        </w:rPr>
        <w:fldChar w:fldCharType="end"/>
      </w:r>
      <w:r w:rsidRPr="00432323">
        <w:rPr>
          <w:rFonts w:ascii="Arial" w:hAnsi="Arial" w:cs="Arial"/>
          <w:sz w:val="24"/>
          <w:szCs w:val="24"/>
          <w:lang w:eastAsia="en-AU"/>
        </w:rPr>
        <w:t xml:space="preserve"> – </w:t>
      </w:r>
      <w:r w:rsidR="008A28B9" w:rsidRPr="00432323">
        <w:rPr>
          <w:rFonts w:ascii="Arial" w:hAnsi="Arial" w:cs="Arial"/>
          <w:sz w:val="24"/>
          <w:szCs w:val="24"/>
          <w:lang w:eastAsia="en-AU"/>
        </w:rPr>
        <w:t>Victims of Crime Act 1994</w:t>
      </w:r>
      <w:bookmarkEnd w:id="29"/>
    </w:p>
    <w:p w14:paraId="68E030E6" w14:textId="47C059C7" w:rsidR="007532C4" w:rsidRPr="00432323" w:rsidRDefault="007532C4" w:rsidP="007532C4">
      <w:pPr>
        <w:pStyle w:val="Heading4"/>
        <w:keepNext w:val="0"/>
        <w:rPr>
          <w:rFonts w:ascii="Arial" w:hAnsi="Arial" w:cs="Arial"/>
          <w:lang w:eastAsia="en-AU"/>
        </w:rPr>
      </w:pPr>
      <w:r w:rsidRPr="00432323">
        <w:rPr>
          <w:rFonts w:ascii="Arial" w:hAnsi="Arial" w:cs="Arial"/>
        </w:rPr>
        <w:t xml:space="preserve">Clause </w:t>
      </w:r>
      <w:r w:rsidRPr="00432323">
        <w:rPr>
          <w:rFonts w:ascii="Arial" w:hAnsi="Arial" w:cs="Arial"/>
        </w:rPr>
        <w:fldChar w:fldCharType="begin"/>
      </w:r>
      <w:r w:rsidRPr="00432323">
        <w:rPr>
          <w:rFonts w:ascii="Arial" w:hAnsi="Arial" w:cs="Arial"/>
        </w:rPr>
        <w:instrText xml:space="preserve"> SEQ Clause \* ARABIC </w:instrText>
      </w:r>
      <w:r w:rsidRPr="00432323">
        <w:rPr>
          <w:rFonts w:ascii="Arial" w:hAnsi="Arial" w:cs="Arial"/>
        </w:rPr>
        <w:fldChar w:fldCharType="separate"/>
      </w:r>
      <w:r w:rsidR="008A28B9" w:rsidRPr="00432323">
        <w:rPr>
          <w:rFonts w:ascii="Arial" w:hAnsi="Arial" w:cs="Arial"/>
          <w:noProof/>
        </w:rPr>
        <w:t>25</w:t>
      </w:r>
      <w:r w:rsidRPr="00432323">
        <w:rPr>
          <w:rFonts w:ascii="Arial" w:hAnsi="Arial" w:cs="Arial"/>
        </w:rPr>
        <w:fldChar w:fldCharType="end"/>
      </w:r>
      <w:r w:rsidRPr="00432323">
        <w:rPr>
          <w:rFonts w:ascii="Arial" w:hAnsi="Arial" w:cs="Arial"/>
          <w:bCs/>
          <w:lang w:eastAsia="en-AU"/>
        </w:rPr>
        <w:t xml:space="preserve"> </w:t>
      </w:r>
      <w:r w:rsidRPr="00432323">
        <w:rPr>
          <w:rFonts w:ascii="Arial" w:hAnsi="Arial" w:cs="Arial"/>
          <w:lang w:eastAsia="en-AU"/>
        </w:rPr>
        <w:t xml:space="preserve">– </w:t>
      </w:r>
      <w:r w:rsidR="008A28B9" w:rsidRPr="00432323">
        <w:rPr>
          <w:rFonts w:ascii="Arial" w:hAnsi="Arial" w:cs="Arial"/>
          <w:lang w:eastAsia="en-AU"/>
        </w:rPr>
        <w:t>Membership of board – Section 22C (c)</w:t>
      </w:r>
    </w:p>
    <w:p w14:paraId="3AB4EE7C" w14:textId="56293E7A" w:rsidR="007542BB" w:rsidRPr="002F2E08" w:rsidRDefault="007542BB" w:rsidP="007542BB">
      <w:pPr>
        <w:tabs>
          <w:tab w:val="left" w:pos="425"/>
        </w:tabs>
        <w:spacing w:before="240" w:after="0"/>
        <w:rPr>
          <w:rFonts w:ascii="Arial" w:hAnsi="Arial" w:cs="Arial"/>
          <w:i/>
          <w:iCs/>
        </w:rPr>
      </w:pPr>
      <w:r w:rsidRPr="00432323">
        <w:rPr>
          <w:rFonts w:ascii="Arial" w:hAnsi="Arial" w:cs="Arial"/>
        </w:rPr>
        <w:t>This clause recognise</w:t>
      </w:r>
      <w:r w:rsidR="004B242D" w:rsidRPr="00432323">
        <w:rPr>
          <w:rFonts w:ascii="Arial" w:hAnsi="Arial" w:cs="Arial"/>
        </w:rPr>
        <w:t>s</w:t>
      </w:r>
      <w:r w:rsidRPr="00432323">
        <w:rPr>
          <w:rFonts w:ascii="Arial" w:hAnsi="Arial" w:cs="Arial"/>
        </w:rPr>
        <w:t xml:space="preserve"> the new title of the Domestic, Family and Sexual Violence Coordinator-General.</w:t>
      </w:r>
    </w:p>
    <w:p w14:paraId="7BC0CD4E" w14:textId="09E1E904" w:rsidR="007532C4" w:rsidRPr="00050F68" w:rsidRDefault="007532C4" w:rsidP="007532C4">
      <w:pPr>
        <w:pStyle w:val="Heading4"/>
        <w:keepNext w:val="0"/>
        <w:rPr>
          <w:rFonts w:ascii="Arial" w:hAnsi="Arial" w:cs="Arial"/>
          <w:b w:val="0"/>
          <w:lang w:eastAsia="en-AU"/>
        </w:rPr>
      </w:pPr>
    </w:p>
    <w:p w14:paraId="5FB73E29" w14:textId="77777777" w:rsidR="007532C4" w:rsidRPr="007532C4" w:rsidRDefault="007532C4" w:rsidP="007532C4">
      <w:pPr>
        <w:rPr>
          <w:lang w:eastAsia="en-AU"/>
        </w:rPr>
      </w:pPr>
    </w:p>
    <w:sectPr w:rsidR="007532C4" w:rsidRPr="007532C4"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C62D35" w14:textId="77777777" w:rsidR="00CD5E79" w:rsidRDefault="00CD5E79" w:rsidP="00EB113E">
      <w:pPr>
        <w:spacing w:after="0" w:line="240" w:lineRule="auto"/>
      </w:pPr>
      <w:r>
        <w:separator/>
      </w:r>
    </w:p>
  </w:endnote>
  <w:endnote w:type="continuationSeparator" w:id="0">
    <w:p w14:paraId="47611E0F" w14:textId="77777777" w:rsidR="00CD5E79" w:rsidRDefault="00CD5E79"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6DA29" w14:textId="77777777" w:rsidR="00C20E91" w:rsidRDefault="00C20E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546D8" w14:textId="21699787" w:rsidR="00E03057" w:rsidRPr="00C31AB2" w:rsidRDefault="00E03057" w:rsidP="00C31AB2">
    <w:pPr>
      <w:pStyle w:val="Header"/>
      <w:jc w:val="center"/>
      <w:rPr>
        <w:rFonts w:ascii="Arial" w:hAnsi="Arial" w:cs="Arial"/>
        <w:b/>
        <w:color w:val="FF0000"/>
      </w:rPr>
    </w:pPr>
    <w:r>
      <w:rPr>
        <w:rFonts w:ascii="Arial" w:hAnsi="Arial" w:cs="Arial"/>
        <w:b/>
        <w:color w:val="FF0000"/>
      </w:rPr>
      <w:t>CABINET</w:t>
    </w:r>
  </w:p>
  <w:p w14:paraId="233B9F1E" w14:textId="75F6E5F3" w:rsidR="00E03057" w:rsidRPr="008A59E9" w:rsidRDefault="008A59E9" w:rsidP="008A59E9">
    <w:pPr>
      <w:pStyle w:val="Header"/>
      <w:jc w:val="center"/>
      <w:rPr>
        <w:rFonts w:ascii="Arial" w:hAnsi="Arial" w:cs="Arial"/>
        <w:b/>
        <w:color w:val="FF0000"/>
        <w:sz w:val="14"/>
      </w:rPr>
    </w:pPr>
    <w:r w:rsidRPr="008A59E9">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47A3F" w14:textId="461C0739" w:rsidR="008A59E9" w:rsidRPr="00C20E91" w:rsidRDefault="00C20E91" w:rsidP="00C20E91">
    <w:pPr>
      <w:pStyle w:val="Footer"/>
      <w:jc w:val="center"/>
      <w:rPr>
        <w:rFonts w:ascii="Arial" w:hAnsi="Arial" w:cs="Arial"/>
        <w:sz w:val="14"/>
      </w:rPr>
    </w:pPr>
    <w:r w:rsidRPr="00C20E9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D785" w14:textId="77777777" w:rsidR="00E03057" w:rsidRPr="00050F68" w:rsidRDefault="00E03057" w:rsidP="00703574">
    <w:pPr>
      <w:pStyle w:val="Footer"/>
      <w:spacing w:before="80"/>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00706447" w:rsidRPr="00050F68">
      <w:rPr>
        <w:rFonts w:ascii="Arial" w:hAnsi="Arial" w:cs="Arial"/>
        <w:noProof/>
      </w:rPr>
      <w:t>10</w:t>
    </w:r>
    <w:r w:rsidRPr="00050F68">
      <w:rPr>
        <w:rFonts w:ascii="Arial" w:hAnsi="Arial" w:cs="Arial"/>
        <w:noProof/>
      </w:rPr>
      <w:fldChar w:fldCharType="end"/>
    </w:r>
  </w:p>
  <w:p w14:paraId="5235C39C" w14:textId="15D4750F" w:rsidR="00E03057" w:rsidRPr="00C20E91" w:rsidRDefault="00C20E91" w:rsidP="00C20E91">
    <w:pPr>
      <w:pStyle w:val="Header"/>
      <w:jc w:val="center"/>
      <w:rPr>
        <w:rFonts w:ascii="Arial" w:hAnsi="Arial" w:cs="Arial"/>
        <w:bCs/>
        <w:sz w:val="14"/>
      </w:rPr>
    </w:pPr>
    <w:r w:rsidRPr="00C20E91">
      <w:rPr>
        <w:rFonts w:ascii="Arial" w:hAnsi="Arial" w:cs="Arial"/>
        <w:bCs/>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44B50" w14:textId="77777777" w:rsidR="00E03057" w:rsidRPr="00050F68" w:rsidRDefault="00E03057">
    <w:pPr>
      <w:pStyle w:val="Footer"/>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00706447" w:rsidRPr="00050F68">
      <w:rPr>
        <w:rFonts w:ascii="Arial" w:hAnsi="Arial" w:cs="Arial"/>
        <w:noProof/>
      </w:rPr>
      <w:t>1</w:t>
    </w:r>
    <w:r w:rsidRPr="00050F68">
      <w:rPr>
        <w:rFonts w:ascii="Arial" w:hAnsi="Arial" w:cs="Arial"/>
        <w:noProof/>
      </w:rPr>
      <w:fldChar w:fldCharType="end"/>
    </w:r>
  </w:p>
  <w:p w14:paraId="382A0604" w14:textId="3C4DF59E" w:rsidR="00E03057" w:rsidRPr="00C20E91" w:rsidRDefault="00C20E91" w:rsidP="00C20E91">
    <w:pPr>
      <w:pStyle w:val="Header"/>
      <w:jc w:val="center"/>
      <w:rPr>
        <w:rFonts w:ascii="Arial" w:hAnsi="Arial" w:cs="Arial"/>
        <w:bCs/>
        <w:sz w:val="14"/>
      </w:rPr>
    </w:pPr>
    <w:r w:rsidRPr="00C20E91">
      <w:rPr>
        <w:rFonts w:ascii="Arial" w:hAnsi="Arial" w:cs="Arial"/>
        <w:bCs/>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150A5E" w14:textId="77777777" w:rsidR="00CD5E79" w:rsidRDefault="00CD5E79" w:rsidP="00EB113E">
      <w:pPr>
        <w:spacing w:after="0" w:line="240" w:lineRule="auto"/>
      </w:pPr>
      <w:r>
        <w:separator/>
      </w:r>
    </w:p>
  </w:footnote>
  <w:footnote w:type="continuationSeparator" w:id="0">
    <w:p w14:paraId="0C23F03B" w14:textId="77777777" w:rsidR="00CD5E79" w:rsidRDefault="00CD5E79" w:rsidP="00EB1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3A1E9" w14:textId="77777777" w:rsidR="00C20E91" w:rsidRDefault="00C20E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2CAC3" w14:textId="77777777" w:rsidR="00C20E91" w:rsidRDefault="00C20E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41FAE" w14:textId="77777777" w:rsidR="00E03057" w:rsidRPr="00703574" w:rsidRDefault="00E03057" w:rsidP="00EE32FF">
    <w:pPr>
      <w:pStyle w:val="Header"/>
      <w:jc w:val="center"/>
      <w:rPr>
        <w:rFonts w:ascii="Arial" w:hAnsi="Arial" w:cs="Arial"/>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387AF0"/>
    <w:multiLevelType w:val="hybridMultilevel"/>
    <w:tmpl w:val="16564C52"/>
    <w:lvl w:ilvl="0" w:tplc="B01CBF92">
      <w:start w:val="1"/>
      <w:numFmt w:val="lowerLetter"/>
      <w:pStyle w:val="Recommendation2"/>
      <w:lvlText w:val="%1."/>
      <w:lvlJc w:val="left"/>
      <w:pPr>
        <w:ind w:left="1145" w:hanging="360"/>
      </w:pPr>
      <w:rPr>
        <w:i w:val="0"/>
        <w:iCs w:val="0"/>
      </w:rPr>
    </w:lvl>
    <w:lvl w:ilvl="1" w:tplc="0C090019">
      <w:start w:val="1"/>
      <w:numFmt w:val="lowerLetter"/>
      <w:lvlText w:val="%2."/>
      <w:lvlJc w:val="left"/>
      <w:pPr>
        <w:ind w:left="1865" w:hanging="360"/>
      </w:pPr>
    </w:lvl>
    <w:lvl w:ilvl="2" w:tplc="0C09001B">
      <w:start w:val="1"/>
      <w:numFmt w:val="lowerRoman"/>
      <w:lvlText w:val="%3."/>
      <w:lvlJc w:val="right"/>
      <w:pPr>
        <w:ind w:left="1172" w:hanging="180"/>
      </w:pPr>
    </w:lvl>
    <w:lvl w:ilvl="3" w:tplc="0C09000F">
      <w:start w:val="1"/>
      <w:numFmt w:val="decimal"/>
      <w:lvlText w:val="%4."/>
      <w:lvlJc w:val="left"/>
      <w:pPr>
        <w:ind w:left="3305" w:hanging="360"/>
      </w:pPr>
    </w:lvl>
    <w:lvl w:ilvl="4" w:tplc="0C090019" w:tentative="1">
      <w:start w:val="1"/>
      <w:numFmt w:val="lowerLetter"/>
      <w:lvlText w:val="%5."/>
      <w:lvlJc w:val="left"/>
      <w:pPr>
        <w:ind w:left="4025" w:hanging="360"/>
      </w:pPr>
    </w:lvl>
    <w:lvl w:ilvl="5" w:tplc="0C09001B" w:tentative="1">
      <w:start w:val="1"/>
      <w:numFmt w:val="lowerRoman"/>
      <w:lvlText w:val="%6."/>
      <w:lvlJc w:val="right"/>
      <w:pPr>
        <w:ind w:left="4745" w:hanging="180"/>
      </w:pPr>
    </w:lvl>
    <w:lvl w:ilvl="6" w:tplc="0C09000F" w:tentative="1">
      <w:start w:val="1"/>
      <w:numFmt w:val="decimal"/>
      <w:lvlText w:val="%7."/>
      <w:lvlJc w:val="left"/>
      <w:pPr>
        <w:ind w:left="5465" w:hanging="360"/>
      </w:pPr>
    </w:lvl>
    <w:lvl w:ilvl="7" w:tplc="0C090019" w:tentative="1">
      <w:start w:val="1"/>
      <w:numFmt w:val="lowerLetter"/>
      <w:lvlText w:val="%8."/>
      <w:lvlJc w:val="left"/>
      <w:pPr>
        <w:ind w:left="6185" w:hanging="360"/>
      </w:pPr>
    </w:lvl>
    <w:lvl w:ilvl="8" w:tplc="0C09001B" w:tentative="1">
      <w:start w:val="1"/>
      <w:numFmt w:val="lowerRoman"/>
      <w:lvlText w:val="%9."/>
      <w:lvlJc w:val="right"/>
      <w:pPr>
        <w:ind w:left="6905" w:hanging="180"/>
      </w:pPr>
    </w:lvl>
  </w:abstractNum>
  <w:abstractNum w:abstractNumId="3" w15:restartNumberingAfterBreak="0">
    <w:nsid w:val="07B55F74"/>
    <w:multiLevelType w:val="hybridMultilevel"/>
    <w:tmpl w:val="1136961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8B658D5"/>
    <w:multiLevelType w:val="hybridMultilevel"/>
    <w:tmpl w:val="78FA97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C026BAF"/>
    <w:multiLevelType w:val="hybridMultilevel"/>
    <w:tmpl w:val="9FF2953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CC27C95"/>
    <w:multiLevelType w:val="hybridMultilevel"/>
    <w:tmpl w:val="9FF2953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6252DF"/>
    <w:multiLevelType w:val="multilevel"/>
    <w:tmpl w:val="E41A5AF4"/>
    <w:lvl w:ilvl="0">
      <w:start w:val="1"/>
      <w:numFmt w:val="bullet"/>
      <w:lvlText w:val=""/>
      <w:lvlJc w:val="left"/>
      <w:pPr>
        <w:tabs>
          <w:tab w:val="num" w:pos="300"/>
        </w:tabs>
        <w:ind w:left="300" w:hanging="360"/>
      </w:pPr>
      <w:rPr>
        <w:rFonts w:ascii="Symbol" w:hAnsi="Symbol" w:hint="default"/>
        <w:sz w:val="20"/>
      </w:rPr>
    </w:lvl>
    <w:lvl w:ilvl="1" w:tentative="1">
      <w:start w:val="1"/>
      <w:numFmt w:val="bullet"/>
      <w:lvlText w:val=""/>
      <w:lvlJc w:val="left"/>
      <w:pPr>
        <w:tabs>
          <w:tab w:val="num" w:pos="1020"/>
        </w:tabs>
        <w:ind w:left="1020" w:hanging="360"/>
      </w:pPr>
      <w:rPr>
        <w:rFonts w:ascii="Symbol" w:hAnsi="Symbol" w:hint="default"/>
        <w:sz w:val="20"/>
      </w:rPr>
    </w:lvl>
    <w:lvl w:ilvl="2" w:tentative="1">
      <w:start w:val="1"/>
      <w:numFmt w:val="bullet"/>
      <w:lvlText w:val=""/>
      <w:lvlJc w:val="left"/>
      <w:pPr>
        <w:tabs>
          <w:tab w:val="num" w:pos="1740"/>
        </w:tabs>
        <w:ind w:left="1740" w:hanging="360"/>
      </w:pPr>
      <w:rPr>
        <w:rFonts w:ascii="Symbol" w:hAnsi="Symbol" w:hint="default"/>
        <w:sz w:val="20"/>
      </w:rPr>
    </w:lvl>
    <w:lvl w:ilvl="3" w:tentative="1">
      <w:start w:val="1"/>
      <w:numFmt w:val="bullet"/>
      <w:lvlText w:val=""/>
      <w:lvlJc w:val="left"/>
      <w:pPr>
        <w:tabs>
          <w:tab w:val="num" w:pos="2460"/>
        </w:tabs>
        <w:ind w:left="2460" w:hanging="360"/>
      </w:pPr>
      <w:rPr>
        <w:rFonts w:ascii="Symbol" w:hAnsi="Symbol" w:hint="default"/>
        <w:sz w:val="20"/>
      </w:rPr>
    </w:lvl>
    <w:lvl w:ilvl="4" w:tentative="1">
      <w:start w:val="1"/>
      <w:numFmt w:val="bullet"/>
      <w:lvlText w:val=""/>
      <w:lvlJc w:val="left"/>
      <w:pPr>
        <w:tabs>
          <w:tab w:val="num" w:pos="3180"/>
        </w:tabs>
        <w:ind w:left="3180" w:hanging="360"/>
      </w:pPr>
      <w:rPr>
        <w:rFonts w:ascii="Symbol" w:hAnsi="Symbol" w:hint="default"/>
        <w:sz w:val="20"/>
      </w:rPr>
    </w:lvl>
    <w:lvl w:ilvl="5" w:tentative="1">
      <w:start w:val="1"/>
      <w:numFmt w:val="bullet"/>
      <w:lvlText w:val=""/>
      <w:lvlJc w:val="left"/>
      <w:pPr>
        <w:tabs>
          <w:tab w:val="num" w:pos="3900"/>
        </w:tabs>
        <w:ind w:left="3900" w:hanging="360"/>
      </w:pPr>
      <w:rPr>
        <w:rFonts w:ascii="Symbol" w:hAnsi="Symbol" w:hint="default"/>
        <w:sz w:val="20"/>
      </w:rPr>
    </w:lvl>
    <w:lvl w:ilvl="6" w:tentative="1">
      <w:start w:val="1"/>
      <w:numFmt w:val="bullet"/>
      <w:lvlText w:val=""/>
      <w:lvlJc w:val="left"/>
      <w:pPr>
        <w:tabs>
          <w:tab w:val="num" w:pos="4620"/>
        </w:tabs>
        <w:ind w:left="4620" w:hanging="360"/>
      </w:pPr>
      <w:rPr>
        <w:rFonts w:ascii="Symbol" w:hAnsi="Symbol" w:hint="default"/>
        <w:sz w:val="20"/>
      </w:rPr>
    </w:lvl>
    <w:lvl w:ilvl="7" w:tentative="1">
      <w:start w:val="1"/>
      <w:numFmt w:val="bullet"/>
      <w:lvlText w:val=""/>
      <w:lvlJc w:val="left"/>
      <w:pPr>
        <w:tabs>
          <w:tab w:val="num" w:pos="5340"/>
        </w:tabs>
        <w:ind w:left="5340" w:hanging="360"/>
      </w:pPr>
      <w:rPr>
        <w:rFonts w:ascii="Symbol" w:hAnsi="Symbol" w:hint="default"/>
        <w:sz w:val="20"/>
      </w:rPr>
    </w:lvl>
    <w:lvl w:ilvl="8" w:tentative="1">
      <w:start w:val="1"/>
      <w:numFmt w:val="bullet"/>
      <w:lvlText w:val=""/>
      <w:lvlJc w:val="left"/>
      <w:pPr>
        <w:tabs>
          <w:tab w:val="num" w:pos="6060"/>
        </w:tabs>
        <w:ind w:left="6060" w:hanging="360"/>
      </w:pPr>
      <w:rPr>
        <w:rFonts w:ascii="Symbol" w:hAnsi="Symbol" w:hint="default"/>
        <w:sz w:val="20"/>
      </w:rPr>
    </w:lvl>
  </w:abstractNum>
  <w:abstractNum w:abstractNumId="12"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76E73B8"/>
    <w:multiLevelType w:val="multilevel"/>
    <w:tmpl w:val="6B807F66"/>
    <w:lvl w:ilvl="0">
      <w:start w:val="1"/>
      <w:numFmt w:val="bullet"/>
      <w:lvlText w:val=""/>
      <w:lvlJc w:val="left"/>
      <w:pPr>
        <w:tabs>
          <w:tab w:val="num" w:pos="300"/>
        </w:tabs>
        <w:ind w:left="300" w:hanging="360"/>
      </w:pPr>
      <w:rPr>
        <w:rFonts w:ascii="Symbol" w:hAnsi="Symbol" w:hint="default"/>
        <w:sz w:val="20"/>
      </w:rPr>
    </w:lvl>
    <w:lvl w:ilvl="1" w:tentative="1">
      <w:start w:val="1"/>
      <w:numFmt w:val="bullet"/>
      <w:lvlText w:val=""/>
      <w:lvlJc w:val="left"/>
      <w:pPr>
        <w:tabs>
          <w:tab w:val="num" w:pos="1020"/>
        </w:tabs>
        <w:ind w:left="1020" w:hanging="360"/>
      </w:pPr>
      <w:rPr>
        <w:rFonts w:ascii="Symbol" w:hAnsi="Symbol" w:hint="default"/>
        <w:sz w:val="20"/>
      </w:rPr>
    </w:lvl>
    <w:lvl w:ilvl="2" w:tentative="1">
      <w:start w:val="1"/>
      <w:numFmt w:val="bullet"/>
      <w:lvlText w:val=""/>
      <w:lvlJc w:val="left"/>
      <w:pPr>
        <w:tabs>
          <w:tab w:val="num" w:pos="1740"/>
        </w:tabs>
        <w:ind w:left="1740" w:hanging="360"/>
      </w:pPr>
      <w:rPr>
        <w:rFonts w:ascii="Symbol" w:hAnsi="Symbol" w:hint="default"/>
        <w:sz w:val="20"/>
      </w:rPr>
    </w:lvl>
    <w:lvl w:ilvl="3" w:tentative="1">
      <w:start w:val="1"/>
      <w:numFmt w:val="bullet"/>
      <w:lvlText w:val=""/>
      <w:lvlJc w:val="left"/>
      <w:pPr>
        <w:tabs>
          <w:tab w:val="num" w:pos="2460"/>
        </w:tabs>
        <w:ind w:left="2460" w:hanging="360"/>
      </w:pPr>
      <w:rPr>
        <w:rFonts w:ascii="Symbol" w:hAnsi="Symbol" w:hint="default"/>
        <w:sz w:val="20"/>
      </w:rPr>
    </w:lvl>
    <w:lvl w:ilvl="4" w:tentative="1">
      <w:start w:val="1"/>
      <w:numFmt w:val="bullet"/>
      <w:lvlText w:val=""/>
      <w:lvlJc w:val="left"/>
      <w:pPr>
        <w:tabs>
          <w:tab w:val="num" w:pos="3180"/>
        </w:tabs>
        <w:ind w:left="3180" w:hanging="360"/>
      </w:pPr>
      <w:rPr>
        <w:rFonts w:ascii="Symbol" w:hAnsi="Symbol" w:hint="default"/>
        <w:sz w:val="20"/>
      </w:rPr>
    </w:lvl>
    <w:lvl w:ilvl="5" w:tentative="1">
      <w:start w:val="1"/>
      <w:numFmt w:val="bullet"/>
      <w:lvlText w:val=""/>
      <w:lvlJc w:val="left"/>
      <w:pPr>
        <w:tabs>
          <w:tab w:val="num" w:pos="3900"/>
        </w:tabs>
        <w:ind w:left="3900" w:hanging="360"/>
      </w:pPr>
      <w:rPr>
        <w:rFonts w:ascii="Symbol" w:hAnsi="Symbol" w:hint="default"/>
        <w:sz w:val="20"/>
      </w:rPr>
    </w:lvl>
    <w:lvl w:ilvl="6" w:tentative="1">
      <w:start w:val="1"/>
      <w:numFmt w:val="bullet"/>
      <w:lvlText w:val=""/>
      <w:lvlJc w:val="left"/>
      <w:pPr>
        <w:tabs>
          <w:tab w:val="num" w:pos="4620"/>
        </w:tabs>
        <w:ind w:left="4620" w:hanging="360"/>
      </w:pPr>
      <w:rPr>
        <w:rFonts w:ascii="Symbol" w:hAnsi="Symbol" w:hint="default"/>
        <w:sz w:val="20"/>
      </w:rPr>
    </w:lvl>
    <w:lvl w:ilvl="7" w:tentative="1">
      <w:start w:val="1"/>
      <w:numFmt w:val="bullet"/>
      <w:lvlText w:val=""/>
      <w:lvlJc w:val="left"/>
      <w:pPr>
        <w:tabs>
          <w:tab w:val="num" w:pos="5340"/>
        </w:tabs>
        <w:ind w:left="5340" w:hanging="360"/>
      </w:pPr>
      <w:rPr>
        <w:rFonts w:ascii="Symbol" w:hAnsi="Symbol" w:hint="default"/>
        <w:sz w:val="20"/>
      </w:rPr>
    </w:lvl>
    <w:lvl w:ilvl="8" w:tentative="1">
      <w:start w:val="1"/>
      <w:numFmt w:val="bullet"/>
      <w:lvlText w:val=""/>
      <w:lvlJc w:val="left"/>
      <w:pPr>
        <w:tabs>
          <w:tab w:val="num" w:pos="6060"/>
        </w:tabs>
        <w:ind w:left="6060" w:hanging="360"/>
      </w:pPr>
      <w:rPr>
        <w:rFonts w:ascii="Symbol" w:hAnsi="Symbol" w:hint="default"/>
        <w:sz w:val="20"/>
      </w:rPr>
    </w:lvl>
  </w:abstractNum>
  <w:abstractNum w:abstractNumId="15" w15:restartNumberingAfterBreak="0">
    <w:nsid w:val="2CF865CB"/>
    <w:multiLevelType w:val="hybridMultilevel"/>
    <w:tmpl w:val="A6D85106"/>
    <w:lvl w:ilvl="0" w:tplc="CEB8288A">
      <w:start w:val="1"/>
      <w:numFmt w:val="lowerRoman"/>
      <w:pStyle w:val="Recommendation3"/>
      <w:lvlText w:val="%1."/>
      <w:lvlJc w:val="left"/>
      <w:pPr>
        <w:ind w:left="1571" w:hanging="360"/>
      </w:pPr>
      <w:rPr>
        <w:rFonts w:hint="default"/>
      </w:rPr>
    </w:lvl>
    <w:lvl w:ilvl="1" w:tplc="0C090019" w:tentative="1">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6"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9" w15:restartNumberingAfterBreak="0">
    <w:nsid w:val="3ABF03A0"/>
    <w:multiLevelType w:val="hybridMultilevel"/>
    <w:tmpl w:val="8A267D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BC653D5"/>
    <w:multiLevelType w:val="multilevel"/>
    <w:tmpl w:val="C8CCB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721010C"/>
    <w:multiLevelType w:val="hybridMultilevel"/>
    <w:tmpl w:val="9EBC1E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D587B38"/>
    <w:multiLevelType w:val="hybridMultilevel"/>
    <w:tmpl w:val="DA7420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57D528B"/>
    <w:multiLevelType w:val="hybridMultilevel"/>
    <w:tmpl w:val="AA368F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32"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CB11CE1"/>
    <w:multiLevelType w:val="hybridMultilevel"/>
    <w:tmpl w:val="2C16B4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E5F4F8D"/>
    <w:multiLevelType w:val="hybridMultilevel"/>
    <w:tmpl w:val="7AE8AFFE"/>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286ABF"/>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num w:numId="1" w16cid:durableId="1733232726">
    <w:abstractNumId w:val="18"/>
  </w:num>
  <w:num w:numId="2" w16cid:durableId="2045444472">
    <w:abstractNumId w:val="35"/>
  </w:num>
  <w:num w:numId="3" w16cid:durableId="2007592514">
    <w:abstractNumId w:val="5"/>
  </w:num>
  <w:num w:numId="4" w16cid:durableId="422537002">
    <w:abstractNumId w:val="24"/>
  </w:num>
  <w:num w:numId="5" w16cid:durableId="1116679361">
    <w:abstractNumId w:val="0"/>
  </w:num>
  <w:num w:numId="6" w16cid:durableId="1537889486">
    <w:abstractNumId w:val="36"/>
  </w:num>
  <w:num w:numId="7" w16cid:durableId="825367206">
    <w:abstractNumId w:val="10"/>
  </w:num>
  <w:num w:numId="8" w16cid:durableId="2135442962">
    <w:abstractNumId w:val="33"/>
  </w:num>
  <w:num w:numId="9" w16cid:durableId="1126046162">
    <w:abstractNumId w:val="34"/>
  </w:num>
  <w:num w:numId="10" w16cid:durableId="24915217">
    <w:abstractNumId w:val="26"/>
  </w:num>
  <w:num w:numId="11" w16cid:durableId="592982736">
    <w:abstractNumId w:val="1"/>
  </w:num>
  <w:num w:numId="12" w16cid:durableId="1882470895">
    <w:abstractNumId w:val="38"/>
  </w:num>
  <w:num w:numId="13" w16cid:durableId="2118058666">
    <w:abstractNumId w:val="7"/>
  </w:num>
  <w:num w:numId="14" w16cid:durableId="1543862710">
    <w:abstractNumId w:val="16"/>
  </w:num>
  <w:num w:numId="15" w16cid:durableId="322901783">
    <w:abstractNumId w:val="21"/>
  </w:num>
  <w:num w:numId="16" w16cid:durableId="695348744">
    <w:abstractNumId w:val="27"/>
  </w:num>
  <w:num w:numId="17" w16cid:durableId="662243760">
    <w:abstractNumId w:val="12"/>
  </w:num>
  <w:num w:numId="18" w16cid:durableId="1143810544">
    <w:abstractNumId w:val="32"/>
  </w:num>
  <w:num w:numId="19" w16cid:durableId="985669382">
    <w:abstractNumId w:val="31"/>
  </w:num>
  <w:num w:numId="20" w16cid:durableId="305084349">
    <w:abstractNumId w:val="29"/>
  </w:num>
  <w:num w:numId="21" w16cid:durableId="242181848">
    <w:abstractNumId w:val="23"/>
  </w:num>
  <w:num w:numId="22" w16cid:durableId="1818767001">
    <w:abstractNumId w:val="28"/>
  </w:num>
  <w:num w:numId="23" w16cid:durableId="1717461338">
    <w:abstractNumId w:val="8"/>
  </w:num>
  <w:num w:numId="24" w16cid:durableId="1751198478">
    <w:abstractNumId w:val="13"/>
  </w:num>
  <w:num w:numId="25" w16cid:durableId="2049715554">
    <w:abstractNumId w:val="15"/>
  </w:num>
  <w:num w:numId="26" w16cid:durableId="1397364800">
    <w:abstractNumId w:val="15"/>
    <w:lvlOverride w:ilvl="0">
      <w:startOverride w:val="1"/>
    </w:lvlOverride>
  </w:num>
  <w:num w:numId="27" w16cid:durableId="502480063">
    <w:abstractNumId w:val="2"/>
  </w:num>
  <w:num w:numId="28" w16cid:durableId="2092507101">
    <w:abstractNumId w:val="40"/>
  </w:num>
  <w:num w:numId="29" w16cid:durableId="505708347">
    <w:abstractNumId w:val="39"/>
  </w:num>
  <w:num w:numId="30" w16cid:durableId="1620140963">
    <w:abstractNumId w:val="19"/>
  </w:num>
  <w:num w:numId="31" w16cid:durableId="176239047">
    <w:abstractNumId w:val="25"/>
  </w:num>
  <w:num w:numId="32" w16cid:durableId="1548951920">
    <w:abstractNumId w:val="17"/>
  </w:num>
  <w:num w:numId="33" w16cid:durableId="217976427">
    <w:abstractNumId w:val="20"/>
  </w:num>
  <w:num w:numId="34" w16cid:durableId="732587159">
    <w:abstractNumId w:val="3"/>
  </w:num>
  <w:num w:numId="35" w16cid:durableId="1933388393">
    <w:abstractNumId w:val="14"/>
  </w:num>
  <w:num w:numId="36" w16cid:durableId="1584217814">
    <w:abstractNumId w:val="11"/>
  </w:num>
  <w:num w:numId="37" w16cid:durableId="6909724">
    <w:abstractNumId w:val="22"/>
  </w:num>
  <w:num w:numId="38" w16cid:durableId="1664048981">
    <w:abstractNumId w:val="4"/>
  </w:num>
  <w:num w:numId="39" w16cid:durableId="1778913808">
    <w:abstractNumId w:val="9"/>
  </w:num>
  <w:num w:numId="40" w16cid:durableId="221675370">
    <w:abstractNumId w:val="37"/>
  </w:num>
  <w:num w:numId="41" w16cid:durableId="1320816205">
    <w:abstractNumId w:val="30"/>
  </w:num>
  <w:num w:numId="42" w16cid:durableId="1776628705">
    <w:abstractNumId w:val="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5A3"/>
    <w:rsid w:val="000027D1"/>
    <w:rsid w:val="00003A60"/>
    <w:rsid w:val="00004C31"/>
    <w:rsid w:val="00004C8C"/>
    <w:rsid w:val="00006786"/>
    <w:rsid w:val="00006C49"/>
    <w:rsid w:val="000071C7"/>
    <w:rsid w:val="00007206"/>
    <w:rsid w:val="000101D9"/>
    <w:rsid w:val="000115BF"/>
    <w:rsid w:val="0001220B"/>
    <w:rsid w:val="0001228A"/>
    <w:rsid w:val="00012ABF"/>
    <w:rsid w:val="00012BB3"/>
    <w:rsid w:val="00012D1B"/>
    <w:rsid w:val="00014D20"/>
    <w:rsid w:val="00015C96"/>
    <w:rsid w:val="000169D0"/>
    <w:rsid w:val="00016D42"/>
    <w:rsid w:val="000173D9"/>
    <w:rsid w:val="00020890"/>
    <w:rsid w:val="00020FDB"/>
    <w:rsid w:val="000215C2"/>
    <w:rsid w:val="00022783"/>
    <w:rsid w:val="00023F7F"/>
    <w:rsid w:val="00024329"/>
    <w:rsid w:val="000263D1"/>
    <w:rsid w:val="00026A03"/>
    <w:rsid w:val="00031D9F"/>
    <w:rsid w:val="000348B1"/>
    <w:rsid w:val="00035C9E"/>
    <w:rsid w:val="00037F43"/>
    <w:rsid w:val="000402AF"/>
    <w:rsid w:val="000428AD"/>
    <w:rsid w:val="00042B0B"/>
    <w:rsid w:val="00043790"/>
    <w:rsid w:val="00043EC5"/>
    <w:rsid w:val="00044532"/>
    <w:rsid w:val="00044FFD"/>
    <w:rsid w:val="00045071"/>
    <w:rsid w:val="00046749"/>
    <w:rsid w:val="00046A4A"/>
    <w:rsid w:val="00046F4A"/>
    <w:rsid w:val="00047523"/>
    <w:rsid w:val="000475F2"/>
    <w:rsid w:val="00047E5D"/>
    <w:rsid w:val="00050155"/>
    <w:rsid w:val="00050F68"/>
    <w:rsid w:val="00052235"/>
    <w:rsid w:val="00052380"/>
    <w:rsid w:val="0005298F"/>
    <w:rsid w:val="00053623"/>
    <w:rsid w:val="00053D52"/>
    <w:rsid w:val="00054020"/>
    <w:rsid w:val="000545DF"/>
    <w:rsid w:val="000559E0"/>
    <w:rsid w:val="00055EB6"/>
    <w:rsid w:val="0005733C"/>
    <w:rsid w:val="00057859"/>
    <w:rsid w:val="00060993"/>
    <w:rsid w:val="00061410"/>
    <w:rsid w:val="000625C1"/>
    <w:rsid w:val="00063E3F"/>
    <w:rsid w:val="00064F55"/>
    <w:rsid w:val="00065917"/>
    <w:rsid w:val="00066348"/>
    <w:rsid w:val="000673A5"/>
    <w:rsid w:val="00070620"/>
    <w:rsid w:val="00070EC3"/>
    <w:rsid w:val="00072520"/>
    <w:rsid w:val="000748A0"/>
    <w:rsid w:val="000771C4"/>
    <w:rsid w:val="000773D4"/>
    <w:rsid w:val="00077560"/>
    <w:rsid w:val="000803BF"/>
    <w:rsid w:val="000819DA"/>
    <w:rsid w:val="0008299A"/>
    <w:rsid w:val="00085009"/>
    <w:rsid w:val="0008500D"/>
    <w:rsid w:val="00085977"/>
    <w:rsid w:val="00086CEF"/>
    <w:rsid w:val="000900EC"/>
    <w:rsid w:val="00090B56"/>
    <w:rsid w:val="00091792"/>
    <w:rsid w:val="00091ADA"/>
    <w:rsid w:val="00092EE3"/>
    <w:rsid w:val="0009319D"/>
    <w:rsid w:val="00093829"/>
    <w:rsid w:val="00093EE9"/>
    <w:rsid w:val="000974D5"/>
    <w:rsid w:val="000A29DE"/>
    <w:rsid w:val="000A2E19"/>
    <w:rsid w:val="000A41D2"/>
    <w:rsid w:val="000A5481"/>
    <w:rsid w:val="000A54FD"/>
    <w:rsid w:val="000A5922"/>
    <w:rsid w:val="000B086A"/>
    <w:rsid w:val="000B0E83"/>
    <w:rsid w:val="000B119B"/>
    <w:rsid w:val="000B30D8"/>
    <w:rsid w:val="000B4650"/>
    <w:rsid w:val="000B4844"/>
    <w:rsid w:val="000B5559"/>
    <w:rsid w:val="000B68D6"/>
    <w:rsid w:val="000B799B"/>
    <w:rsid w:val="000C08B4"/>
    <w:rsid w:val="000C4A95"/>
    <w:rsid w:val="000C52D8"/>
    <w:rsid w:val="000C53BD"/>
    <w:rsid w:val="000C5792"/>
    <w:rsid w:val="000C6B65"/>
    <w:rsid w:val="000C6CDD"/>
    <w:rsid w:val="000C6E4A"/>
    <w:rsid w:val="000C7327"/>
    <w:rsid w:val="000C757E"/>
    <w:rsid w:val="000D00D3"/>
    <w:rsid w:val="000D08EB"/>
    <w:rsid w:val="000D0DF0"/>
    <w:rsid w:val="000D1672"/>
    <w:rsid w:val="000D182D"/>
    <w:rsid w:val="000D3492"/>
    <w:rsid w:val="000D49AD"/>
    <w:rsid w:val="000D4E86"/>
    <w:rsid w:val="000E093A"/>
    <w:rsid w:val="000E0D63"/>
    <w:rsid w:val="000E122F"/>
    <w:rsid w:val="000E12ED"/>
    <w:rsid w:val="000E1760"/>
    <w:rsid w:val="000E3C9D"/>
    <w:rsid w:val="000E442A"/>
    <w:rsid w:val="000E4C04"/>
    <w:rsid w:val="000E6C5B"/>
    <w:rsid w:val="000E6DAB"/>
    <w:rsid w:val="000E7048"/>
    <w:rsid w:val="000E7B1E"/>
    <w:rsid w:val="000E7BBF"/>
    <w:rsid w:val="000F114D"/>
    <w:rsid w:val="000F309C"/>
    <w:rsid w:val="000F4CA8"/>
    <w:rsid w:val="000F58CA"/>
    <w:rsid w:val="000F6CC6"/>
    <w:rsid w:val="001013C2"/>
    <w:rsid w:val="001016C9"/>
    <w:rsid w:val="00102162"/>
    <w:rsid w:val="00103843"/>
    <w:rsid w:val="00103DA7"/>
    <w:rsid w:val="00104C39"/>
    <w:rsid w:val="0010523A"/>
    <w:rsid w:val="001079CC"/>
    <w:rsid w:val="001113A7"/>
    <w:rsid w:val="0011299B"/>
    <w:rsid w:val="001129D2"/>
    <w:rsid w:val="0011351A"/>
    <w:rsid w:val="00113D31"/>
    <w:rsid w:val="0011578D"/>
    <w:rsid w:val="001161FE"/>
    <w:rsid w:val="00116CB0"/>
    <w:rsid w:val="00116F01"/>
    <w:rsid w:val="001202A7"/>
    <w:rsid w:val="00121C72"/>
    <w:rsid w:val="0012423D"/>
    <w:rsid w:val="00124DFA"/>
    <w:rsid w:val="00125EC6"/>
    <w:rsid w:val="0012660F"/>
    <w:rsid w:val="00126C7A"/>
    <w:rsid w:val="00126FD0"/>
    <w:rsid w:val="00131012"/>
    <w:rsid w:val="0013475A"/>
    <w:rsid w:val="00135F51"/>
    <w:rsid w:val="001364FE"/>
    <w:rsid w:val="0013726E"/>
    <w:rsid w:val="00137350"/>
    <w:rsid w:val="00137A6F"/>
    <w:rsid w:val="001400D9"/>
    <w:rsid w:val="00141ACF"/>
    <w:rsid w:val="00142E57"/>
    <w:rsid w:val="00143036"/>
    <w:rsid w:val="00143817"/>
    <w:rsid w:val="00143847"/>
    <w:rsid w:val="00143B3D"/>
    <w:rsid w:val="0014533D"/>
    <w:rsid w:val="00145D38"/>
    <w:rsid w:val="00145DCF"/>
    <w:rsid w:val="0015339E"/>
    <w:rsid w:val="00153811"/>
    <w:rsid w:val="00153B5B"/>
    <w:rsid w:val="00153DFB"/>
    <w:rsid w:val="00154118"/>
    <w:rsid w:val="00154351"/>
    <w:rsid w:val="00154679"/>
    <w:rsid w:val="00155920"/>
    <w:rsid w:val="00155A60"/>
    <w:rsid w:val="00155F92"/>
    <w:rsid w:val="001562B0"/>
    <w:rsid w:val="00156D10"/>
    <w:rsid w:val="00160863"/>
    <w:rsid w:val="001609A7"/>
    <w:rsid w:val="001609D9"/>
    <w:rsid w:val="00160B72"/>
    <w:rsid w:val="00160BB8"/>
    <w:rsid w:val="00161403"/>
    <w:rsid w:val="00161598"/>
    <w:rsid w:val="00161E92"/>
    <w:rsid w:val="0016244C"/>
    <w:rsid w:val="001627AD"/>
    <w:rsid w:val="00162893"/>
    <w:rsid w:val="00163715"/>
    <w:rsid w:val="00164C81"/>
    <w:rsid w:val="00165B49"/>
    <w:rsid w:val="00166B2A"/>
    <w:rsid w:val="00167163"/>
    <w:rsid w:val="00167A83"/>
    <w:rsid w:val="00167B13"/>
    <w:rsid w:val="0017066C"/>
    <w:rsid w:val="00172E6A"/>
    <w:rsid w:val="001735A4"/>
    <w:rsid w:val="001747E9"/>
    <w:rsid w:val="001752F7"/>
    <w:rsid w:val="0017781D"/>
    <w:rsid w:val="00177F7F"/>
    <w:rsid w:val="00180946"/>
    <w:rsid w:val="00183148"/>
    <w:rsid w:val="00183CAA"/>
    <w:rsid w:val="00184158"/>
    <w:rsid w:val="0018628F"/>
    <w:rsid w:val="001863BC"/>
    <w:rsid w:val="00186AF9"/>
    <w:rsid w:val="00191C3D"/>
    <w:rsid w:val="00192B65"/>
    <w:rsid w:val="00195933"/>
    <w:rsid w:val="001A1F22"/>
    <w:rsid w:val="001A3A2E"/>
    <w:rsid w:val="001A3F45"/>
    <w:rsid w:val="001A42B5"/>
    <w:rsid w:val="001A48F2"/>
    <w:rsid w:val="001A58AC"/>
    <w:rsid w:val="001A64D0"/>
    <w:rsid w:val="001A652D"/>
    <w:rsid w:val="001A78FE"/>
    <w:rsid w:val="001B05B6"/>
    <w:rsid w:val="001B0AE2"/>
    <w:rsid w:val="001B1AA2"/>
    <w:rsid w:val="001B30CE"/>
    <w:rsid w:val="001B4D18"/>
    <w:rsid w:val="001B5F7A"/>
    <w:rsid w:val="001B64EB"/>
    <w:rsid w:val="001B7E69"/>
    <w:rsid w:val="001C0279"/>
    <w:rsid w:val="001C1650"/>
    <w:rsid w:val="001C22AE"/>
    <w:rsid w:val="001C2523"/>
    <w:rsid w:val="001C2DED"/>
    <w:rsid w:val="001C4091"/>
    <w:rsid w:val="001C5B4D"/>
    <w:rsid w:val="001D0F44"/>
    <w:rsid w:val="001D1303"/>
    <w:rsid w:val="001D1E4A"/>
    <w:rsid w:val="001D28FD"/>
    <w:rsid w:val="001D2CF9"/>
    <w:rsid w:val="001D41C0"/>
    <w:rsid w:val="001D485C"/>
    <w:rsid w:val="001D48C1"/>
    <w:rsid w:val="001D519A"/>
    <w:rsid w:val="001E0F79"/>
    <w:rsid w:val="001E13ED"/>
    <w:rsid w:val="001E1AC6"/>
    <w:rsid w:val="001E2E89"/>
    <w:rsid w:val="001E3654"/>
    <w:rsid w:val="001E4A19"/>
    <w:rsid w:val="001E4C81"/>
    <w:rsid w:val="001E4E37"/>
    <w:rsid w:val="001E66FB"/>
    <w:rsid w:val="001E6E4E"/>
    <w:rsid w:val="001F00A7"/>
    <w:rsid w:val="001F126B"/>
    <w:rsid w:val="001F26DB"/>
    <w:rsid w:val="001F3468"/>
    <w:rsid w:val="001F4E9D"/>
    <w:rsid w:val="001F7F5F"/>
    <w:rsid w:val="00200955"/>
    <w:rsid w:val="0020136C"/>
    <w:rsid w:val="00201AD8"/>
    <w:rsid w:val="00202D8A"/>
    <w:rsid w:val="0020440A"/>
    <w:rsid w:val="00204660"/>
    <w:rsid w:val="0020540B"/>
    <w:rsid w:val="002070A2"/>
    <w:rsid w:val="00207295"/>
    <w:rsid w:val="002072F0"/>
    <w:rsid w:val="00210A29"/>
    <w:rsid w:val="0021141A"/>
    <w:rsid w:val="0021195A"/>
    <w:rsid w:val="00211EAA"/>
    <w:rsid w:val="002125F4"/>
    <w:rsid w:val="00212C60"/>
    <w:rsid w:val="002139DC"/>
    <w:rsid w:val="002147C8"/>
    <w:rsid w:val="00214A59"/>
    <w:rsid w:val="00214EAF"/>
    <w:rsid w:val="002158D5"/>
    <w:rsid w:val="00216C37"/>
    <w:rsid w:val="00216D67"/>
    <w:rsid w:val="00217DAB"/>
    <w:rsid w:val="00220344"/>
    <w:rsid w:val="00220389"/>
    <w:rsid w:val="00220D3A"/>
    <w:rsid w:val="00222001"/>
    <w:rsid w:val="00224D92"/>
    <w:rsid w:val="0022542A"/>
    <w:rsid w:val="00225663"/>
    <w:rsid w:val="00225D75"/>
    <w:rsid w:val="00226A09"/>
    <w:rsid w:val="0022766D"/>
    <w:rsid w:val="002329EA"/>
    <w:rsid w:val="00234132"/>
    <w:rsid w:val="00234B3F"/>
    <w:rsid w:val="00234D19"/>
    <w:rsid w:val="002352DF"/>
    <w:rsid w:val="002361E0"/>
    <w:rsid w:val="00241467"/>
    <w:rsid w:val="00242605"/>
    <w:rsid w:val="00244C52"/>
    <w:rsid w:val="0024673E"/>
    <w:rsid w:val="002469E9"/>
    <w:rsid w:val="00247449"/>
    <w:rsid w:val="00247DE7"/>
    <w:rsid w:val="00254067"/>
    <w:rsid w:val="002542E5"/>
    <w:rsid w:val="00254797"/>
    <w:rsid w:val="00254E3E"/>
    <w:rsid w:val="002555AB"/>
    <w:rsid w:val="00255C59"/>
    <w:rsid w:val="00255D30"/>
    <w:rsid w:val="00256E81"/>
    <w:rsid w:val="00257029"/>
    <w:rsid w:val="00257A47"/>
    <w:rsid w:val="00260001"/>
    <w:rsid w:val="0026172B"/>
    <w:rsid w:val="00263CB4"/>
    <w:rsid w:val="00263FCF"/>
    <w:rsid w:val="002641CC"/>
    <w:rsid w:val="00265966"/>
    <w:rsid w:val="0027025A"/>
    <w:rsid w:val="00270B08"/>
    <w:rsid w:val="00271FB4"/>
    <w:rsid w:val="002732AA"/>
    <w:rsid w:val="00273BE9"/>
    <w:rsid w:val="002740B8"/>
    <w:rsid w:val="002742C3"/>
    <w:rsid w:val="0027497E"/>
    <w:rsid w:val="00276F77"/>
    <w:rsid w:val="00277539"/>
    <w:rsid w:val="00277A4C"/>
    <w:rsid w:val="0028119A"/>
    <w:rsid w:val="00281925"/>
    <w:rsid w:val="00281EB6"/>
    <w:rsid w:val="002838D0"/>
    <w:rsid w:val="00284155"/>
    <w:rsid w:val="00284AE1"/>
    <w:rsid w:val="00287F1A"/>
    <w:rsid w:val="00291CE9"/>
    <w:rsid w:val="00293CBB"/>
    <w:rsid w:val="00293E2F"/>
    <w:rsid w:val="00294123"/>
    <w:rsid w:val="00294F20"/>
    <w:rsid w:val="00295A55"/>
    <w:rsid w:val="00295CB1"/>
    <w:rsid w:val="00295EA3"/>
    <w:rsid w:val="002963D7"/>
    <w:rsid w:val="00296D06"/>
    <w:rsid w:val="00297D32"/>
    <w:rsid w:val="002A0DF0"/>
    <w:rsid w:val="002A1A5D"/>
    <w:rsid w:val="002A1D6E"/>
    <w:rsid w:val="002A3308"/>
    <w:rsid w:val="002A69FB"/>
    <w:rsid w:val="002A6D63"/>
    <w:rsid w:val="002B0C42"/>
    <w:rsid w:val="002B21EE"/>
    <w:rsid w:val="002B282C"/>
    <w:rsid w:val="002B545A"/>
    <w:rsid w:val="002B62B2"/>
    <w:rsid w:val="002B69FC"/>
    <w:rsid w:val="002B6A08"/>
    <w:rsid w:val="002B7E39"/>
    <w:rsid w:val="002C26F0"/>
    <w:rsid w:val="002C3109"/>
    <w:rsid w:val="002C3DA5"/>
    <w:rsid w:val="002C46CC"/>
    <w:rsid w:val="002C474E"/>
    <w:rsid w:val="002C4DB6"/>
    <w:rsid w:val="002C667E"/>
    <w:rsid w:val="002C6A06"/>
    <w:rsid w:val="002C6A39"/>
    <w:rsid w:val="002C72FA"/>
    <w:rsid w:val="002C7864"/>
    <w:rsid w:val="002D0602"/>
    <w:rsid w:val="002D0BD8"/>
    <w:rsid w:val="002D24E3"/>
    <w:rsid w:val="002D4736"/>
    <w:rsid w:val="002D491A"/>
    <w:rsid w:val="002D5E29"/>
    <w:rsid w:val="002D7B53"/>
    <w:rsid w:val="002D7EC5"/>
    <w:rsid w:val="002E088B"/>
    <w:rsid w:val="002E1092"/>
    <w:rsid w:val="002E1B08"/>
    <w:rsid w:val="002E1B66"/>
    <w:rsid w:val="002E2A34"/>
    <w:rsid w:val="002E37B4"/>
    <w:rsid w:val="002E3985"/>
    <w:rsid w:val="002E55B5"/>
    <w:rsid w:val="002E59F4"/>
    <w:rsid w:val="002E67C3"/>
    <w:rsid w:val="002E6959"/>
    <w:rsid w:val="002F0FD2"/>
    <w:rsid w:val="002F18B6"/>
    <w:rsid w:val="002F1918"/>
    <w:rsid w:val="002F2784"/>
    <w:rsid w:val="002F40BD"/>
    <w:rsid w:val="002F437B"/>
    <w:rsid w:val="002F44DD"/>
    <w:rsid w:val="002F4F19"/>
    <w:rsid w:val="002F57E7"/>
    <w:rsid w:val="002F5D29"/>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11615"/>
    <w:rsid w:val="00312E59"/>
    <w:rsid w:val="00313143"/>
    <w:rsid w:val="0031384F"/>
    <w:rsid w:val="00314D08"/>
    <w:rsid w:val="003153CA"/>
    <w:rsid w:val="0031576A"/>
    <w:rsid w:val="00315ACA"/>
    <w:rsid w:val="00315EF8"/>
    <w:rsid w:val="0031614E"/>
    <w:rsid w:val="003168DF"/>
    <w:rsid w:val="003169F8"/>
    <w:rsid w:val="003172F1"/>
    <w:rsid w:val="00317DD7"/>
    <w:rsid w:val="00322584"/>
    <w:rsid w:val="00324782"/>
    <w:rsid w:val="003247F7"/>
    <w:rsid w:val="00326167"/>
    <w:rsid w:val="003264D5"/>
    <w:rsid w:val="003270F6"/>
    <w:rsid w:val="00327BD8"/>
    <w:rsid w:val="00330DC5"/>
    <w:rsid w:val="00333AB2"/>
    <w:rsid w:val="00333E5D"/>
    <w:rsid w:val="00334CCE"/>
    <w:rsid w:val="0033669B"/>
    <w:rsid w:val="00336AAF"/>
    <w:rsid w:val="00337F26"/>
    <w:rsid w:val="00342CB1"/>
    <w:rsid w:val="00342FB5"/>
    <w:rsid w:val="00343A7F"/>
    <w:rsid w:val="00343D80"/>
    <w:rsid w:val="003473E6"/>
    <w:rsid w:val="00351F41"/>
    <w:rsid w:val="00352BB6"/>
    <w:rsid w:val="003530AF"/>
    <w:rsid w:val="00353230"/>
    <w:rsid w:val="00354214"/>
    <w:rsid w:val="003547B8"/>
    <w:rsid w:val="00354E28"/>
    <w:rsid w:val="00360CFB"/>
    <w:rsid w:val="00361639"/>
    <w:rsid w:val="0036321F"/>
    <w:rsid w:val="003656A8"/>
    <w:rsid w:val="00366367"/>
    <w:rsid w:val="00366DAA"/>
    <w:rsid w:val="00367472"/>
    <w:rsid w:val="0037046B"/>
    <w:rsid w:val="003706AB"/>
    <w:rsid w:val="00371ACC"/>
    <w:rsid w:val="003725DD"/>
    <w:rsid w:val="00372E7D"/>
    <w:rsid w:val="003731B2"/>
    <w:rsid w:val="003733FC"/>
    <w:rsid w:val="00373DC4"/>
    <w:rsid w:val="00373F54"/>
    <w:rsid w:val="0037435E"/>
    <w:rsid w:val="00374F71"/>
    <w:rsid w:val="003762BA"/>
    <w:rsid w:val="0037653A"/>
    <w:rsid w:val="003770C0"/>
    <w:rsid w:val="00380C89"/>
    <w:rsid w:val="003818A5"/>
    <w:rsid w:val="00381A2E"/>
    <w:rsid w:val="00382806"/>
    <w:rsid w:val="00384B35"/>
    <w:rsid w:val="00384DCD"/>
    <w:rsid w:val="00384FF5"/>
    <w:rsid w:val="003858FC"/>
    <w:rsid w:val="003868C8"/>
    <w:rsid w:val="00386B8D"/>
    <w:rsid w:val="0039350B"/>
    <w:rsid w:val="003936D9"/>
    <w:rsid w:val="00393C03"/>
    <w:rsid w:val="00394AB5"/>
    <w:rsid w:val="00395BE9"/>
    <w:rsid w:val="00396F6F"/>
    <w:rsid w:val="003972FD"/>
    <w:rsid w:val="00397658"/>
    <w:rsid w:val="00397994"/>
    <w:rsid w:val="003A2779"/>
    <w:rsid w:val="003A3082"/>
    <w:rsid w:val="003A35F7"/>
    <w:rsid w:val="003A3638"/>
    <w:rsid w:val="003A4EC1"/>
    <w:rsid w:val="003A5041"/>
    <w:rsid w:val="003A5DF4"/>
    <w:rsid w:val="003A5EB6"/>
    <w:rsid w:val="003A6387"/>
    <w:rsid w:val="003A6FC1"/>
    <w:rsid w:val="003A7233"/>
    <w:rsid w:val="003A774C"/>
    <w:rsid w:val="003A7C2F"/>
    <w:rsid w:val="003B0E9C"/>
    <w:rsid w:val="003B1EF3"/>
    <w:rsid w:val="003B216E"/>
    <w:rsid w:val="003B4463"/>
    <w:rsid w:val="003B459A"/>
    <w:rsid w:val="003B56A8"/>
    <w:rsid w:val="003B6472"/>
    <w:rsid w:val="003C10DE"/>
    <w:rsid w:val="003C20D9"/>
    <w:rsid w:val="003C31B5"/>
    <w:rsid w:val="003C37DC"/>
    <w:rsid w:val="003C5473"/>
    <w:rsid w:val="003C5D3A"/>
    <w:rsid w:val="003C7366"/>
    <w:rsid w:val="003C7522"/>
    <w:rsid w:val="003C7769"/>
    <w:rsid w:val="003D18B1"/>
    <w:rsid w:val="003D1F94"/>
    <w:rsid w:val="003D28A4"/>
    <w:rsid w:val="003D2C9C"/>
    <w:rsid w:val="003D442C"/>
    <w:rsid w:val="003D71CB"/>
    <w:rsid w:val="003E08C3"/>
    <w:rsid w:val="003E0BC4"/>
    <w:rsid w:val="003E1C14"/>
    <w:rsid w:val="003E3C68"/>
    <w:rsid w:val="003E696D"/>
    <w:rsid w:val="003E76DF"/>
    <w:rsid w:val="003E7871"/>
    <w:rsid w:val="003F15A7"/>
    <w:rsid w:val="003F16E9"/>
    <w:rsid w:val="003F29D9"/>
    <w:rsid w:val="003F3401"/>
    <w:rsid w:val="003F5FA5"/>
    <w:rsid w:val="003F7868"/>
    <w:rsid w:val="004009A6"/>
    <w:rsid w:val="00402073"/>
    <w:rsid w:val="0040240C"/>
    <w:rsid w:val="004024F4"/>
    <w:rsid w:val="0040357C"/>
    <w:rsid w:val="0040397B"/>
    <w:rsid w:val="00405DC4"/>
    <w:rsid w:val="00406118"/>
    <w:rsid w:val="00406C67"/>
    <w:rsid w:val="00410BAB"/>
    <w:rsid w:val="00410F37"/>
    <w:rsid w:val="00411323"/>
    <w:rsid w:val="004125AC"/>
    <w:rsid w:val="0041276E"/>
    <w:rsid w:val="0041364F"/>
    <w:rsid w:val="00413858"/>
    <w:rsid w:val="004138A5"/>
    <w:rsid w:val="00414089"/>
    <w:rsid w:val="00414202"/>
    <w:rsid w:val="00414310"/>
    <w:rsid w:val="004146D1"/>
    <w:rsid w:val="00416CA7"/>
    <w:rsid w:val="00420763"/>
    <w:rsid w:val="00420CDE"/>
    <w:rsid w:val="00421493"/>
    <w:rsid w:val="00421680"/>
    <w:rsid w:val="0042333D"/>
    <w:rsid w:val="00424AC3"/>
    <w:rsid w:val="00424D52"/>
    <w:rsid w:val="0042594A"/>
    <w:rsid w:val="00431D0E"/>
    <w:rsid w:val="004321D7"/>
    <w:rsid w:val="00432323"/>
    <w:rsid w:val="004335DB"/>
    <w:rsid w:val="0043398A"/>
    <w:rsid w:val="00433C14"/>
    <w:rsid w:val="00433EE9"/>
    <w:rsid w:val="00433F4F"/>
    <w:rsid w:val="004342B4"/>
    <w:rsid w:val="00435300"/>
    <w:rsid w:val="00435F00"/>
    <w:rsid w:val="00441793"/>
    <w:rsid w:val="00442BD2"/>
    <w:rsid w:val="00443149"/>
    <w:rsid w:val="004452AF"/>
    <w:rsid w:val="00446142"/>
    <w:rsid w:val="00447022"/>
    <w:rsid w:val="00447F1C"/>
    <w:rsid w:val="00450AC6"/>
    <w:rsid w:val="0045223E"/>
    <w:rsid w:val="004522F1"/>
    <w:rsid w:val="00452A3A"/>
    <w:rsid w:val="00452E62"/>
    <w:rsid w:val="0045411B"/>
    <w:rsid w:val="00454D4D"/>
    <w:rsid w:val="0045558A"/>
    <w:rsid w:val="00456B77"/>
    <w:rsid w:val="00457B87"/>
    <w:rsid w:val="004618BD"/>
    <w:rsid w:val="00461D6D"/>
    <w:rsid w:val="0046693F"/>
    <w:rsid w:val="004669AB"/>
    <w:rsid w:val="00467034"/>
    <w:rsid w:val="00471C1C"/>
    <w:rsid w:val="004729F7"/>
    <w:rsid w:val="00472F58"/>
    <w:rsid w:val="004730BF"/>
    <w:rsid w:val="004737B0"/>
    <w:rsid w:val="00474218"/>
    <w:rsid w:val="00474D3F"/>
    <w:rsid w:val="00475B71"/>
    <w:rsid w:val="0047619D"/>
    <w:rsid w:val="0047694A"/>
    <w:rsid w:val="00476DB7"/>
    <w:rsid w:val="004802AD"/>
    <w:rsid w:val="00480887"/>
    <w:rsid w:val="00480CA5"/>
    <w:rsid w:val="004833AD"/>
    <w:rsid w:val="004858FC"/>
    <w:rsid w:val="00486401"/>
    <w:rsid w:val="004913EC"/>
    <w:rsid w:val="004923B7"/>
    <w:rsid w:val="0049496B"/>
    <w:rsid w:val="00495D30"/>
    <w:rsid w:val="00496901"/>
    <w:rsid w:val="00497DBF"/>
    <w:rsid w:val="004A1DC3"/>
    <w:rsid w:val="004A42CD"/>
    <w:rsid w:val="004A5A29"/>
    <w:rsid w:val="004B20A4"/>
    <w:rsid w:val="004B242D"/>
    <w:rsid w:val="004B40C0"/>
    <w:rsid w:val="004B49A4"/>
    <w:rsid w:val="004B514A"/>
    <w:rsid w:val="004B558A"/>
    <w:rsid w:val="004B5D89"/>
    <w:rsid w:val="004B79C1"/>
    <w:rsid w:val="004B7DBC"/>
    <w:rsid w:val="004C0DA3"/>
    <w:rsid w:val="004C13B1"/>
    <w:rsid w:val="004C1EB9"/>
    <w:rsid w:val="004C2085"/>
    <w:rsid w:val="004C398D"/>
    <w:rsid w:val="004C4B89"/>
    <w:rsid w:val="004C5624"/>
    <w:rsid w:val="004C5872"/>
    <w:rsid w:val="004C68B6"/>
    <w:rsid w:val="004D15D3"/>
    <w:rsid w:val="004D1968"/>
    <w:rsid w:val="004D1D08"/>
    <w:rsid w:val="004D20D0"/>
    <w:rsid w:val="004D330B"/>
    <w:rsid w:val="004D33B2"/>
    <w:rsid w:val="004D385B"/>
    <w:rsid w:val="004D3866"/>
    <w:rsid w:val="004D5CEA"/>
    <w:rsid w:val="004D5E9F"/>
    <w:rsid w:val="004D6F11"/>
    <w:rsid w:val="004D741D"/>
    <w:rsid w:val="004D7CC9"/>
    <w:rsid w:val="004D7D86"/>
    <w:rsid w:val="004E22D9"/>
    <w:rsid w:val="004E2C29"/>
    <w:rsid w:val="004E347F"/>
    <w:rsid w:val="004E4E5D"/>
    <w:rsid w:val="004E513A"/>
    <w:rsid w:val="004E67C2"/>
    <w:rsid w:val="004E6F66"/>
    <w:rsid w:val="004E75D7"/>
    <w:rsid w:val="004F2015"/>
    <w:rsid w:val="004F221C"/>
    <w:rsid w:val="004F778C"/>
    <w:rsid w:val="004F7FF1"/>
    <w:rsid w:val="00500191"/>
    <w:rsid w:val="0050047C"/>
    <w:rsid w:val="0050115C"/>
    <w:rsid w:val="00501993"/>
    <w:rsid w:val="00503EB1"/>
    <w:rsid w:val="005041CC"/>
    <w:rsid w:val="00504723"/>
    <w:rsid w:val="00505B45"/>
    <w:rsid w:val="00506DC3"/>
    <w:rsid w:val="005079E0"/>
    <w:rsid w:val="00510B1F"/>
    <w:rsid w:val="00510F55"/>
    <w:rsid w:val="005125B7"/>
    <w:rsid w:val="00512A76"/>
    <w:rsid w:val="005164EB"/>
    <w:rsid w:val="00516820"/>
    <w:rsid w:val="00516E3D"/>
    <w:rsid w:val="0051718C"/>
    <w:rsid w:val="005223E7"/>
    <w:rsid w:val="005228F6"/>
    <w:rsid w:val="00522E75"/>
    <w:rsid w:val="005237AC"/>
    <w:rsid w:val="00523E15"/>
    <w:rsid w:val="00524342"/>
    <w:rsid w:val="00526464"/>
    <w:rsid w:val="00526BF6"/>
    <w:rsid w:val="005274B8"/>
    <w:rsid w:val="005303ED"/>
    <w:rsid w:val="0053121C"/>
    <w:rsid w:val="00531999"/>
    <w:rsid w:val="00532BF5"/>
    <w:rsid w:val="00532FB2"/>
    <w:rsid w:val="005333B5"/>
    <w:rsid w:val="00533588"/>
    <w:rsid w:val="00534F4E"/>
    <w:rsid w:val="00535B11"/>
    <w:rsid w:val="00536F45"/>
    <w:rsid w:val="005371D0"/>
    <w:rsid w:val="00541268"/>
    <w:rsid w:val="005415A4"/>
    <w:rsid w:val="00541C3D"/>
    <w:rsid w:val="005420B2"/>
    <w:rsid w:val="00542B8E"/>
    <w:rsid w:val="00543B97"/>
    <w:rsid w:val="0054444E"/>
    <w:rsid w:val="0055109E"/>
    <w:rsid w:val="005525BB"/>
    <w:rsid w:val="00552C6C"/>
    <w:rsid w:val="00556C84"/>
    <w:rsid w:val="00557FB4"/>
    <w:rsid w:val="00561847"/>
    <w:rsid w:val="005623F5"/>
    <w:rsid w:val="00562540"/>
    <w:rsid w:val="005642C4"/>
    <w:rsid w:val="005645B5"/>
    <w:rsid w:val="00565A77"/>
    <w:rsid w:val="00565C4E"/>
    <w:rsid w:val="00565E7C"/>
    <w:rsid w:val="00567E42"/>
    <w:rsid w:val="00570EE8"/>
    <w:rsid w:val="005716E4"/>
    <w:rsid w:val="0057191A"/>
    <w:rsid w:val="0057236C"/>
    <w:rsid w:val="0057512A"/>
    <w:rsid w:val="00577677"/>
    <w:rsid w:val="0058031A"/>
    <w:rsid w:val="00580653"/>
    <w:rsid w:val="0058213D"/>
    <w:rsid w:val="005826F8"/>
    <w:rsid w:val="00582FA7"/>
    <w:rsid w:val="0058416C"/>
    <w:rsid w:val="0058488F"/>
    <w:rsid w:val="00584C66"/>
    <w:rsid w:val="00584C87"/>
    <w:rsid w:val="00584F0B"/>
    <w:rsid w:val="0058529A"/>
    <w:rsid w:val="00585645"/>
    <w:rsid w:val="00585C14"/>
    <w:rsid w:val="0058617D"/>
    <w:rsid w:val="00586EBB"/>
    <w:rsid w:val="0058703F"/>
    <w:rsid w:val="0058712F"/>
    <w:rsid w:val="00587356"/>
    <w:rsid w:val="00587B5E"/>
    <w:rsid w:val="00592375"/>
    <w:rsid w:val="00592F8A"/>
    <w:rsid w:val="005940D3"/>
    <w:rsid w:val="00595DDB"/>
    <w:rsid w:val="0059704B"/>
    <w:rsid w:val="0059706E"/>
    <w:rsid w:val="005975F2"/>
    <w:rsid w:val="005A0C00"/>
    <w:rsid w:val="005A1C6A"/>
    <w:rsid w:val="005A3E1C"/>
    <w:rsid w:val="005A7405"/>
    <w:rsid w:val="005B35F6"/>
    <w:rsid w:val="005B382E"/>
    <w:rsid w:val="005B46F7"/>
    <w:rsid w:val="005B4E1C"/>
    <w:rsid w:val="005B5065"/>
    <w:rsid w:val="005B5BAB"/>
    <w:rsid w:val="005B6F23"/>
    <w:rsid w:val="005C0274"/>
    <w:rsid w:val="005C1B58"/>
    <w:rsid w:val="005C350F"/>
    <w:rsid w:val="005C3B60"/>
    <w:rsid w:val="005C44DC"/>
    <w:rsid w:val="005C4AE1"/>
    <w:rsid w:val="005C4B2F"/>
    <w:rsid w:val="005C5465"/>
    <w:rsid w:val="005C6533"/>
    <w:rsid w:val="005C6E54"/>
    <w:rsid w:val="005C77C6"/>
    <w:rsid w:val="005D0412"/>
    <w:rsid w:val="005D116B"/>
    <w:rsid w:val="005D19BD"/>
    <w:rsid w:val="005D1D52"/>
    <w:rsid w:val="005D6E7F"/>
    <w:rsid w:val="005D7632"/>
    <w:rsid w:val="005D7F7B"/>
    <w:rsid w:val="005D7F96"/>
    <w:rsid w:val="005E0AD3"/>
    <w:rsid w:val="005E1665"/>
    <w:rsid w:val="005E1A4E"/>
    <w:rsid w:val="005E1B43"/>
    <w:rsid w:val="005E445C"/>
    <w:rsid w:val="005E4F8E"/>
    <w:rsid w:val="005E58BB"/>
    <w:rsid w:val="005E7D03"/>
    <w:rsid w:val="005E7E24"/>
    <w:rsid w:val="005F01A2"/>
    <w:rsid w:val="005F09A8"/>
    <w:rsid w:val="005F117C"/>
    <w:rsid w:val="005F1272"/>
    <w:rsid w:val="005F1A7D"/>
    <w:rsid w:val="005F2206"/>
    <w:rsid w:val="005F3D88"/>
    <w:rsid w:val="005F4169"/>
    <w:rsid w:val="005F42AD"/>
    <w:rsid w:val="005F4764"/>
    <w:rsid w:val="005F49DE"/>
    <w:rsid w:val="005F7A40"/>
    <w:rsid w:val="0060045C"/>
    <w:rsid w:val="0060424F"/>
    <w:rsid w:val="0060454E"/>
    <w:rsid w:val="00605038"/>
    <w:rsid w:val="00607E51"/>
    <w:rsid w:val="00610AC3"/>
    <w:rsid w:val="00611680"/>
    <w:rsid w:val="00614F8B"/>
    <w:rsid w:val="006156DF"/>
    <w:rsid w:val="00615F21"/>
    <w:rsid w:val="00615FB4"/>
    <w:rsid w:val="00617C31"/>
    <w:rsid w:val="00617C78"/>
    <w:rsid w:val="006211AA"/>
    <w:rsid w:val="006216D4"/>
    <w:rsid w:val="006218BC"/>
    <w:rsid w:val="0062284C"/>
    <w:rsid w:val="0062324F"/>
    <w:rsid w:val="006233BD"/>
    <w:rsid w:val="00624063"/>
    <w:rsid w:val="00625E7F"/>
    <w:rsid w:val="00627361"/>
    <w:rsid w:val="00627417"/>
    <w:rsid w:val="00627AFA"/>
    <w:rsid w:val="006300C2"/>
    <w:rsid w:val="00630249"/>
    <w:rsid w:val="00633348"/>
    <w:rsid w:val="00633E25"/>
    <w:rsid w:val="00633E3A"/>
    <w:rsid w:val="0063421F"/>
    <w:rsid w:val="0063491A"/>
    <w:rsid w:val="00634DFE"/>
    <w:rsid w:val="00635620"/>
    <w:rsid w:val="006357F8"/>
    <w:rsid w:val="0063620B"/>
    <w:rsid w:val="0063670D"/>
    <w:rsid w:val="0064272F"/>
    <w:rsid w:val="00642B18"/>
    <w:rsid w:val="006431CF"/>
    <w:rsid w:val="00643D4D"/>
    <w:rsid w:val="006449DF"/>
    <w:rsid w:val="0064504A"/>
    <w:rsid w:val="00645242"/>
    <w:rsid w:val="00645373"/>
    <w:rsid w:val="0064554D"/>
    <w:rsid w:val="0064588B"/>
    <w:rsid w:val="0064631E"/>
    <w:rsid w:val="0065013E"/>
    <w:rsid w:val="00655772"/>
    <w:rsid w:val="00657A92"/>
    <w:rsid w:val="006610CB"/>
    <w:rsid w:val="00661521"/>
    <w:rsid w:val="00662392"/>
    <w:rsid w:val="0066340C"/>
    <w:rsid w:val="006677FA"/>
    <w:rsid w:val="00667D5C"/>
    <w:rsid w:val="006702E0"/>
    <w:rsid w:val="00670567"/>
    <w:rsid w:val="0067110D"/>
    <w:rsid w:val="006711D6"/>
    <w:rsid w:val="00672509"/>
    <w:rsid w:val="00672B72"/>
    <w:rsid w:val="00672DDA"/>
    <w:rsid w:val="00673453"/>
    <w:rsid w:val="0067567C"/>
    <w:rsid w:val="00676721"/>
    <w:rsid w:val="00676E04"/>
    <w:rsid w:val="006773AA"/>
    <w:rsid w:val="006801D6"/>
    <w:rsid w:val="006832AB"/>
    <w:rsid w:val="006849E9"/>
    <w:rsid w:val="006856B5"/>
    <w:rsid w:val="00685DA1"/>
    <w:rsid w:val="006862E3"/>
    <w:rsid w:val="00686730"/>
    <w:rsid w:val="00686C40"/>
    <w:rsid w:val="006871B7"/>
    <w:rsid w:val="00687B3D"/>
    <w:rsid w:val="00690286"/>
    <w:rsid w:val="006903CB"/>
    <w:rsid w:val="006908FF"/>
    <w:rsid w:val="006911F5"/>
    <w:rsid w:val="006918EF"/>
    <w:rsid w:val="00693B2C"/>
    <w:rsid w:val="00697145"/>
    <w:rsid w:val="00697ED1"/>
    <w:rsid w:val="006A07C6"/>
    <w:rsid w:val="006A123D"/>
    <w:rsid w:val="006A1B5D"/>
    <w:rsid w:val="006A2475"/>
    <w:rsid w:val="006A4D5B"/>
    <w:rsid w:val="006A5C42"/>
    <w:rsid w:val="006A640B"/>
    <w:rsid w:val="006A72F5"/>
    <w:rsid w:val="006A7426"/>
    <w:rsid w:val="006A7DEE"/>
    <w:rsid w:val="006B28D6"/>
    <w:rsid w:val="006B29A9"/>
    <w:rsid w:val="006B36F7"/>
    <w:rsid w:val="006B43B2"/>
    <w:rsid w:val="006B45EF"/>
    <w:rsid w:val="006B7503"/>
    <w:rsid w:val="006C0141"/>
    <w:rsid w:val="006C0689"/>
    <w:rsid w:val="006C0E11"/>
    <w:rsid w:val="006C11E2"/>
    <w:rsid w:val="006C1254"/>
    <w:rsid w:val="006C1E0A"/>
    <w:rsid w:val="006C4207"/>
    <w:rsid w:val="006C47A5"/>
    <w:rsid w:val="006C510B"/>
    <w:rsid w:val="006C6516"/>
    <w:rsid w:val="006C7501"/>
    <w:rsid w:val="006D230D"/>
    <w:rsid w:val="006D2508"/>
    <w:rsid w:val="006D2643"/>
    <w:rsid w:val="006D27EF"/>
    <w:rsid w:val="006D3366"/>
    <w:rsid w:val="006D3B49"/>
    <w:rsid w:val="006D3C94"/>
    <w:rsid w:val="006D40BB"/>
    <w:rsid w:val="006D470D"/>
    <w:rsid w:val="006D64A6"/>
    <w:rsid w:val="006D6D6F"/>
    <w:rsid w:val="006D7AC3"/>
    <w:rsid w:val="006E0B6A"/>
    <w:rsid w:val="006E0D59"/>
    <w:rsid w:val="006E1111"/>
    <w:rsid w:val="006E1B19"/>
    <w:rsid w:val="006E1E0E"/>
    <w:rsid w:val="006E30F4"/>
    <w:rsid w:val="006E5770"/>
    <w:rsid w:val="006E6635"/>
    <w:rsid w:val="006F03C5"/>
    <w:rsid w:val="006F0664"/>
    <w:rsid w:val="006F1135"/>
    <w:rsid w:val="006F13EF"/>
    <w:rsid w:val="006F1F72"/>
    <w:rsid w:val="006F2AF9"/>
    <w:rsid w:val="006F4352"/>
    <w:rsid w:val="006F4751"/>
    <w:rsid w:val="00700AD5"/>
    <w:rsid w:val="00700F5E"/>
    <w:rsid w:val="00702566"/>
    <w:rsid w:val="00703574"/>
    <w:rsid w:val="0070370A"/>
    <w:rsid w:val="00706447"/>
    <w:rsid w:val="007103EE"/>
    <w:rsid w:val="00711414"/>
    <w:rsid w:val="0071273F"/>
    <w:rsid w:val="00713935"/>
    <w:rsid w:val="00713A65"/>
    <w:rsid w:val="00714439"/>
    <w:rsid w:val="00715E82"/>
    <w:rsid w:val="0071638A"/>
    <w:rsid w:val="00716D98"/>
    <w:rsid w:val="00717A86"/>
    <w:rsid w:val="00720057"/>
    <w:rsid w:val="0072013F"/>
    <w:rsid w:val="0072058C"/>
    <w:rsid w:val="00720A78"/>
    <w:rsid w:val="00721BB3"/>
    <w:rsid w:val="0072245A"/>
    <w:rsid w:val="00722E63"/>
    <w:rsid w:val="00724C7F"/>
    <w:rsid w:val="00724CCE"/>
    <w:rsid w:val="00725170"/>
    <w:rsid w:val="0072747B"/>
    <w:rsid w:val="00727F92"/>
    <w:rsid w:val="00731BDB"/>
    <w:rsid w:val="00731CDA"/>
    <w:rsid w:val="007320C1"/>
    <w:rsid w:val="007326EC"/>
    <w:rsid w:val="00732AC7"/>
    <w:rsid w:val="00733815"/>
    <w:rsid w:val="007344B5"/>
    <w:rsid w:val="00734B4C"/>
    <w:rsid w:val="007352BC"/>
    <w:rsid w:val="007355E1"/>
    <w:rsid w:val="00736912"/>
    <w:rsid w:val="007375CF"/>
    <w:rsid w:val="007377C5"/>
    <w:rsid w:val="00741541"/>
    <w:rsid w:val="00742137"/>
    <w:rsid w:val="00744770"/>
    <w:rsid w:val="007447B2"/>
    <w:rsid w:val="00744F69"/>
    <w:rsid w:val="007450AE"/>
    <w:rsid w:val="0074585F"/>
    <w:rsid w:val="007460B7"/>
    <w:rsid w:val="007463B6"/>
    <w:rsid w:val="007476EB"/>
    <w:rsid w:val="00747F0D"/>
    <w:rsid w:val="00750620"/>
    <w:rsid w:val="0075123F"/>
    <w:rsid w:val="00751DCE"/>
    <w:rsid w:val="007532C4"/>
    <w:rsid w:val="007542BB"/>
    <w:rsid w:val="00754707"/>
    <w:rsid w:val="00754B75"/>
    <w:rsid w:val="00754D4C"/>
    <w:rsid w:val="00755AAA"/>
    <w:rsid w:val="00755D42"/>
    <w:rsid w:val="00756FD5"/>
    <w:rsid w:val="00757750"/>
    <w:rsid w:val="00757C90"/>
    <w:rsid w:val="00762B14"/>
    <w:rsid w:val="007637E7"/>
    <w:rsid w:val="007646F6"/>
    <w:rsid w:val="00765CE9"/>
    <w:rsid w:val="00767749"/>
    <w:rsid w:val="007710D0"/>
    <w:rsid w:val="00771394"/>
    <w:rsid w:val="00771633"/>
    <w:rsid w:val="007730A7"/>
    <w:rsid w:val="00773148"/>
    <w:rsid w:val="00775740"/>
    <w:rsid w:val="0077742F"/>
    <w:rsid w:val="007802F3"/>
    <w:rsid w:val="0078202F"/>
    <w:rsid w:val="00783664"/>
    <w:rsid w:val="0078392D"/>
    <w:rsid w:val="0078551A"/>
    <w:rsid w:val="00785A3B"/>
    <w:rsid w:val="00786631"/>
    <w:rsid w:val="00786A47"/>
    <w:rsid w:val="007906DB"/>
    <w:rsid w:val="007925C8"/>
    <w:rsid w:val="0079481B"/>
    <w:rsid w:val="00794D06"/>
    <w:rsid w:val="00795604"/>
    <w:rsid w:val="00796204"/>
    <w:rsid w:val="00796B5A"/>
    <w:rsid w:val="00797A23"/>
    <w:rsid w:val="00797CF3"/>
    <w:rsid w:val="007A0061"/>
    <w:rsid w:val="007A108D"/>
    <w:rsid w:val="007A20D5"/>
    <w:rsid w:val="007A374B"/>
    <w:rsid w:val="007A4A0E"/>
    <w:rsid w:val="007A5391"/>
    <w:rsid w:val="007A589E"/>
    <w:rsid w:val="007A6CC0"/>
    <w:rsid w:val="007A7D08"/>
    <w:rsid w:val="007B07B8"/>
    <w:rsid w:val="007B095F"/>
    <w:rsid w:val="007B0C55"/>
    <w:rsid w:val="007B172E"/>
    <w:rsid w:val="007B1843"/>
    <w:rsid w:val="007B2295"/>
    <w:rsid w:val="007B333F"/>
    <w:rsid w:val="007B6124"/>
    <w:rsid w:val="007B78C2"/>
    <w:rsid w:val="007B7934"/>
    <w:rsid w:val="007C041B"/>
    <w:rsid w:val="007C24A5"/>
    <w:rsid w:val="007C30B5"/>
    <w:rsid w:val="007C53DE"/>
    <w:rsid w:val="007C6519"/>
    <w:rsid w:val="007C692F"/>
    <w:rsid w:val="007D1566"/>
    <w:rsid w:val="007D3E2D"/>
    <w:rsid w:val="007D5041"/>
    <w:rsid w:val="007D687A"/>
    <w:rsid w:val="007D742C"/>
    <w:rsid w:val="007D79C7"/>
    <w:rsid w:val="007E122F"/>
    <w:rsid w:val="007E1F20"/>
    <w:rsid w:val="007E26DC"/>
    <w:rsid w:val="007E3BA2"/>
    <w:rsid w:val="007E4791"/>
    <w:rsid w:val="007E4E58"/>
    <w:rsid w:val="007E51AF"/>
    <w:rsid w:val="007E5A78"/>
    <w:rsid w:val="007E6124"/>
    <w:rsid w:val="007E67AF"/>
    <w:rsid w:val="007F018C"/>
    <w:rsid w:val="007F06CB"/>
    <w:rsid w:val="007F5457"/>
    <w:rsid w:val="007F5733"/>
    <w:rsid w:val="007F5AB1"/>
    <w:rsid w:val="007F5FF7"/>
    <w:rsid w:val="007F613E"/>
    <w:rsid w:val="00800047"/>
    <w:rsid w:val="00800514"/>
    <w:rsid w:val="008030BC"/>
    <w:rsid w:val="00803AE6"/>
    <w:rsid w:val="008065B7"/>
    <w:rsid w:val="008068E2"/>
    <w:rsid w:val="00807087"/>
    <w:rsid w:val="0080767B"/>
    <w:rsid w:val="008078EB"/>
    <w:rsid w:val="00810811"/>
    <w:rsid w:val="00810A11"/>
    <w:rsid w:val="00810CE4"/>
    <w:rsid w:val="00811E5E"/>
    <w:rsid w:val="00811F38"/>
    <w:rsid w:val="0081326C"/>
    <w:rsid w:val="008147D7"/>
    <w:rsid w:val="00817DA9"/>
    <w:rsid w:val="00820D48"/>
    <w:rsid w:val="00820DDF"/>
    <w:rsid w:val="00824E63"/>
    <w:rsid w:val="0082551A"/>
    <w:rsid w:val="00825A0F"/>
    <w:rsid w:val="008323C6"/>
    <w:rsid w:val="008326A2"/>
    <w:rsid w:val="0083310F"/>
    <w:rsid w:val="00833F1E"/>
    <w:rsid w:val="008342D9"/>
    <w:rsid w:val="00834F92"/>
    <w:rsid w:val="00836EF9"/>
    <w:rsid w:val="00836FDE"/>
    <w:rsid w:val="00842131"/>
    <w:rsid w:val="00843E0F"/>
    <w:rsid w:val="008444AE"/>
    <w:rsid w:val="00852B37"/>
    <w:rsid w:val="00852E04"/>
    <w:rsid w:val="0085314F"/>
    <w:rsid w:val="00854B92"/>
    <w:rsid w:val="00855923"/>
    <w:rsid w:val="0085687A"/>
    <w:rsid w:val="00860E19"/>
    <w:rsid w:val="00861428"/>
    <w:rsid w:val="00861D4B"/>
    <w:rsid w:val="008624D2"/>
    <w:rsid w:val="008625D2"/>
    <w:rsid w:val="008652B3"/>
    <w:rsid w:val="00865B20"/>
    <w:rsid w:val="00865C7F"/>
    <w:rsid w:val="0086622F"/>
    <w:rsid w:val="0086764C"/>
    <w:rsid w:val="00870BC6"/>
    <w:rsid w:val="00871C56"/>
    <w:rsid w:val="00872100"/>
    <w:rsid w:val="00872880"/>
    <w:rsid w:val="00874F6A"/>
    <w:rsid w:val="00875E65"/>
    <w:rsid w:val="008773BC"/>
    <w:rsid w:val="00877593"/>
    <w:rsid w:val="00877BAE"/>
    <w:rsid w:val="0088069E"/>
    <w:rsid w:val="00880E59"/>
    <w:rsid w:val="00882DD3"/>
    <w:rsid w:val="00883315"/>
    <w:rsid w:val="00883813"/>
    <w:rsid w:val="00884E88"/>
    <w:rsid w:val="00885065"/>
    <w:rsid w:val="0088781C"/>
    <w:rsid w:val="00887D73"/>
    <w:rsid w:val="00890850"/>
    <w:rsid w:val="008908B7"/>
    <w:rsid w:val="00891F94"/>
    <w:rsid w:val="0089287B"/>
    <w:rsid w:val="0089333D"/>
    <w:rsid w:val="008935D6"/>
    <w:rsid w:val="008947FF"/>
    <w:rsid w:val="00897F60"/>
    <w:rsid w:val="008A089F"/>
    <w:rsid w:val="008A28B9"/>
    <w:rsid w:val="008A3385"/>
    <w:rsid w:val="008A3D49"/>
    <w:rsid w:val="008A4023"/>
    <w:rsid w:val="008A59E9"/>
    <w:rsid w:val="008A6F2A"/>
    <w:rsid w:val="008A71BE"/>
    <w:rsid w:val="008A75F0"/>
    <w:rsid w:val="008A7FFC"/>
    <w:rsid w:val="008B164A"/>
    <w:rsid w:val="008B1D8C"/>
    <w:rsid w:val="008B239E"/>
    <w:rsid w:val="008B297E"/>
    <w:rsid w:val="008B40CE"/>
    <w:rsid w:val="008B4D9C"/>
    <w:rsid w:val="008B5F8E"/>
    <w:rsid w:val="008B6447"/>
    <w:rsid w:val="008B6DE3"/>
    <w:rsid w:val="008C00F3"/>
    <w:rsid w:val="008C0680"/>
    <w:rsid w:val="008C0FFF"/>
    <w:rsid w:val="008C1D42"/>
    <w:rsid w:val="008C1E9E"/>
    <w:rsid w:val="008C381F"/>
    <w:rsid w:val="008C3E3E"/>
    <w:rsid w:val="008C3F4A"/>
    <w:rsid w:val="008C5899"/>
    <w:rsid w:val="008C5EE9"/>
    <w:rsid w:val="008C69EE"/>
    <w:rsid w:val="008C7AF9"/>
    <w:rsid w:val="008D324E"/>
    <w:rsid w:val="008D5121"/>
    <w:rsid w:val="008D709F"/>
    <w:rsid w:val="008D7B7C"/>
    <w:rsid w:val="008E0832"/>
    <w:rsid w:val="008E0DE9"/>
    <w:rsid w:val="008E0F2F"/>
    <w:rsid w:val="008E1F17"/>
    <w:rsid w:val="008E2BD7"/>
    <w:rsid w:val="008E43C2"/>
    <w:rsid w:val="008E45E7"/>
    <w:rsid w:val="008E4B06"/>
    <w:rsid w:val="008E4EB8"/>
    <w:rsid w:val="008E5AE2"/>
    <w:rsid w:val="008F0B8B"/>
    <w:rsid w:val="008F2E9D"/>
    <w:rsid w:val="008F309C"/>
    <w:rsid w:val="008F3A9B"/>
    <w:rsid w:val="008F4EE1"/>
    <w:rsid w:val="008F5854"/>
    <w:rsid w:val="008F61A8"/>
    <w:rsid w:val="008F68C4"/>
    <w:rsid w:val="008F7A5A"/>
    <w:rsid w:val="00900B1C"/>
    <w:rsid w:val="00901EC5"/>
    <w:rsid w:val="009020F5"/>
    <w:rsid w:val="00902553"/>
    <w:rsid w:val="009042F6"/>
    <w:rsid w:val="00904C20"/>
    <w:rsid w:val="00905399"/>
    <w:rsid w:val="00906505"/>
    <w:rsid w:val="00907203"/>
    <w:rsid w:val="009072E7"/>
    <w:rsid w:val="00910146"/>
    <w:rsid w:val="0091043D"/>
    <w:rsid w:val="00910499"/>
    <w:rsid w:val="00911721"/>
    <w:rsid w:val="00911D9C"/>
    <w:rsid w:val="009133EE"/>
    <w:rsid w:val="00913C15"/>
    <w:rsid w:val="00913F03"/>
    <w:rsid w:val="009161BE"/>
    <w:rsid w:val="009175D9"/>
    <w:rsid w:val="0092171A"/>
    <w:rsid w:val="0092193B"/>
    <w:rsid w:val="0092403F"/>
    <w:rsid w:val="00925838"/>
    <w:rsid w:val="00926165"/>
    <w:rsid w:val="0092782F"/>
    <w:rsid w:val="00931D07"/>
    <w:rsid w:val="00932845"/>
    <w:rsid w:val="0093399E"/>
    <w:rsid w:val="00934550"/>
    <w:rsid w:val="00935699"/>
    <w:rsid w:val="00936B62"/>
    <w:rsid w:val="00940B11"/>
    <w:rsid w:val="00942334"/>
    <w:rsid w:val="009426B8"/>
    <w:rsid w:val="009428EA"/>
    <w:rsid w:val="00942E72"/>
    <w:rsid w:val="00943C59"/>
    <w:rsid w:val="00944567"/>
    <w:rsid w:val="009452E3"/>
    <w:rsid w:val="00945C13"/>
    <w:rsid w:val="009460D0"/>
    <w:rsid w:val="00951D1D"/>
    <w:rsid w:val="00951EB0"/>
    <w:rsid w:val="00952B76"/>
    <w:rsid w:val="00953DEA"/>
    <w:rsid w:val="00954C6E"/>
    <w:rsid w:val="009557C7"/>
    <w:rsid w:val="009578DC"/>
    <w:rsid w:val="009608C0"/>
    <w:rsid w:val="00960EF7"/>
    <w:rsid w:val="00960F9C"/>
    <w:rsid w:val="0096108C"/>
    <w:rsid w:val="00962EF2"/>
    <w:rsid w:val="00963B1C"/>
    <w:rsid w:val="00963EBF"/>
    <w:rsid w:val="00963F22"/>
    <w:rsid w:val="00966493"/>
    <w:rsid w:val="00971F5C"/>
    <w:rsid w:val="00973EA7"/>
    <w:rsid w:val="00974E97"/>
    <w:rsid w:val="00975399"/>
    <w:rsid w:val="0097683D"/>
    <w:rsid w:val="00977190"/>
    <w:rsid w:val="00980472"/>
    <w:rsid w:val="00980591"/>
    <w:rsid w:val="00981948"/>
    <w:rsid w:val="00981EEF"/>
    <w:rsid w:val="00981F19"/>
    <w:rsid w:val="00982BB6"/>
    <w:rsid w:val="00982C6A"/>
    <w:rsid w:val="00982E1F"/>
    <w:rsid w:val="00982F9A"/>
    <w:rsid w:val="00983FAB"/>
    <w:rsid w:val="0098478E"/>
    <w:rsid w:val="009862DA"/>
    <w:rsid w:val="00986771"/>
    <w:rsid w:val="009878A5"/>
    <w:rsid w:val="009904C4"/>
    <w:rsid w:val="00991F8E"/>
    <w:rsid w:val="009921AD"/>
    <w:rsid w:val="009928AB"/>
    <w:rsid w:val="00993A3F"/>
    <w:rsid w:val="009950D9"/>
    <w:rsid w:val="009964C7"/>
    <w:rsid w:val="009A082B"/>
    <w:rsid w:val="009A10F0"/>
    <w:rsid w:val="009A478E"/>
    <w:rsid w:val="009A5043"/>
    <w:rsid w:val="009A5515"/>
    <w:rsid w:val="009A6578"/>
    <w:rsid w:val="009A6E9D"/>
    <w:rsid w:val="009B01D5"/>
    <w:rsid w:val="009B0C02"/>
    <w:rsid w:val="009B58DF"/>
    <w:rsid w:val="009B5D70"/>
    <w:rsid w:val="009B7097"/>
    <w:rsid w:val="009B7B1A"/>
    <w:rsid w:val="009B7F85"/>
    <w:rsid w:val="009C1AF7"/>
    <w:rsid w:val="009C25B6"/>
    <w:rsid w:val="009C3785"/>
    <w:rsid w:val="009C3821"/>
    <w:rsid w:val="009C424A"/>
    <w:rsid w:val="009C4A95"/>
    <w:rsid w:val="009C4CE5"/>
    <w:rsid w:val="009C622A"/>
    <w:rsid w:val="009C6664"/>
    <w:rsid w:val="009C6841"/>
    <w:rsid w:val="009C7044"/>
    <w:rsid w:val="009D0935"/>
    <w:rsid w:val="009D0E2C"/>
    <w:rsid w:val="009D117D"/>
    <w:rsid w:val="009D28AF"/>
    <w:rsid w:val="009D290E"/>
    <w:rsid w:val="009D2CC6"/>
    <w:rsid w:val="009D2F47"/>
    <w:rsid w:val="009D3A40"/>
    <w:rsid w:val="009D3E04"/>
    <w:rsid w:val="009D4A30"/>
    <w:rsid w:val="009D5981"/>
    <w:rsid w:val="009D59CF"/>
    <w:rsid w:val="009D7A85"/>
    <w:rsid w:val="009E15B4"/>
    <w:rsid w:val="009E18A4"/>
    <w:rsid w:val="009E1D9C"/>
    <w:rsid w:val="009E235F"/>
    <w:rsid w:val="009E3971"/>
    <w:rsid w:val="009E6221"/>
    <w:rsid w:val="009E7F86"/>
    <w:rsid w:val="009F058D"/>
    <w:rsid w:val="009F1B03"/>
    <w:rsid w:val="009F1D59"/>
    <w:rsid w:val="009F1DCB"/>
    <w:rsid w:val="009F2913"/>
    <w:rsid w:val="009F30E6"/>
    <w:rsid w:val="009F37D8"/>
    <w:rsid w:val="009F4D64"/>
    <w:rsid w:val="009F59A3"/>
    <w:rsid w:val="00A00277"/>
    <w:rsid w:val="00A02021"/>
    <w:rsid w:val="00A03D31"/>
    <w:rsid w:val="00A0479F"/>
    <w:rsid w:val="00A0598B"/>
    <w:rsid w:val="00A06A53"/>
    <w:rsid w:val="00A11295"/>
    <w:rsid w:val="00A1191C"/>
    <w:rsid w:val="00A11978"/>
    <w:rsid w:val="00A11DD2"/>
    <w:rsid w:val="00A12828"/>
    <w:rsid w:val="00A13935"/>
    <w:rsid w:val="00A15E34"/>
    <w:rsid w:val="00A16144"/>
    <w:rsid w:val="00A171C6"/>
    <w:rsid w:val="00A17A6A"/>
    <w:rsid w:val="00A17C39"/>
    <w:rsid w:val="00A17E8F"/>
    <w:rsid w:val="00A230ED"/>
    <w:rsid w:val="00A23F6E"/>
    <w:rsid w:val="00A24526"/>
    <w:rsid w:val="00A2590C"/>
    <w:rsid w:val="00A25B2A"/>
    <w:rsid w:val="00A26427"/>
    <w:rsid w:val="00A264A8"/>
    <w:rsid w:val="00A27334"/>
    <w:rsid w:val="00A31001"/>
    <w:rsid w:val="00A31B34"/>
    <w:rsid w:val="00A33070"/>
    <w:rsid w:val="00A33208"/>
    <w:rsid w:val="00A341B6"/>
    <w:rsid w:val="00A36280"/>
    <w:rsid w:val="00A363CB"/>
    <w:rsid w:val="00A36AD9"/>
    <w:rsid w:val="00A37534"/>
    <w:rsid w:val="00A403C7"/>
    <w:rsid w:val="00A40D04"/>
    <w:rsid w:val="00A4159C"/>
    <w:rsid w:val="00A41603"/>
    <w:rsid w:val="00A433EB"/>
    <w:rsid w:val="00A44C24"/>
    <w:rsid w:val="00A45D35"/>
    <w:rsid w:val="00A46649"/>
    <w:rsid w:val="00A4706C"/>
    <w:rsid w:val="00A470C7"/>
    <w:rsid w:val="00A501FD"/>
    <w:rsid w:val="00A5134C"/>
    <w:rsid w:val="00A51605"/>
    <w:rsid w:val="00A51B50"/>
    <w:rsid w:val="00A54768"/>
    <w:rsid w:val="00A55009"/>
    <w:rsid w:val="00A55834"/>
    <w:rsid w:val="00A57913"/>
    <w:rsid w:val="00A61E7A"/>
    <w:rsid w:val="00A6253C"/>
    <w:rsid w:val="00A6429F"/>
    <w:rsid w:val="00A66160"/>
    <w:rsid w:val="00A669DE"/>
    <w:rsid w:val="00A70BA8"/>
    <w:rsid w:val="00A71039"/>
    <w:rsid w:val="00A710D5"/>
    <w:rsid w:val="00A72820"/>
    <w:rsid w:val="00A72A87"/>
    <w:rsid w:val="00A72AE8"/>
    <w:rsid w:val="00A7390C"/>
    <w:rsid w:val="00A73D93"/>
    <w:rsid w:val="00A74C9B"/>
    <w:rsid w:val="00A75594"/>
    <w:rsid w:val="00A7701F"/>
    <w:rsid w:val="00A777BD"/>
    <w:rsid w:val="00A7796A"/>
    <w:rsid w:val="00A80044"/>
    <w:rsid w:val="00A8111D"/>
    <w:rsid w:val="00A824E1"/>
    <w:rsid w:val="00A82D1A"/>
    <w:rsid w:val="00A82D42"/>
    <w:rsid w:val="00A83CD3"/>
    <w:rsid w:val="00A83E80"/>
    <w:rsid w:val="00A852A9"/>
    <w:rsid w:val="00A85854"/>
    <w:rsid w:val="00A862E2"/>
    <w:rsid w:val="00A86887"/>
    <w:rsid w:val="00A878AD"/>
    <w:rsid w:val="00A87C9C"/>
    <w:rsid w:val="00A901A7"/>
    <w:rsid w:val="00A90E6A"/>
    <w:rsid w:val="00A92EEF"/>
    <w:rsid w:val="00A9371B"/>
    <w:rsid w:val="00A93A50"/>
    <w:rsid w:val="00A955E4"/>
    <w:rsid w:val="00A97393"/>
    <w:rsid w:val="00A9758B"/>
    <w:rsid w:val="00A978D3"/>
    <w:rsid w:val="00AA0304"/>
    <w:rsid w:val="00AA046E"/>
    <w:rsid w:val="00AA15FA"/>
    <w:rsid w:val="00AA1D70"/>
    <w:rsid w:val="00AA1FE3"/>
    <w:rsid w:val="00AA444B"/>
    <w:rsid w:val="00AA5465"/>
    <w:rsid w:val="00AA54E0"/>
    <w:rsid w:val="00AA59F9"/>
    <w:rsid w:val="00AA741B"/>
    <w:rsid w:val="00AB39DE"/>
    <w:rsid w:val="00AB52AC"/>
    <w:rsid w:val="00AB52B8"/>
    <w:rsid w:val="00AB60EE"/>
    <w:rsid w:val="00AB619B"/>
    <w:rsid w:val="00AB6D01"/>
    <w:rsid w:val="00AB77BA"/>
    <w:rsid w:val="00AC00BD"/>
    <w:rsid w:val="00AC08CF"/>
    <w:rsid w:val="00AC0BA2"/>
    <w:rsid w:val="00AC3622"/>
    <w:rsid w:val="00AC5B87"/>
    <w:rsid w:val="00AC6296"/>
    <w:rsid w:val="00AD0617"/>
    <w:rsid w:val="00AD247E"/>
    <w:rsid w:val="00AD25BC"/>
    <w:rsid w:val="00AD3876"/>
    <w:rsid w:val="00AD4B4A"/>
    <w:rsid w:val="00AD73A1"/>
    <w:rsid w:val="00AD7FA8"/>
    <w:rsid w:val="00AE0AE9"/>
    <w:rsid w:val="00AE1194"/>
    <w:rsid w:val="00AE1619"/>
    <w:rsid w:val="00AE2DE3"/>
    <w:rsid w:val="00AE32D8"/>
    <w:rsid w:val="00AE3B1B"/>
    <w:rsid w:val="00AE5879"/>
    <w:rsid w:val="00AE5CCD"/>
    <w:rsid w:val="00AE6112"/>
    <w:rsid w:val="00AE63FB"/>
    <w:rsid w:val="00AF0D54"/>
    <w:rsid w:val="00AF14C4"/>
    <w:rsid w:val="00AF282A"/>
    <w:rsid w:val="00AF339C"/>
    <w:rsid w:val="00AF4BC7"/>
    <w:rsid w:val="00AF4FA1"/>
    <w:rsid w:val="00AF5623"/>
    <w:rsid w:val="00AF6843"/>
    <w:rsid w:val="00AF6A3A"/>
    <w:rsid w:val="00AF6C12"/>
    <w:rsid w:val="00AF7338"/>
    <w:rsid w:val="00AF7491"/>
    <w:rsid w:val="00B002CD"/>
    <w:rsid w:val="00B01A99"/>
    <w:rsid w:val="00B01F5A"/>
    <w:rsid w:val="00B021F5"/>
    <w:rsid w:val="00B03290"/>
    <w:rsid w:val="00B03AAF"/>
    <w:rsid w:val="00B04182"/>
    <w:rsid w:val="00B047F2"/>
    <w:rsid w:val="00B0534B"/>
    <w:rsid w:val="00B06B26"/>
    <w:rsid w:val="00B073B0"/>
    <w:rsid w:val="00B0799C"/>
    <w:rsid w:val="00B1560B"/>
    <w:rsid w:val="00B15759"/>
    <w:rsid w:val="00B1743D"/>
    <w:rsid w:val="00B201EE"/>
    <w:rsid w:val="00B20C63"/>
    <w:rsid w:val="00B22907"/>
    <w:rsid w:val="00B24B15"/>
    <w:rsid w:val="00B24F99"/>
    <w:rsid w:val="00B251D7"/>
    <w:rsid w:val="00B27766"/>
    <w:rsid w:val="00B31B95"/>
    <w:rsid w:val="00B33073"/>
    <w:rsid w:val="00B332D1"/>
    <w:rsid w:val="00B33559"/>
    <w:rsid w:val="00B3446D"/>
    <w:rsid w:val="00B3549E"/>
    <w:rsid w:val="00B354BE"/>
    <w:rsid w:val="00B40BF6"/>
    <w:rsid w:val="00B40F66"/>
    <w:rsid w:val="00B41A0E"/>
    <w:rsid w:val="00B42250"/>
    <w:rsid w:val="00B42ECA"/>
    <w:rsid w:val="00B44D09"/>
    <w:rsid w:val="00B4527E"/>
    <w:rsid w:val="00B465FC"/>
    <w:rsid w:val="00B469D4"/>
    <w:rsid w:val="00B46E31"/>
    <w:rsid w:val="00B515B5"/>
    <w:rsid w:val="00B54F14"/>
    <w:rsid w:val="00B55A54"/>
    <w:rsid w:val="00B55BED"/>
    <w:rsid w:val="00B56424"/>
    <w:rsid w:val="00B56A46"/>
    <w:rsid w:val="00B56BA8"/>
    <w:rsid w:val="00B575C4"/>
    <w:rsid w:val="00B604B6"/>
    <w:rsid w:val="00B61611"/>
    <w:rsid w:val="00B640AC"/>
    <w:rsid w:val="00B642F8"/>
    <w:rsid w:val="00B6430D"/>
    <w:rsid w:val="00B64D68"/>
    <w:rsid w:val="00B6542C"/>
    <w:rsid w:val="00B66398"/>
    <w:rsid w:val="00B6668B"/>
    <w:rsid w:val="00B66D6C"/>
    <w:rsid w:val="00B67D2B"/>
    <w:rsid w:val="00B7297E"/>
    <w:rsid w:val="00B72E03"/>
    <w:rsid w:val="00B73AF6"/>
    <w:rsid w:val="00B744BC"/>
    <w:rsid w:val="00B74ABD"/>
    <w:rsid w:val="00B76F48"/>
    <w:rsid w:val="00B816DB"/>
    <w:rsid w:val="00B832CB"/>
    <w:rsid w:val="00B83BA6"/>
    <w:rsid w:val="00B83F68"/>
    <w:rsid w:val="00B87091"/>
    <w:rsid w:val="00B9036D"/>
    <w:rsid w:val="00B903D1"/>
    <w:rsid w:val="00B92390"/>
    <w:rsid w:val="00B93BBD"/>
    <w:rsid w:val="00B9437C"/>
    <w:rsid w:val="00B96166"/>
    <w:rsid w:val="00B96646"/>
    <w:rsid w:val="00B966F0"/>
    <w:rsid w:val="00B96EF7"/>
    <w:rsid w:val="00B96FD2"/>
    <w:rsid w:val="00B97BD1"/>
    <w:rsid w:val="00BA3753"/>
    <w:rsid w:val="00BA50D5"/>
    <w:rsid w:val="00BA5B30"/>
    <w:rsid w:val="00BA5E68"/>
    <w:rsid w:val="00BA6409"/>
    <w:rsid w:val="00BA7738"/>
    <w:rsid w:val="00BB0E60"/>
    <w:rsid w:val="00BB1526"/>
    <w:rsid w:val="00BB2CF9"/>
    <w:rsid w:val="00BB5EED"/>
    <w:rsid w:val="00BB60AE"/>
    <w:rsid w:val="00BB6A23"/>
    <w:rsid w:val="00BB6FED"/>
    <w:rsid w:val="00BC08DB"/>
    <w:rsid w:val="00BC25CE"/>
    <w:rsid w:val="00BC3DF5"/>
    <w:rsid w:val="00BC6308"/>
    <w:rsid w:val="00BC7866"/>
    <w:rsid w:val="00BD2B17"/>
    <w:rsid w:val="00BD3507"/>
    <w:rsid w:val="00BD354E"/>
    <w:rsid w:val="00BD38D8"/>
    <w:rsid w:val="00BD5092"/>
    <w:rsid w:val="00BD5638"/>
    <w:rsid w:val="00BD64C7"/>
    <w:rsid w:val="00BD71D2"/>
    <w:rsid w:val="00BD7737"/>
    <w:rsid w:val="00BE0733"/>
    <w:rsid w:val="00BE0EB0"/>
    <w:rsid w:val="00BE239A"/>
    <w:rsid w:val="00BE2515"/>
    <w:rsid w:val="00BE3466"/>
    <w:rsid w:val="00BE3970"/>
    <w:rsid w:val="00BE4528"/>
    <w:rsid w:val="00BE4A25"/>
    <w:rsid w:val="00BE544E"/>
    <w:rsid w:val="00BE56FA"/>
    <w:rsid w:val="00BE5AAD"/>
    <w:rsid w:val="00BE6510"/>
    <w:rsid w:val="00BE6AAE"/>
    <w:rsid w:val="00BE728E"/>
    <w:rsid w:val="00BE7FB4"/>
    <w:rsid w:val="00BF064C"/>
    <w:rsid w:val="00BF0E36"/>
    <w:rsid w:val="00BF1627"/>
    <w:rsid w:val="00BF21B6"/>
    <w:rsid w:val="00BF248C"/>
    <w:rsid w:val="00BF3AE7"/>
    <w:rsid w:val="00BF4DB7"/>
    <w:rsid w:val="00BF5320"/>
    <w:rsid w:val="00BF5335"/>
    <w:rsid w:val="00BF6346"/>
    <w:rsid w:val="00BF6D20"/>
    <w:rsid w:val="00BF7D37"/>
    <w:rsid w:val="00C00AA4"/>
    <w:rsid w:val="00C01EF6"/>
    <w:rsid w:val="00C02085"/>
    <w:rsid w:val="00C04171"/>
    <w:rsid w:val="00C04910"/>
    <w:rsid w:val="00C060EF"/>
    <w:rsid w:val="00C0690F"/>
    <w:rsid w:val="00C07127"/>
    <w:rsid w:val="00C076C0"/>
    <w:rsid w:val="00C07ACC"/>
    <w:rsid w:val="00C07F8C"/>
    <w:rsid w:val="00C10AAF"/>
    <w:rsid w:val="00C11F1E"/>
    <w:rsid w:val="00C12EF7"/>
    <w:rsid w:val="00C13724"/>
    <w:rsid w:val="00C148B4"/>
    <w:rsid w:val="00C1716D"/>
    <w:rsid w:val="00C17699"/>
    <w:rsid w:val="00C178A7"/>
    <w:rsid w:val="00C20E91"/>
    <w:rsid w:val="00C21EEC"/>
    <w:rsid w:val="00C2292D"/>
    <w:rsid w:val="00C2350E"/>
    <w:rsid w:val="00C23574"/>
    <w:rsid w:val="00C24276"/>
    <w:rsid w:val="00C2432A"/>
    <w:rsid w:val="00C24CC9"/>
    <w:rsid w:val="00C25667"/>
    <w:rsid w:val="00C260DA"/>
    <w:rsid w:val="00C27075"/>
    <w:rsid w:val="00C27D12"/>
    <w:rsid w:val="00C315EE"/>
    <w:rsid w:val="00C31AB2"/>
    <w:rsid w:val="00C32440"/>
    <w:rsid w:val="00C33C3A"/>
    <w:rsid w:val="00C34D13"/>
    <w:rsid w:val="00C35F1C"/>
    <w:rsid w:val="00C40CC1"/>
    <w:rsid w:val="00C42C04"/>
    <w:rsid w:val="00C437BA"/>
    <w:rsid w:val="00C44219"/>
    <w:rsid w:val="00C445C8"/>
    <w:rsid w:val="00C44760"/>
    <w:rsid w:val="00C46862"/>
    <w:rsid w:val="00C50273"/>
    <w:rsid w:val="00C5135E"/>
    <w:rsid w:val="00C53070"/>
    <w:rsid w:val="00C5370E"/>
    <w:rsid w:val="00C543D9"/>
    <w:rsid w:val="00C54ADC"/>
    <w:rsid w:val="00C54E8B"/>
    <w:rsid w:val="00C55BB7"/>
    <w:rsid w:val="00C55C9B"/>
    <w:rsid w:val="00C568F8"/>
    <w:rsid w:val="00C61BA5"/>
    <w:rsid w:val="00C65665"/>
    <w:rsid w:val="00C668F3"/>
    <w:rsid w:val="00C70B60"/>
    <w:rsid w:val="00C716F3"/>
    <w:rsid w:val="00C71797"/>
    <w:rsid w:val="00C71A66"/>
    <w:rsid w:val="00C72072"/>
    <w:rsid w:val="00C72FA8"/>
    <w:rsid w:val="00C731F3"/>
    <w:rsid w:val="00C7369B"/>
    <w:rsid w:val="00C73EB0"/>
    <w:rsid w:val="00C74015"/>
    <w:rsid w:val="00C74872"/>
    <w:rsid w:val="00C74A4C"/>
    <w:rsid w:val="00C75B96"/>
    <w:rsid w:val="00C7752E"/>
    <w:rsid w:val="00C81685"/>
    <w:rsid w:val="00C81B0D"/>
    <w:rsid w:val="00C81FD0"/>
    <w:rsid w:val="00C82B95"/>
    <w:rsid w:val="00C82DC5"/>
    <w:rsid w:val="00C83EDD"/>
    <w:rsid w:val="00C840E9"/>
    <w:rsid w:val="00C84368"/>
    <w:rsid w:val="00C85A37"/>
    <w:rsid w:val="00C866FF"/>
    <w:rsid w:val="00C87A47"/>
    <w:rsid w:val="00C87B10"/>
    <w:rsid w:val="00C87E6B"/>
    <w:rsid w:val="00C903A1"/>
    <w:rsid w:val="00C913F4"/>
    <w:rsid w:val="00C9172D"/>
    <w:rsid w:val="00C91A01"/>
    <w:rsid w:val="00C964D7"/>
    <w:rsid w:val="00CA0682"/>
    <w:rsid w:val="00CA089A"/>
    <w:rsid w:val="00CA22E3"/>
    <w:rsid w:val="00CA29EB"/>
    <w:rsid w:val="00CA2F1C"/>
    <w:rsid w:val="00CA3EA6"/>
    <w:rsid w:val="00CA4335"/>
    <w:rsid w:val="00CA66B5"/>
    <w:rsid w:val="00CA6B9E"/>
    <w:rsid w:val="00CA6FF0"/>
    <w:rsid w:val="00CB059F"/>
    <w:rsid w:val="00CB0B19"/>
    <w:rsid w:val="00CB0C2A"/>
    <w:rsid w:val="00CB49B0"/>
    <w:rsid w:val="00CB5056"/>
    <w:rsid w:val="00CB555B"/>
    <w:rsid w:val="00CB678B"/>
    <w:rsid w:val="00CC052D"/>
    <w:rsid w:val="00CC246B"/>
    <w:rsid w:val="00CC5906"/>
    <w:rsid w:val="00CC6514"/>
    <w:rsid w:val="00CC69BC"/>
    <w:rsid w:val="00CC7052"/>
    <w:rsid w:val="00CD129E"/>
    <w:rsid w:val="00CD1C53"/>
    <w:rsid w:val="00CD1CC9"/>
    <w:rsid w:val="00CD47C3"/>
    <w:rsid w:val="00CD4EDE"/>
    <w:rsid w:val="00CD5427"/>
    <w:rsid w:val="00CD5E79"/>
    <w:rsid w:val="00CD7CEF"/>
    <w:rsid w:val="00CE0987"/>
    <w:rsid w:val="00CE0EC9"/>
    <w:rsid w:val="00CE1BDF"/>
    <w:rsid w:val="00CE1C03"/>
    <w:rsid w:val="00CE330E"/>
    <w:rsid w:val="00CE3329"/>
    <w:rsid w:val="00CE4B24"/>
    <w:rsid w:val="00CF0FB9"/>
    <w:rsid w:val="00CF108B"/>
    <w:rsid w:val="00CF129B"/>
    <w:rsid w:val="00CF156C"/>
    <w:rsid w:val="00CF1581"/>
    <w:rsid w:val="00CF43BE"/>
    <w:rsid w:val="00CF590F"/>
    <w:rsid w:val="00CF59BA"/>
    <w:rsid w:val="00CF6D3B"/>
    <w:rsid w:val="00CF7733"/>
    <w:rsid w:val="00CF7896"/>
    <w:rsid w:val="00CF7D76"/>
    <w:rsid w:val="00D029B3"/>
    <w:rsid w:val="00D02AA6"/>
    <w:rsid w:val="00D02D10"/>
    <w:rsid w:val="00D03853"/>
    <w:rsid w:val="00D045A2"/>
    <w:rsid w:val="00D046F4"/>
    <w:rsid w:val="00D05841"/>
    <w:rsid w:val="00D07F31"/>
    <w:rsid w:val="00D121EF"/>
    <w:rsid w:val="00D129E5"/>
    <w:rsid w:val="00D13ED1"/>
    <w:rsid w:val="00D147D7"/>
    <w:rsid w:val="00D15208"/>
    <w:rsid w:val="00D15B82"/>
    <w:rsid w:val="00D204D9"/>
    <w:rsid w:val="00D208C8"/>
    <w:rsid w:val="00D21269"/>
    <w:rsid w:val="00D21305"/>
    <w:rsid w:val="00D216E4"/>
    <w:rsid w:val="00D21B72"/>
    <w:rsid w:val="00D220A2"/>
    <w:rsid w:val="00D22785"/>
    <w:rsid w:val="00D23069"/>
    <w:rsid w:val="00D23394"/>
    <w:rsid w:val="00D23A96"/>
    <w:rsid w:val="00D25611"/>
    <w:rsid w:val="00D25E1B"/>
    <w:rsid w:val="00D30621"/>
    <w:rsid w:val="00D308EB"/>
    <w:rsid w:val="00D30B89"/>
    <w:rsid w:val="00D3234A"/>
    <w:rsid w:val="00D32B9E"/>
    <w:rsid w:val="00D32CF5"/>
    <w:rsid w:val="00D333FC"/>
    <w:rsid w:val="00D3435A"/>
    <w:rsid w:val="00D34D34"/>
    <w:rsid w:val="00D35397"/>
    <w:rsid w:val="00D35D77"/>
    <w:rsid w:val="00D40BFD"/>
    <w:rsid w:val="00D421FC"/>
    <w:rsid w:val="00D440D2"/>
    <w:rsid w:val="00D456B5"/>
    <w:rsid w:val="00D4587C"/>
    <w:rsid w:val="00D45A51"/>
    <w:rsid w:val="00D45C70"/>
    <w:rsid w:val="00D45D4B"/>
    <w:rsid w:val="00D509A5"/>
    <w:rsid w:val="00D523A1"/>
    <w:rsid w:val="00D52701"/>
    <w:rsid w:val="00D53476"/>
    <w:rsid w:val="00D54C56"/>
    <w:rsid w:val="00D56B26"/>
    <w:rsid w:val="00D576CE"/>
    <w:rsid w:val="00D57774"/>
    <w:rsid w:val="00D577CD"/>
    <w:rsid w:val="00D60347"/>
    <w:rsid w:val="00D60400"/>
    <w:rsid w:val="00D60455"/>
    <w:rsid w:val="00D604F8"/>
    <w:rsid w:val="00D60E27"/>
    <w:rsid w:val="00D61966"/>
    <w:rsid w:val="00D61F02"/>
    <w:rsid w:val="00D621C2"/>
    <w:rsid w:val="00D628B3"/>
    <w:rsid w:val="00D63174"/>
    <w:rsid w:val="00D63F7D"/>
    <w:rsid w:val="00D651B8"/>
    <w:rsid w:val="00D67259"/>
    <w:rsid w:val="00D67A2D"/>
    <w:rsid w:val="00D67B08"/>
    <w:rsid w:val="00D70339"/>
    <w:rsid w:val="00D70986"/>
    <w:rsid w:val="00D70A43"/>
    <w:rsid w:val="00D70FAD"/>
    <w:rsid w:val="00D71105"/>
    <w:rsid w:val="00D723DE"/>
    <w:rsid w:val="00D73005"/>
    <w:rsid w:val="00D73012"/>
    <w:rsid w:val="00D74648"/>
    <w:rsid w:val="00D750AD"/>
    <w:rsid w:val="00D7518A"/>
    <w:rsid w:val="00D76723"/>
    <w:rsid w:val="00D76DE5"/>
    <w:rsid w:val="00D77145"/>
    <w:rsid w:val="00D77ADD"/>
    <w:rsid w:val="00D77DA5"/>
    <w:rsid w:val="00D77ECE"/>
    <w:rsid w:val="00D804FD"/>
    <w:rsid w:val="00D81C89"/>
    <w:rsid w:val="00D8388E"/>
    <w:rsid w:val="00D83B3D"/>
    <w:rsid w:val="00D86198"/>
    <w:rsid w:val="00D86451"/>
    <w:rsid w:val="00D86C70"/>
    <w:rsid w:val="00D86CF2"/>
    <w:rsid w:val="00D86DDA"/>
    <w:rsid w:val="00D8759A"/>
    <w:rsid w:val="00D9038C"/>
    <w:rsid w:val="00D9063B"/>
    <w:rsid w:val="00D91226"/>
    <w:rsid w:val="00D94B8F"/>
    <w:rsid w:val="00D960DF"/>
    <w:rsid w:val="00D96618"/>
    <w:rsid w:val="00D97544"/>
    <w:rsid w:val="00D9761A"/>
    <w:rsid w:val="00D9768F"/>
    <w:rsid w:val="00DA000F"/>
    <w:rsid w:val="00DA227D"/>
    <w:rsid w:val="00DA2B87"/>
    <w:rsid w:val="00DA2CAD"/>
    <w:rsid w:val="00DA3475"/>
    <w:rsid w:val="00DA3E53"/>
    <w:rsid w:val="00DA3F5D"/>
    <w:rsid w:val="00DB0B8B"/>
    <w:rsid w:val="00DB402C"/>
    <w:rsid w:val="00DB5A82"/>
    <w:rsid w:val="00DB61B8"/>
    <w:rsid w:val="00DB642A"/>
    <w:rsid w:val="00DC1707"/>
    <w:rsid w:val="00DC1D32"/>
    <w:rsid w:val="00DC2E74"/>
    <w:rsid w:val="00DC3776"/>
    <w:rsid w:val="00DC3A41"/>
    <w:rsid w:val="00DC44CD"/>
    <w:rsid w:val="00DC48B4"/>
    <w:rsid w:val="00DC6F45"/>
    <w:rsid w:val="00DC71D8"/>
    <w:rsid w:val="00DC7AEF"/>
    <w:rsid w:val="00DC7D31"/>
    <w:rsid w:val="00DD029D"/>
    <w:rsid w:val="00DD11C3"/>
    <w:rsid w:val="00DD15FF"/>
    <w:rsid w:val="00DD2D2C"/>
    <w:rsid w:val="00DD4116"/>
    <w:rsid w:val="00DD4D32"/>
    <w:rsid w:val="00DD7951"/>
    <w:rsid w:val="00DE0513"/>
    <w:rsid w:val="00DE0D1D"/>
    <w:rsid w:val="00DE134F"/>
    <w:rsid w:val="00DE402B"/>
    <w:rsid w:val="00DE40E5"/>
    <w:rsid w:val="00DE4C04"/>
    <w:rsid w:val="00DE50B5"/>
    <w:rsid w:val="00DE58E9"/>
    <w:rsid w:val="00DE7BA8"/>
    <w:rsid w:val="00DF00CF"/>
    <w:rsid w:val="00DF0391"/>
    <w:rsid w:val="00DF086F"/>
    <w:rsid w:val="00DF1571"/>
    <w:rsid w:val="00DF5911"/>
    <w:rsid w:val="00DF6347"/>
    <w:rsid w:val="00DF7319"/>
    <w:rsid w:val="00DF761D"/>
    <w:rsid w:val="00E00508"/>
    <w:rsid w:val="00E02ABC"/>
    <w:rsid w:val="00E03057"/>
    <w:rsid w:val="00E04AC9"/>
    <w:rsid w:val="00E061F8"/>
    <w:rsid w:val="00E07047"/>
    <w:rsid w:val="00E07265"/>
    <w:rsid w:val="00E100F7"/>
    <w:rsid w:val="00E109D9"/>
    <w:rsid w:val="00E10B0B"/>
    <w:rsid w:val="00E13AD7"/>
    <w:rsid w:val="00E14280"/>
    <w:rsid w:val="00E14EA3"/>
    <w:rsid w:val="00E15671"/>
    <w:rsid w:val="00E162F8"/>
    <w:rsid w:val="00E16AF6"/>
    <w:rsid w:val="00E172AA"/>
    <w:rsid w:val="00E21115"/>
    <w:rsid w:val="00E21D6D"/>
    <w:rsid w:val="00E23AEC"/>
    <w:rsid w:val="00E245D0"/>
    <w:rsid w:val="00E257C5"/>
    <w:rsid w:val="00E26870"/>
    <w:rsid w:val="00E26BAF"/>
    <w:rsid w:val="00E26CCA"/>
    <w:rsid w:val="00E30F86"/>
    <w:rsid w:val="00E3144B"/>
    <w:rsid w:val="00E319B6"/>
    <w:rsid w:val="00E3244C"/>
    <w:rsid w:val="00E3390F"/>
    <w:rsid w:val="00E33B81"/>
    <w:rsid w:val="00E341CB"/>
    <w:rsid w:val="00E35DDE"/>
    <w:rsid w:val="00E35F53"/>
    <w:rsid w:val="00E42D54"/>
    <w:rsid w:val="00E438DD"/>
    <w:rsid w:val="00E4487F"/>
    <w:rsid w:val="00E4533A"/>
    <w:rsid w:val="00E45947"/>
    <w:rsid w:val="00E459EA"/>
    <w:rsid w:val="00E46736"/>
    <w:rsid w:val="00E47F00"/>
    <w:rsid w:val="00E50EE0"/>
    <w:rsid w:val="00E51AC9"/>
    <w:rsid w:val="00E51C3A"/>
    <w:rsid w:val="00E54A08"/>
    <w:rsid w:val="00E54A63"/>
    <w:rsid w:val="00E56979"/>
    <w:rsid w:val="00E56D23"/>
    <w:rsid w:val="00E575FC"/>
    <w:rsid w:val="00E60725"/>
    <w:rsid w:val="00E60861"/>
    <w:rsid w:val="00E60945"/>
    <w:rsid w:val="00E60BC8"/>
    <w:rsid w:val="00E63242"/>
    <w:rsid w:val="00E646F3"/>
    <w:rsid w:val="00E65E5A"/>
    <w:rsid w:val="00E702C8"/>
    <w:rsid w:val="00E73399"/>
    <w:rsid w:val="00E73DB5"/>
    <w:rsid w:val="00E763A3"/>
    <w:rsid w:val="00E77722"/>
    <w:rsid w:val="00E80456"/>
    <w:rsid w:val="00E80AD1"/>
    <w:rsid w:val="00E8344B"/>
    <w:rsid w:val="00E8409B"/>
    <w:rsid w:val="00E840A7"/>
    <w:rsid w:val="00E872B3"/>
    <w:rsid w:val="00E87C51"/>
    <w:rsid w:val="00E90E42"/>
    <w:rsid w:val="00E925ED"/>
    <w:rsid w:val="00E92B5E"/>
    <w:rsid w:val="00E93542"/>
    <w:rsid w:val="00E93D53"/>
    <w:rsid w:val="00E9446F"/>
    <w:rsid w:val="00E95364"/>
    <w:rsid w:val="00E95EB4"/>
    <w:rsid w:val="00E96FF8"/>
    <w:rsid w:val="00EA0CB2"/>
    <w:rsid w:val="00EA16F0"/>
    <w:rsid w:val="00EA1F47"/>
    <w:rsid w:val="00EA225A"/>
    <w:rsid w:val="00EA2BAA"/>
    <w:rsid w:val="00EA37F1"/>
    <w:rsid w:val="00EA388E"/>
    <w:rsid w:val="00EA3CDD"/>
    <w:rsid w:val="00EA4C36"/>
    <w:rsid w:val="00EA5A5F"/>
    <w:rsid w:val="00EA5C19"/>
    <w:rsid w:val="00EA73F5"/>
    <w:rsid w:val="00EB113E"/>
    <w:rsid w:val="00EB1247"/>
    <w:rsid w:val="00EB2B49"/>
    <w:rsid w:val="00EB38ED"/>
    <w:rsid w:val="00EC091C"/>
    <w:rsid w:val="00EC3C42"/>
    <w:rsid w:val="00EC4177"/>
    <w:rsid w:val="00EC4DDF"/>
    <w:rsid w:val="00EC5E6F"/>
    <w:rsid w:val="00EC7B7C"/>
    <w:rsid w:val="00ED0629"/>
    <w:rsid w:val="00ED1115"/>
    <w:rsid w:val="00ED12EC"/>
    <w:rsid w:val="00ED191E"/>
    <w:rsid w:val="00ED1E65"/>
    <w:rsid w:val="00ED246C"/>
    <w:rsid w:val="00ED325F"/>
    <w:rsid w:val="00ED3913"/>
    <w:rsid w:val="00ED4D85"/>
    <w:rsid w:val="00ED67E8"/>
    <w:rsid w:val="00ED6B9D"/>
    <w:rsid w:val="00ED70C0"/>
    <w:rsid w:val="00EE0CFE"/>
    <w:rsid w:val="00EE0D4C"/>
    <w:rsid w:val="00EE275B"/>
    <w:rsid w:val="00EE32FF"/>
    <w:rsid w:val="00EE4E5B"/>
    <w:rsid w:val="00EE6053"/>
    <w:rsid w:val="00EE6C16"/>
    <w:rsid w:val="00EE757A"/>
    <w:rsid w:val="00EF1BF2"/>
    <w:rsid w:val="00EF2032"/>
    <w:rsid w:val="00EF2217"/>
    <w:rsid w:val="00EF2453"/>
    <w:rsid w:val="00EF3A33"/>
    <w:rsid w:val="00EF3FD8"/>
    <w:rsid w:val="00EF44E6"/>
    <w:rsid w:val="00EF7955"/>
    <w:rsid w:val="00F00166"/>
    <w:rsid w:val="00F007E8"/>
    <w:rsid w:val="00F017A0"/>
    <w:rsid w:val="00F0430C"/>
    <w:rsid w:val="00F04F11"/>
    <w:rsid w:val="00F05FCA"/>
    <w:rsid w:val="00F06BFC"/>
    <w:rsid w:val="00F07EBA"/>
    <w:rsid w:val="00F10752"/>
    <w:rsid w:val="00F11E51"/>
    <w:rsid w:val="00F1261E"/>
    <w:rsid w:val="00F12789"/>
    <w:rsid w:val="00F131BC"/>
    <w:rsid w:val="00F13F3E"/>
    <w:rsid w:val="00F14389"/>
    <w:rsid w:val="00F14805"/>
    <w:rsid w:val="00F14A3A"/>
    <w:rsid w:val="00F1518C"/>
    <w:rsid w:val="00F151B2"/>
    <w:rsid w:val="00F158B5"/>
    <w:rsid w:val="00F159B2"/>
    <w:rsid w:val="00F16DB4"/>
    <w:rsid w:val="00F17D69"/>
    <w:rsid w:val="00F2107B"/>
    <w:rsid w:val="00F21D89"/>
    <w:rsid w:val="00F21E36"/>
    <w:rsid w:val="00F21F2E"/>
    <w:rsid w:val="00F2209A"/>
    <w:rsid w:val="00F23315"/>
    <w:rsid w:val="00F23519"/>
    <w:rsid w:val="00F245EE"/>
    <w:rsid w:val="00F24948"/>
    <w:rsid w:val="00F25106"/>
    <w:rsid w:val="00F257B6"/>
    <w:rsid w:val="00F26809"/>
    <w:rsid w:val="00F278A3"/>
    <w:rsid w:val="00F2797D"/>
    <w:rsid w:val="00F30C4D"/>
    <w:rsid w:val="00F31B3F"/>
    <w:rsid w:val="00F324A9"/>
    <w:rsid w:val="00F33EE8"/>
    <w:rsid w:val="00F34570"/>
    <w:rsid w:val="00F354B9"/>
    <w:rsid w:val="00F36010"/>
    <w:rsid w:val="00F36797"/>
    <w:rsid w:val="00F36AEF"/>
    <w:rsid w:val="00F4030B"/>
    <w:rsid w:val="00F41CD0"/>
    <w:rsid w:val="00F422FD"/>
    <w:rsid w:val="00F42CF7"/>
    <w:rsid w:val="00F43669"/>
    <w:rsid w:val="00F44474"/>
    <w:rsid w:val="00F44AF9"/>
    <w:rsid w:val="00F44DCF"/>
    <w:rsid w:val="00F451F4"/>
    <w:rsid w:val="00F45966"/>
    <w:rsid w:val="00F46035"/>
    <w:rsid w:val="00F464D0"/>
    <w:rsid w:val="00F47CD2"/>
    <w:rsid w:val="00F50670"/>
    <w:rsid w:val="00F52E81"/>
    <w:rsid w:val="00F5684E"/>
    <w:rsid w:val="00F56CF6"/>
    <w:rsid w:val="00F5707E"/>
    <w:rsid w:val="00F57C5B"/>
    <w:rsid w:val="00F60311"/>
    <w:rsid w:val="00F62206"/>
    <w:rsid w:val="00F62B72"/>
    <w:rsid w:val="00F62E9F"/>
    <w:rsid w:val="00F63F6D"/>
    <w:rsid w:val="00F64F4B"/>
    <w:rsid w:val="00F64F72"/>
    <w:rsid w:val="00F664D4"/>
    <w:rsid w:val="00F66BDD"/>
    <w:rsid w:val="00F66F9B"/>
    <w:rsid w:val="00F67F00"/>
    <w:rsid w:val="00F71863"/>
    <w:rsid w:val="00F71E4E"/>
    <w:rsid w:val="00F73071"/>
    <w:rsid w:val="00F7323D"/>
    <w:rsid w:val="00F73A1D"/>
    <w:rsid w:val="00F74753"/>
    <w:rsid w:val="00F7631A"/>
    <w:rsid w:val="00F76898"/>
    <w:rsid w:val="00F769C2"/>
    <w:rsid w:val="00F77D85"/>
    <w:rsid w:val="00F77FF0"/>
    <w:rsid w:val="00F809D6"/>
    <w:rsid w:val="00F8118B"/>
    <w:rsid w:val="00F819D8"/>
    <w:rsid w:val="00F81A3B"/>
    <w:rsid w:val="00F828A4"/>
    <w:rsid w:val="00F82E93"/>
    <w:rsid w:val="00F86F44"/>
    <w:rsid w:val="00F87613"/>
    <w:rsid w:val="00F87C79"/>
    <w:rsid w:val="00F927D0"/>
    <w:rsid w:val="00F92819"/>
    <w:rsid w:val="00F928D8"/>
    <w:rsid w:val="00F93F43"/>
    <w:rsid w:val="00F94B63"/>
    <w:rsid w:val="00F95631"/>
    <w:rsid w:val="00F96079"/>
    <w:rsid w:val="00F96506"/>
    <w:rsid w:val="00FA23D3"/>
    <w:rsid w:val="00FA2CF8"/>
    <w:rsid w:val="00FA3384"/>
    <w:rsid w:val="00FA360E"/>
    <w:rsid w:val="00FA6407"/>
    <w:rsid w:val="00FA6AEB"/>
    <w:rsid w:val="00FB0508"/>
    <w:rsid w:val="00FB062B"/>
    <w:rsid w:val="00FB0962"/>
    <w:rsid w:val="00FB0D4F"/>
    <w:rsid w:val="00FB2D4C"/>
    <w:rsid w:val="00FB3211"/>
    <w:rsid w:val="00FB338F"/>
    <w:rsid w:val="00FB3BBB"/>
    <w:rsid w:val="00FB6246"/>
    <w:rsid w:val="00FB64C6"/>
    <w:rsid w:val="00FB76E5"/>
    <w:rsid w:val="00FC06B0"/>
    <w:rsid w:val="00FC07A4"/>
    <w:rsid w:val="00FC0F9F"/>
    <w:rsid w:val="00FC10EF"/>
    <w:rsid w:val="00FC1D42"/>
    <w:rsid w:val="00FC2496"/>
    <w:rsid w:val="00FC28AA"/>
    <w:rsid w:val="00FC39BD"/>
    <w:rsid w:val="00FC7014"/>
    <w:rsid w:val="00FD06A2"/>
    <w:rsid w:val="00FD22FD"/>
    <w:rsid w:val="00FD3E48"/>
    <w:rsid w:val="00FD54E9"/>
    <w:rsid w:val="00FD65D6"/>
    <w:rsid w:val="00FD6E6B"/>
    <w:rsid w:val="00FD6FE4"/>
    <w:rsid w:val="00FD7C5E"/>
    <w:rsid w:val="00FE0FBF"/>
    <w:rsid w:val="00FE1003"/>
    <w:rsid w:val="00FE1D8A"/>
    <w:rsid w:val="00FE2EEA"/>
    <w:rsid w:val="00FE5E82"/>
    <w:rsid w:val="00FE6F69"/>
    <w:rsid w:val="00FE74DF"/>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unhideWhenUsed/>
    <w:rsid w:val="00B61611"/>
    <w:rPr>
      <w:sz w:val="20"/>
      <w:szCs w:val="20"/>
    </w:rPr>
  </w:style>
  <w:style w:type="character" w:customStyle="1" w:styleId="CommentTextChar">
    <w:name w:val="Comment Text Char"/>
    <w:basedOn w:val="DefaultParagraphFont"/>
    <w:link w:val="CommentText"/>
    <w:uiPriority w:val="99"/>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paragraph" w:customStyle="1" w:styleId="Recommendation2">
    <w:name w:val="Recommendation 2"/>
    <w:qFormat/>
    <w:rsid w:val="00DC7AEF"/>
    <w:pPr>
      <w:numPr>
        <w:numId w:val="27"/>
      </w:numPr>
      <w:tabs>
        <w:tab w:val="left" w:pos="851"/>
      </w:tabs>
      <w:spacing w:before="120" w:line="276" w:lineRule="auto"/>
    </w:pPr>
    <w:rPr>
      <w:rFonts w:asciiTheme="minorHAnsi" w:eastAsiaTheme="minorEastAsia" w:hAnsiTheme="minorHAnsi" w:cstheme="minorBidi"/>
      <w:sz w:val="24"/>
      <w:szCs w:val="24"/>
      <w:lang w:eastAsia="en-US"/>
    </w:rPr>
  </w:style>
  <w:style w:type="paragraph" w:customStyle="1" w:styleId="Recommendation3">
    <w:name w:val="Recommendation 3"/>
    <w:qFormat/>
    <w:rsid w:val="00DC7AEF"/>
    <w:pPr>
      <w:numPr>
        <w:numId w:val="25"/>
      </w:numPr>
      <w:tabs>
        <w:tab w:val="left" w:pos="1276"/>
      </w:tabs>
      <w:spacing w:before="60" w:line="276" w:lineRule="auto"/>
    </w:pPr>
    <w:rPr>
      <w:rFonts w:asciiTheme="minorHAnsi" w:eastAsiaTheme="minorEastAsia" w:hAnsiTheme="minorHAnsi" w:cstheme="minorBidi"/>
      <w:sz w:val="24"/>
      <w:szCs w:val="24"/>
      <w:lang w:eastAsia="en-US"/>
    </w:rPr>
  </w:style>
  <w:style w:type="paragraph" w:customStyle="1" w:styleId="bodytext0">
    <w:name w:val="bodytext"/>
    <w:basedOn w:val="Normal"/>
    <w:rsid w:val="00980472"/>
    <w:pPr>
      <w:spacing w:before="100" w:beforeAutospacing="1" w:after="100" w:afterAutospacing="1" w:line="240" w:lineRule="auto"/>
    </w:pPr>
    <w:rPr>
      <w:rFonts w:eastAsia="Times New Roman"/>
      <w:szCs w:val="24"/>
      <w:lang w:eastAsia="en-AU"/>
    </w:rPr>
  </w:style>
  <w:style w:type="paragraph" w:customStyle="1" w:styleId="CS-Paragraphnumbering">
    <w:name w:val="CS - Paragraph numbering"/>
    <w:basedOn w:val="Normal"/>
    <w:rsid w:val="0091043D"/>
    <w:pPr>
      <w:numPr>
        <w:numId w:val="32"/>
      </w:numPr>
      <w:spacing w:after="120"/>
      <w:ind w:left="567" w:right="-45" w:hanging="567"/>
    </w:pPr>
    <w:rPr>
      <w:rFonts w:asciiTheme="minorHAnsi" w:eastAsiaTheme="minorHAnsi" w:hAnsiTheme="minorHAnsi" w:cstheme="minorBidi"/>
      <w:szCs w:val="24"/>
    </w:rPr>
  </w:style>
  <w:style w:type="paragraph" w:customStyle="1" w:styleId="listparagraph0">
    <w:name w:val="listparagraph"/>
    <w:basedOn w:val="Normal"/>
    <w:rsid w:val="0091043D"/>
    <w:pPr>
      <w:spacing w:before="100" w:beforeAutospacing="1" w:after="100" w:afterAutospacing="1" w:line="240" w:lineRule="auto"/>
    </w:pPr>
    <w:rPr>
      <w:rFonts w:eastAsia="Times New Roman"/>
      <w:szCs w:val="24"/>
      <w:lang w:eastAsia="en-AU"/>
    </w:rPr>
  </w:style>
  <w:style w:type="character" w:styleId="UnresolvedMention">
    <w:name w:val="Unresolved Mention"/>
    <w:basedOn w:val="DefaultParagraphFont"/>
    <w:uiPriority w:val="99"/>
    <w:semiHidden/>
    <w:unhideWhenUsed/>
    <w:rsid w:val="00B816DB"/>
    <w:rPr>
      <w:color w:val="605E5C"/>
      <w:shd w:val="clear" w:color="auto" w:fill="E1DFDD"/>
    </w:rPr>
  </w:style>
  <w:style w:type="paragraph" w:styleId="Revision">
    <w:name w:val="Revision"/>
    <w:hidden/>
    <w:uiPriority w:val="99"/>
    <w:semiHidden/>
    <w:rsid w:val="00983FAB"/>
    <w:rPr>
      <w:rFonts w:ascii="Times New Roman" w:hAnsi="Times New Roman"/>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70498256">
      <w:bodyDiv w:val="1"/>
      <w:marLeft w:val="0"/>
      <w:marRight w:val="0"/>
      <w:marTop w:val="0"/>
      <w:marBottom w:val="0"/>
      <w:divBdr>
        <w:top w:val="none" w:sz="0" w:space="0" w:color="auto"/>
        <w:left w:val="none" w:sz="0" w:space="0" w:color="auto"/>
        <w:bottom w:val="none" w:sz="0" w:space="0" w:color="auto"/>
        <w:right w:val="none" w:sz="0" w:space="0" w:color="auto"/>
      </w:divBdr>
    </w:div>
    <w:div w:id="452137090">
      <w:bodyDiv w:val="1"/>
      <w:marLeft w:val="0"/>
      <w:marRight w:val="0"/>
      <w:marTop w:val="0"/>
      <w:marBottom w:val="0"/>
      <w:divBdr>
        <w:top w:val="none" w:sz="0" w:space="0" w:color="auto"/>
        <w:left w:val="none" w:sz="0" w:space="0" w:color="auto"/>
        <w:bottom w:val="none" w:sz="0" w:space="0" w:color="auto"/>
        <w:right w:val="none" w:sz="0" w:space="0" w:color="auto"/>
      </w:divBdr>
    </w:div>
    <w:div w:id="460684391">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546140756">
      <w:bodyDiv w:val="1"/>
      <w:marLeft w:val="0"/>
      <w:marRight w:val="0"/>
      <w:marTop w:val="0"/>
      <w:marBottom w:val="0"/>
      <w:divBdr>
        <w:top w:val="none" w:sz="0" w:space="0" w:color="auto"/>
        <w:left w:val="none" w:sz="0" w:space="0" w:color="auto"/>
        <w:bottom w:val="none" w:sz="0" w:space="0" w:color="auto"/>
        <w:right w:val="none" w:sz="0" w:space="0" w:color="auto"/>
      </w:divBdr>
    </w:div>
    <w:div w:id="625090480">
      <w:bodyDiv w:val="1"/>
      <w:marLeft w:val="0"/>
      <w:marRight w:val="0"/>
      <w:marTop w:val="0"/>
      <w:marBottom w:val="0"/>
      <w:divBdr>
        <w:top w:val="none" w:sz="0" w:space="0" w:color="auto"/>
        <w:left w:val="none" w:sz="0" w:space="0" w:color="auto"/>
        <w:bottom w:val="none" w:sz="0" w:space="0" w:color="auto"/>
        <w:right w:val="none" w:sz="0" w:space="0" w:color="auto"/>
      </w:divBdr>
    </w:div>
    <w:div w:id="66173629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4135729">
      <w:bodyDiv w:val="1"/>
      <w:marLeft w:val="0"/>
      <w:marRight w:val="0"/>
      <w:marTop w:val="0"/>
      <w:marBottom w:val="0"/>
      <w:divBdr>
        <w:top w:val="none" w:sz="0" w:space="0" w:color="auto"/>
        <w:left w:val="none" w:sz="0" w:space="0" w:color="auto"/>
        <w:bottom w:val="none" w:sz="0" w:space="0" w:color="auto"/>
        <w:right w:val="none" w:sz="0" w:space="0" w:color="auto"/>
      </w:divBdr>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102725913">
      <w:bodyDiv w:val="1"/>
      <w:marLeft w:val="0"/>
      <w:marRight w:val="0"/>
      <w:marTop w:val="0"/>
      <w:marBottom w:val="0"/>
      <w:divBdr>
        <w:top w:val="none" w:sz="0" w:space="0" w:color="auto"/>
        <w:left w:val="none" w:sz="0" w:space="0" w:color="auto"/>
        <w:bottom w:val="none" w:sz="0" w:space="0" w:color="auto"/>
        <w:right w:val="none" w:sz="0" w:space="0" w:color="auto"/>
      </w:divBdr>
    </w:div>
    <w:div w:id="1209151487">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329166843">
      <w:bodyDiv w:val="1"/>
      <w:marLeft w:val="0"/>
      <w:marRight w:val="0"/>
      <w:marTop w:val="0"/>
      <w:marBottom w:val="0"/>
      <w:divBdr>
        <w:top w:val="none" w:sz="0" w:space="0" w:color="auto"/>
        <w:left w:val="none" w:sz="0" w:space="0" w:color="auto"/>
        <w:bottom w:val="none" w:sz="0" w:space="0" w:color="auto"/>
        <w:right w:val="none" w:sz="0" w:space="0" w:color="auto"/>
      </w:divBdr>
    </w:div>
    <w:div w:id="1489058405">
      <w:bodyDiv w:val="1"/>
      <w:marLeft w:val="0"/>
      <w:marRight w:val="0"/>
      <w:marTop w:val="0"/>
      <w:marBottom w:val="0"/>
      <w:divBdr>
        <w:top w:val="none" w:sz="0" w:space="0" w:color="auto"/>
        <w:left w:val="none" w:sz="0" w:space="0" w:color="auto"/>
        <w:bottom w:val="none" w:sz="0" w:space="0" w:color="auto"/>
        <w:right w:val="none" w:sz="0" w:space="0" w:color="auto"/>
      </w:divBdr>
    </w:div>
    <w:div w:id="1579318211">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750037160">
      <w:bodyDiv w:val="1"/>
      <w:marLeft w:val="0"/>
      <w:marRight w:val="0"/>
      <w:marTop w:val="0"/>
      <w:marBottom w:val="0"/>
      <w:divBdr>
        <w:top w:val="none" w:sz="0" w:space="0" w:color="auto"/>
        <w:left w:val="none" w:sz="0" w:space="0" w:color="auto"/>
        <w:bottom w:val="none" w:sz="0" w:space="0" w:color="auto"/>
        <w:right w:val="none" w:sz="0" w:space="0" w:color="auto"/>
      </w:divBdr>
    </w:div>
    <w:div w:id="1782217940">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2007199204">
      <w:bodyDiv w:val="1"/>
      <w:marLeft w:val="0"/>
      <w:marRight w:val="0"/>
      <w:marTop w:val="0"/>
      <w:marBottom w:val="0"/>
      <w:divBdr>
        <w:top w:val="none" w:sz="0" w:space="0" w:color="auto"/>
        <w:left w:val="none" w:sz="0" w:space="0" w:color="auto"/>
        <w:bottom w:val="none" w:sz="0" w:space="0" w:color="auto"/>
        <w:right w:val="none" w:sz="0" w:space="0" w:color="auto"/>
      </w:divBdr>
    </w:div>
    <w:div w:id="2133090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035CA"/>
    <w:rsid w:val="00082794"/>
    <w:rsid w:val="000F24BF"/>
    <w:rsid w:val="00101B53"/>
    <w:rsid w:val="00104FA0"/>
    <w:rsid w:val="00156440"/>
    <w:rsid w:val="001671A9"/>
    <w:rsid w:val="00177642"/>
    <w:rsid w:val="00192A45"/>
    <w:rsid w:val="001A2B87"/>
    <w:rsid w:val="001A4033"/>
    <w:rsid w:val="001C1E71"/>
    <w:rsid w:val="001D6BCF"/>
    <w:rsid w:val="001D778D"/>
    <w:rsid w:val="001E789B"/>
    <w:rsid w:val="002411AF"/>
    <w:rsid w:val="00272492"/>
    <w:rsid w:val="00274D8C"/>
    <w:rsid w:val="00284E98"/>
    <w:rsid w:val="002F7369"/>
    <w:rsid w:val="003247DF"/>
    <w:rsid w:val="00343D2D"/>
    <w:rsid w:val="003459A5"/>
    <w:rsid w:val="003468A4"/>
    <w:rsid w:val="00377A99"/>
    <w:rsid w:val="003A1C15"/>
    <w:rsid w:val="003D6EF7"/>
    <w:rsid w:val="003E27B6"/>
    <w:rsid w:val="00425409"/>
    <w:rsid w:val="004B23BB"/>
    <w:rsid w:val="004D79E0"/>
    <w:rsid w:val="00541626"/>
    <w:rsid w:val="00555E87"/>
    <w:rsid w:val="005866FD"/>
    <w:rsid w:val="005945C5"/>
    <w:rsid w:val="005C562E"/>
    <w:rsid w:val="00612F6F"/>
    <w:rsid w:val="00637BCC"/>
    <w:rsid w:val="006A21A3"/>
    <w:rsid w:val="006C0076"/>
    <w:rsid w:val="006D6692"/>
    <w:rsid w:val="007003B9"/>
    <w:rsid w:val="00700FD6"/>
    <w:rsid w:val="007147B3"/>
    <w:rsid w:val="00726EDB"/>
    <w:rsid w:val="00727C4A"/>
    <w:rsid w:val="00753A1F"/>
    <w:rsid w:val="007603A1"/>
    <w:rsid w:val="00772D2C"/>
    <w:rsid w:val="00796EA7"/>
    <w:rsid w:val="007C6121"/>
    <w:rsid w:val="007E3E9C"/>
    <w:rsid w:val="00897E4C"/>
    <w:rsid w:val="008C19FF"/>
    <w:rsid w:val="008D5740"/>
    <w:rsid w:val="00903486"/>
    <w:rsid w:val="009525B9"/>
    <w:rsid w:val="00956E7B"/>
    <w:rsid w:val="009B549B"/>
    <w:rsid w:val="009D1C0F"/>
    <w:rsid w:val="009D21E9"/>
    <w:rsid w:val="009D6A6D"/>
    <w:rsid w:val="009F48F8"/>
    <w:rsid w:val="00A14A1A"/>
    <w:rsid w:val="00A615CB"/>
    <w:rsid w:val="00A65548"/>
    <w:rsid w:val="00A6580E"/>
    <w:rsid w:val="00A76433"/>
    <w:rsid w:val="00A82B20"/>
    <w:rsid w:val="00AA47FE"/>
    <w:rsid w:val="00AC4F99"/>
    <w:rsid w:val="00AE2E6F"/>
    <w:rsid w:val="00B04BDE"/>
    <w:rsid w:val="00B159E0"/>
    <w:rsid w:val="00B218A4"/>
    <w:rsid w:val="00B3615B"/>
    <w:rsid w:val="00B44454"/>
    <w:rsid w:val="00B56F8F"/>
    <w:rsid w:val="00B7743E"/>
    <w:rsid w:val="00B94780"/>
    <w:rsid w:val="00BA3EBB"/>
    <w:rsid w:val="00BB000E"/>
    <w:rsid w:val="00BC31DB"/>
    <w:rsid w:val="00BF504D"/>
    <w:rsid w:val="00BF6C27"/>
    <w:rsid w:val="00C064F5"/>
    <w:rsid w:val="00C57A4A"/>
    <w:rsid w:val="00CA4E73"/>
    <w:rsid w:val="00CF6E08"/>
    <w:rsid w:val="00D255EF"/>
    <w:rsid w:val="00D8087C"/>
    <w:rsid w:val="00DA577B"/>
    <w:rsid w:val="00DA7043"/>
    <w:rsid w:val="00DF3760"/>
    <w:rsid w:val="00DF5ACA"/>
    <w:rsid w:val="00DF5E8C"/>
    <w:rsid w:val="00E10E74"/>
    <w:rsid w:val="00E15960"/>
    <w:rsid w:val="00E161EA"/>
    <w:rsid w:val="00E3205C"/>
    <w:rsid w:val="00ED0FC7"/>
    <w:rsid w:val="00F46FDC"/>
    <w:rsid w:val="00F5212F"/>
    <w:rsid w:val="00F85CAA"/>
    <w:rsid w:val="00F9121D"/>
    <w:rsid w:val="00FA1D09"/>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2.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customXml/itemProps3.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6373</Words>
  <Characters>32657</Characters>
  <Application>Microsoft Office Word</Application>
  <DocSecurity>0</DocSecurity>
  <Lines>609</Lines>
  <Paragraphs>207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39001</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4</cp:revision>
  <cp:lastPrinted>2016-05-09T04:55:00Z</cp:lastPrinted>
  <dcterms:created xsi:type="dcterms:W3CDTF">2023-10-24T03:37:00Z</dcterms:created>
  <dcterms:modified xsi:type="dcterms:W3CDTF">2023-10-24T03:37:00Z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ies>
</file>