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D5AB4" w14:textId="77777777" w:rsidR="00D14F2C" w:rsidRPr="00286C69" w:rsidRDefault="00D14F2C" w:rsidP="00D14F2C">
      <w:pPr>
        <w:jc w:val="center"/>
        <w:rPr>
          <w:rFonts w:ascii="Arial" w:hAnsi="Arial" w:cs="Arial"/>
          <w:b/>
          <w:bCs/>
          <w:color w:val="000000" w:themeColor="text1"/>
          <w:sz w:val="24"/>
          <w:szCs w:val="24"/>
        </w:rPr>
      </w:pPr>
      <w:r w:rsidRPr="00286C69">
        <w:rPr>
          <w:rFonts w:ascii="Arial" w:hAnsi="Arial" w:cs="Arial"/>
          <w:b/>
          <w:bCs/>
          <w:color w:val="000000" w:themeColor="text1"/>
          <w:sz w:val="24"/>
          <w:szCs w:val="24"/>
        </w:rPr>
        <w:t>202</w:t>
      </w:r>
      <w:r>
        <w:rPr>
          <w:rFonts w:ascii="Arial" w:hAnsi="Arial" w:cs="Arial"/>
          <w:b/>
          <w:bCs/>
          <w:color w:val="000000" w:themeColor="text1"/>
          <w:sz w:val="24"/>
          <w:szCs w:val="24"/>
        </w:rPr>
        <w:t>3</w:t>
      </w:r>
    </w:p>
    <w:p w14:paraId="353D72F3" w14:textId="77777777" w:rsidR="00D14F2C" w:rsidRPr="00286C69" w:rsidRDefault="00D14F2C" w:rsidP="00D14F2C">
      <w:pPr>
        <w:jc w:val="center"/>
        <w:rPr>
          <w:rFonts w:ascii="Arial" w:hAnsi="Arial" w:cs="Arial"/>
          <w:b/>
          <w:bCs/>
          <w:color w:val="000000" w:themeColor="text1"/>
          <w:sz w:val="24"/>
          <w:szCs w:val="24"/>
        </w:rPr>
      </w:pPr>
    </w:p>
    <w:p w14:paraId="116F99AA" w14:textId="77777777" w:rsidR="00D14F2C" w:rsidRPr="00286C69" w:rsidRDefault="00D14F2C" w:rsidP="00D14F2C">
      <w:pPr>
        <w:jc w:val="center"/>
        <w:rPr>
          <w:rFonts w:ascii="Arial" w:hAnsi="Arial" w:cs="Arial"/>
          <w:b/>
          <w:bCs/>
          <w:color w:val="000000" w:themeColor="text1"/>
          <w:sz w:val="24"/>
          <w:szCs w:val="24"/>
        </w:rPr>
      </w:pPr>
    </w:p>
    <w:p w14:paraId="0166C9E1" w14:textId="77777777" w:rsidR="00D14F2C" w:rsidRPr="00286C69" w:rsidRDefault="00D14F2C" w:rsidP="00D14F2C">
      <w:pPr>
        <w:jc w:val="center"/>
        <w:rPr>
          <w:rFonts w:ascii="Arial" w:hAnsi="Arial" w:cs="Arial"/>
          <w:b/>
          <w:bCs/>
          <w:color w:val="000000" w:themeColor="text1"/>
          <w:sz w:val="24"/>
          <w:szCs w:val="24"/>
        </w:rPr>
      </w:pPr>
    </w:p>
    <w:p w14:paraId="5F5B7C47" w14:textId="77777777" w:rsidR="00D14F2C" w:rsidRPr="00286C69" w:rsidRDefault="00D14F2C" w:rsidP="00D14F2C">
      <w:pPr>
        <w:jc w:val="center"/>
        <w:rPr>
          <w:rFonts w:ascii="Arial" w:hAnsi="Arial" w:cs="Arial"/>
          <w:b/>
          <w:bCs/>
          <w:color w:val="000000" w:themeColor="text1"/>
          <w:sz w:val="24"/>
          <w:szCs w:val="24"/>
        </w:rPr>
      </w:pPr>
    </w:p>
    <w:p w14:paraId="53BB8AD5" w14:textId="77777777" w:rsidR="00D14F2C" w:rsidRPr="00286C69" w:rsidRDefault="00D14F2C" w:rsidP="00D14F2C">
      <w:pPr>
        <w:jc w:val="center"/>
        <w:rPr>
          <w:rFonts w:ascii="Arial" w:hAnsi="Arial" w:cs="Arial"/>
          <w:b/>
          <w:bCs/>
          <w:color w:val="000000" w:themeColor="text1"/>
          <w:sz w:val="24"/>
          <w:szCs w:val="24"/>
        </w:rPr>
      </w:pPr>
    </w:p>
    <w:p w14:paraId="5CC9E6EB" w14:textId="77777777" w:rsidR="00D14F2C" w:rsidRPr="00286C69" w:rsidRDefault="00D14F2C" w:rsidP="00D14F2C">
      <w:pPr>
        <w:jc w:val="center"/>
        <w:rPr>
          <w:rFonts w:ascii="Arial" w:hAnsi="Arial" w:cs="Arial"/>
          <w:b/>
          <w:bCs/>
          <w:color w:val="000000" w:themeColor="text1"/>
          <w:sz w:val="24"/>
          <w:szCs w:val="24"/>
        </w:rPr>
      </w:pPr>
    </w:p>
    <w:p w14:paraId="48ACA188" w14:textId="77777777" w:rsidR="00D14F2C" w:rsidRPr="00286C69" w:rsidRDefault="00D14F2C" w:rsidP="00D14F2C">
      <w:pPr>
        <w:jc w:val="center"/>
        <w:rPr>
          <w:rFonts w:ascii="Arial" w:hAnsi="Arial" w:cs="Arial"/>
          <w:b/>
          <w:bCs/>
          <w:color w:val="000000" w:themeColor="text1"/>
          <w:sz w:val="24"/>
          <w:szCs w:val="24"/>
        </w:rPr>
      </w:pPr>
      <w:r w:rsidRPr="00286C69">
        <w:rPr>
          <w:rFonts w:ascii="Arial" w:hAnsi="Arial" w:cs="Arial"/>
          <w:b/>
          <w:bCs/>
          <w:color w:val="000000" w:themeColor="text1"/>
          <w:sz w:val="24"/>
          <w:szCs w:val="24"/>
        </w:rPr>
        <w:t xml:space="preserve">THE LEGISLATIVE ASSEMBLY FOR THE </w:t>
      </w:r>
      <w:r>
        <w:rPr>
          <w:rFonts w:ascii="Arial" w:hAnsi="Arial" w:cs="Arial"/>
          <w:b/>
          <w:bCs/>
          <w:color w:val="000000" w:themeColor="text1"/>
          <w:sz w:val="24"/>
          <w:szCs w:val="24"/>
        </w:rPr>
        <w:br/>
      </w:r>
      <w:r w:rsidRPr="00286C69">
        <w:rPr>
          <w:rFonts w:ascii="Arial" w:hAnsi="Arial" w:cs="Arial"/>
          <w:b/>
          <w:bCs/>
          <w:color w:val="000000" w:themeColor="text1"/>
          <w:sz w:val="24"/>
          <w:szCs w:val="24"/>
        </w:rPr>
        <w:t>AUSTRALIAN CAP</w:t>
      </w:r>
      <w:r>
        <w:rPr>
          <w:rFonts w:ascii="Arial" w:hAnsi="Arial" w:cs="Arial"/>
          <w:b/>
          <w:bCs/>
          <w:color w:val="000000" w:themeColor="text1"/>
          <w:sz w:val="24"/>
          <w:szCs w:val="24"/>
        </w:rPr>
        <w:t>IT</w:t>
      </w:r>
      <w:r w:rsidRPr="00286C69">
        <w:rPr>
          <w:rFonts w:ascii="Arial" w:hAnsi="Arial" w:cs="Arial"/>
          <w:b/>
          <w:bCs/>
          <w:color w:val="000000" w:themeColor="text1"/>
          <w:sz w:val="24"/>
          <w:szCs w:val="24"/>
        </w:rPr>
        <w:t>AL TERRITORY</w:t>
      </w:r>
    </w:p>
    <w:p w14:paraId="21BDC848" w14:textId="77777777" w:rsidR="00D14F2C" w:rsidRPr="00286C69" w:rsidRDefault="00D14F2C" w:rsidP="00D14F2C">
      <w:pPr>
        <w:jc w:val="center"/>
        <w:rPr>
          <w:rFonts w:ascii="Arial" w:hAnsi="Arial" w:cs="Arial"/>
          <w:b/>
          <w:bCs/>
          <w:color w:val="000000" w:themeColor="text1"/>
          <w:sz w:val="24"/>
          <w:szCs w:val="24"/>
        </w:rPr>
      </w:pPr>
    </w:p>
    <w:p w14:paraId="08B93EE3" w14:textId="77777777" w:rsidR="00D14F2C" w:rsidRPr="00286C69" w:rsidRDefault="00D14F2C" w:rsidP="00D14F2C">
      <w:pPr>
        <w:jc w:val="center"/>
        <w:rPr>
          <w:rFonts w:ascii="Arial" w:hAnsi="Arial" w:cs="Arial"/>
          <w:b/>
          <w:bCs/>
          <w:color w:val="000000" w:themeColor="text1"/>
          <w:sz w:val="24"/>
          <w:szCs w:val="24"/>
        </w:rPr>
      </w:pPr>
    </w:p>
    <w:p w14:paraId="45AE3DF1" w14:textId="77777777" w:rsidR="00D14F2C" w:rsidRPr="00286C69" w:rsidRDefault="00D14F2C" w:rsidP="00D14F2C">
      <w:pPr>
        <w:jc w:val="center"/>
        <w:rPr>
          <w:rFonts w:ascii="Arial" w:hAnsi="Arial" w:cs="Arial"/>
          <w:b/>
          <w:bCs/>
          <w:color w:val="000000" w:themeColor="text1"/>
          <w:sz w:val="24"/>
          <w:szCs w:val="24"/>
        </w:rPr>
      </w:pPr>
    </w:p>
    <w:p w14:paraId="488B1839" w14:textId="77777777" w:rsidR="00D14F2C" w:rsidRPr="00286C69" w:rsidRDefault="00D14F2C" w:rsidP="00D14F2C">
      <w:pPr>
        <w:jc w:val="center"/>
        <w:rPr>
          <w:rFonts w:ascii="Arial" w:hAnsi="Arial" w:cs="Arial"/>
          <w:b/>
          <w:bCs/>
          <w:color w:val="000000" w:themeColor="text1"/>
          <w:sz w:val="24"/>
          <w:szCs w:val="24"/>
        </w:rPr>
      </w:pPr>
    </w:p>
    <w:p w14:paraId="1B2D1C19" w14:textId="1F604420" w:rsidR="00D14F2C" w:rsidRPr="00286C69" w:rsidRDefault="00D14F2C" w:rsidP="00D14F2C">
      <w:pPr>
        <w:jc w:val="center"/>
        <w:rPr>
          <w:rFonts w:ascii="Arial" w:hAnsi="Arial" w:cs="Arial"/>
          <w:b/>
          <w:bCs/>
          <w:color w:val="000000" w:themeColor="text1"/>
          <w:sz w:val="24"/>
          <w:szCs w:val="24"/>
        </w:rPr>
      </w:pPr>
      <w:r>
        <w:rPr>
          <w:rFonts w:ascii="Arial" w:hAnsi="Arial" w:cs="Arial"/>
          <w:b/>
          <w:bCs/>
          <w:color w:val="000000" w:themeColor="text1"/>
          <w:sz w:val="24"/>
          <w:szCs w:val="24"/>
        </w:rPr>
        <w:t>MAGISTRATES COURT (</w:t>
      </w:r>
      <w:r w:rsidR="00083DA3">
        <w:rPr>
          <w:rFonts w:ascii="Arial" w:hAnsi="Arial" w:cs="Arial"/>
          <w:b/>
          <w:bCs/>
          <w:color w:val="000000" w:themeColor="text1"/>
          <w:sz w:val="24"/>
          <w:szCs w:val="24"/>
        </w:rPr>
        <w:t>CIRCULAR ECONOMY</w:t>
      </w:r>
      <w:r>
        <w:rPr>
          <w:rFonts w:ascii="Arial" w:hAnsi="Arial" w:cs="Arial"/>
          <w:b/>
          <w:bCs/>
          <w:color w:val="000000" w:themeColor="text1"/>
          <w:sz w:val="24"/>
          <w:szCs w:val="24"/>
        </w:rPr>
        <w:t xml:space="preserve"> INFRINGEMENT NOTICES) REGULATION 2023</w:t>
      </w:r>
    </w:p>
    <w:p w14:paraId="2C9BB94F" w14:textId="77777777" w:rsidR="00D14F2C" w:rsidRPr="00286C69" w:rsidRDefault="00D14F2C" w:rsidP="00D14F2C">
      <w:pPr>
        <w:jc w:val="center"/>
        <w:rPr>
          <w:rFonts w:ascii="Arial" w:hAnsi="Arial" w:cs="Arial"/>
          <w:b/>
          <w:bCs/>
          <w:color w:val="000000" w:themeColor="text1"/>
          <w:sz w:val="24"/>
          <w:szCs w:val="24"/>
        </w:rPr>
      </w:pPr>
    </w:p>
    <w:p w14:paraId="6D20D773" w14:textId="1069F1FC" w:rsidR="00D14F2C" w:rsidRPr="00286C69" w:rsidRDefault="00E43384" w:rsidP="00D14F2C">
      <w:pPr>
        <w:jc w:val="center"/>
        <w:rPr>
          <w:rFonts w:ascii="Arial" w:hAnsi="Arial" w:cs="Arial"/>
          <w:b/>
          <w:bCs/>
          <w:color w:val="000000" w:themeColor="text1"/>
          <w:sz w:val="24"/>
          <w:szCs w:val="24"/>
        </w:rPr>
      </w:pPr>
      <w:r>
        <w:rPr>
          <w:rFonts w:ascii="Arial" w:hAnsi="Arial" w:cs="Arial"/>
          <w:b/>
          <w:bCs/>
          <w:color w:val="000000" w:themeColor="text1"/>
          <w:sz w:val="24"/>
          <w:szCs w:val="24"/>
        </w:rPr>
        <w:t>SL2023-26</w:t>
      </w:r>
    </w:p>
    <w:p w14:paraId="1FF6491F" w14:textId="77777777" w:rsidR="00D14F2C" w:rsidRPr="00286C69" w:rsidRDefault="00D14F2C" w:rsidP="00D14F2C">
      <w:pPr>
        <w:jc w:val="center"/>
        <w:rPr>
          <w:rFonts w:ascii="Arial" w:hAnsi="Arial" w:cs="Arial"/>
          <w:b/>
          <w:bCs/>
          <w:color w:val="000000" w:themeColor="text1"/>
          <w:sz w:val="24"/>
          <w:szCs w:val="24"/>
        </w:rPr>
      </w:pPr>
    </w:p>
    <w:p w14:paraId="465FE4EE" w14:textId="77777777" w:rsidR="00D14F2C" w:rsidRPr="00286C69" w:rsidRDefault="00D14F2C" w:rsidP="00D14F2C">
      <w:pPr>
        <w:jc w:val="center"/>
        <w:rPr>
          <w:rFonts w:ascii="Arial" w:hAnsi="Arial" w:cs="Arial"/>
          <w:b/>
          <w:bCs/>
          <w:color w:val="000000" w:themeColor="text1"/>
          <w:sz w:val="24"/>
          <w:szCs w:val="24"/>
        </w:rPr>
      </w:pPr>
    </w:p>
    <w:p w14:paraId="44C22012" w14:textId="761896F5" w:rsidR="00D14F2C" w:rsidRPr="00286C69" w:rsidRDefault="00D14F2C" w:rsidP="00A259EC">
      <w:pPr>
        <w:jc w:val="center"/>
        <w:rPr>
          <w:rFonts w:ascii="Arial" w:hAnsi="Arial" w:cs="Arial"/>
          <w:b/>
          <w:bCs/>
          <w:color w:val="000000" w:themeColor="text1"/>
          <w:sz w:val="24"/>
          <w:szCs w:val="24"/>
        </w:rPr>
      </w:pPr>
      <w:r w:rsidRPr="00286C69">
        <w:rPr>
          <w:rFonts w:ascii="Arial" w:hAnsi="Arial" w:cs="Arial"/>
          <w:b/>
          <w:bCs/>
          <w:color w:val="000000" w:themeColor="text1"/>
          <w:sz w:val="24"/>
          <w:szCs w:val="24"/>
        </w:rPr>
        <w:t>EXPLANATORY STATEMENT</w:t>
      </w:r>
    </w:p>
    <w:p w14:paraId="66552E79" w14:textId="77777777" w:rsidR="00D14F2C" w:rsidRPr="00286C69" w:rsidRDefault="00D14F2C" w:rsidP="00D14F2C">
      <w:pPr>
        <w:rPr>
          <w:rFonts w:ascii="Arial" w:hAnsi="Arial" w:cs="Arial"/>
          <w:b/>
          <w:bCs/>
          <w:color w:val="000000" w:themeColor="text1"/>
          <w:sz w:val="24"/>
          <w:szCs w:val="24"/>
        </w:rPr>
      </w:pPr>
    </w:p>
    <w:p w14:paraId="6CE4D349" w14:textId="77777777" w:rsidR="00D14F2C" w:rsidRPr="00286C69" w:rsidRDefault="00D14F2C" w:rsidP="00D14F2C">
      <w:pPr>
        <w:rPr>
          <w:rFonts w:ascii="Arial" w:hAnsi="Arial" w:cs="Arial"/>
          <w:b/>
          <w:bCs/>
          <w:color w:val="000000" w:themeColor="text1"/>
          <w:sz w:val="24"/>
          <w:szCs w:val="24"/>
        </w:rPr>
      </w:pPr>
    </w:p>
    <w:p w14:paraId="218A96FA" w14:textId="77777777" w:rsidR="00D14F2C" w:rsidRPr="00286C69" w:rsidRDefault="00D14F2C" w:rsidP="00D14F2C">
      <w:pPr>
        <w:rPr>
          <w:rFonts w:ascii="Arial" w:hAnsi="Arial" w:cs="Arial"/>
          <w:b/>
          <w:bCs/>
          <w:color w:val="000000" w:themeColor="text1"/>
          <w:sz w:val="24"/>
          <w:szCs w:val="24"/>
        </w:rPr>
      </w:pPr>
    </w:p>
    <w:p w14:paraId="5CCEA73F" w14:textId="77777777" w:rsidR="00D14F2C" w:rsidRPr="00286C69" w:rsidRDefault="00D14F2C" w:rsidP="00D14F2C">
      <w:pPr>
        <w:rPr>
          <w:rFonts w:ascii="Arial" w:hAnsi="Arial" w:cs="Arial"/>
          <w:b/>
          <w:bCs/>
          <w:color w:val="000000" w:themeColor="text1"/>
          <w:sz w:val="24"/>
          <w:szCs w:val="24"/>
        </w:rPr>
      </w:pPr>
    </w:p>
    <w:p w14:paraId="7EF2FF17" w14:textId="77777777" w:rsidR="00D14F2C" w:rsidRPr="00286C69" w:rsidRDefault="00D14F2C" w:rsidP="00D14F2C">
      <w:pPr>
        <w:rPr>
          <w:rFonts w:ascii="Arial" w:hAnsi="Arial" w:cs="Arial"/>
          <w:b/>
          <w:bCs/>
          <w:color w:val="000000" w:themeColor="text1"/>
          <w:sz w:val="24"/>
          <w:szCs w:val="24"/>
        </w:rPr>
      </w:pPr>
    </w:p>
    <w:p w14:paraId="4B310213" w14:textId="77777777" w:rsidR="00D14F2C" w:rsidRPr="00286C69" w:rsidRDefault="00D14F2C" w:rsidP="00D14F2C">
      <w:pPr>
        <w:jc w:val="right"/>
        <w:rPr>
          <w:rFonts w:ascii="Arial" w:hAnsi="Arial" w:cs="Arial"/>
          <w:b/>
          <w:bCs/>
          <w:color w:val="000000" w:themeColor="text1"/>
          <w:sz w:val="24"/>
          <w:szCs w:val="24"/>
        </w:rPr>
      </w:pPr>
      <w:r w:rsidRPr="00286C69">
        <w:rPr>
          <w:rFonts w:ascii="Arial" w:hAnsi="Arial" w:cs="Arial"/>
          <w:b/>
          <w:bCs/>
          <w:color w:val="000000" w:themeColor="text1"/>
          <w:sz w:val="24"/>
          <w:szCs w:val="24"/>
        </w:rPr>
        <w:t>Presented by</w:t>
      </w:r>
    </w:p>
    <w:p w14:paraId="32298252" w14:textId="77777777" w:rsidR="00D14F2C" w:rsidRPr="00286C69" w:rsidRDefault="00D14F2C" w:rsidP="00D14F2C">
      <w:pPr>
        <w:jc w:val="right"/>
        <w:rPr>
          <w:rFonts w:ascii="Arial" w:hAnsi="Arial" w:cs="Arial"/>
          <w:b/>
          <w:bCs/>
          <w:color w:val="000000" w:themeColor="text1"/>
          <w:sz w:val="24"/>
          <w:szCs w:val="24"/>
        </w:rPr>
      </w:pPr>
      <w:r w:rsidRPr="00286C69">
        <w:rPr>
          <w:rFonts w:ascii="Arial" w:hAnsi="Arial" w:cs="Arial"/>
          <w:b/>
          <w:bCs/>
          <w:color w:val="000000" w:themeColor="text1"/>
          <w:sz w:val="24"/>
          <w:szCs w:val="24"/>
        </w:rPr>
        <w:t>Chris Steel MLA</w:t>
      </w:r>
    </w:p>
    <w:p w14:paraId="5FC05D5C" w14:textId="1B4F55DE" w:rsidR="00E23C6C" w:rsidRDefault="00D14F2C" w:rsidP="00D14F2C">
      <w:pPr>
        <w:jc w:val="right"/>
        <w:rPr>
          <w:rFonts w:ascii="Arial" w:hAnsi="Arial" w:cs="Arial"/>
          <w:color w:val="000000" w:themeColor="text1"/>
          <w:sz w:val="24"/>
          <w:szCs w:val="24"/>
        </w:rPr>
      </w:pPr>
      <w:r w:rsidRPr="00286C69">
        <w:rPr>
          <w:rFonts w:ascii="Arial" w:hAnsi="Arial" w:cs="Arial"/>
          <w:b/>
          <w:bCs/>
          <w:color w:val="000000" w:themeColor="text1"/>
          <w:sz w:val="24"/>
          <w:szCs w:val="24"/>
        </w:rPr>
        <w:t>Minister for Transport and City Services</w:t>
      </w:r>
    </w:p>
    <w:p w14:paraId="27CA1F09" w14:textId="77777777" w:rsidR="00A259EC" w:rsidRDefault="00A259EC">
      <w:pPr>
        <w:rPr>
          <w:rFonts w:ascii="Arial" w:eastAsiaTheme="majorEastAsia" w:hAnsi="Arial" w:cstheme="majorBidi"/>
          <w:b/>
          <w:color w:val="000000" w:themeColor="text1"/>
          <w:sz w:val="28"/>
          <w:szCs w:val="28"/>
        </w:rPr>
      </w:pPr>
      <w:r>
        <w:rPr>
          <w:sz w:val="28"/>
          <w:szCs w:val="28"/>
        </w:rPr>
        <w:br w:type="page"/>
      </w:r>
    </w:p>
    <w:p w14:paraId="44DA3F63" w14:textId="72D439DD" w:rsidR="00D14F2C" w:rsidRPr="006F2127" w:rsidRDefault="00083DA3" w:rsidP="00D14F2C">
      <w:pPr>
        <w:pStyle w:val="Heading1"/>
        <w:rPr>
          <w:sz w:val="28"/>
          <w:szCs w:val="28"/>
        </w:rPr>
      </w:pPr>
      <w:r>
        <w:rPr>
          <w:sz w:val="28"/>
          <w:szCs w:val="28"/>
        </w:rPr>
        <w:lastRenderedPageBreak/>
        <w:t>CIRCULAR ECONOMY</w:t>
      </w:r>
      <w:r w:rsidR="00D14F2C" w:rsidRPr="006F2127">
        <w:rPr>
          <w:sz w:val="28"/>
          <w:szCs w:val="28"/>
        </w:rPr>
        <w:t xml:space="preserve"> </w:t>
      </w:r>
      <w:r w:rsidR="00D14F2C">
        <w:rPr>
          <w:sz w:val="28"/>
          <w:szCs w:val="28"/>
        </w:rPr>
        <w:t>REGULATION</w:t>
      </w:r>
      <w:r w:rsidR="00D14F2C" w:rsidRPr="006F2127">
        <w:rPr>
          <w:sz w:val="28"/>
          <w:szCs w:val="28"/>
        </w:rPr>
        <w:t xml:space="preserve"> 202</w:t>
      </w:r>
      <w:r w:rsidR="00D14F2C">
        <w:rPr>
          <w:sz w:val="28"/>
          <w:szCs w:val="28"/>
        </w:rPr>
        <w:t>3</w:t>
      </w:r>
    </w:p>
    <w:p w14:paraId="03BE920F" w14:textId="77777777" w:rsidR="00D14F2C" w:rsidRDefault="00D14F2C" w:rsidP="00D14F2C">
      <w:pPr>
        <w:rPr>
          <w:rFonts w:ascii="Arial" w:hAnsi="Arial" w:cs="Arial"/>
          <w:b/>
          <w:bCs/>
          <w:color w:val="000000" w:themeColor="text1"/>
          <w:sz w:val="24"/>
          <w:szCs w:val="24"/>
        </w:rPr>
      </w:pPr>
    </w:p>
    <w:p w14:paraId="2E46EF65" w14:textId="106B860A" w:rsidR="00B00239" w:rsidRDefault="00B00239" w:rsidP="00B00239">
      <w:pPr>
        <w:spacing w:after="120"/>
        <w:ind w:right="-45"/>
        <w:rPr>
          <w:rFonts w:ascii="Arial" w:hAnsi="Arial" w:cs="Arial"/>
          <w:iCs/>
          <w:sz w:val="24"/>
          <w:szCs w:val="24"/>
        </w:rPr>
      </w:pPr>
      <w:r w:rsidRPr="00B00239">
        <w:rPr>
          <w:rFonts w:ascii="Arial" w:hAnsi="Arial" w:cs="Arial"/>
          <w:iCs/>
          <w:sz w:val="24"/>
          <w:szCs w:val="24"/>
        </w:rPr>
        <w:t xml:space="preserve">This explanatory statement relates to the </w:t>
      </w:r>
      <w:r w:rsidRPr="00B00239">
        <w:rPr>
          <w:rFonts w:ascii="Arial" w:hAnsi="Arial" w:cs="Arial"/>
          <w:i/>
          <w:sz w:val="24"/>
          <w:szCs w:val="24"/>
        </w:rPr>
        <w:t>Magistrates Court (</w:t>
      </w:r>
      <w:r>
        <w:rPr>
          <w:rFonts w:ascii="Arial" w:hAnsi="Arial" w:cs="Arial"/>
          <w:i/>
          <w:sz w:val="24"/>
          <w:szCs w:val="24"/>
        </w:rPr>
        <w:t>Circular Economy</w:t>
      </w:r>
      <w:r w:rsidRPr="00B00239">
        <w:rPr>
          <w:rFonts w:ascii="Arial" w:hAnsi="Arial" w:cs="Arial"/>
          <w:i/>
          <w:sz w:val="24"/>
          <w:szCs w:val="24"/>
        </w:rPr>
        <w:t xml:space="preserve"> Infringement Notices) Regulation 202</w:t>
      </w:r>
      <w:r>
        <w:rPr>
          <w:rFonts w:ascii="Arial" w:hAnsi="Arial" w:cs="Arial"/>
          <w:i/>
          <w:sz w:val="24"/>
          <w:szCs w:val="24"/>
        </w:rPr>
        <w:t>3</w:t>
      </w:r>
      <w:r w:rsidRPr="00B00239">
        <w:rPr>
          <w:rFonts w:ascii="Arial" w:hAnsi="Arial" w:cs="Arial"/>
          <w:i/>
          <w:sz w:val="24"/>
          <w:szCs w:val="24"/>
        </w:rPr>
        <w:t xml:space="preserve"> </w:t>
      </w:r>
      <w:r w:rsidRPr="00B00239">
        <w:rPr>
          <w:rFonts w:ascii="Arial" w:hAnsi="Arial" w:cs="Arial"/>
          <w:iCs/>
          <w:sz w:val="24"/>
          <w:szCs w:val="24"/>
        </w:rPr>
        <w:t>as made by the Executive. It has been prepared to assist the reader of the regulation. It does not form part of the regulation.</w:t>
      </w:r>
    </w:p>
    <w:p w14:paraId="725AB441" w14:textId="77777777" w:rsidR="00B00239" w:rsidRPr="00B00239" w:rsidRDefault="00B00239" w:rsidP="00B00239">
      <w:pPr>
        <w:spacing w:after="120"/>
        <w:ind w:right="-45"/>
        <w:rPr>
          <w:rFonts w:ascii="Arial" w:hAnsi="Arial" w:cs="Arial"/>
          <w:iCs/>
          <w:sz w:val="24"/>
          <w:szCs w:val="24"/>
        </w:rPr>
      </w:pPr>
      <w:r w:rsidRPr="00B00239">
        <w:rPr>
          <w:rFonts w:ascii="Arial" w:hAnsi="Arial" w:cs="Arial"/>
          <w:iCs/>
          <w:sz w:val="24"/>
          <w:szCs w:val="24"/>
        </w:rPr>
        <w:t>This explanatory statement must be read in conjunction with the regulation. It is not, and not intended to be, a comprehensive description of the regulation. What is written about a provision is not to be taken as an authoritative guide to the meaning of a provision, this being a task for the courts.</w:t>
      </w:r>
    </w:p>
    <w:p w14:paraId="40F5FBCD" w14:textId="77777777" w:rsidR="00D14F2C" w:rsidRDefault="00D14F2C" w:rsidP="00B00239">
      <w:pPr>
        <w:spacing w:before="240"/>
        <w:rPr>
          <w:rFonts w:ascii="Arial" w:hAnsi="Arial" w:cs="Arial"/>
          <w:b/>
          <w:bCs/>
          <w:color w:val="000000" w:themeColor="text1"/>
          <w:sz w:val="24"/>
          <w:szCs w:val="24"/>
        </w:rPr>
      </w:pPr>
      <w:r w:rsidRPr="00AE3B86">
        <w:rPr>
          <w:rFonts w:ascii="Arial" w:hAnsi="Arial" w:cs="Arial"/>
          <w:b/>
          <w:bCs/>
          <w:color w:val="000000" w:themeColor="text1"/>
          <w:sz w:val="24"/>
          <w:szCs w:val="24"/>
        </w:rPr>
        <w:t>OVERVIEW</w:t>
      </w:r>
    </w:p>
    <w:p w14:paraId="12358D45" w14:textId="2092ECFE" w:rsidR="00B00239" w:rsidRDefault="00D14F2C" w:rsidP="003F2AE6">
      <w:pPr>
        <w:spacing w:after="120"/>
        <w:ind w:right="-45"/>
        <w:rPr>
          <w:rFonts w:ascii="Arial" w:hAnsi="Arial" w:cs="Arial"/>
          <w:iCs/>
          <w:sz w:val="24"/>
          <w:szCs w:val="24"/>
        </w:rPr>
      </w:pPr>
      <w:r>
        <w:rPr>
          <w:rFonts w:ascii="Arial" w:hAnsi="Arial" w:cs="Arial"/>
          <w:iCs/>
          <w:sz w:val="24"/>
          <w:szCs w:val="24"/>
        </w:rPr>
        <w:t xml:space="preserve">The </w:t>
      </w:r>
      <w:r w:rsidRPr="00B00239">
        <w:rPr>
          <w:rFonts w:ascii="Arial" w:hAnsi="Arial" w:cs="Arial"/>
          <w:i/>
          <w:sz w:val="24"/>
          <w:szCs w:val="24"/>
        </w:rPr>
        <w:t>Magistrates Court (</w:t>
      </w:r>
      <w:r w:rsidR="00083DA3" w:rsidRPr="00B00239">
        <w:rPr>
          <w:rFonts w:ascii="Arial" w:hAnsi="Arial" w:cs="Arial"/>
          <w:i/>
          <w:sz w:val="24"/>
          <w:szCs w:val="24"/>
        </w:rPr>
        <w:t>Circular Economy</w:t>
      </w:r>
      <w:r w:rsidRPr="00B00239">
        <w:rPr>
          <w:rFonts w:ascii="Arial" w:hAnsi="Arial" w:cs="Arial"/>
          <w:i/>
          <w:sz w:val="24"/>
          <w:szCs w:val="24"/>
        </w:rPr>
        <w:t xml:space="preserve"> Infringement Notices) Regulation 2023</w:t>
      </w:r>
      <w:r>
        <w:rPr>
          <w:rFonts w:ascii="Arial" w:hAnsi="Arial" w:cs="Arial"/>
          <w:iCs/>
          <w:sz w:val="24"/>
          <w:szCs w:val="24"/>
        </w:rPr>
        <w:t xml:space="preserve"> (the Regulation) is being made under part 3.8 of the </w:t>
      </w:r>
      <w:r>
        <w:rPr>
          <w:rFonts w:ascii="Arial" w:hAnsi="Arial" w:cs="Arial"/>
          <w:i/>
          <w:sz w:val="24"/>
          <w:szCs w:val="24"/>
        </w:rPr>
        <w:t>Magistrates Court Act 1930</w:t>
      </w:r>
      <w:r>
        <w:rPr>
          <w:rFonts w:ascii="Arial" w:hAnsi="Arial" w:cs="Arial"/>
          <w:iCs/>
          <w:sz w:val="24"/>
          <w:szCs w:val="24"/>
        </w:rPr>
        <w:t xml:space="preserve"> and will enable infringement notices to be issued for </w:t>
      </w:r>
      <w:r w:rsidR="00F5454D">
        <w:rPr>
          <w:rFonts w:ascii="Arial" w:hAnsi="Arial" w:cs="Arial"/>
          <w:iCs/>
          <w:sz w:val="24"/>
          <w:szCs w:val="24"/>
        </w:rPr>
        <w:t xml:space="preserve">certain </w:t>
      </w:r>
      <w:r>
        <w:rPr>
          <w:rFonts w:ascii="Arial" w:hAnsi="Arial" w:cs="Arial"/>
          <w:iCs/>
          <w:sz w:val="24"/>
          <w:szCs w:val="24"/>
        </w:rPr>
        <w:t xml:space="preserve">offences against the </w:t>
      </w:r>
      <w:r w:rsidR="00083DA3">
        <w:rPr>
          <w:rFonts w:ascii="Arial" w:hAnsi="Arial" w:cs="Arial"/>
          <w:i/>
          <w:sz w:val="24"/>
          <w:szCs w:val="24"/>
        </w:rPr>
        <w:t xml:space="preserve">Circular Economy </w:t>
      </w:r>
      <w:r>
        <w:rPr>
          <w:rFonts w:ascii="Arial" w:hAnsi="Arial" w:cs="Arial"/>
          <w:i/>
          <w:sz w:val="24"/>
          <w:szCs w:val="24"/>
        </w:rPr>
        <w:t>Act 2023</w:t>
      </w:r>
      <w:r>
        <w:rPr>
          <w:rFonts w:ascii="Arial" w:hAnsi="Arial" w:cs="Arial"/>
          <w:iCs/>
          <w:sz w:val="24"/>
          <w:szCs w:val="24"/>
        </w:rPr>
        <w:t>. Infringement notices are intended to provide an alternative to prosecution</w:t>
      </w:r>
      <w:r w:rsidR="00B00239">
        <w:rPr>
          <w:rFonts w:ascii="Arial" w:hAnsi="Arial" w:cs="Arial"/>
          <w:iCs/>
          <w:sz w:val="24"/>
          <w:szCs w:val="24"/>
        </w:rPr>
        <w:t xml:space="preserve"> where </w:t>
      </w:r>
      <w:r w:rsidR="006E1A68">
        <w:rPr>
          <w:rFonts w:ascii="Arial" w:hAnsi="Arial" w:cs="Arial"/>
          <w:iCs/>
          <w:sz w:val="24"/>
          <w:szCs w:val="24"/>
        </w:rPr>
        <w:t xml:space="preserve">it </w:t>
      </w:r>
      <w:r w:rsidR="00B00239">
        <w:rPr>
          <w:rFonts w:ascii="Arial" w:hAnsi="Arial" w:cs="Arial"/>
          <w:iCs/>
          <w:sz w:val="24"/>
          <w:szCs w:val="24"/>
        </w:rPr>
        <w:t>is deemed that an infringement notice imposing a monetary fine would be sufficient rather than taking the matter before the courts</w:t>
      </w:r>
      <w:r w:rsidR="003F2AE6">
        <w:rPr>
          <w:rFonts w:ascii="Arial" w:hAnsi="Arial" w:cs="Arial"/>
          <w:iCs/>
          <w:sz w:val="24"/>
          <w:szCs w:val="24"/>
        </w:rPr>
        <w:t>.</w:t>
      </w:r>
    </w:p>
    <w:p w14:paraId="0E24B021" w14:textId="55454811" w:rsidR="00D14F2C" w:rsidRDefault="00D14F2C" w:rsidP="00D14F2C">
      <w:pPr>
        <w:spacing w:after="120"/>
        <w:ind w:right="-45"/>
        <w:rPr>
          <w:rFonts w:ascii="Arial" w:hAnsi="Arial" w:cs="Arial"/>
          <w:iCs/>
          <w:sz w:val="24"/>
          <w:szCs w:val="24"/>
        </w:rPr>
      </w:pPr>
      <w:r>
        <w:rPr>
          <w:rFonts w:ascii="Arial" w:hAnsi="Arial" w:cs="Arial"/>
          <w:iCs/>
          <w:sz w:val="24"/>
          <w:szCs w:val="24"/>
        </w:rPr>
        <w:t xml:space="preserve">The Regulation enables authorised persons </w:t>
      </w:r>
      <w:r w:rsidRPr="00F5454D">
        <w:rPr>
          <w:rFonts w:ascii="Arial" w:hAnsi="Arial" w:cs="Arial"/>
          <w:iCs/>
          <w:sz w:val="24"/>
          <w:szCs w:val="24"/>
        </w:rPr>
        <w:t xml:space="preserve">under section </w:t>
      </w:r>
      <w:r w:rsidR="00083DA3">
        <w:rPr>
          <w:rFonts w:ascii="Arial" w:hAnsi="Arial" w:cs="Arial"/>
          <w:iCs/>
          <w:sz w:val="24"/>
          <w:szCs w:val="24"/>
        </w:rPr>
        <w:t>25</w:t>
      </w:r>
      <w:r>
        <w:rPr>
          <w:rFonts w:ascii="Arial" w:hAnsi="Arial" w:cs="Arial"/>
          <w:iCs/>
          <w:sz w:val="24"/>
          <w:szCs w:val="24"/>
        </w:rPr>
        <w:t xml:space="preserve"> of the</w:t>
      </w:r>
      <w:r w:rsidRPr="00F5454D">
        <w:rPr>
          <w:rFonts w:ascii="Arial" w:hAnsi="Arial" w:cs="Arial"/>
          <w:iCs/>
          <w:sz w:val="24"/>
          <w:szCs w:val="24"/>
        </w:rPr>
        <w:t xml:space="preserve"> </w:t>
      </w:r>
      <w:r w:rsidR="00083DA3" w:rsidRPr="00B00239">
        <w:rPr>
          <w:rFonts w:ascii="Arial" w:hAnsi="Arial" w:cs="Arial"/>
          <w:i/>
          <w:sz w:val="24"/>
          <w:szCs w:val="24"/>
        </w:rPr>
        <w:t>Circular Economy</w:t>
      </w:r>
      <w:r w:rsidR="00F5454D" w:rsidRPr="00B00239">
        <w:rPr>
          <w:rFonts w:ascii="Arial" w:hAnsi="Arial" w:cs="Arial"/>
          <w:i/>
          <w:sz w:val="24"/>
          <w:szCs w:val="24"/>
        </w:rPr>
        <w:t xml:space="preserve"> Act</w:t>
      </w:r>
      <w:r w:rsidR="00B00239" w:rsidRPr="00B00239">
        <w:rPr>
          <w:rFonts w:ascii="Arial" w:hAnsi="Arial" w:cs="Arial"/>
          <w:i/>
          <w:sz w:val="24"/>
          <w:szCs w:val="24"/>
        </w:rPr>
        <w:t xml:space="preserve"> 2023</w:t>
      </w:r>
      <w:r w:rsidR="00F5454D" w:rsidRPr="00B00239">
        <w:rPr>
          <w:rFonts w:ascii="Arial" w:hAnsi="Arial" w:cs="Arial"/>
          <w:i/>
          <w:sz w:val="24"/>
          <w:szCs w:val="24"/>
        </w:rPr>
        <w:t xml:space="preserve"> </w:t>
      </w:r>
      <w:r w:rsidR="00F5454D" w:rsidRPr="00F5454D">
        <w:rPr>
          <w:rFonts w:ascii="Arial" w:hAnsi="Arial" w:cs="Arial"/>
          <w:iCs/>
          <w:sz w:val="24"/>
          <w:szCs w:val="24"/>
        </w:rPr>
        <w:t>to</w:t>
      </w:r>
      <w:r w:rsidRPr="00F5454D">
        <w:rPr>
          <w:rFonts w:ascii="Arial" w:hAnsi="Arial" w:cs="Arial"/>
          <w:iCs/>
          <w:sz w:val="24"/>
          <w:szCs w:val="24"/>
        </w:rPr>
        <w:t xml:space="preserve"> </w:t>
      </w:r>
      <w:r>
        <w:rPr>
          <w:rFonts w:ascii="Arial" w:hAnsi="Arial" w:cs="Arial"/>
          <w:iCs/>
          <w:sz w:val="24"/>
          <w:szCs w:val="24"/>
        </w:rPr>
        <w:t xml:space="preserve">issue infringement notices and reminder notices. Under the </w:t>
      </w:r>
      <w:r w:rsidRPr="00F5454D">
        <w:rPr>
          <w:rFonts w:ascii="Arial" w:hAnsi="Arial" w:cs="Arial"/>
          <w:iCs/>
          <w:sz w:val="24"/>
          <w:szCs w:val="24"/>
        </w:rPr>
        <w:t>Magistrates Court Act a</w:t>
      </w:r>
      <w:r>
        <w:rPr>
          <w:rFonts w:ascii="Arial" w:hAnsi="Arial" w:cs="Arial"/>
          <w:iCs/>
          <w:sz w:val="24"/>
          <w:szCs w:val="24"/>
        </w:rPr>
        <w:t xml:space="preserve"> person authorised to issue an infringement notice for an offence has the discretion to decide whether or not to issue a notice.</w:t>
      </w:r>
    </w:p>
    <w:p w14:paraId="5DEAA877" w14:textId="5A146A7F" w:rsidR="00B00239" w:rsidRDefault="00B00239" w:rsidP="00D14F2C">
      <w:pPr>
        <w:spacing w:after="120"/>
        <w:ind w:right="-45"/>
        <w:rPr>
          <w:rFonts w:ascii="Arial" w:hAnsi="Arial" w:cs="Arial"/>
          <w:iCs/>
          <w:sz w:val="24"/>
          <w:szCs w:val="24"/>
        </w:rPr>
      </w:pPr>
      <w:r>
        <w:rPr>
          <w:rFonts w:ascii="Arial" w:hAnsi="Arial" w:cs="Arial"/>
          <w:iCs/>
          <w:sz w:val="24"/>
          <w:szCs w:val="24"/>
        </w:rPr>
        <w:t xml:space="preserve">The </w:t>
      </w:r>
      <w:r>
        <w:rPr>
          <w:rFonts w:ascii="Arial" w:hAnsi="Arial" w:cs="Arial"/>
          <w:i/>
          <w:sz w:val="24"/>
          <w:szCs w:val="24"/>
        </w:rPr>
        <w:t>Circular Economy Act 2023</w:t>
      </w:r>
      <w:r>
        <w:rPr>
          <w:rFonts w:ascii="Arial" w:hAnsi="Arial" w:cs="Arial"/>
          <w:iCs/>
          <w:sz w:val="24"/>
          <w:szCs w:val="24"/>
        </w:rPr>
        <w:t xml:space="preserve"> repealed the </w:t>
      </w:r>
      <w:r>
        <w:rPr>
          <w:rFonts w:ascii="Arial" w:hAnsi="Arial" w:cs="Arial"/>
          <w:i/>
          <w:sz w:val="24"/>
          <w:szCs w:val="24"/>
        </w:rPr>
        <w:t>Plastic Reduction Act 2021</w:t>
      </w:r>
      <w:r>
        <w:rPr>
          <w:rFonts w:ascii="Arial" w:hAnsi="Arial" w:cs="Arial"/>
          <w:iCs/>
          <w:sz w:val="24"/>
          <w:szCs w:val="24"/>
        </w:rPr>
        <w:t xml:space="preserve"> and provides a comprehensive framework for the reduction of plastic and the management of other waste streams to promote a circular economy.</w:t>
      </w:r>
      <w:r w:rsidRPr="00B00239">
        <w:rPr>
          <w:rFonts w:ascii="Arial" w:hAnsi="Arial" w:cs="Arial"/>
          <w:iCs/>
          <w:sz w:val="24"/>
          <w:szCs w:val="24"/>
        </w:rPr>
        <w:t xml:space="preserve"> </w:t>
      </w:r>
      <w:r w:rsidRPr="003F2AE6">
        <w:rPr>
          <w:rFonts w:ascii="Arial" w:hAnsi="Arial" w:cs="Arial"/>
          <w:iCs/>
          <w:sz w:val="24"/>
          <w:szCs w:val="24"/>
        </w:rPr>
        <w:t>The ability to issue infringement notices for offences against the </w:t>
      </w:r>
      <w:r>
        <w:rPr>
          <w:rFonts w:ascii="Arial" w:hAnsi="Arial" w:cs="Arial"/>
          <w:iCs/>
          <w:sz w:val="24"/>
          <w:szCs w:val="24"/>
        </w:rPr>
        <w:t>Circular Economy Act</w:t>
      </w:r>
      <w:r w:rsidRPr="003F2AE6">
        <w:rPr>
          <w:rFonts w:ascii="Arial" w:hAnsi="Arial" w:cs="Arial"/>
          <w:iCs/>
          <w:sz w:val="24"/>
          <w:szCs w:val="24"/>
        </w:rPr>
        <w:t> will encourage compliance with the legislation and will allow for immediate action to be taken against people who are breaching the law.</w:t>
      </w:r>
    </w:p>
    <w:p w14:paraId="6FC0C217" w14:textId="7D1088F5" w:rsidR="000B1837" w:rsidRDefault="0009397E" w:rsidP="00B00239">
      <w:pPr>
        <w:keepNext/>
        <w:keepLines/>
        <w:spacing w:before="240" w:after="120" w:line="240" w:lineRule="auto"/>
        <w:outlineLvl w:val="1"/>
        <w:rPr>
          <w:rFonts w:ascii="Arial" w:eastAsiaTheme="majorEastAsia" w:hAnsi="Arial" w:cs="Arial"/>
          <w:b/>
          <w:bCs/>
          <w:color w:val="000000" w:themeColor="text1"/>
          <w:sz w:val="24"/>
          <w:szCs w:val="24"/>
        </w:rPr>
      </w:pPr>
      <w:r>
        <w:rPr>
          <w:rFonts w:ascii="Arial" w:eastAsiaTheme="majorEastAsia" w:hAnsi="Arial" w:cs="Arial"/>
          <w:b/>
          <w:bCs/>
          <w:color w:val="000000" w:themeColor="text1"/>
          <w:sz w:val="24"/>
          <w:szCs w:val="24"/>
        </w:rPr>
        <w:t>H</w:t>
      </w:r>
      <w:r w:rsidR="000B1837" w:rsidRPr="007E67A5">
        <w:rPr>
          <w:rFonts w:ascii="Arial" w:eastAsiaTheme="majorEastAsia" w:hAnsi="Arial" w:cs="Arial"/>
          <w:b/>
          <w:bCs/>
          <w:color w:val="000000" w:themeColor="text1"/>
          <w:sz w:val="24"/>
          <w:szCs w:val="24"/>
        </w:rPr>
        <w:t>UMAN RIGHTS</w:t>
      </w:r>
      <w:r>
        <w:rPr>
          <w:rFonts w:ascii="Arial" w:eastAsiaTheme="majorEastAsia" w:hAnsi="Arial" w:cs="Arial"/>
          <w:b/>
          <w:bCs/>
          <w:color w:val="000000" w:themeColor="text1"/>
          <w:sz w:val="24"/>
          <w:szCs w:val="24"/>
        </w:rPr>
        <w:t xml:space="preserve"> IMPLICATIONS</w:t>
      </w:r>
    </w:p>
    <w:p w14:paraId="5D1B3AAE" w14:textId="7614BEB6" w:rsidR="0009397E" w:rsidRPr="0009397E" w:rsidRDefault="0009397E" w:rsidP="0009397E">
      <w:pPr>
        <w:spacing w:after="120"/>
        <w:ind w:right="-45"/>
        <w:rPr>
          <w:rFonts w:ascii="Arial" w:hAnsi="Arial" w:cs="Arial"/>
          <w:iCs/>
          <w:sz w:val="24"/>
          <w:szCs w:val="24"/>
        </w:rPr>
      </w:pPr>
      <w:r w:rsidRPr="0009397E">
        <w:rPr>
          <w:rFonts w:ascii="Arial" w:hAnsi="Arial" w:cs="Arial"/>
          <w:iCs/>
          <w:sz w:val="24"/>
          <w:szCs w:val="24"/>
        </w:rPr>
        <w:t>This regulation contains strict liability offences, as such, it might be seen to engage the presumption of innocence</w:t>
      </w:r>
      <w:r>
        <w:rPr>
          <w:rFonts w:ascii="Arial" w:hAnsi="Arial" w:cs="Arial"/>
          <w:iCs/>
          <w:sz w:val="24"/>
          <w:szCs w:val="24"/>
        </w:rPr>
        <w:t xml:space="preserve">. </w:t>
      </w:r>
      <w:r w:rsidRPr="0009397E">
        <w:rPr>
          <w:rFonts w:ascii="Arial" w:hAnsi="Arial" w:cs="Arial"/>
          <w:iCs/>
          <w:sz w:val="24"/>
          <w:szCs w:val="24"/>
        </w:rPr>
        <w:t xml:space="preserve">Section 22(1) of the </w:t>
      </w:r>
      <w:r w:rsidRPr="006E1A68">
        <w:rPr>
          <w:rFonts w:ascii="Arial" w:hAnsi="Arial" w:cs="Arial"/>
          <w:i/>
          <w:sz w:val="24"/>
          <w:szCs w:val="24"/>
        </w:rPr>
        <w:t>Human Rights Act 2004</w:t>
      </w:r>
      <w:r w:rsidRPr="0009397E">
        <w:rPr>
          <w:rFonts w:ascii="Arial" w:hAnsi="Arial" w:cs="Arial"/>
          <w:iCs/>
          <w:sz w:val="24"/>
          <w:szCs w:val="24"/>
        </w:rPr>
        <w:t xml:space="preserve"> provides that everyone charged with a criminal offence has the right to be presumed innocent until proved guilty according to law.</w:t>
      </w:r>
      <w:r>
        <w:rPr>
          <w:rFonts w:ascii="Arial" w:hAnsi="Arial" w:cs="Arial"/>
          <w:iCs/>
          <w:sz w:val="24"/>
          <w:szCs w:val="24"/>
        </w:rPr>
        <w:t xml:space="preserve"> </w:t>
      </w:r>
      <w:r w:rsidRPr="0009397E">
        <w:rPr>
          <w:rFonts w:ascii="Arial" w:hAnsi="Arial" w:cs="Arial"/>
          <w:iCs/>
          <w:sz w:val="24"/>
          <w:szCs w:val="24"/>
        </w:rPr>
        <w:t>In a strict liability offence, there is no requirement to establish a fault element, such as intention, recklessness, or negligence</w:t>
      </w:r>
      <w:r>
        <w:rPr>
          <w:rFonts w:ascii="Arial" w:hAnsi="Arial" w:cs="Arial"/>
          <w:iCs/>
          <w:sz w:val="24"/>
          <w:szCs w:val="24"/>
        </w:rPr>
        <w:t xml:space="preserve"> </w:t>
      </w:r>
      <w:r w:rsidRPr="00747927">
        <w:rPr>
          <w:rFonts w:ascii="Arial" w:hAnsi="Arial" w:cs="Arial"/>
          <w:iCs/>
          <w:sz w:val="24"/>
          <w:szCs w:val="24"/>
        </w:rPr>
        <w:t>and the prosecution need only show that the defendant did the prohibited act</w:t>
      </w:r>
      <w:r w:rsidRPr="0009397E">
        <w:rPr>
          <w:rFonts w:ascii="Arial" w:hAnsi="Arial" w:cs="Arial"/>
          <w:iCs/>
          <w:sz w:val="24"/>
          <w:szCs w:val="24"/>
        </w:rPr>
        <w:t>.</w:t>
      </w:r>
    </w:p>
    <w:p w14:paraId="130D643E" w14:textId="41A65033" w:rsidR="0009397E" w:rsidRPr="0009397E" w:rsidRDefault="0009397E" w:rsidP="0009397E">
      <w:pPr>
        <w:spacing w:after="120"/>
        <w:ind w:right="-45"/>
        <w:rPr>
          <w:rFonts w:ascii="Arial" w:hAnsi="Arial" w:cs="Arial"/>
          <w:iCs/>
          <w:sz w:val="24"/>
          <w:szCs w:val="24"/>
        </w:rPr>
      </w:pPr>
      <w:r w:rsidRPr="0009397E">
        <w:rPr>
          <w:rFonts w:ascii="Arial" w:hAnsi="Arial" w:cs="Arial"/>
          <w:iCs/>
          <w:sz w:val="24"/>
          <w:szCs w:val="24"/>
        </w:rPr>
        <w:t xml:space="preserve">Strict liability offences arise in a regulatory context where for reasons such as </w:t>
      </w:r>
      <w:r>
        <w:rPr>
          <w:rFonts w:ascii="Arial" w:hAnsi="Arial" w:cs="Arial"/>
          <w:iCs/>
          <w:sz w:val="24"/>
          <w:szCs w:val="24"/>
        </w:rPr>
        <w:t xml:space="preserve">environmental protection </w:t>
      </w:r>
      <w:r w:rsidRPr="0009397E">
        <w:rPr>
          <w:rFonts w:ascii="Arial" w:hAnsi="Arial" w:cs="Arial"/>
          <w:iCs/>
          <w:sz w:val="24"/>
          <w:szCs w:val="24"/>
        </w:rPr>
        <w:t xml:space="preserve">and public safety, the public interest in ensuring that regulatory schemes are observed requires the sanction of criminal penalties. Where a defendant can reasonably be expected to know what the requirements of the law are, the mental, or fault, element can justifiably be excluded. </w:t>
      </w:r>
    </w:p>
    <w:p w14:paraId="07AF94DC" w14:textId="0B0B8152" w:rsidR="00B15BFD" w:rsidRDefault="0009397E" w:rsidP="00B15BFD">
      <w:pPr>
        <w:rPr>
          <w:rFonts w:ascii="Arial" w:hAnsi="Arial" w:cs="Arial"/>
          <w:sz w:val="24"/>
          <w:szCs w:val="24"/>
        </w:rPr>
      </w:pPr>
      <w:r w:rsidRPr="0009397E">
        <w:rPr>
          <w:rFonts w:ascii="Arial" w:hAnsi="Arial" w:cs="Arial"/>
          <w:iCs/>
          <w:sz w:val="24"/>
          <w:szCs w:val="24"/>
        </w:rPr>
        <w:t>This regulation does not create any new offences</w:t>
      </w:r>
      <w:r w:rsidR="00B15BFD">
        <w:rPr>
          <w:rFonts w:ascii="Arial" w:hAnsi="Arial" w:cs="Arial"/>
          <w:iCs/>
          <w:sz w:val="24"/>
          <w:szCs w:val="24"/>
        </w:rPr>
        <w:t xml:space="preserve">. </w:t>
      </w:r>
      <w:r w:rsidR="00B15BFD">
        <w:rPr>
          <w:rFonts w:ascii="Arial" w:hAnsi="Arial" w:cs="Arial"/>
          <w:sz w:val="24"/>
          <w:szCs w:val="24"/>
        </w:rPr>
        <w:t xml:space="preserve">This regulation introduces infringement notices for the following strict liability offences in the </w:t>
      </w:r>
      <w:r w:rsidR="00B15BFD">
        <w:rPr>
          <w:rFonts w:ascii="Arial" w:hAnsi="Arial" w:cs="Arial"/>
          <w:i/>
          <w:iCs/>
          <w:sz w:val="24"/>
          <w:szCs w:val="24"/>
        </w:rPr>
        <w:t xml:space="preserve">Circular Economy </w:t>
      </w:r>
      <w:r w:rsidR="00B15BFD">
        <w:rPr>
          <w:rFonts w:ascii="Arial" w:hAnsi="Arial" w:cs="Arial"/>
          <w:i/>
          <w:iCs/>
          <w:sz w:val="24"/>
          <w:szCs w:val="24"/>
        </w:rPr>
        <w:lastRenderedPageBreak/>
        <w:t xml:space="preserve">Act 2023, </w:t>
      </w:r>
      <w:r w:rsidR="00B15BFD" w:rsidRPr="00083DA3">
        <w:rPr>
          <w:rFonts w:ascii="Arial" w:hAnsi="Arial" w:cs="Arial"/>
          <w:sz w:val="24"/>
          <w:szCs w:val="24"/>
        </w:rPr>
        <w:t>which have</w:t>
      </w:r>
      <w:r w:rsidR="00B15BFD">
        <w:rPr>
          <w:rFonts w:ascii="Arial" w:hAnsi="Arial" w:cs="Arial"/>
          <w:i/>
          <w:iCs/>
          <w:sz w:val="24"/>
          <w:szCs w:val="24"/>
        </w:rPr>
        <w:t xml:space="preserve"> </w:t>
      </w:r>
      <w:r w:rsidR="00B15BFD" w:rsidRPr="00BA15A8">
        <w:rPr>
          <w:rFonts w:ascii="Arial" w:hAnsi="Arial" w:cs="Arial"/>
          <w:sz w:val="24"/>
          <w:szCs w:val="24"/>
        </w:rPr>
        <w:t xml:space="preserve">been carried over from the </w:t>
      </w:r>
      <w:r w:rsidR="00B15BFD" w:rsidRPr="00BA15A8">
        <w:rPr>
          <w:rFonts w:ascii="Arial" w:hAnsi="Arial" w:cs="Arial"/>
          <w:i/>
          <w:iCs/>
          <w:sz w:val="24"/>
          <w:szCs w:val="24"/>
        </w:rPr>
        <w:t xml:space="preserve">Plastic Reduction Act 2021 </w:t>
      </w:r>
      <w:r w:rsidR="00B15BFD" w:rsidRPr="00BA15A8">
        <w:rPr>
          <w:rFonts w:ascii="Arial" w:hAnsi="Arial" w:cs="Arial"/>
          <w:sz w:val="24"/>
          <w:szCs w:val="24"/>
        </w:rPr>
        <w:t xml:space="preserve">with some expansion to allow </w:t>
      </w:r>
      <w:r w:rsidR="006E1A68">
        <w:rPr>
          <w:rFonts w:ascii="Arial" w:hAnsi="Arial" w:cs="Arial"/>
          <w:sz w:val="24"/>
          <w:szCs w:val="24"/>
        </w:rPr>
        <w:t xml:space="preserve">them to apply to </w:t>
      </w:r>
      <w:r w:rsidR="00B15BFD" w:rsidRPr="00BA15A8">
        <w:rPr>
          <w:rFonts w:ascii="Arial" w:hAnsi="Arial" w:cs="Arial"/>
          <w:sz w:val="24"/>
          <w:szCs w:val="24"/>
        </w:rPr>
        <w:t>non-plastic products in future</w:t>
      </w:r>
      <w:r w:rsidR="00B15BFD">
        <w:rPr>
          <w:rFonts w:ascii="Arial" w:hAnsi="Arial" w:cs="Arial"/>
          <w:sz w:val="24"/>
          <w:szCs w:val="24"/>
        </w:rPr>
        <w:t>:</w:t>
      </w:r>
    </w:p>
    <w:p w14:paraId="75EE82CD" w14:textId="0C9D9B74" w:rsidR="00B15BFD" w:rsidRDefault="00B15BFD" w:rsidP="00B15BFD">
      <w:pPr>
        <w:pStyle w:val="ListParagraph"/>
        <w:numPr>
          <w:ilvl w:val="0"/>
          <w:numId w:val="5"/>
        </w:numPr>
        <w:rPr>
          <w:rFonts w:ascii="Arial" w:hAnsi="Arial" w:cs="Arial"/>
          <w:sz w:val="24"/>
          <w:szCs w:val="24"/>
        </w:rPr>
      </w:pPr>
      <w:r w:rsidRPr="00083DA3">
        <w:rPr>
          <w:rFonts w:ascii="Arial" w:hAnsi="Arial" w:cs="Arial"/>
          <w:sz w:val="24"/>
          <w:szCs w:val="24"/>
        </w:rPr>
        <w:t>supplying a prohibited product at s</w:t>
      </w:r>
      <w:r w:rsidR="009415AE">
        <w:rPr>
          <w:rFonts w:ascii="Arial" w:hAnsi="Arial" w:cs="Arial"/>
          <w:sz w:val="24"/>
          <w:szCs w:val="24"/>
        </w:rPr>
        <w:t>ection</w:t>
      </w:r>
      <w:r w:rsidRPr="00083DA3">
        <w:rPr>
          <w:rFonts w:ascii="Arial" w:hAnsi="Arial" w:cs="Arial"/>
          <w:sz w:val="24"/>
          <w:szCs w:val="24"/>
        </w:rPr>
        <w:t xml:space="preserve"> 17</w:t>
      </w:r>
      <w:r>
        <w:rPr>
          <w:rFonts w:ascii="Arial" w:hAnsi="Arial" w:cs="Arial"/>
          <w:sz w:val="24"/>
          <w:szCs w:val="24"/>
        </w:rPr>
        <w:t>;</w:t>
      </w:r>
    </w:p>
    <w:p w14:paraId="5A1CEC3B" w14:textId="54AF7520" w:rsidR="00B15BFD" w:rsidRDefault="00B15BFD" w:rsidP="00B15BFD">
      <w:pPr>
        <w:pStyle w:val="ListParagraph"/>
        <w:numPr>
          <w:ilvl w:val="0"/>
          <w:numId w:val="5"/>
        </w:numPr>
        <w:rPr>
          <w:rFonts w:ascii="Arial" w:hAnsi="Arial" w:cs="Arial"/>
          <w:sz w:val="24"/>
          <w:szCs w:val="24"/>
        </w:rPr>
      </w:pPr>
      <w:r w:rsidRPr="00083DA3">
        <w:rPr>
          <w:rFonts w:ascii="Arial" w:hAnsi="Arial" w:cs="Arial"/>
          <w:sz w:val="24"/>
          <w:szCs w:val="24"/>
        </w:rPr>
        <w:t>not complying with a notice to dispose of prohibited products at s</w:t>
      </w:r>
      <w:r w:rsidR="009415AE">
        <w:rPr>
          <w:rFonts w:ascii="Arial" w:hAnsi="Arial" w:cs="Arial"/>
          <w:sz w:val="24"/>
          <w:szCs w:val="24"/>
        </w:rPr>
        <w:t>ection</w:t>
      </w:r>
      <w:r w:rsidRPr="00083DA3">
        <w:rPr>
          <w:rFonts w:ascii="Arial" w:hAnsi="Arial" w:cs="Arial"/>
          <w:sz w:val="24"/>
          <w:szCs w:val="24"/>
        </w:rPr>
        <w:t xml:space="preserve"> 19</w:t>
      </w:r>
      <w:r>
        <w:rPr>
          <w:rFonts w:ascii="Arial" w:hAnsi="Arial" w:cs="Arial"/>
          <w:sz w:val="24"/>
          <w:szCs w:val="24"/>
        </w:rPr>
        <w:t>;</w:t>
      </w:r>
    </w:p>
    <w:p w14:paraId="229F73B8" w14:textId="7480353A" w:rsidR="00B15BFD" w:rsidRDefault="00B15BFD" w:rsidP="00B15BFD">
      <w:pPr>
        <w:pStyle w:val="ListParagraph"/>
        <w:numPr>
          <w:ilvl w:val="0"/>
          <w:numId w:val="5"/>
        </w:numPr>
        <w:rPr>
          <w:rFonts w:ascii="Arial" w:hAnsi="Arial" w:cs="Arial"/>
          <w:sz w:val="24"/>
          <w:szCs w:val="24"/>
        </w:rPr>
      </w:pPr>
      <w:r w:rsidRPr="00083DA3">
        <w:rPr>
          <w:rFonts w:ascii="Arial" w:hAnsi="Arial" w:cs="Arial"/>
          <w:sz w:val="24"/>
          <w:szCs w:val="24"/>
        </w:rPr>
        <w:t>supplying declared products at a declared public event at s</w:t>
      </w:r>
      <w:r w:rsidR="009415AE">
        <w:rPr>
          <w:rFonts w:ascii="Arial" w:hAnsi="Arial" w:cs="Arial"/>
          <w:sz w:val="24"/>
          <w:szCs w:val="24"/>
        </w:rPr>
        <w:t>ection</w:t>
      </w:r>
      <w:r w:rsidRPr="00083DA3">
        <w:rPr>
          <w:rFonts w:ascii="Arial" w:hAnsi="Arial" w:cs="Arial"/>
          <w:sz w:val="24"/>
          <w:szCs w:val="24"/>
        </w:rPr>
        <w:t xml:space="preserve"> 22</w:t>
      </w:r>
      <w:r>
        <w:rPr>
          <w:rFonts w:ascii="Arial" w:hAnsi="Arial" w:cs="Arial"/>
          <w:sz w:val="24"/>
          <w:szCs w:val="24"/>
        </w:rPr>
        <w:t>;</w:t>
      </w:r>
    </w:p>
    <w:p w14:paraId="5A271CFA" w14:textId="171B31E3" w:rsidR="00B15BFD" w:rsidRDefault="00B15BFD" w:rsidP="00B15BFD">
      <w:pPr>
        <w:pStyle w:val="ListParagraph"/>
        <w:numPr>
          <w:ilvl w:val="0"/>
          <w:numId w:val="5"/>
        </w:numPr>
        <w:rPr>
          <w:rFonts w:ascii="Arial" w:hAnsi="Arial" w:cs="Arial"/>
          <w:sz w:val="24"/>
          <w:szCs w:val="24"/>
        </w:rPr>
      </w:pPr>
      <w:r w:rsidRPr="00083DA3">
        <w:rPr>
          <w:rFonts w:ascii="Arial" w:hAnsi="Arial" w:cs="Arial"/>
          <w:sz w:val="24"/>
          <w:szCs w:val="24"/>
        </w:rPr>
        <w:t>not complying with an exemption condition at s</w:t>
      </w:r>
      <w:r w:rsidR="009415AE">
        <w:rPr>
          <w:rFonts w:ascii="Arial" w:hAnsi="Arial" w:cs="Arial"/>
          <w:sz w:val="24"/>
          <w:szCs w:val="24"/>
        </w:rPr>
        <w:t>ection</w:t>
      </w:r>
      <w:r w:rsidRPr="00083DA3">
        <w:rPr>
          <w:rFonts w:ascii="Arial" w:hAnsi="Arial" w:cs="Arial"/>
          <w:sz w:val="24"/>
          <w:szCs w:val="24"/>
        </w:rPr>
        <w:t xml:space="preserve"> 23</w:t>
      </w:r>
      <w:r>
        <w:rPr>
          <w:rFonts w:ascii="Arial" w:hAnsi="Arial" w:cs="Arial"/>
          <w:sz w:val="24"/>
          <w:szCs w:val="24"/>
        </w:rPr>
        <w:t>;</w:t>
      </w:r>
      <w:r w:rsidRPr="00083DA3">
        <w:rPr>
          <w:rFonts w:ascii="Arial" w:hAnsi="Arial" w:cs="Arial"/>
          <w:sz w:val="24"/>
          <w:szCs w:val="24"/>
        </w:rPr>
        <w:t xml:space="preserve"> </w:t>
      </w:r>
    </w:p>
    <w:p w14:paraId="298F996F" w14:textId="1B24F291" w:rsidR="00B15BFD" w:rsidRDefault="00B15BFD" w:rsidP="00B15BFD">
      <w:pPr>
        <w:pStyle w:val="ListParagraph"/>
        <w:numPr>
          <w:ilvl w:val="0"/>
          <w:numId w:val="5"/>
        </w:numPr>
        <w:rPr>
          <w:rFonts w:ascii="Arial" w:hAnsi="Arial" w:cs="Arial"/>
          <w:sz w:val="24"/>
          <w:szCs w:val="24"/>
        </w:rPr>
      </w:pPr>
      <w:r w:rsidRPr="00083DA3">
        <w:rPr>
          <w:rFonts w:ascii="Arial" w:hAnsi="Arial" w:cs="Arial"/>
          <w:sz w:val="24"/>
          <w:szCs w:val="24"/>
        </w:rPr>
        <w:t>not returning an identity card at s</w:t>
      </w:r>
      <w:r w:rsidR="009415AE">
        <w:rPr>
          <w:rFonts w:ascii="Arial" w:hAnsi="Arial" w:cs="Arial"/>
          <w:sz w:val="24"/>
          <w:szCs w:val="24"/>
        </w:rPr>
        <w:t>ection</w:t>
      </w:r>
      <w:r w:rsidRPr="00083DA3">
        <w:rPr>
          <w:rFonts w:ascii="Arial" w:hAnsi="Arial" w:cs="Arial"/>
          <w:sz w:val="24"/>
          <w:szCs w:val="24"/>
        </w:rPr>
        <w:t xml:space="preserve"> 26</w:t>
      </w:r>
      <w:r>
        <w:rPr>
          <w:rFonts w:ascii="Arial" w:hAnsi="Arial" w:cs="Arial"/>
          <w:sz w:val="24"/>
          <w:szCs w:val="24"/>
        </w:rPr>
        <w:t>;</w:t>
      </w:r>
      <w:r w:rsidRPr="00083DA3">
        <w:rPr>
          <w:rFonts w:ascii="Arial" w:hAnsi="Arial" w:cs="Arial"/>
          <w:sz w:val="24"/>
          <w:szCs w:val="24"/>
        </w:rPr>
        <w:t xml:space="preserve"> and </w:t>
      </w:r>
    </w:p>
    <w:p w14:paraId="04FDFF69" w14:textId="1E79CF63" w:rsidR="00B15BFD" w:rsidRDefault="00B15BFD" w:rsidP="00B15BFD">
      <w:pPr>
        <w:pStyle w:val="ListParagraph"/>
        <w:numPr>
          <w:ilvl w:val="0"/>
          <w:numId w:val="5"/>
        </w:numPr>
        <w:rPr>
          <w:rFonts w:ascii="Arial" w:hAnsi="Arial" w:cs="Arial"/>
          <w:sz w:val="24"/>
          <w:szCs w:val="24"/>
        </w:rPr>
      </w:pPr>
      <w:r w:rsidRPr="00083DA3">
        <w:rPr>
          <w:rFonts w:ascii="Arial" w:hAnsi="Arial" w:cs="Arial"/>
          <w:sz w:val="24"/>
          <w:szCs w:val="24"/>
        </w:rPr>
        <w:t>not complying with direction to give name and address at s</w:t>
      </w:r>
      <w:r w:rsidR="009415AE">
        <w:rPr>
          <w:rFonts w:ascii="Arial" w:hAnsi="Arial" w:cs="Arial"/>
          <w:sz w:val="24"/>
          <w:szCs w:val="24"/>
        </w:rPr>
        <w:t>ection</w:t>
      </w:r>
      <w:r w:rsidRPr="00083DA3">
        <w:rPr>
          <w:rFonts w:ascii="Arial" w:hAnsi="Arial" w:cs="Arial"/>
          <w:sz w:val="24"/>
          <w:szCs w:val="24"/>
        </w:rPr>
        <w:t xml:space="preserve"> 30</w:t>
      </w:r>
      <w:r>
        <w:rPr>
          <w:rFonts w:ascii="Arial" w:hAnsi="Arial" w:cs="Arial"/>
          <w:sz w:val="24"/>
          <w:szCs w:val="24"/>
        </w:rPr>
        <w:t>.</w:t>
      </w:r>
    </w:p>
    <w:p w14:paraId="439D5E40" w14:textId="311F551F" w:rsidR="0009397E" w:rsidRDefault="0009397E" w:rsidP="0009397E">
      <w:pPr>
        <w:rPr>
          <w:rFonts w:ascii="Arial" w:hAnsi="Arial" w:cs="Arial"/>
          <w:iCs/>
          <w:sz w:val="24"/>
          <w:szCs w:val="24"/>
        </w:rPr>
      </w:pPr>
      <w:r w:rsidRPr="0009397E">
        <w:rPr>
          <w:rFonts w:ascii="Arial" w:hAnsi="Arial" w:cs="Arial"/>
          <w:iCs/>
          <w:sz w:val="24"/>
          <w:szCs w:val="24"/>
        </w:rPr>
        <w:t>Without the ability to issue infringement notices, the only option available to the regulating authority is to prosecute offences through the courts. This is a serious response, and this regulation provides a method to achieve the policy purpose that is less restrictive on human rights.</w:t>
      </w:r>
    </w:p>
    <w:p w14:paraId="2587DDE1" w14:textId="53F1C46B" w:rsidR="0009397E" w:rsidRPr="0009397E" w:rsidRDefault="0009397E" w:rsidP="0009397E">
      <w:pPr>
        <w:rPr>
          <w:rFonts w:ascii="Arial" w:hAnsi="Arial" w:cs="Arial"/>
          <w:sz w:val="24"/>
          <w:szCs w:val="24"/>
        </w:rPr>
      </w:pPr>
      <w:r w:rsidRPr="0009397E">
        <w:rPr>
          <w:rFonts w:ascii="Arial" w:hAnsi="Arial" w:cs="Arial"/>
          <w:sz w:val="24"/>
          <w:szCs w:val="24"/>
        </w:rPr>
        <w:t>While an infringement notice scheme offers the opportunity for a person to pay the infringement notice rather than face prosecution, it does not prevent them from choosing to challenge the notice and instead face prosecution in court, so the minimum guarantees in criminal proceedings under s</w:t>
      </w:r>
      <w:r w:rsidR="009415AE">
        <w:rPr>
          <w:rFonts w:ascii="Arial" w:hAnsi="Arial" w:cs="Arial"/>
          <w:sz w:val="24"/>
          <w:szCs w:val="24"/>
        </w:rPr>
        <w:t>ection</w:t>
      </w:r>
      <w:r w:rsidRPr="0009397E">
        <w:rPr>
          <w:rFonts w:ascii="Arial" w:hAnsi="Arial" w:cs="Arial"/>
          <w:sz w:val="24"/>
          <w:szCs w:val="24"/>
        </w:rPr>
        <w:t xml:space="preserve"> 22(2) and rights to a fair trial under s</w:t>
      </w:r>
      <w:r w:rsidR="009415AE">
        <w:rPr>
          <w:rFonts w:ascii="Arial" w:hAnsi="Arial" w:cs="Arial"/>
          <w:sz w:val="24"/>
          <w:szCs w:val="24"/>
        </w:rPr>
        <w:t>ection</w:t>
      </w:r>
      <w:r w:rsidRPr="0009397E">
        <w:rPr>
          <w:rFonts w:ascii="Arial" w:hAnsi="Arial" w:cs="Arial"/>
          <w:sz w:val="24"/>
          <w:szCs w:val="24"/>
        </w:rPr>
        <w:t xml:space="preserve"> 21 of the Human Rights Act remain available and are not undermined by the possibility of an infringement notice scheme. </w:t>
      </w:r>
    </w:p>
    <w:p w14:paraId="18AC1B43" w14:textId="3DCA4869" w:rsidR="0009397E" w:rsidRDefault="0009397E" w:rsidP="0009397E">
      <w:pPr>
        <w:rPr>
          <w:rFonts w:ascii="Arial" w:hAnsi="Arial" w:cs="Arial"/>
          <w:sz w:val="24"/>
          <w:szCs w:val="24"/>
        </w:rPr>
      </w:pPr>
      <w:r w:rsidRPr="00BA15A8">
        <w:rPr>
          <w:rFonts w:ascii="Arial" w:hAnsi="Arial" w:cs="Arial"/>
          <w:sz w:val="24"/>
          <w:szCs w:val="24"/>
        </w:rPr>
        <w:t xml:space="preserve">A less restrictive approach (namely, </w:t>
      </w:r>
      <w:r>
        <w:rPr>
          <w:rFonts w:ascii="Arial" w:hAnsi="Arial" w:cs="Arial"/>
          <w:sz w:val="24"/>
          <w:szCs w:val="24"/>
        </w:rPr>
        <w:t>not creating infringement notices for these offences</w:t>
      </w:r>
      <w:r w:rsidRPr="00BA15A8">
        <w:rPr>
          <w:rFonts w:ascii="Arial" w:hAnsi="Arial" w:cs="Arial"/>
          <w:sz w:val="24"/>
          <w:szCs w:val="24"/>
        </w:rPr>
        <w:t xml:space="preserve">) would still enable enforcement but </w:t>
      </w:r>
      <w:r>
        <w:rPr>
          <w:rFonts w:ascii="Arial" w:hAnsi="Arial" w:cs="Arial"/>
          <w:sz w:val="24"/>
          <w:szCs w:val="24"/>
        </w:rPr>
        <w:t xml:space="preserve">would not be as effective as a deterrent and </w:t>
      </w:r>
      <w:r w:rsidRPr="00BA15A8">
        <w:rPr>
          <w:rFonts w:ascii="Arial" w:hAnsi="Arial" w:cs="Arial"/>
          <w:sz w:val="24"/>
          <w:szCs w:val="24"/>
        </w:rPr>
        <w:t>would only be feasible</w:t>
      </w:r>
      <w:r>
        <w:rPr>
          <w:rFonts w:ascii="Arial" w:hAnsi="Arial" w:cs="Arial"/>
          <w:sz w:val="24"/>
          <w:szCs w:val="24"/>
        </w:rPr>
        <w:t xml:space="preserve"> to enforce</w:t>
      </w:r>
      <w:r w:rsidRPr="00BA15A8">
        <w:rPr>
          <w:rFonts w:ascii="Arial" w:hAnsi="Arial" w:cs="Arial"/>
          <w:sz w:val="24"/>
          <w:szCs w:val="24"/>
        </w:rPr>
        <w:t xml:space="preserve"> for larger-scale breaches. </w:t>
      </w:r>
      <w:r>
        <w:rPr>
          <w:rFonts w:ascii="Arial" w:hAnsi="Arial" w:cs="Arial"/>
          <w:sz w:val="24"/>
          <w:szCs w:val="24"/>
        </w:rPr>
        <w:t xml:space="preserve">Given the educative approach to circular economy changes, the effectiveness of deterrence is critical to generate wide-scale behavioural change. A less restrictive approach </w:t>
      </w:r>
      <w:r w:rsidRPr="00BA15A8">
        <w:rPr>
          <w:rFonts w:ascii="Arial" w:hAnsi="Arial" w:cs="Arial"/>
          <w:sz w:val="24"/>
          <w:szCs w:val="24"/>
        </w:rPr>
        <w:t>would not achieve th</w:t>
      </w:r>
      <w:r>
        <w:rPr>
          <w:rFonts w:ascii="Arial" w:hAnsi="Arial" w:cs="Arial"/>
          <w:sz w:val="24"/>
          <w:szCs w:val="24"/>
        </w:rPr>
        <w:t>is and would thus not induce the myriad of changes to practices that are n</w:t>
      </w:r>
      <w:r w:rsidRPr="00BA15A8">
        <w:rPr>
          <w:rFonts w:ascii="Arial" w:hAnsi="Arial" w:cs="Arial"/>
          <w:sz w:val="24"/>
          <w:szCs w:val="24"/>
        </w:rPr>
        <w:t xml:space="preserve">eeded to move towards a circular economy for the ACT.  </w:t>
      </w:r>
    </w:p>
    <w:p w14:paraId="3C390812" w14:textId="41647DA8" w:rsidR="00083DA3" w:rsidRDefault="00083DA3" w:rsidP="00B15BFD">
      <w:pPr>
        <w:pStyle w:val="NormalWeb"/>
        <w:shd w:val="clear" w:color="auto" w:fill="FFFFFF"/>
        <w:spacing w:before="0" w:beforeAutospacing="0" w:after="120" w:afterAutospacing="0"/>
        <w:rPr>
          <w:rFonts w:ascii="Arial" w:hAnsi="Arial" w:cs="Arial"/>
        </w:rPr>
      </w:pPr>
      <w:r w:rsidRPr="00BA15A8">
        <w:rPr>
          <w:rFonts w:ascii="Arial" w:hAnsi="Arial" w:cs="Arial"/>
        </w:rPr>
        <w:t xml:space="preserve">The limitation on this right is for the legitimate purpose of moving toward a circular economy and reducing negative environmental and waste management impacts of </w:t>
      </w:r>
      <w:r w:rsidR="00B15BFD">
        <w:rPr>
          <w:rFonts w:ascii="Arial" w:hAnsi="Arial" w:cs="Arial"/>
        </w:rPr>
        <w:t>the use of single-use plastics</w:t>
      </w:r>
      <w:r w:rsidRPr="00BA15A8">
        <w:rPr>
          <w:rFonts w:ascii="Arial" w:hAnsi="Arial" w:cs="Arial"/>
        </w:rPr>
        <w:t>. The use of strict liability offences directly supports the</w:t>
      </w:r>
      <w:r>
        <w:rPr>
          <w:rFonts w:ascii="Arial" w:hAnsi="Arial" w:cs="Arial"/>
        </w:rPr>
        <w:t xml:space="preserve"> effective</w:t>
      </w:r>
      <w:r w:rsidRPr="00BA15A8">
        <w:rPr>
          <w:rFonts w:ascii="Arial" w:hAnsi="Arial" w:cs="Arial"/>
        </w:rPr>
        <w:t xml:space="preserve"> enforcement of the </w:t>
      </w:r>
      <w:r>
        <w:rPr>
          <w:rFonts w:ascii="Arial" w:hAnsi="Arial" w:cs="Arial"/>
          <w:i/>
          <w:iCs/>
        </w:rPr>
        <w:t>Circular Economy Act 2023</w:t>
      </w:r>
      <w:r w:rsidRPr="00BA15A8">
        <w:rPr>
          <w:rFonts w:ascii="Arial" w:hAnsi="Arial" w:cs="Arial"/>
        </w:rPr>
        <w:t xml:space="preserve"> </w:t>
      </w:r>
      <w:r>
        <w:rPr>
          <w:rFonts w:ascii="Arial" w:hAnsi="Arial" w:cs="Arial"/>
        </w:rPr>
        <w:t xml:space="preserve">which will create </w:t>
      </w:r>
      <w:r w:rsidRPr="00BA15A8">
        <w:rPr>
          <w:rFonts w:ascii="Arial" w:hAnsi="Arial" w:cs="Arial"/>
        </w:rPr>
        <w:t>a deterrent</w:t>
      </w:r>
      <w:r>
        <w:rPr>
          <w:rFonts w:ascii="Arial" w:hAnsi="Arial" w:cs="Arial"/>
        </w:rPr>
        <w:t xml:space="preserve"> for businesses from breaching the law regarding prohibited plastic products</w:t>
      </w:r>
      <w:r w:rsidRPr="00BA15A8">
        <w:rPr>
          <w:rFonts w:ascii="Arial" w:hAnsi="Arial" w:cs="Arial"/>
        </w:rPr>
        <w:t xml:space="preserve">. </w:t>
      </w:r>
      <w:bookmarkStart w:id="0" w:name="_Hlk145503893"/>
      <w:r w:rsidR="002C2843">
        <w:rPr>
          <w:rFonts w:ascii="Arial" w:hAnsi="Arial" w:cs="Arial"/>
        </w:rPr>
        <w:t xml:space="preserve">This infringement notice scheme </w:t>
      </w:r>
      <w:r w:rsidRPr="00184751">
        <w:rPr>
          <w:rFonts w:ascii="Arial" w:hAnsi="Arial" w:cs="Arial"/>
        </w:rPr>
        <w:t>is proportionate because it is a reasonable and qualified limitation of the right and is targeted to its legitimate purpose of supporting enforcement to achieve the circular economy objectives of the Bill.</w:t>
      </w:r>
    </w:p>
    <w:bookmarkEnd w:id="0"/>
    <w:p w14:paraId="48EDD454" w14:textId="77777777" w:rsidR="003F2AE6" w:rsidRDefault="003F2AE6">
      <w:pPr>
        <w:rPr>
          <w:rFonts w:ascii="Arial" w:eastAsiaTheme="majorEastAsia" w:hAnsi="Arial" w:cs="Arial"/>
          <w:b/>
          <w:bCs/>
          <w:color w:val="000000" w:themeColor="text1"/>
          <w:sz w:val="24"/>
          <w:szCs w:val="24"/>
        </w:rPr>
      </w:pPr>
      <w:r>
        <w:rPr>
          <w:rFonts w:ascii="Arial" w:eastAsiaTheme="majorEastAsia" w:hAnsi="Arial" w:cs="Arial"/>
          <w:b/>
          <w:bCs/>
          <w:color w:val="000000" w:themeColor="text1"/>
          <w:sz w:val="24"/>
          <w:szCs w:val="24"/>
        </w:rPr>
        <w:br w:type="page"/>
      </w:r>
    </w:p>
    <w:p w14:paraId="042BF2A5" w14:textId="36327636" w:rsidR="00D14F2C" w:rsidRDefault="00EA20AB" w:rsidP="00EA20AB">
      <w:pPr>
        <w:rPr>
          <w:rFonts w:ascii="Arial" w:eastAsiaTheme="majorEastAsia" w:hAnsi="Arial" w:cs="Arial"/>
          <w:b/>
          <w:bCs/>
          <w:color w:val="000000" w:themeColor="text1"/>
          <w:sz w:val="24"/>
          <w:szCs w:val="24"/>
        </w:rPr>
      </w:pPr>
      <w:r>
        <w:rPr>
          <w:rFonts w:ascii="Arial" w:eastAsiaTheme="majorEastAsia" w:hAnsi="Arial" w:cs="Arial"/>
          <w:b/>
          <w:bCs/>
          <w:color w:val="000000" w:themeColor="text1"/>
          <w:sz w:val="24"/>
          <w:szCs w:val="24"/>
        </w:rPr>
        <w:lastRenderedPageBreak/>
        <w:t>SUMMARY OF CLAUSES</w:t>
      </w:r>
    </w:p>
    <w:p w14:paraId="65A3C3FD" w14:textId="65DDC4C5" w:rsidR="00EA20AB" w:rsidRPr="00F5454D" w:rsidRDefault="00EA20AB" w:rsidP="00F5454D">
      <w:pPr>
        <w:pStyle w:val="NormalWeb"/>
        <w:shd w:val="clear" w:color="auto" w:fill="FFFFFF"/>
        <w:spacing w:before="360" w:beforeAutospacing="0" w:after="120" w:afterAutospacing="0"/>
        <w:rPr>
          <w:rFonts w:ascii="Arial" w:hAnsi="Arial" w:cs="Arial"/>
          <w:b/>
          <w:bCs/>
          <w:color w:val="000000"/>
        </w:rPr>
      </w:pPr>
      <w:r>
        <w:rPr>
          <w:rFonts w:ascii="Arial" w:hAnsi="Arial" w:cs="Arial"/>
          <w:b/>
          <w:bCs/>
          <w:color w:val="000000"/>
        </w:rPr>
        <w:t>Clause 1</w:t>
      </w:r>
      <w:r w:rsidRPr="00F5454D">
        <w:rPr>
          <w:rFonts w:ascii="Arial" w:hAnsi="Arial" w:cs="Arial"/>
          <w:b/>
          <w:bCs/>
          <w:color w:val="000000"/>
        </w:rPr>
        <w:t> </w:t>
      </w:r>
      <w:r w:rsidRPr="00F5454D">
        <w:rPr>
          <w:rFonts w:ascii="Arial" w:hAnsi="Arial" w:cs="Arial"/>
          <w:b/>
          <w:bCs/>
          <w:color w:val="000000"/>
        </w:rPr>
        <w:tab/>
      </w:r>
      <w:r>
        <w:rPr>
          <w:rFonts w:ascii="Arial" w:hAnsi="Arial" w:cs="Arial"/>
          <w:b/>
          <w:bCs/>
          <w:color w:val="000000"/>
        </w:rPr>
        <w:t>Name of regulation</w:t>
      </w:r>
    </w:p>
    <w:p w14:paraId="56A2A5EA" w14:textId="422EC286" w:rsidR="00EA20AB" w:rsidRDefault="00EA20AB" w:rsidP="00EA20AB">
      <w:pPr>
        <w:pStyle w:val="NormalWeb"/>
        <w:shd w:val="clear" w:color="auto" w:fill="FFFFFF"/>
        <w:spacing w:before="0" w:beforeAutospacing="0" w:after="240" w:afterAutospacing="0"/>
        <w:rPr>
          <w:rFonts w:ascii="Calibri" w:hAnsi="Calibri" w:cs="Calibri"/>
          <w:color w:val="000000"/>
        </w:rPr>
      </w:pPr>
      <w:r>
        <w:rPr>
          <w:rFonts w:ascii="Arial" w:hAnsi="Arial" w:cs="Arial"/>
          <w:color w:val="000000"/>
        </w:rPr>
        <w:t>This clause provides that the name of the regulation is the </w:t>
      </w:r>
      <w:r>
        <w:rPr>
          <w:rFonts w:ascii="Arial" w:hAnsi="Arial" w:cs="Arial"/>
          <w:i/>
          <w:iCs/>
          <w:color w:val="000000"/>
        </w:rPr>
        <w:t>Magistrates Court (</w:t>
      </w:r>
      <w:r w:rsidR="002C2843">
        <w:rPr>
          <w:rFonts w:ascii="Arial" w:hAnsi="Arial" w:cs="Arial"/>
          <w:i/>
          <w:iCs/>
          <w:color w:val="000000"/>
        </w:rPr>
        <w:t>Circular Economy</w:t>
      </w:r>
      <w:r>
        <w:rPr>
          <w:rFonts w:ascii="Arial" w:hAnsi="Arial" w:cs="Arial"/>
          <w:i/>
          <w:iCs/>
          <w:color w:val="000000"/>
        </w:rPr>
        <w:t> Infringement Notices) Regulation 2023</w:t>
      </w:r>
      <w:r>
        <w:rPr>
          <w:rFonts w:ascii="Arial" w:hAnsi="Arial" w:cs="Arial"/>
          <w:color w:val="000000"/>
        </w:rPr>
        <w:t>.</w:t>
      </w:r>
    </w:p>
    <w:p w14:paraId="38C3D627" w14:textId="07D29549" w:rsidR="00EA20AB" w:rsidRDefault="00EA20AB" w:rsidP="00F5454D">
      <w:pPr>
        <w:pStyle w:val="NormalWeb"/>
        <w:shd w:val="clear" w:color="auto" w:fill="FFFFFF"/>
        <w:spacing w:before="360" w:beforeAutospacing="0" w:after="120" w:afterAutospacing="0"/>
        <w:rPr>
          <w:rFonts w:ascii="Calibri" w:hAnsi="Calibri" w:cs="Calibri"/>
          <w:color w:val="000000"/>
        </w:rPr>
      </w:pPr>
      <w:r>
        <w:rPr>
          <w:rFonts w:ascii="Arial" w:hAnsi="Arial" w:cs="Arial"/>
          <w:b/>
          <w:bCs/>
          <w:color w:val="000000"/>
        </w:rPr>
        <w:t>Clause 2</w:t>
      </w:r>
      <w:r>
        <w:rPr>
          <w:rFonts w:ascii="Calibri" w:hAnsi="Calibri" w:cs="Calibri"/>
          <w:color w:val="000000"/>
        </w:rPr>
        <w:t> </w:t>
      </w:r>
      <w:r>
        <w:rPr>
          <w:rFonts w:ascii="Calibri" w:hAnsi="Calibri" w:cs="Calibri"/>
          <w:color w:val="000000"/>
        </w:rPr>
        <w:tab/>
      </w:r>
      <w:r>
        <w:rPr>
          <w:rFonts w:ascii="Arial" w:hAnsi="Arial" w:cs="Arial"/>
          <w:b/>
          <w:bCs/>
          <w:color w:val="000000"/>
        </w:rPr>
        <w:t>Commencement</w:t>
      </w:r>
    </w:p>
    <w:p w14:paraId="4BFB6F55" w14:textId="737CE1BE" w:rsidR="00EA20AB" w:rsidRPr="00EA20AB" w:rsidRDefault="00EA20AB" w:rsidP="00EA20AB">
      <w:pPr>
        <w:pStyle w:val="NormalWeb"/>
        <w:shd w:val="clear" w:color="auto" w:fill="FFFFFF"/>
        <w:spacing w:before="0" w:beforeAutospacing="0" w:after="240" w:afterAutospacing="0"/>
        <w:rPr>
          <w:rFonts w:ascii="Calibri" w:hAnsi="Calibri" w:cs="Calibri"/>
          <w:i/>
          <w:iCs/>
          <w:color w:val="000000"/>
        </w:rPr>
      </w:pPr>
      <w:r>
        <w:rPr>
          <w:rFonts w:ascii="Arial" w:hAnsi="Arial" w:cs="Arial"/>
          <w:color w:val="000000"/>
        </w:rPr>
        <w:t xml:space="preserve">This clause provides for the commencement of the regulation on the </w:t>
      </w:r>
      <w:r w:rsidR="00C51665">
        <w:rPr>
          <w:rFonts w:ascii="Arial" w:hAnsi="Arial" w:cs="Arial"/>
          <w:color w:val="000000"/>
        </w:rPr>
        <w:t>day section 3</w:t>
      </w:r>
      <w:r>
        <w:rPr>
          <w:rFonts w:ascii="Arial" w:hAnsi="Arial" w:cs="Arial"/>
          <w:color w:val="000000"/>
        </w:rPr>
        <w:t xml:space="preserve"> of the </w:t>
      </w:r>
      <w:r w:rsidR="002C2843" w:rsidRPr="008275BF">
        <w:rPr>
          <w:rFonts w:ascii="Arial" w:hAnsi="Arial" w:cs="Arial"/>
          <w:i/>
          <w:iCs/>
          <w:color w:val="000000"/>
        </w:rPr>
        <w:t>Circular Economy</w:t>
      </w:r>
      <w:r w:rsidR="00F5454D" w:rsidRPr="008275BF">
        <w:rPr>
          <w:rFonts w:ascii="Arial" w:hAnsi="Arial" w:cs="Arial"/>
          <w:i/>
          <w:iCs/>
          <w:color w:val="000000"/>
        </w:rPr>
        <w:t xml:space="preserve"> Act</w:t>
      </w:r>
      <w:r w:rsidR="008275BF" w:rsidRPr="008275BF">
        <w:rPr>
          <w:rFonts w:ascii="Arial" w:hAnsi="Arial" w:cs="Arial"/>
          <w:i/>
          <w:iCs/>
          <w:color w:val="000000"/>
        </w:rPr>
        <w:t xml:space="preserve"> 2023</w:t>
      </w:r>
      <w:r w:rsidR="00C51665">
        <w:rPr>
          <w:rFonts w:ascii="Arial" w:hAnsi="Arial" w:cs="Arial"/>
          <w:color w:val="000000"/>
        </w:rPr>
        <w:t xml:space="preserve"> commences</w:t>
      </w:r>
      <w:r>
        <w:rPr>
          <w:rFonts w:ascii="Arial" w:hAnsi="Arial" w:cs="Arial"/>
          <w:i/>
          <w:iCs/>
          <w:color w:val="000000"/>
        </w:rPr>
        <w:t>.</w:t>
      </w:r>
    </w:p>
    <w:p w14:paraId="07EAEF91" w14:textId="34B5C239" w:rsidR="00EA20AB" w:rsidRPr="00F5454D" w:rsidRDefault="00EA20AB" w:rsidP="00F5454D">
      <w:pPr>
        <w:pStyle w:val="NormalWeb"/>
        <w:shd w:val="clear" w:color="auto" w:fill="FFFFFF"/>
        <w:spacing w:before="360" w:beforeAutospacing="0" w:after="120" w:afterAutospacing="0"/>
        <w:rPr>
          <w:rFonts w:ascii="Arial" w:hAnsi="Arial" w:cs="Arial"/>
          <w:b/>
          <w:bCs/>
          <w:color w:val="000000"/>
        </w:rPr>
      </w:pPr>
      <w:r>
        <w:rPr>
          <w:rFonts w:ascii="Arial" w:hAnsi="Arial" w:cs="Arial"/>
          <w:b/>
          <w:bCs/>
          <w:color w:val="000000"/>
        </w:rPr>
        <w:t>Clause 3</w:t>
      </w:r>
      <w:r w:rsidRPr="00F5454D">
        <w:rPr>
          <w:rFonts w:ascii="Arial" w:hAnsi="Arial" w:cs="Arial"/>
          <w:b/>
          <w:bCs/>
          <w:color w:val="000000"/>
        </w:rPr>
        <w:t> </w:t>
      </w:r>
      <w:r w:rsidRPr="00F5454D">
        <w:rPr>
          <w:rFonts w:ascii="Arial" w:hAnsi="Arial" w:cs="Arial"/>
          <w:b/>
          <w:bCs/>
          <w:color w:val="000000"/>
        </w:rPr>
        <w:tab/>
      </w:r>
      <w:r>
        <w:rPr>
          <w:rFonts w:ascii="Arial" w:hAnsi="Arial" w:cs="Arial"/>
          <w:b/>
          <w:bCs/>
          <w:color w:val="000000"/>
        </w:rPr>
        <w:t>Dictionary</w:t>
      </w:r>
    </w:p>
    <w:p w14:paraId="5AF53F6D" w14:textId="6225175E" w:rsidR="00EA20AB" w:rsidRDefault="00EA20AB" w:rsidP="00EA20AB">
      <w:pPr>
        <w:pStyle w:val="NormalWeb"/>
        <w:shd w:val="clear" w:color="auto" w:fill="FFFFFF"/>
        <w:spacing w:before="0" w:beforeAutospacing="0" w:after="120" w:afterAutospacing="0"/>
        <w:rPr>
          <w:rFonts w:ascii="Calibri" w:hAnsi="Calibri" w:cs="Calibri"/>
          <w:color w:val="000000"/>
        </w:rPr>
      </w:pPr>
      <w:r>
        <w:rPr>
          <w:rFonts w:ascii="Arial" w:hAnsi="Arial" w:cs="Arial"/>
          <w:color w:val="000000"/>
        </w:rPr>
        <w:t>This clause provides that the dictionary at the end of the regulation is part of the regulation. The dictionary defines certain terms used in the regulation.</w:t>
      </w:r>
    </w:p>
    <w:p w14:paraId="4843FC02" w14:textId="3BE8E118" w:rsidR="00EA20AB" w:rsidRDefault="00EA20AB" w:rsidP="00F5454D">
      <w:pPr>
        <w:pStyle w:val="NormalWeb"/>
        <w:shd w:val="clear" w:color="auto" w:fill="FFFFFF"/>
        <w:spacing w:before="360" w:beforeAutospacing="0" w:after="120" w:afterAutospacing="0"/>
        <w:rPr>
          <w:rFonts w:ascii="Arial" w:hAnsi="Arial" w:cs="Arial"/>
          <w:b/>
          <w:bCs/>
          <w:color w:val="000000"/>
        </w:rPr>
      </w:pPr>
      <w:r>
        <w:rPr>
          <w:rFonts w:ascii="Arial" w:hAnsi="Arial" w:cs="Arial"/>
          <w:b/>
          <w:bCs/>
          <w:color w:val="000000"/>
        </w:rPr>
        <w:t>Clause 4</w:t>
      </w:r>
      <w:r w:rsidRPr="00F5454D">
        <w:rPr>
          <w:rFonts w:ascii="Arial" w:hAnsi="Arial" w:cs="Arial"/>
          <w:b/>
          <w:bCs/>
          <w:color w:val="000000"/>
        </w:rPr>
        <w:t> </w:t>
      </w:r>
      <w:r w:rsidRPr="00F5454D">
        <w:rPr>
          <w:rFonts w:ascii="Arial" w:hAnsi="Arial" w:cs="Arial"/>
          <w:b/>
          <w:bCs/>
          <w:color w:val="000000"/>
        </w:rPr>
        <w:tab/>
      </w:r>
      <w:r>
        <w:rPr>
          <w:rFonts w:ascii="Arial" w:hAnsi="Arial" w:cs="Arial"/>
          <w:b/>
          <w:bCs/>
          <w:color w:val="000000"/>
        </w:rPr>
        <w:t>Notes</w:t>
      </w:r>
    </w:p>
    <w:p w14:paraId="4D22D55A" w14:textId="728F5AA7" w:rsidR="00EA20AB" w:rsidRDefault="00EA20AB" w:rsidP="00EA20AB">
      <w:pPr>
        <w:pStyle w:val="NormalWeb"/>
        <w:shd w:val="clear" w:color="auto" w:fill="FFFFFF"/>
        <w:spacing w:before="0" w:beforeAutospacing="0" w:after="120" w:afterAutospacing="0"/>
        <w:rPr>
          <w:rFonts w:ascii="Calibri" w:hAnsi="Calibri" w:cs="Calibri"/>
          <w:color w:val="000000"/>
        </w:rPr>
      </w:pPr>
      <w:r>
        <w:rPr>
          <w:rFonts w:ascii="Arial" w:hAnsi="Arial" w:cs="Arial"/>
          <w:color w:val="000000"/>
        </w:rPr>
        <w:t>This clause</w:t>
      </w:r>
      <w:r w:rsidRPr="00EA20AB">
        <w:rPr>
          <w:rFonts w:ascii="Arial" w:hAnsi="Arial" w:cs="Arial"/>
          <w:color w:val="000000"/>
        </w:rPr>
        <w:t xml:space="preserve"> provides that a note found in the regulation is explanatory and is not part of the regulation.</w:t>
      </w:r>
    </w:p>
    <w:p w14:paraId="5D1D9B4D" w14:textId="2CF42D70" w:rsidR="00EA20AB" w:rsidRDefault="00EA20AB" w:rsidP="00F5454D">
      <w:pPr>
        <w:pStyle w:val="NormalWeb"/>
        <w:shd w:val="clear" w:color="auto" w:fill="FFFFFF"/>
        <w:spacing w:before="360" w:beforeAutospacing="0" w:after="120" w:afterAutospacing="0"/>
        <w:rPr>
          <w:rFonts w:ascii="Arial" w:hAnsi="Arial" w:cs="Arial"/>
          <w:b/>
          <w:bCs/>
          <w:color w:val="000000"/>
        </w:rPr>
      </w:pPr>
      <w:r>
        <w:rPr>
          <w:rFonts w:ascii="Arial" w:hAnsi="Arial" w:cs="Arial"/>
          <w:b/>
          <w:bCs/>
          <w:color w:val="000000"/>
        </w:rPr>
        <w:t>Clause 5</w:t>
      </w:r>
      <w:r w:rsidRPr="00F5454D">
        <w:rPr>
          <w:rFonts w:ascii="Arial" w:hAnsi="Arial" w:cs="Arial"/>
          <w:b/>
          <w:bCs/>
          <w:color w:val="000000"/>
        </w:rPr>
        <w:t> </w:t>
      </w:r>
      <w:r w:rsidRPr="00F5454D">
        <w:rPr>
          <w:rFonts w:ascii="Arial" w:hAnsi="Arial" w:cs="Arial"/>
          <w:b/>
          <w:bCs/>
          <w:color w:val="000000"/>
        </w:rPr>
        <w:tab/>
      </w:r>
      <w:r>
        <w:rPr>
          <w:rFonts w:ascii="Arial" w:hAnsi="Arial" w:cs="Arial"/>
          <w:b/>
          <w:bCs/>
          <w:color w:val="000000"/>
        </w:rPr>
        <w:t>Purpose of regulation</w:t>
      </w:r>
    </w:p>
    <w:p w14:paraId="3B8E4FAA" w14:textId="78D9BB23" w:rsidR="00EA20AB" w:rsidRDefault="00F5454D" w:rsidP="00EA20AB">
      <w:pPr>
        <w:pStyle w:val="NormalWeb"/>
        <w:shd w:val="clear" w:color="auto" w:fill="FFFFFF"/>
        <w:spacing w:before="0" w:beforeAutospacing="0" w:after="120" w:afterAutospacing="0"/>
        <w:rPr>
          <w:rFonts w:ascii="Arial" w:hAnsi="Arial" w:cs="Arial"/>
          <w:b/>
          <w:bCs/>
          <w:color w:val="000000"/>
        </w:rPr>
      </w:pPr>
      <w:r w:rsidRPr="00F5454D">
        <w:rPr>
          <w:rFonts w:ascii="Arial" w:hAnsi="Arial" w:cs="Arial"/>
          <w:color w:val="000000"/>
        </w:rPr>
        <w:t xml:space="preserve">This clause provides that the purpose of the regulation is to provide for infringement notices under the Magistrates Court Act, part 3.8, for certain offences against the </w:t>
      </w:r>
      <w:r w:rsidR="002C2843">
        <w:rPr>
          <w:rFonts w:ascii="Arial" w:hAnsi="Arial" w:cs="Arial"/>
          <w:color w:val="000000"/>
        </w:rPr>
        <w:t>Circular Economy</w:t>
      </w:r>
      <w:r>
        <w:rPr>
          <w:rFonts w:ascii="Arial" w:hAnsi="Arial" w:cs="Arial"/>
          <w:color w:val="000000"/>
        </w:rPr>
        <w:t xml:space="preserve"> Act</w:t>
      </w:r>
      <w:r w:rsidRPr="00F5454D">
        <w:rPr>
          <w:rFonts w:ascii="Arial" w:hAnsi="Arial" w:cs="Arial"/>
          <w:color w:val="000000"/>
        </w:rPr>
        <w:t>.</w:t>
      </w:r>
    </w:p>
    <w:p w14:paraId="19F12226" w14:textId="47F576F4" w:rsidR="00EA20AB" w:rsidRDefault="00EA20AB" w:rsidP="00F5454D">
      <w:pPr>
        <w:pStyle w:val="NormalWeb"/>
        <w:shd w:val="clear" w:color="auto" w:fill="FFFFFF"/>
        <w:spacing w:before="360" w:beforeAutospacing="0" w:after="120" w:afterAutospacing="0"/>
        <w:rPr>
          <w:rFonts w:ascii="Arial" w:hAnsi="Arial" w:cs="Arial"/>
          <w:b/>
          <w:bCs/>
          <w:color w:val="000000"/>
        </w:rPr>
      </w:pPr>
      <w:r>
        <w:rPr>
          <w:rFonts w:ascii="Arial" w:hAnsi="Arial" w:cs="Arial"/>
          <w:b/>
          <w:bCs/>
          <w:color w:val="000000"/>
        </w:rPr>
        <w:t>Clause 6</w:t>
      </w:r>
      <w:r w:rsidRPr="00F5454D">
        <w:rPr>
          <w:rFonts w:ascii="Arial" w:hAnsi="Arial" w:cs="Arial"/>
          <w:b/>
          <w:bCs/>
          <w:color w:val="000000"/>
        </w:rPr>
        <w:t> </w:t>
      </w:r>
      <w:r w:rsidRPr="00F5454D">
        <w:rPr>
          <w:rFonts w:ascii="Arial" w:hAnsi="Arial" w:cs="Arial"/>
          <w:b/>
          <w:bCs/>
          <w:color w:val="000000"/>
        </w:rPr>
        <w:tab/>
      </w:r>
      <w:r>
        <w:rPr>
          <w:rFonts w:ascii="Arial" w:hAnsi="Arial" w:cs="Arial"/>
          <w:b/>
          <w:bCs/>
          <w:color w:val="000000"/>
        </w:rPr>
        <w:t>Administering authority</w:t>
      </w:r>
    </w:p>
    <w:p w14:paraId="52B7CA4B" w14:textId="5AD9A179" w:rsidR="00EA20AB" w:rsidRPr="00EA20AB" w:rsidRDefault="00EA20AB" w:rsidP="00EA20AB">
      <w:pPr>
        <w:pStyle w:val="NormalWeb"/>
        <w:shd w:val="clear" w:color="auto" w:fill="FFFFFF"/>
        <w:spacing w:before="0" w:beforeAutospacing="0" w:after="120" w:afterAutospacing="0"/>
        <w:rPr>
          <w:rFonts w:ascii="Arial" w:hAnsi="Arial" w:cs="Arial"/>
          <w:color w:val="000000"/>
        </w:rPr>
      </w:pPr>
      <w:r w:rsidRPr="00EA20AB">
        <w:rPr>
          <w:rFonts w:ascii="Arial" w:hAnsi="Arial" w:cs="Arial"/>
          <w:color w:val="000000"/>
        </w:rPr>
        <w:t xml:space="preserve">This clause </w:t>
      </w:r>
      <w:r w:rsidR="00F5454D" w:rsidRPr="00F5454D">
        <w:rPr>
          <w:rFonts w:ascii="Arial" w:hAnsi="Arial" w:cs="Arial"/>
          <w:color w:val="000000"/>
        </w:rPr>
        <w:t>provides that the administering authority for an infringement notice offence under the regulation is the</w:t>
      </w:r>
      <w:r w:rsidR="00C51665">
        <w:rPr>
          <w:rFonts w:ascii="Arial" w:hAnsi="Arial" w:cs="Arial"/>
          <w:color w:val="000000"/>
        </w:rPr>
        <w:t xml:space="preserve"> </w:t>
      </w:r>
      <w:r w:rsidR="00C51665" w:rsidRPr="00C51665">
        <w:rPr>
          <w:rFonts w:ascii="Arial" w:hAnsi="Arial" w:cs="Arial"/>
          <w:color w:val="000000"/>
        </w:rPr>
        <w:t>director-general of the Transport Canberra and City Services Directorate</w:t>
      </w:r>
      <w:r w:rsidR="00F5454D">
        <w:rPr>
          <w:rFonts w:ascii="Arial" w:hAnsi="Arial" w:cs="Arial"/>
          <w:color w:val="000000"/>
        </w:rPr>
        <w:t xml:space="preserve"> the </w:t>
      </w:r>
      <w:r w:rsidR="002C2843">
        <w:rPr>
          <w:rFonts w:ascii="Arial" w:hAnsi="Arial" w:cs="Arial"/>
          <w:color w:val="000000"/>
        </w:rPr>
        <w:t>Circular Economy</w:t>
      </w:r>
      <w:r w:rsidR="00F5454D">
        <w:rPr>
          <w:rFonts w:ascii="Arial" w:hAnsi="Arial" w:cs="Arial"/>
          <w:color w:val="000000"/>
        </w:rPr>
        <w:t xml:space="preserve"> Act</w:t>
      </w:r>
      <w:r w:rsidR="00F5454D" w:rsidRPr="00F5454D">
        <w:rPr>
          <w:rFonts w:ascii="Arial" w:hAnsi="Arial" w:cs="Arial"/>
          <w:color w:val="000000"/>
        </w:rPr>
        <w:t>.</w:t>
      </w:r>
    </w:p>
    <w:p w14:paraId="2EE15691" w14:textId="1ADBF347" w:rsidR="00EA20AB" w:rsidRDefault="00EA20AB" w:rsidP="00F5454D">
      <w:pPr>
        <w:pStyle w:val="NormalWeb"/>
        <w:shd w:val="clear" w:color="auto" w:fill="FFFFFF"/>
        <w:spacing w:before="360" w:beforeAutospacing="0" w:after="120" w:afterAutospacing="0"/>
        <w:rPr>
          <w:rFonts w:ascii="Arial" w:hAnsi="Arial" w:cs="Arial"/>
          <w:b/>
          <w:bCs/>
          <w:color w:val="000000"/>
        </w:rPr>
      </w:pPr>
      <w:r>
        <w:rPr>
          <w:rFonts w:ascii="Arial" w:hAnsi="Arial" w:cs="Arial"/>
          <w:b/>
          <w:bCs/>
          <w:color w:val="000000"/>
        </w:rPr>
        <w:t>Clause 7</w:t>
      </w:r>
      <w:r w:rsidRPr="00F5454D">
        <w:rPr>
          <w:rFonts w:ascii="Arial" w:hAnsi="Arial" w:cs="Arial"/>
          <w:b/>
          <w:bCs/>
          <w:color w:val="000000"/>
        </w:rPr>
        <w:t> </w:t>
      </w:r>
      <w:r w:rsidRPr="00F5454D">
        <w:rPr>
          <w:rFonts w:ascii="Arial" w:hAnsi="Arial" w:cs="Arial"/>
          <w:b/>
          <w:bCs/>
          <w:color w:val="000000"/>
        </w:rPr>
        <w:tab/>
      </w:r>
      <w:r>
        <w:rPr>
          <w:rFonts w:ascii="Arial" w:hAnsi="Arial" w:cs="Arial"/>
          <w:b/>
          <w:bCs/>
          <w:color w:val="000000"/>
        </w:rPr>
        <w:t>Infringement notice offences</w:t>
      </w:r>
    </w:p>
    <w:p w14:paraId="69E18ABD" w14:textId="699AA210" w:rsidR="00EA20AB" w:rsidRDefault="00EA20AB" w:rsidP="00EA20AB">
      <w:pPr>
        <w:pStyle w:val="NormalWeb"/>
        <w:shd w:val="clear" w:color="auto" w:fill="FFFFFF"/>
        <w:spacing w:before="0" w:beforeAutospacing="0" w:after="120" w:afterAutospacing="0"/>
        <w:rPr>
          <w:rFonts w:ascii="Arial" w:hAnsi="Arial" w:cs="Arial"/>
          <w:b/>
          <w:bCs/>
          <w:color w:val="000000"/>
        </w:rPr>
      </w:pPr>
      <w:r w:rsidRPr="00EA20AB">
        <w:rPr>
          <w:rFonts w:ascii="Arial" w:hAnsi="Arial" w:cs="Arial"/>
          <w:color w:val="000000"/>
        </w:rPr>
        <w:t xml:space="preserve">This clause </w:t>
      </w:r>
      <w:r w:rsidR="00F5454D" w:rsidRPr="00F5454D">
        <w:rPr>
          <w:rFonts w:ascii="Arial" w:hAnsi="Arial" w:cs="Arial"/>
          <w:color w:val="000000"/>
        </w:rPr>
        <w:t xml:space="preserve">provides that the Magistrates Court Act, part 3.8, applies to an offence against a provision of the </w:t>
      </w:r>
      <w:r w:rsidR="002C2843">
        <w:rPr>
          <w:rFonts w:ascii="Arial" w:hAnsi="Arial" w:cs="Arial"/>
          <w:color w:val="000000"/>
        </w:rPr>
        <w:t>Circular Economy</w:t>
      </w:r>
      <w:r w:rsidR="00F5454D">
        <w:rPr>
          <w:rFonts w:ascii="Arial" w:hAnsi="Arial" w:cs="Arial"/>
          <w:color w:val="000000"/>
        </w:rPr>
        <w:t xml:space="preserve"> Act</w:t>
      </w:r>
      <w:r w:rsidR="00F5454D" w:rsidRPr="00F5454D">
        <w:rPr>
          <w:rFonts w:ascii="Arial" w:hAnsi="Arial" w:cs="Arial"/>
          <w:color w:val="000000"/>
        </w:rPr>
        <w:t xml:space="preserve"> mentioned in the regulation in schedule 1, column 2.</w:t>
      </w:r>
    </w:p>
    <w:p w14:paraId="0310ACF5" w14:textId="349EED1C" w:rsidR="00EA20AB" w:rsidRDefault="00EA20AB" w:rsidP="00F5454D">
      <w:pPr>
        <w:pStyle w:val="NormalWeb"/>
        <w:shd w:val="clear" w:color="auto" w:fill="FFFFFF"/>
        <w:spacing w:before="360" w:beforeAutospacing="0" w:after="120" w:afterAutospacing="0"/>
        <w:rPr>
          <w:rFonts w:ascii="Arial" w:hAnsi="Arial" w:cs="Arial"/>
          <w:b/>
          <w:bCs/>
          <w:color w:val="000000"/>
        </w:rPr>
      </w:pPr>
      <w:r>
        <w:rPr>
          <w:rFonts w:ascii="Arial" w:hAnsi="Arial" w:cs="Arial"/>
          <w:b/>
          <w:bCs/>
          <w:color w:val="000000"/>
        </w:rPr>
        <w:t>Clause 8</w:t>
      </w:r>
      <w:r w:rsidRPr="00F5454D">
        <w:rPr>
          <w:rFonts w:ascii="Arial" w:hAnsi="Arial" w:cs="Arial"/>
          <w:b/>
          <w:bCs/>
          <w:color w:val="000000"/>
        </w:rPr>
        <w:t> </w:t>
      </w:r>
      <w:r w:rsidRPr="00F5454D">
        <w:rPr>
          <w:rFonts w:ascii="Arial" w:hAnsi="Arial" w:cs="Arial"/>
          <w:b/>
          <w:bCs/>
          <w:color w:val="000000"/>
        </w:rPr>
        <w:tab/>
      </w:r>
      <w:r>
        <w:rPr>
          <w:rFonts w:ascii="Arial" w:hAnsi="Arial" w:cs="Arial"/>
          <w:b/>
          <w:bCs/>
          <w:color w:val="000000"/>
        </w:rPr>
        <w:t>Infringement notice penalties</w:t>
      </w:r>
    </w:p>
    <w:p w14:paraId="27F08DE0" w14:textId="6A147E0A" w:rsidR="00F5454D" w:rsidRPr="00F5454D" w:rsidRDefault="00EA20AB" w:rsidP="00F5454D">
      <w:pPr>
        <w:pStyle w:val="NormalWeb"/>
        <w:shd w:val="clear" w:color="auto" w:fill="FFFFFF"/>
        <w:spacing w:after="120"/>
        <w:rPr>
          <w:rFonts w:ascii="Arial" w:hAnsi="Arial" w:cs="Arial"/>
          <w:color w:val="000000"/>
        </w:rPr>
      </w:pPr>
      <w:r w:rsidRPr="00EA20AB">
        <w:rPr>
          <w:rFonts w:ascii="Arial" w:hAnsi="Arial" w:cs="Arial"/>
          <w:color w:val="000000"/>
        </w:rPr>
        <w:t xml:space="preserve">This clause </w:t>
      </w:r>
      <w:r w:rsidR="00F5454D" w:rsidRPr="00F5454D">
        <w:rPr>
          <w:rFonts w:ascii="Arial" w:hAnsi="Arial" w:cs="Arial"/>
          <w:color w:val="000000"/>
        </w:rPr>
        <w:t xml:space="preserve">provides that the penalties for the offences against the </w:t>
      </w:r>
      <w:r w:rsidR="002C2843">
        <w:rPr>
          <w:rFonts w:ascii="Arial" w:hAnsi="Arial" w:cs="Arial"/>
          <w:color w:val="000000"/>
        </w:rPr>
        <w:t xml:space="preserve">Circular Economy </w:t>
      </w:r>
      <w:r w:rsidR="00F5454D">
        <w:rPr>
          <w:rFonts w:ascii="Arial" w:hAnsi="Arial" w:cs="Arial"/>
          <w:color w:val="000000"/>
        </w:rPr>
        <w:t>Act</w:t>
      </w:r>
      <w:r w:rsidR="00F5454D" w:rsidRPr="00F5454D">
        <w:rPr>
          <w:rFonts w:ascii="Arial" w:hAnsi="Arial" w:cs="Arial"/>
          <w:color w:val="000000"/>
        </w:rPr>
        <w:t xml:space="preserve"> are listed in column 4 of schedule 1. Penalties for an offence by a corporation are five times that applicable for an individual.</w:t>
      </w:r>
    </w:p>
    <w:p w14:paraId="31C7F564" w14:textId="060F8B90" w:rsidR="00EA20AB" w:rsidRPr="00EA20AB" w:rsidRDefault="00F5454D" w:rsidP="00F5454D">
      <w:pPr>
        <w:pStyle w:val="NormalWeb"/>
        <w:shd w:val="clear" w:color="auto" w:fill="FFFFFF"/>
        <w:spacing w:after="120"/>
        <w:rPr>
          <w:rFonts w:ascii="Arial" w:hAnsi="Arial" w:cs="Arial"/>
          <w:color w:val="000000"/>
        </w:rPr>
      </w:pPr>
      <w:r w:rsidRPr="00F5454D">
        <w:rPr>
          <w:rFonts w:ascii="Arial" w:hAnsi="Arial" w:cs="Arial"/>
          <w:color w:val="000000"/>
        </w:rPr>
        <w:t>This regulation also provides that the cost for the issue of a reminder notice for an infringement notice offence is $34.</w:t>
      </w:r>
    </w:p>
    <w:p w14:paraId="4FFB2AA1" w14:textId="4147AD47" w:rsidR="00EA20AB" w:rsidRDefault="00EA20AB" w:rsidP="006C75C0">
      <w:pPr>
        <w:pStyle w:val="NormalWeb"/>
        <w:keepNext/>
        <w:shd w:val="clear" w:color="auto" w:fill="FFFFFF"/>
        <w:spacing w:before="360" w:beforeAutospacing="0" w:after="120" w:afterAutospacing="0"/>
        <w:rPr>
          <w:rFonts w:ascii="Arial" w:hAnsi="Arial" w:cs="Arial"/>
          <w:b/>
          <w:bCs/>
          <w:color w:val="000000"/>
        </w:rPr>
      </w:pPr>
      <w:r>
        <w:rPr>
          <w:rFonts w:ascii="Arial" w:hAnsi="Arial" w:cs="Arial"/>
          <w:b/>
          <w:bCs/>
          <w:color w:val="000000"/>
        </w:rPr>
        <w:lastRenderedPageBreak/>
        <w:t>Clause 9</w:t>
      </w:r>
      <w:r w:rsidRPr="00F5454D">
        <w:rPr>
          <w:rFonts w:ascii="Arial" w:hAnsi="Arial" w:cs="Arial"/>
          <w:b/>
          <w:bCs/>
          <w:color w:val="000000"/>
        </w:rPr>
        <w:t> </w:t>
      </w:r>
      <w:r w:rsidRPr="00F5454D">
        <w:rPr>
          <w:rFonts w:ascii="Arial" w:hAnsi="Arial" w:cs="Arial"/>
          <w:b/>
          <w:bCs/>
          <w:color w:val="000000"/>
        </w:rPr>
        <w:tab/>
      </w:r>
      <w:r>
        <w:rPr>
          <w:rFonts w:ascii="Arial" w:hAnsi="Arial" w:cs="Arial"/>
          <w:b/>
          <w:bCs/>
          <w:color w:val="000000"/>
        </w:rPr>
        <w:t>Contents of infringement notices – identifying authorised person</w:t>
      </w:r>
    </w:p>
    <w:p w14:paraId="719F4C0F" w14:textId="5FAD9C29" w:rsidR="00EA20AB" w:rsidRPr="00EA20AB" w:rsidRDefault="00EA20AB" w:rsidP="00EA20AB">
      <w:pPr>
        <w:pStyle w:val="NormalWeb"/>
        <w:shd w:val="clear" w:color="auto" w:fill="FFFFFF"/>
        <w:spacing w:before="0" w:beforeAutospacing="0" w:after="120" w:afterAutospacing="0"/>
        <w:rPr>
          <w:rFonts w:ascii="Arial" w:hAnsi="Arial" w:cs="Arial"/>
          <w:color w:val="000000"/>
        </w:rPr>
      </w:pPr>
      <w:r w:rsidRPr="00EA20AB">
        <w:rPr>
          <w:rFonts w:ascii="Arial" w:hAnsi="Arial" w:cs="Arial"/>
          <w:color w:val="000000"/>
        </w:rPr>
        <w:t>This clause</w:t>
      </w:r>
      <w:r w:rsidR="00F5454D" w:rsidRPr="00F5454D">
        <w:rPr>
          <w:rFonts w:ascii="Arial" w:hAnsi="Arial" w:cs="Arial"/>
          <w:color w:val="000000"/>
        </w:rPr>
        <w:t xml:space="preserve"> provides that a</w:t>
      </w:r>
      <w:r w:rsidR="00F5454D">
        <w:rPr>
          <w:rFonts w:ascii="Arial" w:hAnsi="Arial" w:cs="Arial"/>
          <w:color w:val="000000"/>
        </w:rPr>
        <w:t>n infringement</w:t>
      </w:r>
      <w:r w:rsidR="00F5454D" w:rsidRPr="00F5454D">
        <w:rPr>
          <w:rFonts w:ascii="Arial" w:hAnsi="Arial" w:cs="Arial"/>
          <w:color w:val="000000"/>
        </w:rPr>
        <w:t xml:space="preserve"> notice must identify the authorised person who served the notice. An authorised person may be identified in the notice by their full name, or surname and initials. Alternatively, the </w:t>
      </w:r>
      <w:r w:rsidR="00F5454D">
        <w:rPr>
          <w:rFonts w:ascii="Arial" w:hAnsi="Arial" w:cs="Arial"/>
          <w:color w:val="000000"/>
        </w:rPr>
        <w:t xml:space="preserve">infringement </w:t>
      </w:r>
      <w:r w:rsidR="00F5454D" w:rsidRPr="00F5454D">
        <w:rPr>
          <w:rFonts w:ascii="Arial" w:hAnsi="Arial" w:cs="Arial"/>
          <w:color w:val="000000"/>
        </w:rPr>
        <w:t>notice may identify the authorised person by any unique number given to them by the administering authority.</w:t>
      </w:r>
    </w:p>
    <w:p w14:paraId="75CF5CC6" w14:textId="79BE50ED" w:rsidR="00EA20AB" w:rsidRDefault="00EA20AB" w:rsidP="00F5454D">
      <w:pPr>
        <w:pStyle w:val="NormalWeb"/>
        <w:shd w:val="clear" w:color="auto" w:fill="FFFFFF"/>
        <w:spacing w:before="360" w:beforeAutospacing="0" w:after="120" w:afterAutospacing="0"/>
        <w:rPr>
          <w:rFonts w:ascii="Arial" w:hAnsi="Arial" w:cs="Arial"/>
          <w:b/>
          <w:bCs/>
          <w:color w:val="000000"/>
        </w:rPr>
      </w:pPr>
      <w:r>
        <w:rPr>
          <w:rFonts w:ascii="Arial" w:hAnsi="Arial" w:cs="Arial"/>
          <w:b/>
          <w:bCs/>
          <w:color w:val="000000"/>
        </w:rPr>
        <w:t>Clause 10</w:t>
      </w:r>
      <w:r w:rsidRPr="00F5454D">
        <w:rPr>
          <w:rFonts w:ascii="Arial" w:hAnsi="Arial" w:cs="Arial"/>
          <w:b/>
          <w:bCs/>
          <w:color w:val="000000"/>
        </w:rPr>
        <w:t> </w:t>
      </w:r>
      <w:r w:rsidRPr="00F5454D">
        <w:rPr>
          <w:rFonts w:ascii="Arial" w:hAnsi="Arial" w:cs="Arial"/>
          <w:b/>
          <w:bCs/>
          <w:color w:val="000000"/>
        </w:rPr>
        <w:tab/>
      </w:r>
      <w:r>
        <w:rPr>
          <w:rFonts w:ascii="Arial" w:hAnsi="Arial" w:cs="Arial"/>
          <w:b/>
          <w:bCs/>
          <w:color w:val="000000"/>
        </w:rPr>
        <w:t>Contents of infringement notices – other information</w:t>
      </w:r>
    </w:p>
    <w:p w14:paraId="2F270BEC" w14:textId="6C4069C8" w:rsidR="00EA20AB" w:rsidRPr="00EA20AB" w:rsidRDefault="00EA20AB" w:rsidP="00EA20AB">
      <w:pPr>
        <w:pStyle w:val="NormalWeb"/>
        <w:shd w:val="clear" w:color="auto" w:fill="FFFFFF"/>
        <w:spacing w:before="0" w:beforeAutospacing="0" w:after="120" w:afterAutospacing="0"/>
        <w:rPr>
          <w:rFonts w:ascii="Arial" w:hAnsi="Arial" w:cs="Arial"/>
          <w:color w:val="000000"/>
        </w:rPr>
      </w:pPr>
      <w:r w:rsidRPr="00EA20AB">
        <w:rPr>
          <w:rFonts w:ascii="Arial" w:hAnsi="Arial" w:cs="Arial"/>
          <w:color w:val="000000"/>
        </w:rPr>
        <w:t>This clause specifies that infringement notices served on a company must include the company’s ACN.</w:t>
      </w:r>
    </w:p>
    <w:p w14:paraId="15338A1D" w14:textId="37188FD5" w:rsidR="00EA20AB" w:rsidRDefault="00EA20AB" w:rsidP="00F5454D">
      <w:pPr>
        <w:pStyle w:val="NormalWeb"/>
        <w:shd w:val="clear" w:color="auto" w:fill="FFFFFF"/>
        <w:spacing w:before="360" w:beforeAutospacing="0" w:after="120" w:afterAutospacing="0"/>
        <w:rPr>
          <w:rFonts w:ascii="Arial" w:hAnsi="Arial" w:cs="Arial"/>
          <w:b/>
          <w:bCs/>
          <w:color w:val="000000"/>
        </w:rPr>
      </w:pPr>
      <w:r>
        <w:rPr>
          <w:rFonts w:ascii="Arial" w:hAnsi="Arial" w:cs="Arial"/>
          <w:b/>
          <w:bCs/>
          <w:color w:val="000000"/>
        </w:rPr>
        <w:t>Clause 11</w:t>
      </w:r>
      <w:r w:rsidRPr="00F5454D">
        <w:rPr>
          <w:rFonts w:ascii="Arial" w:hAnsi="Arial" w:cs="Arial"/>
          <w:b/>
          <w:bCs/>
          <w:color w:val="000000"/>
        </w:rPr>
        <w:t> </w:t>
      </w:r>
      <w:r w:rsidRPr="00F5454D">
        <w:rPr>
          <w:rFonts w:ascii="Arial" w:hAnsi="Arial" w:cs="Arial"/>
          <w:b/>
          <w:bCs/>
          <w:color w:val="000000"/>
        </w:rPr>
        <w:tab/>
      </w:r>
      <w:r>
        <w:rPr>
          <w:rFonts w:ascii="Arial" w:hAnsi="Arial" w:cs="Arial"/>
          <w:b/>
          <w:bCs/>
          <w:color w:val="000000"/>
        </w:rPr>
        <w:t>Contents of reminder notices – identifying authorised person</w:t>
      </w:r>
    </w:p>
    <w:p w14:paraId="7546314E" w14:textId="5DE61BAE" w:rsidR="00EA20AB" w:rsidRPr="00EA20AB" w:rsidRDefault="00EA20AB" w:rsidP="00EA20AB">
      <w:pPr>
        <w:pStyle w:val="NormalWeb"/>
        <w:shd w:val="clear" w:color="auto" w:fill="FFFFFF"/>
        <w:spacing w:before="0" w:beforeAutospacing="0" w:after="120" w:afterAutospacing="0"/>
        <w:rPr>
          <w:rFonts w:ascii="Arial" w:hAnsi="Arial" w:cs="Arial"/>
          <w:color w:val="000000"/>
        </w:rPr>
      </w:pPr>
      <w:r w:rsidRPr="00EA20AB">
        <w:rPr>
          <w:rFonts w:ascii="Arial" w:hAnsi="Arial" w:cs="Arial"/>
          <w:color w:val="000000"/>
        </w:rPr>
        <w:t xml:space="preserve">This clause provides that </w:t>
      </w:r>
      <w:r w:rsidR="00F5454D">
        <w:rPr>
          <w:rFonts w:ascii="Arial" w:hAnsi="Arial" w:cs="Arial"/>
          <w:color w:val="000000"/>
        </w:rPr>
        <w:t>a reminder</w:t>
      </w:r>
      <w:r w:rsidRPr="00EA20AB">
        <w:rPr>
          <w:rFonts w:ascii="Arial" w:hAnsi="Arial" w:cs="Arial"/>
          <w:color w:val="000000"/>
        </w:rPr>
        <w:t xml:space="preserve"> notice must identify the authorised person who served the notice.  An authorised person may be identified in the notice by their full name, or surname and initials.  Alternatively, the </w:t>
      </w:r>
      <w:r w:rsidR="00F5454D">
        <w:rPr>
          <w:rFonts w:ascii="Arial" w:hAnsi="Arial" w:cs="Arial"/>
          <w:color w:val="000000"/>
        </w:rPr>
        <w:t xml:space="preserve">reminder </w:t>
      </w:r>
      <w:r w:rsidRPr="00EA20AB">
        <w:rPr>
          <w:rFonts w:ascii="Arial" w:hAnsi="Arial" w:cs="Arial"/>
          <w:color w:val="000000"/>
        </w:rPr>
        <w:t xml:space="preserve">notice may identify </w:t>
      </w:r>
      <w:r w:rsidR="00F5454D">
        <w:rPr>
          <w:rFonts w:ascii="Arial" w:hAnsi="Arial" w:cs="Arial"/>
          <w:color w:val="000000"/>
        </w:rPr>
        <w:t xml:space="preserve">the authorised person </w:t>
      </w:r>
      <w:r w:rsidRPr="00EA20AB">
        <w:rPr>
          <w:rFonts w:ascii="Arial" w:hAnsi="Arial" w:cs="Arial"/>
          <w:color w:val="000000"/>
        </w:rPr>
        <w:t>by any unique number given to them by the administering authority.</w:t>
      </w:r>
    </w:p>
    <w:p w14:paraId="44529D3E" w14:textId="4C7A7CB5" w:rsidR="00EA20AB" w:rsidRDefault="00EA20AB" w:rsidP="00F5454D">
      <w:pPr>
        <w:pStyle w:val="NormalWeb"/>
        <w:shd w:val="clear" w:color="auto" w:fill="FFFFFF"/>
        <w:spacing w:before="360" w:beforeAutospacing="0" w:after="120" w:afterAutospacing="0"/>
        <w:rPr>
          <w:rFonts w:ascii="Arial" w:hAnsi="Arial" w:cs="Arial"/>
          <w:b/>
          <w:bCs/>
          <w:color w:val="000000"/>
        </w:rPr>
      </w:pPr>
      <w:r>
        <w:rPr>
          <w:rFonts w:ascii="Arial" w:hAnsi="Arial" w:cs="Arial"/>
          <w:b/>
          <w:bCs/>
          <w:color w:val="000000"/>
        </w:rPr>
        <w:t>Clause 12</w:t>
      </w:r>
      <w:r w:rsidRPr="00F5454D">
        <w:rPr>
          <w:rFonts w:ascii="Arial" w:hAnsi="Arial" w:cs="Arial"/>
          <w:b/>
          <w:bCs/>
          <w:color w:val="000000"/>
        </w:rPr>
        <w:t> </w:t>
      </w:r>
      <w:r w:rsidRPr="00F5454D">
        <w:rPr>
          <w:rFonts w:ascii="Arial" w:hAnsi="Arial" w:cs="Arial"/>
          <w:b/>
          <w:bCs/>
          <w:color w:val="000000"/>
        </w:rPr>
        <w:tab/>
      </w:r>
      <w:r>
        <w:rPr>
          <w:rFonts w:ascii="Arial" w:hAnsi="Arial" w:cs="Arial"/>
          <w:b/>
          <w:bCs/>
          <w:color w:val="000000"/>
        </w:rPr>
        <w:t>Authorised people for infringement notice offences</w:t>
      </w:r>
    </w:p>
    <w:p w14:paraId="30673C93" w14:textId="348697CF" w:rsidR="00EA20AB" w:rsidRPr="00EA20AB" w:rsidRDefault="00EA20AB" w:rsidP="00EA20AB">
      <w:pPr>
        <w:pStyle w:val="NormalWeb"/>
        <w:shd w:val="clear" w:color="auto" w:fill="FFFFFF"/>
        <w:spacing w:before="0" w:beforeAutospacing="0" w:after="120" w:afterAutospacing="0"/>
        <w:rPr>
          <w:rFonts w:ascii="Arial" w:hAnsi="Arial" w:cs="Arial"/>
          <w:color w:val="000000"/>
        </w:rPr>
      </w:pPr>
      <w:r w:rsidRPr="00EA20AB">
        <w:rPr>
          <w:rFonts w:ascii="Arial" w:hAnsi="Arial" w:cs="Arial"/>
          <w:color w:val="000000"/>
        </w:rPr>
        <w:t>This clause provides</w:t>
      </w:r>
      <w:r w:rsidR="00F5454D" w:rsidRPr="00F5454D">
        <w:rPr>
          <w:rFonts w:ascii="Arial" w:hAnsi="Arial" w:cs="Arial"/>
          <w:color w:val="000000"/>
        </w:rPr>
        <w:t xml:space="preserve"> that an authorised person under the </w:t>
      </w:r>
      <w:r w:rsidR="002C2843">
        <w:rPr>
          <w:rFonts w:ascii="Arial" w:hAnsi="Arial" w:cs="Arial"/>
          <w:color w:val="000000"/>
        </w:rPr>
        <w:t xml:space="preserve">Circular Economy </w:t>
      </w:r>
      <w:r w:rsidR="00F5454D">
        <w:rPr>
          <w:rFonts w:ascii="Arial" w:hAnsi="Arial" w:cs="Arial"/>
          <w:color w:val="000000"/>
        </w:rPr>
        <w:t>Act</w:t>
      </w:r>
      <w:r w:rsidR="00F5454D" w:rsidRPr="00F5454D">
        <w:rPr>
          <w:rFonts w:ascii="Arial" w:hAnsi="Arial" w:cs="Arial"/>
          <w:color w:val="000000"/>
        </w:rPr>
        <w:t>, section 111</w:t>
      </w:r>
      <w:r w:rsidR="00F5454D">
        <w:rPr>
          <w:rFonts w:ascii="Arial" w:hAnsi="Arial" w:cs="Arial"/>
          <w:color w:val="000000"/>
        </w:rPr>
        <w:t xml:space="preserve"> </w:t>
      </w:r>
      <w:r w:rsidR="00F5454D" w:rsidRPr="00F5454D">
        <w:rPr>
          <w:rFonts w:ascii="Arial" w:hAnsi="Arial" w:cs="Arial"/>
          <w:color w:val="000000"/>
        </w:rPr>
        <w:t>may serve infringement notices and reminder notices for infringement notice offences.</w:t>
      </w:r>
    </w:p>
    <w:p w14:paraId="2C0469D1" w14:textId="61AA5C5A" w:rsidR="00C51665" w:rsidRDefault="00C51665" w:rsidP="00C51665">
      <w:pPr>
        <w:pStyle w:val="NormalWeb"/>
        <w:shd w:val="clear" w:color="auto" w:fill="FFFFFF"/>
        <w:spacing w:before="360" w:beforeAutospacing="0" w:after="120" w:afterAutospacing="0"/>
        <w:rPr>
          <w:rFonts w:ascii="Arial" w:hAnsi="Arial" w:cs="Arial"/>
          <w:b/>
          <w:bCs/>
          <w:color w:val="000000"/>
        </w:rPr>
      </w:pPr>
      <w:r>
        <w:rPr>
          <w:rFonts w:ascii="Arial" w:hAnsi="Arial" w:cs="Arial"/>
          <w:b/>
          <w:bCs/>
          <w:color w:val="000000"/>
        </w:rPr>
        <w:t>Clause 13</w:t>
      </w:r>
      <w:r w:rsidRPr="00F5454D">
        <w:rPr>
          <w:rFonts w:ascii="Arial" w:hAnsi="Arial" w:cs="Arial"/>
          <w:b/>
          <w:bCs/>
          <w:color w:val="000000"/>
        </w:rPr>
        <w:t> </w:t>
      </w:r>
      <w:r w:rsidRPr="00F5454D">
        <w:rPr>
          <w:rFonts w:ascii="Arial" w:hAnsi="Arial" w:cs="Arial"/>
          <w:b/>
          <w:bCs/>
          <w:color w:val="000000"/>
        </w:rPr>
        <w:tab/>
      </w:r>
      <w:r w:rsidRPr="00C51665">
        <w:rPr>
          <w:rFonts w:ascii="Arial" w:hAnsi="Arial" w:cs="Arial"/>
          <w:b/>
          <w:bCs/>
          <w:color w:val="000000"/>
        </w:rPr>
        <w:t>Prescribed person—Act, s 135 (1)</w:t>
      </w:r>
    </w:p>
    <w:p w14:paraId="5D653CD9" w14:textId="77777777" w:rsidR="00C51665" w:rsidRPr="00C51665" w:rsidRDefault="00C51665" w:rsidP="00C51665">
      <w:pPr>
        <w:pStyle w:val="NormalWeb"/>
        <w:shd w:val="clear" w:color="auto" w:fill="FFFFFF"/>
        <w:spacing w:before="360" w:after="120"/>
        <w:rPr>
          <w:rFonts w:ascii="Arial" w:hAnsi="Arial" w:cs="Arial"/>
          <w:color w:val="000000"/>
        </w:rPr>
      </w:pPr>
      <w:r w:rsidRPr="00EA20AB">
        <w:rPr>
          <w:rFonts w:ascii="Arial" w:hAnsi="Arial" w:cs="Arial"/>
          <w:color w:val="000000"/>
        </w:rPr>
        <w:t>This clause provides</w:t>
      </w:r>
      <w:r w:rsidRPr="00F5454D">
        <w:rPr>
          <w:rFonts w:ascii="Arial" w:hAnsi="Arial" w:cs="Arial"/>
          <w:color w:val="000000"/>
        </w:rPr>
        <w:t xml:space="preserve"> </w:t>
      </w:r>
      <w:r w:rsidRPr="00C51665">
        <w:rPr>
          <w:rFonts w:ascii="Arial" w:hAnsi="Arial" w:cs="Arial"/>
          <w:color w:val="000000"/>
        </w:rPr>
        <w:t xml:space="preserve">that the waste manager is a prescribed person for this regulation. Section 135 of the </w:t>
      </w:r>
      <w:r w:rsidRPr="00C51665">
        <w:rPr>
          <w:rFonts w:ascii="Arial" w:hAnsi="Arial" w:cs="Arial"/>
          <w:i/>
          <w:iCs/>
          <w:color w:val="000000"/>
        </w:rPr>
        <w:t>Magistrates Court Act 1930</w:t>
      </w:r>
      <w:r w:rsidRPr="00C51665">
        <w:rPr>
          <w:rFonts w:ascii="Arial" w:hAnsi="Arial" w:cs="Arial"/>
          <w:color w:val="000000"/>
        </w:rPr>
        <w:t xml:space="preserve"> allows the administering authority for the regulation to delegate their power under to either a prescribed person or an authorised person.</w:t>
      </w:r>
    </w:p>
    <w:p w14:paraId="5E638C26" w14:textId="7D6BF1D3" w:rsidR="00C51665" w:rsidRDefault="00C51665" w:rsidP="00C51665">
      <w:pPr>
        <w:pStyle w:val="NormalWeb"/>
        <w:shd w:val="clear" w:color="auto" w:fill="FFFFFF"/>
        <w:spacing w:before="360" w:beforeAutospacing="0" w:after="120" w:afterAutospacing="0"/>
        <w:rPr>
          <w:rFonts w:ascii="Arial" w:hAnsi="Arial" w:cs="Arial"/>
          <w:b/>
          <w:bCs/>
          <w:color w:val="000000"/>
        </w:rPr>
      </w:pPr>
      <w:r w:rsidRPr="00C51665">
        <w:rPr>
          <w:rFonts w:ascii="Arial" w:hAnsi="Arial" w:cs="Arial"/>
          <w:color w:val="000000"/>
        </w:rPr>
        <w:t xml:space="preserve">The Waste Manager is a statutory position appointed under section 16 of the </w:t>
      </w:r>
      <w:r w:rsidRPr="00C51665">
        <w:rPr>
          <w:rFonts w:ascii="Arial" w:hAnsi="Arial" w:cs="Arial"/>
          <w:i/>
          <w:iCs/>
          <w:color w:val="000000"/>
        </w:rPr>
        <w:t>Waste Management and Resource Recovery Act 2016</w:t>
      </w:r>
      <w:r w:rsidRPr="00C51665">
        <w:rPr>
          <w:rFonts w:ascii="Arial" w:hAnsi="Arial" w:cs="Arial"/>
          <w:color w:val="000000"/>
        </w:rPr>
        <w:t>.</w:t>
      </w:r>
    </w:p>
    <w:p w14:paraId="0A0C4AE1" w14:textId="12F1B96F" w:rsidR="00F5454D" w:rsidRDefault="00EA20AB" w:rsidP="00F5454D">
      <w:pPr>
        <w:pStyle w:val="NormalWeb"/>
        <w:shd w:val="clear" w:color="auto" w:fill="FFFFFF"/>
        <w:spacing w:before="360" w:beforeAutospacing="0" w:after="120" w:afterAutospacing="0"/>
        <w:rPr>
          <w:rFonts w:ascii="Arial" w:hAnsi="Arial" w:cs="Arial"/>
          <w:b/>
          <w:bCs/>
          <w:color w:val="000000"/>
        </w:rPr>
      </w:pPr>
      <w:r w:rsidRPr="00EA20AB">
        <w:rPr>
          <w:rFonts w:ascii="Arial" w:hAnsi="Arial" w:cs="Arial"/>
          <w:b/>
          <w:bCs/>
          <w:color w:val="000000"/>
        </w:rPr>
        <w:t>Schedule 1</w:t>
      </w:r>
    </w:p>
    <w:p w14:paraId="414E1A83" w14:textId="3EECDE13" w:rsidR="00F5454D" w:rsidRDefault="00F5454D" w:rsidP="00F5454D">
      <w:pPr>
        <w:pStyle w:val="NormalWeb"/>
        <w:shd w:val="clear" w:color="auto" w:fill="FFFFFF"/>
        <w:spacing w:before="0" w:beforeAutospacing="0" w:after="120" w:afterAutospacing="0"/>
        <w:rPr>
          <w:rFonts w:ascii="Arial" w:hAnsi="Arial" w:cs="Arial"/>
          <w:color w:val="000000"/>
        </w:rPr>
      </w:pPr>
      <w:r w:rsidRPr="00F5454D">
        <w:rPr>
          <w:rFonts w:ascii="Arial" w:hAnsi="Arial" w:cs="Arial"/>
          <w:color w:val="000000"/>
        </w:rPr>
        <w:t>This schedule outlines the offence penalty and infringement penalties for offences under the </w:t>
      </w:r>
      <w:r w:rsidR="002C2843">
        <w:rPr>
          <w:rFonts w:ascii="Arial" w:hAnsi="Arial" w:cs="Arial"/>
          <w:color w:val="000000"/>
        </w:rPr>
        <w:t xml:space="preserve">Circular Economy </w:t>
      </w:r>
      <w:r>
        <w:rPr>
          <w:rFonts w:ascii="Arial" w:hAnsi="Arial" w:cs="Arial"/>
          <w:color w:val="000000"/>
        </w:rPr>
        <w:t>Act 2023.</w:t>
      </w:r>
    </w:p>
    <w:p w14:paraId="0079B762" w14:textId="77777777" w:rsidR="00F5454D" w:rsidRPr="00F5454D" w:rsidRDefault="00F5454D" w:rsidP="00F5454D">
      <w:pPr>
        <w:pStyle w:val="NormalWeb"/>
        <w:shd w:val="clear" w:color="auto" w:fill="FFFFFF"/>
        <w:spacing w:before="360" w:beforeAutospacing="0" w:after="120" w:afterAutospacing="0"/>
        <w:rPr>
          <w:rFonts w:ascii="Arial" w:hAnsi="Arial" w:cs="Arial"/>
          <w:b/>
          <w:bCs/>
          <w:color w:val="000000"/>
        </w:rPr>
      </w:pPr>
      <w:r w:rsidRPr="00F5454D">
        <w:rPr>
          <w:rFonts w:ascii="Arial" w:hAnsi="Arial" w:cs="Arial"/>
          <w:b/>
          <w:bCs/>
          <w:color w:val="000000"/>
        </w:rPr>
        <w:t xml:space="preserve">Dictionary </w:t>
      </w:r>
    </w:p>
    <w:p w14:paraId="200878DB" w14:textId="47B9E9F3" w:rsidR="00F5454D" w:rsidRPr="00F5454D" w:rsidRDefault="00F5454D" w:rsidP="00F5454D">
      <w:pPr>
        <w:pStyle w:val="NormalWeb"/>
        <w:shd w:val="clear" w:color="auto" w:fill="FFFFFF"/>
        <w:spacing w:before="0" w:beforeAutospacing="0" w:after="120" w:afterAutospacing="0"/>
        <w:rPr>
          <w:rFonts w:ascii="Arial" w:hAnsi="Arial" w:cs="Arial"/>
          <w:color w:val="000000"/>
        </w:rPr>
      </w:pPr>
      <w:r>
        <w:rPr>
          <w:rFonts w:ascii="Arial" w:hAnsi="Arial" w:cs="Arial"/>
          <w:color w:val="000000"/>
          <w:shd w:val="clear" w:color="auto" w:fill="FFFFFF"/>
        </w:rPr>
        <w:t>T</w:t>
      </w:r>
      <w:r w:rsidRPr="00F5454D">
        <w:rPr>
          <w:rFonts w:ascii="Arial" w:hAnsi="Arial" w:cs="Arial"/>
          <w:color w:val="000000"/>
          <w:shd w:val="clear" w:color="auto" w:fill="FFFFFF"/>
        </w:rPr>
        <w:t>his is the dictionary for the Regulation.</w:t>
      </w:r>
    </w:p>
    <w:sectPr w:rsidR="00F5454D" w:rsidRPr="00F5454D">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AD4927" w14:textId="77777777" w:rsidR="00DA2720" w:rsidRDefault="00DA2720" w:rsidP="00D14F2C">
      <w:pPr>
        <w:spacing w:after="0" w:line="240" w:lineRule="auto"/>
      </w:pPr>
      <w:r>
        <w:separator/>
      </w:r>
    </w:p>
  </w:endnote>
  <w:endnote w:type="continuationSeparator" w:id="0">
    <w:p w14:paraId="63E925DE" w14:textId="77777777" w:rsidR="00DA2720" w:rsidRDefault="00DA2720" w:rsidP="00D14F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EB3FD" w14:textId="77777777" w:rsidR="004C569C" w:rsidRDefault="004C56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00D14F2C" w14:paraId="37059406" w14:textId="77777777" w:rsidTr="007047B6">
      <w:tc>
        <w:tcPr>
          <w:tcW w:w="3005" w:type="dxa"/>
        </w:tcPr>
        <w:p w14:paraId="74693E8B" w14:textId="77777777" w:rsidR="00D14F2C" w:rsidRDefault="00D14F2C" w:rsidP="00D14F2C">
          <w:pPr>
            <w:pStyle w:val="Header"/>
            <w:ind w:left="-115"/>
          </w:pPr>
        </w:p>
      </w:tc>
      <w:tc>
        <w:tcPr>
          <w:tcW w:w="3005" w:type="dxa"/>
        </w:tcPr>
        <w:p w14:paraId="04916305" w14:textId="77777777" w:rsidR="00D14F2C" w:rsidRDefault="00D14F2C" w:rsidP="00D14F2C">
          <w:pPr>
            <w:pStyle w:val="Header"/>
            <w:jc w:val="center"/>
          </w:pPr>
        </w:p>
      </w:tc>
      <w:tc>
        <w:tcPr>
          <w:tcW w:w="3005" w:type="dxa"/>
        </w:tcPr>
        <w:p w14:paraId="5890687E" w14:textId="77777777" w:rsidR="00D14F2C" w:rsidRDefault="00D14F2C" w:rsidP="00D14F2C">
          <w:pPr>
            <w:pStyle w:val="Header"/>
            <w:ind w:right="-115"/>
            <w:jc w:val="right"/>
          </w:pPr>
          <w:r>
            <w:fldChar w:fldCharType="begin"/>
          </w:r>
          <w:r>
            <w:instrText>PAGE</w:instrText>
          </w:r>
          <w:r>
            <w:fldChar w:fldCharType="separate"/>
          </w:r>
          <w:r>
            <w:rPr>
              <w:noProof/>
            </w:rPr>
            <w:t>2</w:t>
          </w:r>
          <w:r>
            <w:fldChar w:fldCharType="end"/>
          </w:r>
          <w:r>
            <w:t xml:space="preserve"> of </w:t>
          </w:r>
          <w:r>
            <w:fldChar w:fldCharType="begin"/>
          </w:r>
          <w:r>
            <w:instrText>NUMPAGES</w:instrText>
          </w:r>
          <w:r>
            <w:fldChar w:fldCharType="separate"/>
          </w:r>
          <w:r>
            <w:rPr>
              <w:noProof/>
            </w:rPr>
            <w:t>3</w:t>
          </w:r>
          <w:r>
            <w:fldChar w:fldCharType="end"/>
          </w:r>
        </w:p>
      </w:tc>
    </w:tr>
  </w:tbl>
  <w:p w14:paraId="1AB61A36" w14:textId="1A0053DD" w:rsidR="00D14F2C" w:rsidRPr="008D3583" w:rsidRDefault="008D3583" w:rsidP="008D3583">
    <w:pPr>
      <w:pStyle w:val="Footer"/>
      <w:jc w:val="center"/>
      <w:rPr>
        <w:rFonts w:ascii="Arial" w:hAnsi="Arial" w:cs="Arial"/>
        <w:sz w:val="14"/>
      </w:rPr>
    </w:pPr>
    <w:r w:rsidRPr="008D3583">
      <w:rPr>
        <w:rFonts w:ascii="Arial" w:hAnsi="Arial"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DE56B2" w14:textId="77777777" w:rsidR="004C569C" w:rsidRDefault="004C56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708FB8" w14:textId="77777777" w:rsidR="00DA2720" w:rsidRDefault="00DA2720" w:rsidP="00D14F2C">
      <w:pPr>
        <w:spacing w:after="0" w:line="240" w:lineRule="auto"/>
      </w:pPr>
      <w:r>
        <w:separator/>
      </w:r>
    </w:p>
  </w:footnote>
  <w:footnote w:type="continuationSeparator" w:id="0">
    <w:p w14:paraId="6BE3A705" w14:textId="77777777" w:rsidR="00DA2720" w:rsidRDefault="00DA2720" w:rsidP="00D14F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B9033" w14:textId="77777777" w:rsidR="004C569C" w:rsidRDefault="004C56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03D4E" w14:textId="77777777" w:rsidR="004C569C" w:rsidRDefault="004C569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48B60F" w14:textId="77777777" w:rsidR="004C569C" w:rsidRDefault="004C56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3331F4"/>
    <w:multiLevelType w:val="hybridMultilevel"/>
    <w:tmpl w:val="4A921E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AAE63E6"/>
    <w:multiLevelType w:val="hybridMultilevel"/>
    <w:tmpl w:val="749E3A9E"/>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 w15:restartNumberingAfterBreak="0">
    <w:nsid w:val="465A3E11"/>
    <w:multiLevelType w:val="hybridMultilevel"/>
    <w:tmpl w:val="88245E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78A3868"/>
    <w:multiLevelType w:val="hybridMultilevel"/>
    <w:tmpl w:val="54AE3304"/>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4FE266CC"/>
    <w:multiLevelType w:val="hybridMultilevel"/>
    <w:tmpl w:val="E8E08F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076828847">
    <w:abstractNumId w:val="2"/>
  </w:num>
  <w:num w:numId="2" w16cid:durableId="1345981445">
    <w:abstractNumId w:val="1"/>
  </w:num>
  <w:num w:numId="3" w16cid:durableId="1014499155">
    <w:abstractNumId w:val="0"/>
  </w:num>
  <w:num w:numId="4" w16cid:durableId="1487429771">
    <w:abstractNumId w:val="3"/>
  </w:num>
  <w:num w:numId="5" w16cid:durableId="2749434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A40"/>
    <w:rsid w:val="00083DA3"/>
    <w:rsid w:val="0009397E"/>
    <w:rsid w:val="000B1837"/>
    <w:rsid w:val="001576DC"/>
    <w:rsid w:val="00217174"/>
    <w:rsid w:val="00230060"/>
    <w:rsid w:val="002C2843"/>
    <w:rsid w:val="003F2AE6"/>
    <w:rsid w:val="00483022"/>
    <w:rsid w:val="004C569C"/>
    <w:rsid w:val="005A48D8"/>
    <w:rsid w:val="005C1D6B"/>
    <w:rsid w:val="00617637"/>
    <w:rsid w:val="00694DE8"/>
    <w:rsid w:val="006C75C0"/>
    <w:rsid w:val="006E1A68"/>
    <w:rsid w:val="00747927"/>
    <w:rsid w:val="007A0F79"/>
    <w:rsid w:val="007D2E73"/>
    <w:rsid w:val="00805034"/>
    <w:rsid w:val="008143E7"/>
    <w:rsid w:val="0082376E"/>
    <w:rsid w:val="008275BF"/>
    <w:rsid w:val="008A1A43"/>
    <w:rsid w:val="008D3583"/>
    <w:rsid w:val="00907AF7"/>
    <w:rsid w:val="009415AE"/>
    <w:rsid w:val="00A259EC"/>
    <w:rsid w:val="00A54B9E"/>
    <w:rsid w:val="00A80BE0"/>
    <w:rsid w:val="00AF656A"/>
    <w:rsid w:val="00B00239"/>
    <w:rsid w:val="00B15BFD"/>
    <w:rsid w:val="00B64A40"/>
    <w:rsid w:val="00BC0422"/>
    <w:rsid w:val="00BD5CD6"/>
    <w:rsid w:val="00C51665"/>
    <w:rsid w:val="00C60E17"/>
    <w:rsid w:val="00D14F2C"/>
    <w:rsid w:val="00D901A9"/>
    <w:rsid w:val="00DA2720"/>
    <w:rsid w:val="00DD76DA"/>
    <w:rsid w:val="00E23C6C"/>
    <w:rsid w:val="00E31899"/>
    <w:rsid w:val="00E43384"/>
    <w:rsid w:val="00EA20AB"/>
    <w:rsid w:val="00EF393D"/>
    <w:rsid w:val="00F5404B"/>
    <w:rsid w:val="00F5454D"/>
    <w:rsid w:val="00FE6E5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4E227A"/>
  <w15:chartTrackingRefBased/>
  <w15:docId w15:val="{5E950EFA-161A-4230-A0F8-08C5D22F7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4F2C"/>
    <w:rPr>
      <w:rFonts w:eastAsiaTheme="minorEastAsia"/>
    </w:rPr>
  </w:style>
  <w:style w:type="paragraph" w:styleId="Heading1">
    <w:name w:val="heading 1"/>
    <w:basedOn w:val="Normal"/>
    <w:next w:val="Normal"/>
    <w:link w:val="Heading1Char"/>
    <w:uiPriority w:val="9"/>
    <w:qFormat/>
    <w:rsid w:val="00D14F2C"/>
    <w:pPr>
      <w:keepNext/>
      <w:keepLines/>
      <w:spacing w:before="400" w:after="40" w:line="240" w:lineRule="auto"/>
      <w:jc w:val="center"/>
      <w:outlineLvl w:val="0"/>
    </w:pPr>
    <w:rPr>
      <w:rFonts w:ascii="Arial" w:eastAsiaTheme="majorEastAsia" w:hAnsi="Arial" w:cstheme="majorBidi"/>
      <w:b/>
      <w:color w:val="000000" w:themeColor="text1"/>
      <w:sz w:val="24"/>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4F2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14F2C"/>
    <w:rPr>
      <w:rFonts w:eastAsiaTheme="minorEastAsia"/>
    </w:rPr>
  </w:style>
  <w:style w:type="paragraph" w:styleId="Footer">
    <w:name w:val="footer"/>
    <w:basedOn w:val="Normal"/>
    <w:link w:val="FooterChar"/>
    <w:uiPriority w:val="99"/>
    <w:unhideWhenUsed/>
    <w:rsid w:val="00D14F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14F2C"/>
    <w:rPr>
      <w:rFonts w:eastAsiaTheme="minorEastAsia"/>
    </w:rPr>
  </w:style>
  <w:style w:type="character" w:customStyle="1" w:styleId="Heading1Char">
    <w:name w:val="Heading 1 Char"/>
    <w:basedOn w:val="DefaultParagraphFont"/>
    <w:link w:val="Heading1"/>
    <w:uiPriority w:val="9"/>
    <w:rsid w:val="00D14F2C"/>
    <w:rPr>
      <w:rFonts w:ascii="Arial" w:eastAsiaTheme="majorEastAsia" w:hAnsi="Arial" w:cstheme="majorBidi"/>
      <w:b/>
      <w:color w:val="000000" w:themeColor="text1"/>
      <w:sz w:val="24"/>
      <w:szCs w:val="36"/>
    </w:rPr>
  </w:style>
  <w:style w:type="character" w:styleId="CommentReference">
    <w:name w:val="annotation reference"/>
    <w:basedOn w:val="DefaultParagraphFont"/>
    <w:uiPriority w:val="99"/>
    <w:semiHidden/>
    <w:unhideWhenUsed/>
    <w:rsid w:val="00EA20AB"/>
    <w:rPr>
      <w:sz w:val="16"/>
      <w:szCs w:val="16"/>
    </w:rPr>
  </w:style>
  <w:style w:type="paragraph" w:styleId="CommentText">
    <w:name w:val="annotation text"/>
    <w:basedOn w:val="Normal"/>
    <w:link w:val="CommentTextChar"/>
    <w:uiPriority w:val="99"/>
    <w:unhideWhenUsed/>
    <w:rsid w:val="00EA20AB"/>
    <w:pPr>
      <w:spacing w:line="240" w:lineRule="auto"/>
    </w:pPr>
    <w:rPr>
      <w:sz w:val="20"/>
      <w:szCs w:val="20"/>
    </w:rPr>
  </w:style>
  <w:style w:type="character" w:customStyle="1" w:styleId="CommentTextChar">
    <w:name w:val="Comment Text Char"/>
    <w:basedOn w:val="DefaultParagraphFont"/>
    <w:link w:val="CommentText"/>
    <w:uiPriority w:val="99"/>
    <w:rsid w:val="00EA20AB"/>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EA20AB"/>
    <w:rPr>
      <w:b/>
      <w:bCs/>
    </w:rPr>
  </w:style>
  <w:style w:type="character" w:customStyle="1" w:styleId="CommentSubjectChar">
    <w:name w:val="Comment Subject Char"/>
    <w:basedOn w:val="CommentTextChar"/>
    <w:link w:val="CommentSubject"/>
    <w:uiPriority w:val="99"/>
    <w:semiHidden/>
    <w:rsid w:val="00EA20AB"/>
    <w:rPr>
      <w:rFonts w:eastAsiaTheme="minorEastAsia"/>
      <w:b/>
      <w:bCs/>
      <w:sz w:val="20"/>
      <w:szCs w:val="20"/>
    </w:rPr>
  </w:style>
  <w:style w:type="paragraph" w:styleId="NormalWeb">
    <w:name w:val="Normal (Web)"/>
    <w:basedOn w:val="Normal"/>
    <w:uiPriority w:val="99"/>
    <w:unhideWhenUsed/>
    <w:rsid w:val="00EA20AB"/>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ListParagraph">
    <w:name w:val="List Paragraph"/>
    <w:aliases w:val="List Paragraph1,List Paragraph11,Recommendation,Bullet point,L,List Paragraph111,F5 List Paragraph,Dot pt,CV text,Table text,Medium Grid 1 - Accent 21,Numbered Paragraph,List Paragraph2,NFP GP Bulleted List,FooterText,numbered,列出段,列出,列"/>
    <w:basedOn w:val="Normal"/>
    <w:link w:val="ListParagraphChar"/>
    <w:uiPriority w:val="34"/>
    <w:qFormat/>
    <w:rsid w:val="000B1837"/>
    <w:pPr>
      <w:ind w:left="720"/>
      <w:contextualSpacing/>
    </w:pPr>
  </w:style>
  <w:style w:type="character" w:customStyle="1" w:styleId="ListParagraphChar">
    <w:name w:val="List Paragraph Char"/>
    <w:aliases w:val="List Paragraph1 Char,List Paragraph11 Char,Recommendation Char,Bullet point Char,L Char,List Paragraph111 Char,F5 List Paragraph Char,Dot pt Char,CV text Char,Table text Char,Medium Grid 1 - Accent 21 Char,Numbered Paragraph Char"/>
    <w:basedOn w:val="DefaultParagraphFont"/>
    <w:link w:val="ListParagraph"/>
    <w:uiPriority w:val="34"/>
    <w:qFormat/>
    <w:locked/>
    <w:rsid w:val="00083DA3"/>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8986506">
      <w:bodyDiv w:val="1"/>
      <w:marLeft w:val="0"/>
      <w:marRight w:val="0"/>
      <w:marTop w:val="0"/>
      <w:marBottom w:val="0"/>
      <w:divBdr>
        <w:top w:val="none" w:sz="0" w:space="0" w:color="auto"/>
        <w:left w:val="none" w:sz="0" w:space="0" w:color="auto"/>
        <w:bottom w:val="none" w:sz="0" w:space="0" w:color="auto"/>
        <w:right w:val="none" w:sz="0" w:space="0" w:color="auto"/>
      </w:divBdr>
    </w:div>
    <w:div w:id="161251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4FEB93B0D38B3BDFE05400144FFB2061" version="1.0.0">
  <systemFields>
    <field name="Objective-Id">
      <value order="0">A43521020</value>
    </field>
    <field name="Objective-Title">
      <value order="0">Magistrates Court (Circular Economy Infringement Notices) Regulation - Explanatory Statement</value>
    </field>
    <field name="Objective-Description">
      <value order="0"/>
    </field>
    <field name="Objective-CreationStamp">
      <value order="0">2023-09-13T02:46:20Z</value>
    </field>
    <field name="Objective-IsApproved">
      <value order="0">false</value>
    </field>
    <field name="Objective-IsPublished">
      <value order="0">true</value>
    </field>
    <field name="Objective-DatePublished">
      <value order="0">2023-09-28T01:42:15Z</value>
    </field>
    <field name="Objective-ModificationStamp">
      <value order="0">2023-09-28T01:43:53Z</value>
    </field>
    <field name="Objective-Owner">
      <value order="0">Madelin Strupitis-Haddrick</value>
    </field>
    <field name="Objective-Path">
      <value order="0">Whole of ACT Government:TCCS STRUCTURE - Content Restriction Hierarchy:DIVISION: Transport Canberra and Business Services:0.4 BRANCH: Strategic Policy and Programs:TEAM: Policy and Legislation (Business and City Services):Projects:Circular Economy Legislation - 2023:Circular Economy Legislation:05. Legislation Development</value>
    </field>
    <field name="Objective-Parent">
      <value order="0">05. Legislation Development</value>
    </field>
    <field name="Objective-State">
      <value order="0">Published</value>
    </field>
    <field name="Objective-VersionId">
      <value order="0">vA54582039</value>
    </field>
    <field name="Objective-Version">
      <value order="0">4.0</value>
    </field>
    <field name="Objective-VersionNumber">
      <value order="0">5</value>
    </field>
    <field name="Objective-VersionComment">
      <value order="0"/>
    </field>
    <field name="Objective-FileNumber">
      <value order="0">1-2023/96326</value>
    </field>
    <field name="Objective-Classification">
      <value order="0"/>
    </field>
    <field name="Objective-Caveats">
      <value order="0"/>
    </field>
  </systemFields>
  <catalogues>
    <catalogue name="Ministerial Document Type Catalogue" type="type" ori="id:cA193">
      <field name="Objective-OM Author">
        <value order="0"/>
      </field>
      <field name="Objective-OM Author Organisation">
        <value order="0"/>
      </field>
      <field name="Objective-OM Author Type">
        <value order="0"/>
      </field>
      <field name="Objective-OM Date Received">
        <value order="0"/>
      </field>
      <field name="Objective-OM Date of Document">
        <value order="0"/>
      </field>
      <field name="Objective-OM External Reference">
        <value order="0"/>
      </field>
      <field name="Objective-OM Reference">
        <value order="0"/>
      </field>
      <field name="Objective-OM Topic">
        <value order="0"/>
      </field>
      <field name="Objective-Suburb">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1420</Words>
  <Characters>7772</Characters>
  <Application>Microsoft Office Word</Application>
  <DocSecurity>0</DocSecurity>
  <Lines>165</Lines>
  <Paragraphs>62</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9161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Strupitis-Haddrick, Madelin</dc:creator>
  <cp:keywords>2</cp:keywords>
  <dc:description/>
  <cp:lastModifiedBy>PCODCS</cp:lastModifiedBy>
  <cp:revision>4</cp:revision>
  <dcterms:created xsi:type="dcterms:W3CDTF">2023-10-26T00:08:00Z</dcterms:created>
  <dcterms:modified xsi:type="dcterms:W3CDTF">2023-10-26T00:08:00Z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A43521020</vt:lpwstr>
  </property>
  <property fmtid="{D5CDD505-2E9C-101B-9397-08002B2CF9AE}" pid="4" name="Objective-Title">
    <vt:lpwstr>Magistrates Court (Circular Economy Infringement Notices) Regulation - Explanatory Statement</vt:lpwstr>
  </property>
  <property fmtid="{D5CDD505-2E9C-101B-9397-08002B2CF9AE}" pid="5" name="Objective-Description">
    <vt:lpwstr/>
  </property>
  <property fmtid="{D5CDD505-2E9C-101B-9397-08002B2CF9AE}" pid="6" name="Objective-CreationStamp">
    <vt:filetime>2023-09-13T02:46:20Z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2023-09-28T01:42:15Z</vt:filetime>
  </property>
  <property fmtid="{D5CDD505-2E9C-101B-9397-08002B2CF9AE}" pid="10" name="Objective-ModificationStamp">
    <vt:filetime>2023-09-28T01:43:53Z</vt:filetime>
  </property>
  <property fmtid="{D5CDD505-2E9C-101B-9397-08002B2CF9AE}" pid="11" name="Objective-Owner">
    <vt:lpwstr>Madelin Strupitis-Haddrick</vt:lpwstr>
  </property>
  <property fmtid="{D5CDD505-2E9C-101B-9397-08002B2CF9AE}" pid="12" name="Objective-Path">
    <vt:lpwstr>Whole of ACT Government:TCCS STRUCTURE - Content Restriction Hierarchy:DIVISION: Transport Canberra and Business Services:0.4 BRANCH: Strategic Policy and Programs:TEAM: Policy and Legislation (Business and City Services):Projects:Circular Economy Legislation - 2023:Circular Economy Legislation:05. Legislation Development:</vt:lpwstr>
  </property>
  <property fmtid="{D5CDD505-2E9C-101B-9397-08002B2CF9AE}" pid="13" name="Objective-Parent">
    <vt:lpwstr>05. Legislation Development</vt:lpwstr>
  </property>
  <property fmtid="{D5CDD505-2E9C-101B-9397-08002B2CF9AE}" pid="14" name="Objective-State">
    <vt:lpwstr>Published</vt:lpwstr>
  </property>
  <property fmtid="{D5CDD505-2E9C-101B-9397-08002B2CF9AE}" pid="15" name="Objective-VersionId">
    <vt:lpwstr>vA54582039</vt:lpwstr>
  </property>
  <property fmtid="{D5CDD505-2E9C-101B-9397-08002B2CF9AE}" pid="16" name="Objective-Version">
    <vt:lpwstr>4.0</vt:lpwstr>
  </property>
  <property fmtid="{D5CDD505-2E9C-101B-9397-08002B2CF9AE}" pid="17" name="Objective-VersionNumber">
    <vt:r8>5</vt:r8>
  </property>
  <property fmtid="{D5CDD505-2E9C-101B-9397-08002B2CF9AE}" pid="18" name="Objective-VersionComment">
    <vt:lpwstr/>
  </property>
  <property fmtid="{D5CDD505-2E9C-101B-9397-08002B2CF9AE}" pid="19" name="Objective-FileNumber">
    <vt:lpwstr>1-2023/96326</vt:lpwstr>
  </property>
  <property fmtid="{D5CDD505-2E9C-101B-9397-08002B2CF9AE}" pid="20" name="Objective-Classification">
    <vt:lpwstr>[Inherited - none]</vt:lpwstr>
  </property>
  <property fmtid="{D5CDD505-2E9C-101B-9397-08002B2CF9AE}" pid="21" name="Objective-Caveats">
    <vt:lpwstr/>
  </property>
  <property fmtid="{D5CDD505-2E9C-101B-9397-08002B2CF9AE}" pid="22" name="Objective-OM Author">
    <vt:lpwstr/>
  </property>
  <property fmtid="{D5CDD505-2E9C-101B-9397-08002B2CF9AE}" pid="23" name="Objective-OM Author Organisation">
    <vt:lpwstr/>
  </property>
  <property fmtid="{D5CDD505-2E9C-101B-9397-08002B2CF9AE}" pid="24" name="Objective-OM Author Type">
    <vt:lpwstr/>
  </property>
  <property fmtid="{D5CDD505-2E9C-101B-9397-08002B2CF9AE}" pid="25" name="Objective-OM Date Received">
    <vt:lpwstr/>
  </property>
  <property fmtid="{D5CDD505-2E9C-101B-9397-08002B2CF9AE}" pid="26" name="Objective-OM Date of Document">
    <vt:lpwstr/>
  </property>
  <property fmtid="{D5CDD505-2E9C-101B-9397-08002B2CF9AE}" pid="27" name="Objective-OM External Reference">
    <vt:lpwstr/>
  </property>
  <property fmtid="{D5CDD505-2E9C-101B-9397-08002B2CF9AE}" pid="28" name="Objective-OM Reference">
    <vt:lpwstr/>
  </property>
  <property fmtid="{D5CDD505-2E9C-101B-9397-08002B2CF9AE}" pid="29" name="Objective-OM Topic">
    <vt:lpwstr/>
  </property>
  <property fmtid="{D5CDD505-2E9C-101B-9397-08002B2CF9AE}" pid="30" name="Objective-Suburb">
    <vt:lpwstr/>
  </property>
  <property fmtid="{D5CDD505-2E9C-101B-9397-08002B2CF9AE}" pid="31" name="Objective-Comment">
    <vt:lpwstr/>
  </property>
  <property fmtid="{D5CDD505-2E9C-101B-9397-08002B2CF9AE}" pid="32" name="CHECKEDOUTFROMJMS">
    <vt:lpwstr/>
  </property>
  <property fmtid="{D5CDD505-2E9C-101B-9397-08002B2CF9AE}" pid="33" name="DMSID">
    <vt:lpwstr>11127910</vt:lpwstr>
  </property>
  <property fmtid="{D5CDD505-2E9C-101B-9397-08002B2CF9AE}" pid="34" name="JMSREQUIREDCHECKIN">
    <vt:lpwstr/>
  </property>
</Properties>
</file>