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2DE7B835" w:rsidR="00FD13E7" w:rsidRDefault="00EB460C" w:rsidP="00FD13E7">
      <w:pPr>
        <w:pStyle w:val="Billname"/>
        <w:spacing w:before="700"/>
      </w:pPr>
      <w:r>
        <w:t>Taxation Administration (Amounts Payable—</w:t>
      </w:r>
      <w:r w:rsidR="007C6577">
        <w:t>Pensioner Duty</w:t>
      </w:r>
      <w:r>
        <w:t xml:space="preserve"> Concession Scheme) Determination 20</w:t>
      </w:r>
      <w:r w:rsidR="005877E7">
        <w:t>2</w:t>
      </w:r>
      <w:r w:rsidR="00776D42">
        <w:t>3</w:t>
      </w:r>
      <w:r w:rsidR="0055503F">
        <w:t xml:space="preserve"> (No 2)</w:t>
      </w:r>
    </w:p>
    <w:p w14:paraId="5C3A2BF1" w14:textId="253E0980"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776D42">
        <w:rPr>
          <w:rFonts w:ascii="Arial" w:hAnsi="Arial" w:cs="Arial"/>
          <w:b/>
          <w:bCs/>
          <w:iCs/>
        </w:rPr>
        <w:t>3</w:t>
      </w:r>
      <w:r w:rsidR="007276F9">
        <w:rPr>
          <w:rFonts w:ascii="Arial" w:hAnsi="Arial" w:cs="Arial"/>
          <w:b/>
          <w:bCs/>
        </w:rPr>
        <w:t>–</w:t>
      </w:r>
      <w:r w:rsidR="005C24D6">
        <w:rPr>
          <w:rFonts w:ascii="Arial" w:hAnsi="Arial" w:cs="Arial"/>
          <w:b/>
          <w:bCs/>
        </w:rPr>
        <w:t>287</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77777777" w:rsidR="00C2384B" w:rsidRDefault="00C2384B" w:rsidP="00C2384B">
      <w:r w:rsidRPr="00565168">
        <w:t xml:space="preserve">The </w:t>
      </w:r>
      <w:r w:rsidRPr="00565168">
        <w:rPr>
          <w:i/>
          <w:iCs/>
        </w:rPr>
        <w:t>Taxation Administration Act 1999</w:t>
      </w:r>
      <w:r w:rsidRPr="00565168">
        <w:t xml:space="preserve"> (</w:t>
      </w:r>
      <w:r w:rsidRPr="002B221C">
        <w:t>the TAA</w:t>
      </w:r>
      <w:r w:rsidRPr="00565168">
        <w:t xml:space="preserve">) </w:t>
      </w:r>
      <w:r>
        <w:t xml:space="preserve">governs </w:t>
      </w:r>
      <w:r w:rsidRPr="00565168">
        <w:t>the administration of various tax laws relating to the imposition of c</w:t>
      </w:r>
      <w:r>
        <w:t xml:space="preserve">ertain taxes, duties and fees. </w:t>
      </w:r>
      <w:r w:rsidRPr="00565168">
        <w:t xml:space="preserve">These tax laws are specified in section 4 of the TAA. Section 139 of the TAA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46062156"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w:t>
      </w:r>
      <w:r w:rsidR="00BC5293">
        <w:t xml:space="preserve"> liability</w:t>
      </w:r>
      <w:r w:rsidRPr="00565168">
        <w:t xml:space="preserve"> is </w:t>
      </w:r>
      <w:r w:rsidR="00BC5293">
        <w:t>a debt due</w:t>
      </w:r>
      <w:r w:rsidR="00BC5293" w:rsidRPr="00565168">
        <w:t xml:space="preserve"> </w:t>
      </w:r>
      <w:r w:rsidRPr="00565168">
        <w:t>to the Territory</w:t>
      </w:r>
      <w:r>
        <w:t>.</w:t>
      </w:r>
    </w:p>
    <w:p w14:paraId="52A65C0D" w14:textId="77777777" w:rsidR="00C2384B" w:rsidRDefault="00C2384B" w:rsidP="00E642FA"/>
    <w:p w14:paraId="764FCB88" w14:textId="77777777" w:rsidR="00A100BA" w:rsidRDefault="00E642FA" w:rsidP="00D74A02">
      <w:r w:rsidRPr="00001F9E">
        <w:t xml:space="preserve">The </w:t>
      </w:r>
      <w:r>
        <w:t>Pensioner Duty Concession Scheme (</w:t>
      </w:r>
      <w:r w:rsidRPr="002B221C">
        <w:t>the PDCS</w:t>
      </w:r>
      <w:r>
        <w:t xml:space="preserve">) </w:t>
      </w:r>
      <w:r w:rsidRPr="00001F9E">
        <w:t>assists eligible pensioners to move accommodation by reducing 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427421A8" w14:textId="28CB95A3" w:rsidR="003F69DD" w:rsidRDefault="00A4764A" w:rsidP="0001776D">
      <w:r>
        <w:t xml:space="preserve">The </w:t>
      </w:r>
      <w:r w:rsidR="00A100BA" w:rsidRPr="00B356E4">
        <w:rPr>
          <w:i/>
          <w:iCs/>
        </w:rPr>
        <w:t xml:space="preserve">Taxation Administration (Amounts Payable—Pensioner Duty Concession Scheme) Determination </w:t>
      </w:r>
      <w:r w:rsidR="00A100BA" w:rsidRPr="00BB4F8D">
        <w:rPr>
          <w:i/>
          <w:iCs/>
        </w:rPr>
        <w:t>202</w:t>
      </w:r>
      <w:r w:rsidR="00776D42">
        <w:rPr>
          <w:i/>
          <w:iCs/>
        </w:rPr>
        <w:t>3</w:t>
      </w:r>
      <w:r w:rsidR="00A100BA">
        <w:rPr>
          <w:i/>
          <w:iCs/>
        </w:rPr>
        <w:t xml:space="preserve"> </w:t>
      </w:r>
      <w:r w:rsidR="00A100BA">
        <w:t xml:space="preserve">(the </w:t>
      </w:r>
      <w:r>
        <w:t>Determination</w:t>
      </w:r>
      <w:r w:rsidR="00A100BA">
        <w:t>)</w:t>
      </w:r>
      <w:r>
        <w:t xml:space="preserve"> </w:t>
      </w:r>
      <w:r w:rsidR="00BB4F8D">
        <w:t>prescribes</w:t>
      </w:r>
      <w:r w:rsidR="0001776D">
        <w:t>:</w:t>
      </w:r>
    </w:p>
    <w:p w14:paraId="7B3A311C" w14:textId="0592CCE3" w:rsidR="00BB4F8D" w:rsidRDefault="00BB4F8D" w:rsidP="006E1AEF">
      <w:pPr>
        <w:pStyle w:val="ListParagraph"/>
        <w:numPr>
          <w:ilvl w:val="0"/>
          <w:numId w:val="17"/>
        </w:numPr>
        <w:spacing w:before="240"/>
        <w:ind w:left="714" w:hanging="357"/>
      </w:pPr>
      <w:r>
        <w:t>the eligibility requirements, including property type</w:t>
      </w:r>
      <w:r w:rsidR="00BD27BC">
        <w:t xml:space="preserve"> and value</w:t>
      </w:r>
      <w:r>
        <w:t>, pensioner status, residency and property ownership; and</w:t>
      </w:r>
    </w:p>
    <w:p w14:paraId="1B84FC12" w14:textId="066652C5" w:rsidR="0001776D" w:rsidRDefault="0001776D">
      <w:pPr>
        <w:pStyle w:val="ListParagraph"/>
        <w:numPr>
          <w:ilvl w:val="0"/>
          <w:numId w:val="17"/>
        </w:numPr>
      </w:pPr>
      <w:r>
        <w:t xml:space="preserve">the method of calculation of duty payable under section 31 of the </w:t>
      </w:r>
      <w:r w:rsidR="00A4764A" w:rsidRPr="00BD27BC">
        <w:t xml:space="preserve">Duties </w:t>
      </w:r>
      <w:r w:rsidRPr="00BD27BC">
        <w:t>Act</w:t>
      </w:r>
      <w:r>
        <w:t>.</w:t>
      </w:r>
    </w:p>
    <w:p w14:paraId="1C57B2A9" w14:textId="51B81F6C" w:rsidR="00A621A7" w:rsidRDefault="00A621A7" w:rsidP="00A621A7">
      <w:r>
        <w:br w:type="page"/>
      </w:r>
    </w:p>
    <w:p w14:paraId="141F5E54" w14:textId="70466819" w:rsidR="00A621A7" w:rsidRPr="00BF77B3" w:rsidRDefault="00A621A7" w:rsidP="00A621A7">
      <w:pPr>
        <w:rPr>
          <w:rFonts w:ascii="Arial" w:hAnsi="Arial" w:cs="Arial"/>
          <w:b/>
          <w:sz w:val="26"/>
          <w:szCs w:val="26"/>
        </w:rPr>
      </w:pPr>
      <w:r w:rsidRPr="00BF77B3">
        <w:rPr>
          <w:rFonts w:ascii="Arial" w:hAnsi="Arial" w:cs="Arial"/>
          <w:b/>
          <w:sz w:val="26"/>
          <w:szCs w:val="26"/>
        </w:rPr>
        <w:lastRenderedPageBreak/>
        <w:t>Updates</w:t>
      </w:r>
    </w:p>
    <w:p w14:paraId="01007C45" w14:textId="77777777" w:rsidR="00A621A7" w:rsidRDefault="00A621A7" w:rsidP="00BD27BC"/>
    <w:p w14:paraId="18EFD185" w14:textId="23F0D274" w:rsidR="00A621A7" w:rsidRDefault="0055503F" w:rsidP="00BD27BC">
      <w:bookmarkStart w:id="1" w:name="_Hlk148506649"/>
      <w:r>
        <w:t xml:space="preserve">The instrument provides minor amendments consequential to the commencement of the </w:t>
      </w:r>
      <w:r w:rsidRPr="000960EC">
        <w:rPr>
          <w:i/>
          <w:iCs/>
        </w:rPr>
        <w:t>Planning Act 2023</w:t>
      </w:r>
      <w:r>
        <w:t>.</w:t>
      </w:r>
      <w:bookmarkEnd w:id="1"/>
      <w:r w:rsidR="00FB19A9">
        <w:t xml:space="preserve"> There are no changes to the operation of the PDCS.</w:t>
      </w:r>
    </w:p>
    <w:p w14:paraId="57C6EF17" w14:textId="77777777" w:rsidR="0066239F" w:rsidRDefault="0066239F"/>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3E297A81"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FE1E24">
        <w:t xml:space="preserve">27 November </w:t>
      </w:r>
      <w:r w:rsidR="000726F9">
        <w:t>202</w:t>
      </w:r>
      <w:r w:rsidR="00776D42">
        <w:t>3</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4910BCBC" w14:textId="3EEFF924" w:rsidR="00184665" w:rsidRDefault="00184665" w:rsidP="00184665">
      <w:r>
        <w:t>There are upper and lower thresholds on dutiable value for both homes and vacant land</w:t>
      </w:r>
      <w:r w:rsidR="00C2384B">
        <w:t>:</w:t>
      </w:r>
    </w:p>
    <w:p w14:paraId="13C0E024" w14:textId="6EF175E4" w:rsidR="00C2384B" w:rsidRPr="00EF74D8" w:rsidRDefault="00A100BA" w:rsidP="006E1AEF">
      <w:pPr>
        <w:pStyle w:val="ListParagraph"/>
        <w:numPr>
          <w:ilvl w:val="0"/>
          <w:numId w:val="17"/>
        </w:numPr>
        <w:spacing w:before="240"/>
        <w:ind w:left="714" w:hanging="357"/>
      </w:pPr>
      <w:r w:rsidRPr="00EF74D8">
        <w:t xml:space="preserve">for </w:t>
      </w:r>
      <w:r w:rsidR="00C2384B" w:rsidRPr="00EF74D8">
        <w:t>homes</w:t>
      </w:r>
      <w:r w:rsidR="00BB4F8D" w:rsidRPr="00EF74D8">
        <w:t>,</w:t>
      </w:r>
      <w:r w:rsidR="00C2384B" w:rsidRPr="00EF74D8">
        <w:t xml:space="preserve"> </w:t>
      </w:r>
      <w:r w:rsidR="003258E2" w:rsidRPr="00EF74D8">
        <w:t xml:space="preserve">the lower threshold </w:t>
      </w:r>
      <w:r w:rsidR="00C2384B" w:rsidRPr="00EF74D8">
        <w:t>is $</w:t>
      </w:r>
      <w:r w:rsidR="00182E22" w:rsidRPr="00EF74D8">
        <w:t>550</w:t>
      </w:r>
      <w:r w:rsidR="00C2384B" w:rsidRPr="00EF74D8">
        <w:t>,000 and the upper threshold is $</w:t>
      </w:r>
      <w:r w:rsidR="00182E22" w:rsidRPr="00EF74D8">
        <w:t>765</w:t>
      </w:r>
      <w:r w:rsidR="00C2384B" w:rsidRPr="00EF74D8">
        <w:t>,000</w:t>
      </w:r>
      <w:r w:rsidRPr="00EF74D8">
        <w:t>; and</w:t>
      </w:r>
    </w:p>
    <w:p w14:paraId="16F9E272" w14:textId="69C15A44" w:rsidR="005675E6" w:rsidRPr="00EF74D8" w:rsidRDefault="00A100BA" w:rsidP="00F737FF">
      <w:pPr>
        <w:pStyle w:val="ListParagraph"/>
        <w:numPr>
          <w:ilvl w:val="0"/>
          <w:numId w:val="17"/>
        </w:numPr>
      </w:pPr>
      <w:r w:rsidRPr="00EF74D8">
        <w:t>f</w:t>
      </w:r>
      <w:r w:rsidR="00C2384B" w:rsidRPr="00EF74D8">
        <w:t>or vacant land, t</w:t>
      </w:r>
      <w:r w:rsidR="005675E6" w:rsidRPr="00EF74D8">
        <w:t>he lower threshold is $</w:t>
      </w:r>
      <w:r w:rsidR="00EF74D8" w:rsidRPr="00EF74D8">
        <w:t>423</w:t>
      </w:r>
      <w:r w:rsidR="00E65A97" w:rsidRPr="00EF74D8">
        <w:t>,000</w:t>
      </w:r>
      <w:r w:rsidR="00411018" w:rsidRPr="00EF74D8">
        <w:t xml:space="preserve"> and the</w:t>
      </w:r>
      <w:r w:rsidR="004C53B7" w:rsidRPr="00EF74D8">
        <w:t xml:space="preserve"> </w:t>
      </w:r>
      <w:r w:rsidR="005675E6" w:rsidRPr="00EF74D8">
        <w:t>upper threshold is $</w:t>
      </w:r>
      <w:r w:rsidR="00EF74D8" w:rsidRPr="00EF74D8">
        <w:t>500</w:t>
      </w:r>
      <w:r w:rsidR="008E3A67" w:rsidRPr="00EF74D8">
        <w:t>,000</w:t>
      </w:r>
      <w:r w:rsidR="005675E6" w:rsidRPr="00EF74D8">
        <w:t>.</w:t>
      </w:r>
    </w:p>
    <w:p w14:paraId="0B70DDA6" w14:textId="0AC2362D" w:rsidR="00181A1C" w:rsidRPr="006E1AEF" w:rsidRDefault="00181A1C" w:rsidP="00380BFF">
      <w:pPr>
        <w:keepNext/>
        <w:rPr>
          <w:rFonts w:ascii="Arial" w:hAnsi="Arial" w:cs="Arial"/>
          <w:b/>
          <w:sz w:val="26"/>
          <w:szCs w:val="26"/>
          <w:highlight w:val="yellow"/>
        </w:rPr>
      </w:pPr>
    </w:p>
    <w:p w14:paraId="3E087704" w14:textId="305385D7" w:rsidR="00BB4F8D" w:rsidRPr="00BD27BC" w:rsidRDefault="00E65A97" w:rsidP="00BD27BC">
      <w:r w:rsidRPr="002B221C">
        <w:t xml:space="preserve">The lower threshold was calculated </w:t>
      </w:r>
      <w:r w:rsidR="003B24E7" w:rsidRPr="002B221C">
        <w:t>using</w:t>
      </w:r>
      <w:r w:rsidRPr="002B221C">
        <w:t xml:space="preserve"> the highest sale price of the lowest </w:t>
      </w:r>
      <w:r w:rsidR="002B221C" w:rsidRPr="002B221C">
        <w:t>25</w:t>
      </w:r>
      <w:r w:rsidR="002B221C">
        <w:t> </w:t>
      </w:r>
      <w:r w:rsidR="002B221C" w:rsidRPr="002B221C">
        <w:t>per</w:t>
      </w:r>
      <w:r w:rsidR="002B221C">
        <w:t> </w:t>
      </w:r>
      <w:r w:rsidRPr="002B221C">
        <w:t>cent of all sale prices for ACT residential properties with a contract date in the 202</w:t>
      </w:r>
      <w:r w:rsidR="00776D42">
        <w:t>2</w:t>
      </w:r>
      <w:r w:rsidR="003B24E7" w:rsidRPr="002B221C">
        <w:noBreakHyphen/>
      </w:r>
      <w:r w:rsidRPr="002B221C">
        <w:t>2</w:t>
      </w:r>
      <w:r w:rsidR="00776D42">
        <w:t>3</w:t>
      </w:r>
      <w:r w:rsidRPr="002B221C">
        <w:t xml:space="preserve"> year to date. The upper threshold was calculated </w:t>
      </w:r>
      <w:r w:rsidR="003B24E7" w:rsidRPr="002B221C">
        <w:t>using</w:t>
      </w:r>
      <w:r w:rsidRPr="002B221C">
        <w:t xml:space="preserve"> the highest sale price of the lowest 50 per cent for ACT residential properties for the same year.</w:t>
      </w:r>
    </w:p>
    <w:p w14:paraId="57A51D3C" w14:textId="745F6C2C" w:rsidR="00BB4F8D" w:rsidRDefault="00BB4F8D" w:rsidP="00380BFF">
      <w:pPr>
        <w:keepNext/>
        <w:rPr>
          <w:rFonts w:ascii="Arial" w:hAnsi="Arial" w:cs="Arial"/>
          <w:b/>
          <w:sz w:val="26"/>
          <w:szCs w:val="26"/>
        </w:rPr>
      </w:pPr>
    </w:p>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73AAC2CA"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46556A" w:rsidRDefault="0007271C" w:rsidP="00F737FF">
      <w:pPr>
        <w:pStyle w:val="ListParagraph"/>
        <w:numPr>
          <w:ilvl w:val="0"/>
          <w:numId w:val="17"/>
        </w:numPr>
        <w:rPr>
          <w:bCs/>
          <w:szCs w:val="24"/>
        </w:rPr>
      </w:pPr>
      <w:r w:rsidRPr="0046556A">
        <w:rPr>
          <w:bCs/>
          <w:szCs w:val="24"/>
        </w:rPr>
        <w:t xml:space="preserve">Pensioner requirement </w:t>
      </w:r>
    </w:p>
    <w:p w14:paraId="6AF9E5B2" w14:textId="77777777" w:rsidR="0007271C" w:rsidRDefault="0007271C" w:rsidP="00626A08">
      <w:pPr>
        <w:keepNext/>
      </w:pPr>
    </w:p>
    <w:p w14:paraId="0FEDDD7F" w14:textId="0F76150E" w:rsidR="0007271C" w:rsidRDefault="0007271C" w:rsidP="00F737FF">
      <w:pPr>
        <w:keepNext/>
        <w:ind w:left="709"/>
      </w:pPr>
      <w:r>
        <w:t>The concession is only available to a person who is in receipt of an Australian age pension (Centrelink 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 xml:space="preserve">a Department of Veterans’ Affairs Gold Card for </w:t>
      </w:r>
      <w:r w:rsidR="00A15E04" w:rsidRPr="00BD27BC">
        <w:t xml:space="preserve">at least </w:t>
      </w:r>
      <w:r w:rsidRPr="00BD27BC">
        <w:t xml:space="preserve">one year </w:t>
      </w:r>
      <w:r w:rsidR="00BB4F8D" w:rsidRPr="00BD27BC">
        <w:t xml:space="preserve">immediately </w:t>
      </w:r>
      <w:r w:rsidRPr="00BD27BC">
        <w:t>prior to the grant, transfer, or agreement.</w:t>
      </w:r>
      <w:r>
        <w:t xml:space="preserve"> </w:t>
      </w:r>
    </w:p>
    <w:p w14:paraId="3357001E" w14:textId="77777777" w:rsidR="0007271C" w:rsidRDefault="0007271C" w:rsidP="00626A08">
      <w:pPr>
        <w:keepNext/>
      </w:pPr>
    </w:p>
    <w:p w14:paraId="2BAC5478" w14:textId="0B113938" w:rsidR="00626A08" w:rsidRPr="0046556A" w:rsidRDefault="00F62620" w:rsidP="00F737FF">
      <w:pPr>
        <w:pStyle w:val="ListParagraph"/>
        <w:keepNext/>
        <w:numPr>
          <w:ilvl w:val="0"/>
          <w:numId w:val="17"/>
        </w:numPr>
        <w:rPr>
          <w:bCs/>
          <w:szCs w:val="24"/>
        </w:rPr>
      </w:pPr>
      <w:r w:rsidRPr="0046556A">
        <w:rPr>
          <w:bCs/>
          <w:szCs w:val="24"/>
        </w:rPr>
        <w:t>Property requirements</w:t>
      </w:r>
    </w:p>
    <w:p w14:paraId="0D3143B5" w14:textId="77777777" w:rsidR="00626A08" w:rsidRDefault="00626A08" w:rsidP="00C37233"/>
    <w:p w14:paraId="35FF2E80" w14:textId="04E95B7A" w:rsidR="00615425" w:rsidRPr="00AA1C85" w:rsidRDefault="00A61F7C" w:rsidP="00F737FF">
      <w:pPr>
        <w:ind w:left="709"/>
        <w:rPr>
          <w:bCs/>
        </w:rPr>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transferee</w:t>
      </w:r>
      <w:r w:rsidR="001A7BB5">
        <w:rPr>
          <w:bCs/>
        </w:rPr>
        <w:t>s</w:t>
      </w:r>
      <w:r w:rsidR="008847B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 xml:space="preserve">ld an interest in land other than </w:t>
      </w:r>
      <w:r w:rsidR="001A7BB5">
        <w:rPr>
          <w:bCs/>
        </w:rPr>
        <w:t xml:space="preserve">in </w:t>
      </w:r>
      <w:r w:rsidR="009B4B0F" w:rsidRPr="00AA1C85">
        <w:rPr>
          <w:bCs/>
        </w:rPr>
        <w:t xml:space="preserve">the </w:t>
      </w:r>
      <w:r w:rsidR="002832DE" w:rsidRPr="00AA1C85">
        <w:t>eligible property</w:t>
      </w:r>
      <w:r w:rsidR="00AA1C85" w:rsidRPr="00AA1C85">
        <w:t xml:space="preserve"> and former property (if applicable)</w:t>
      </w:r>
      <w:r w:rsidR="00615425" w:rsidRPr="00AA1C85">
        <w:t>.</w:t>
      </w:r>
    </w:p>
    <w:p w14:paraId="19A7C3BD" w14:textId="77777777" w:rsidR="00655C96" w:rsidRPr="00AA1C85" w:rsidRDefault="00655C96" w:rsidP="00F737FF">
      <w:pPr>
        <w:ind w:left="709"/>
        <w:rPr>
          <w:bCs/>
        </w:rPr>
      </w:pPr>
    </w:p>
    <w:p w14:paraId="540CD7F7" w14:textId="199CDFAE" w:rsidR="00655C96" w:rsidRDefault="00655C96" w:rsidP="00F737FF">
      <w:pPr>
        <w:ind w:left="709"/>
      </w:pPr>
      <w:r w:rsidRPr="00AA1C85">
        <w:rPr>
          <w:bCs/>
        </w:rPr>
        <w:t xml:space="preserve">Additionally, the </w:t>
      </w:r>
      <w:r w:rsidR="00001083">
        <w:rPr>
          <w:bCs/>
        </w:rPr>
        <w:t>transferee</w:t>
      </w:r>
      <w:r w:rsidR="00001083" w:rsidRPr="00AA1C85">
        <w:rPr>
          <w:bCs/>
        </w:rPr>
        <w:t xml:space="preserve"> </w:t>
      </w:r>
      <w:r w:rsidRPr="00AA1C85">
        <w:rPr>
          <w:bCs/>
        </w:rPr>
        <w:t xml:space="preserve">must sell or have sold the property from which the </w:t>
      </w:r>
      <w:r w:rsidR="00001083">
        <w:rPr>
          <w:bCs/>
        </w:rPr>
        <w:t>transferee</w:t>
      </w:r>
      <w:r w:rsidR="00001083" w:rsidRPr="00AA1C85">
        <w:rPr>
          <w:bCs/>
        </w:rPr>
        <w:t xml:space="preserve"> </w:t>
      </w:r>
      <w:r w:rsidRPr="00AA1C85">
        <w:rPr>
          <w:bCs/>
        </w:rPr>
        <w:t xml:space="preserve">is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Registrar-General on 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2053E0D0" w14:textId="7047E595" w:rsidR="009B4B0F" w:rsidRDefault="002832DE" w:rsidP="00F737FF">
      <w:pPr>
        <w:tabs>
          <w:tab w:val="left" w:pos="6857"/>
        </w:tabs>
        <w:ind w:left="709"/>
      </w:pPr>
      <w:r>
        <w:t>Ownership of the eligible property being purchased must be in the same name or names as the property being sold.</w:t>
      </w:r>
      <w:r w:rsidR="00A15E04">
        <w:rPr>
          <w:bCs/>
        </w:rPr>
        <w:t xml:space="preserve"> </w:t>
      </w:r>
      <w:r w:rsidR="00DA6CBE">
        <w:rPr>
          <w:bCs/>
        </w:rPr>
        <w:t xml:space="preserve">Exceptions apply if </w:t>
      </w:r>
      <w:r w:rsidR="00DA6CBE" w:rsidRPr="00565168">
        <w:t xml:space="preserve">a court order, financial agreement, or domestic relationship agreement </w:t>
      </w:r>
      <w:r w:rsidR="00DA6CBE">
        <w:t>required</w:t>
      </w:r>
      <w:r w:rsidR="00DA6CBE" w:rsidRPr="00565168">
        <w:t xml:space="preserve"> the </w:t>
      </w:r>
      <w:r w:rsidR="00DA6CBE">
        <w:t xml:space="preserve">other property to be relinquished. However, these orders or agreements must be </w:t>
      </w:r>
      <w:r w:rsidR="00DA6CBE" w:rsidRPr="00565168">
        <w:t>made</w:t>
      </w:r>
      <w:r w:rsidR="00DA6CBE">
        <w:t xml:space="preserve"> </w:t>
      </w:r>
      <w:r w:rsidR="00DA6CBE" w:rsidRPr="00565168">
        <w:t>before the</w:t>
      </w:r>
      <w:r w:rsidR="005648A2">
        <w:t xml:space="preserve"> transaction </w:t>
      </w:r>
      <w:r w:rsidR="00DA6CBE" w:rsidRPr="00565168">
        <w:t>date</w:t>
      </w:r>
      <w:r w:rsidR="00DA6CBE">
        <w:t>.</w:t>
      </w:r>
      <w:r w:rsidR="00655C96">
        <w:t xml:space="preserve"> </w:t>
      </w:r>
      <w:r w:rsidR="00DA6CBE">
        <w:t>Exceptions also apply if the other property is subject to a will</w:t>
      </w:r>
      <w:r w:rsidR="00655C96">
        <w:t>.</w:t>
      </w:r>
    </w:p>
    <w:p w14:paraId="113F8483" w14:textId="6CD1F51D" w:rsidR="00FD7A79" w:rsidRDefault="00FD7A79" w:rsidP="00F737FF">
      <w:pPr>
        <w:tabs>
          <w:tab w:val="left" w:pos="6857"/>
        </w:tabs>
        <w:ind w:left="709"/>
      </w:pPr>
    </w:p>
    <w:p w14:paraId="46FC3DC4" w14:textId="77777777" w:rsidR="00FD7A79" w:rsidRDefault="00FD7A79" w:rsidP="00FD7A79">
      <w:pPr>
        <w:ind w:left="709"/>
      </w:pPr>
      <w:r>
        <w:t>The Determination allows the Commissioner to consider a request in writing from a potential or current transferee to exempt the eligible transaction from compliance with the requirement about ownership in the same names, or the requirement to sell the former property within one year. The Commissioner can grant an exemption if anomalous or unusual circumstances exist.</w:t>
      </w:r>
    </w:p>
    <w:p w14:paraId="4DB55517" w14:textId="77777777" w:rsidR="00FD7A79" w:rsidRDefault="00FD7A79" w:rsidP="00F737FF">
      <w:pPr>
        <w:tabs>
          <w:tab w:val="left" w:pos="6857"/>
        </w:tabs>
        <w:ind w:left="709"/>
      </w:pPr>
    </w:p>
    <w:p w14:paraId="6F584601" w14:textId="77777777" w:rsidR="002832DE" w:rsidRPr="00F737FF" w:rsidRDefault="00D35248" w:rsidP="00F737FF">
      <w:pPr>
        <w:pStyle w:val="ListParagraph"/>
        <w:keepNext/>
        <w:numPr>
          <w:ilvl w:val="0"/>
          <w:numId w:val="17"/>
        </w:numPr>
        <w:rPr>
          <w:bCs/>
          <w:szCs w:val="24"/>
        </w:rPr>
      </w:pPr>
      <w:r w:rsidRPr="00F737FF">
        <w:rPr>
          <w:bCs/>
          <w:szCs w:val="24"/>
        </w:rPr>
        <w:t>Residence requirements</w:t>
      </w:r>
    </w:p>
    <w:p w14:paraId="28828296" w14:textId="77777777" w:rsidR="002832DE" w:rsidRPr="00F44C41" w:rsidRDefault="002832DE" w:rsidP="002832DE">
      <w:pPr>
        <w:keepNext/>
        <w:rPr>
          <w:rFonts w:ascii="Arial" w:hAnsi="Arial" w:cs="Arial"/>
          <w:b/>
          <w:sz w:val="26"/>
          <w:szCs w:val="26"/>
        </w:rPr>
      </w:pPr>
    </w:p>
    <w:p w14:paraId="31D86F76" w14:textId="480E8A69" w:rsidR="002832DE" w:rsidRDefault="002832DE" w:rsidP="00F737FF">
      <w:pPr>
        <w:ind w:left="709"/>
      </w:pPr>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77777777" w:rsidR="001F3298" w:rsidRDefault="001F3298" w:rsidP="00F737FF">
      <w:pPr>
        <w:ind w:left="709"/>
      </w:pPr>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35AA1911" w14:textId="451A7FA5" w:rsidR="001013D1" w:rsidRDefault="001013D1" w:rsidP="00F737FF">
      <w:pPr>
        <w:ind w:left="709"/>
      </w:pPr>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14:paraId="249FC8EA" w14:textId="3D5CE7FD" w:rsidR="004F48B0" w:rsidRDefault="004F48B0" w:rsidP="00F737FF">
      <w:pPr>
        <w:ind w:left="709"/>
      </w:pPr>
    </w:p>
    <w:p w14:paraId="35B1CAD6" w14:textId="24A6E3DF" w:rsidR="00583530" w:rsidRPr="00B74A89" w:rsidRDefault="00583530" w:rsidP="00583530">
      <w:pPr>
        <w:ind w:left="709"/>
      </w:pPr>
      <w:r w:rsidRPr="00B74A89">
        <w:t>Th</w:t>
      </w:r>
      <w:r w:rsidR="00BE0E05">
        <w:t>e</w:t>
      </w:r>
      <w:r w:rsidRPr="00B74A89">
        <w:t xml:space="preserve"> </w:t>
      </w:r>
      <w:r w:rsidR="00BE0E05">
        <w:t>Determination</w:t>
      </w:r>
      <w:r w:rsidRPr="00B74A89">
        <w:t xml:space="preserve"> also gives the Commissioner the discretion to extend the time for a transferee to meet the residence requirements, to approve a residence period shorter than one year, or to exempt the transferee from the residence requirements, in the event of unforeseen circumstances (such as, health-related issues). </w:t>
      </w:r>
    </w:p>
    <w:p w14:paraId="00BF32B0" w14:textId="77777777" w:rsidR="00583530" w:rsidRPr="00B74A89" w:rsidRDefault="00583530" w:rsidP="00583530">
      <w:pPr>
        <w:ind w:left="709"/>
      </w:pPr>
    </w:p>
    <w:p w14:paraId="052D85F9" w14:textId="0DBAC227" w:rsidR="004F48B0" w:rsidRDefault="00583530" w:rsidP="00994D2C">
      <w:pPr>
        <w:ind w:left="709"/>
      </w:pPr>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F737FF">
      <w:pPr>
        <w:ind w:left="709"/>
      </w:pPr>
    </w:p>
    <w:p w14:paraId="16649EC9" w14:textId="49646808" w:rsidR="00C357B4" w:rsidRPr="00F737FF" w:rsidRDefault="00C357B4" w:rsidP="00F737FF">
      <w:pPr>
        <w:pStyle w:val="ListParagraph"/>
        <w:keepNext/>
        <w:numPr>
          <w:ilvl w:val="0"/>
          <w:numId w:val="17"/>
        </w:numPr>
        <w:rPr>
          <w:bCs/>
          <w:szCs w:val="24"/>
        </w:rPr>
      </w:pPr>
      <w:r w:rsidRPr="00F737FF">
        <w:rPr>
          <w:bCs/>
          <w:szCs w:val="24"/>
        </w:rPr>
        <w:lastRenderedPageBreak/>
        <w:t xml:space="preserve">Previous concessions </w:t>
      </w:r>
    </w:p>
    <w:p w14:paraId="2D2C32F4" w14:textId="77777777" w:rsidR="00C357B4" w:rsidRDefault="00C357B4" w:rsidP="008E3CEB">
      <w:pPr>
        <w:keepNext/>
      </w:pPr>
    </w:p>
    <w:p w14:paraId="13AB7B62" w14:textId="6DDE592E" w:rsidR="00C357B4" w:rsidRDefault="00AA1C85" w:rsidP="00F737FF">
      <w:pPr>
        <w:keepNext/>
        <w:ind w:left="709"/>
        <w:rPr>
          <w:rFonts w:ascii="Arial" w:hAnsi="Arial" w:cs="Arial"/>
          <w:b/>
          <w:sz w:val="26"/>
          <w:szCs w:val="26"/>
        </w:rPr>
      </w:pPr>
      <w:r>
        <w:t>A</w:t>
      </w:r>
      <w:r w:rsidR="00C357B4">
        <w:t xml:space="preserve"> </w:t>
      </w:r>
      <w:r>
        <w:t xml:space="preserve">transferee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5F4B71F8" w:rsidR="00B671CE" w:rsidRPr="00160FF7" w:rsidRDefault="00B671CE" w:rsidP="00B671CE">
      <w:r>
        <w:t xml:space="preserve">If a transaction ceases to be </w:t>
      </w:r>
      <w:r w:rsidR="00001083">
        <w:t xml:space="preserve">an </w:t>
      </w:r>
      <w:r>
        <w:t>eligible</w:t>
      </w:r>
      <w:r w:rsidR="00001083">
        <w:t xml:space="preserve"> transaction</w:t>
      </w:r>
      <w:r>
        <w:t xml:space="preserve">—for example, because a person failed </w:t>
      </w:r>
      <w:r w:rsidRPr="00160FF7">
        <w:t xml:space="preserve">to comply with </w:t>
      </w:r>
      <w:r>
        <w:t>an</w:t>
      </w:r>
      <w:r w:rsidRPr="00160FF7">
        <w:t xml:space="preserve"> </w:t>
      </w:r>
      <w:r>
        <w:t>eligibility requirement—th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17F80484" w14:textId="61E8270C" w:rsidR="002832DE" w:rsidRDefault="00160FF7" w:rsidP="002832DE">
      <w:r w:rsidRPr="00160FF7">
        <w:t>If the transaction ceases to be an</w:t>
      </w:r>
      <w:r w:rsidR="002832DE" w:rsidRPr="005F597E">
        <w:t xml:space="preserve"> </w:t>
      </w:r>
      <w:r w:rsidR="002832DE">
        <w:t>eligible transaction</w:t>
      </w:r>
      <w:r w:rsidRPr="00160FF7">
        <w:t>,</w:t>
      </w:r>
      <w:r w:rsidR="00F109FE">
        <w:t xml:space="preserve"> subject to the dutiable value of the eligible property,</w:t>
      </w:r>
      <w:r w:rsidRPr="00160FF7">
        <w:t xml:space="preserve"> it</w:t>
      </w:r>
      <w:r w:rsidR="002832DE">
        <w:t xml:space="preserve"> will become liable for duty </w:t>
      </w:r>
      <w:r w:rsidR="00F109FE">
        <w:t xml:space="preserve">or additional duty </w:t>
      </w:r>
      <w:r w:rsidR="002832DE">
        <w:t xml:space="preserve">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20D20768" w14:textId="77777777" w:rsidR="002832DE" w:rsidRDefault="002832DE" w:rsidP="002832DE"/>
    <w:p w14:paraId="07C32599" w14:textId="15C10FE5" w:rsidR="005F597E" w:rsidRPr="007C2BF5" w:rsidRDefault="002832DE" w:rsidP="00FD7A79">
      <w:pPr>
        <w:rPr>
          <w:rFonts w:ascii="Arial" w:hAnsi="Arial" w:cs="Arial"/>
          <w:b/>
          <w:sz w:val="22"/>
          <w:szCs w:val="22"/>
        </w:rPr>
      </w:pPr>
      <w:r w:rsidRPr="005F597E">
        <w:t xml:space="preserve">If </w:t>
      </w:r>
      <w:r w:rsidR="00160FF7" w:rsidRPr="00160FF7">
        <w:t>a</w:t>
      </w:r>
      <w:r w:rsidR="008E3CEB" w:rsidRPr="00160FF7">
        <w:t xml:space="preserve"> </w:t>
      </w:r>
      <w:r w:rsidR="00A61F7C" w:rsidRPr="00160FF7">
        <w:t>transferee</w:t>
      </w:r>
      <w:r w:rsidRPr="005F597E">
        <w:t xml:space="preserve"> fails to </w:t>
      </w:r>
      <w:r>
        <w:t>give notice to the Commissioner</w:t>
      </w:r>
      <w:r w:rsidRPr="005F597E">
        <w:t xml:space="preserve"> </w:t>
      </w:r>
      <w:r>
        <w:t xml:space="preserve">or </w:t>
      </w:r>
      <w:r w:rsidR="001A6123">
        <w:t xml:space="preserve">fails to </w:t>
      </w:r>
      <w:r>
        <w:t>take steps to rectify the tax liability</w:t>
      </w:r>
      <w:r w:rsidRPr="005F597E">
        <w:t xml:space="preserve">, </w:t>
      </w:r>
      <w:r w:rsidR="001A6123" w:rsidRPr="00F737FF">
        <w:t xml:space="preserve">under the </w:t>
      </w:r>
      <w:r w:rsidR="003F63B1" w:rsidRPr="00F737FF">
        <w:t>TAA</w:t>
      </w:r>
      <w:r w:rsidR="001A6123">
        <w:t xml:space="preserve"> </w:t>
      </w:r>
      <w:r w:rsidRPr="005F597E">
        <w:t xml:space="preserve">the </w:t>
      </w:r>
      <w:r w:rsidR="00A61F7C" w:rsidRPr="00160FF7">
        <w:t>transferee</w:t>
      </w:r>
      <w:r w:rsidRPr="005F597E">
        <w:t xml:space="preserve"> may be subject to pena</w:t>
      </w:r>
      <w:r>
        <w:t>lty tax and payment of interest in addition to the primary duty.</w:t>
      </w:r>
      <w:r w:rsidR="001A6123">
        <w:t xml:space="preserve"> </w:t>
      </w:r>
      <w:r w:rsidR="00DD4441">
        <w:t xml:space="preserve">The TAA </w:t>
      </w:r>
      <w:r w:rsidR="001A6123">
        <w:t>also provides a range of offences which may apply, such as for the avoidance of tax and failing to notify the Commissioner.</w:t>
      </w:r>
      <w:r w:rsidR="0063087D">
        <w:br/>
      </w:r>
    </w:p>
    <w:p w14:paraId="64860ACA" w14:textId="33D5BBFB" w:rsidR="00E4756B" w:rsidRPr="007C2BF5" w:rsidRDefault="00E4756B" w:rsidP="00E4756B">
      <w:pPr>
        <w:keepNext/>
        <w:rPr>
          <w:rFonts w:ascii="Arial" w:hAnsi="Arial" w:cs="Arial"/>
          <w:b/>
          <w:sz w:val="26"/>
          <w:szCs w:val="26"/>
        </w:rPr>
      </w:pPr>
      <w:r w:rsidRPr="007C2BF5">
        <w:rPr>
          <w:rFonts w:ascii="Arial" w:hAnsi="Arial" w:cs="Arial"/>
          <w:b/>
          <w:sz w:val="26"/>
          <w:szCs w:val="26"/>
        </w:rPr>
        <w:t>Concessional rates</w:t>
      </w:r>
    </w:p>
    <w:p w14:paraId="0558C7AB" w14:textId="77777777" w:rsidR="00E4756B" w:rsidRPr="007C2BF5" w:rsidRDefault="00E4756B" w:rsidP="00E4756B">
      <w:pPr>
        <w:rPr>
          <w:rFonts w:ascii="Arial" w:hAnsi="Arial" w:cs="Arial"/>
          <w:b/>
          <w:sz w:val="26"/>
          <w:szCs w:val="26"/>
        </w:rPr>
      </w:pPr>
    </w:p>
    <w:p w14:paraId="39F0AE42" w14:textId="48DF2A18" w:rsidR="00BD0BB5" w:rsidRDefault="00BD0BB5" w:rsidP="00BD0BB5">
      <w:r w:rsidRPr="00162E21">
        <w:t>The concessional rates of duty ensure that the amount of the concession progressively reduces to zero.</w:t>
      </w:r>
    </w:p>
    <w:p w14:paraId="6159EA39" w14:textId="77777777" w:rsidR="00BD0BB5" w:rsidRDefault="00BD0BB5" w:rsidP="00BD0BB5"/>
    <w:p w14:paraId="517B7B27" w14:textId="77777777" w:rsidR="00E4756B" w:rsidRPr="007C2BF5" w:rsidRDefault="00BD0BB5" w:rsidP="00E4756B">
      <w:r>
        <w:t xml:space="preserve">At or below the lower threshold, an approved transaction is entitled to the maximum duty concession, meaning that </w:t>
      </w:r>
      <w:r w:rsidR="007C2BF5" w:rsidRPr="007C2BF5">
        <w:t xml:space="preserve">no </w:t>
      </w:r>
      <w:r w:rsidR="00E4756B" w:rsidRPr="007C2BF5">
        <w:t>duty</w:t>
      </w:r>
      <w:r w:rsidR="007C2BF5" w:rsidRPr="007C2BF5">
        <w:t xml:space="preserve"> </w:t>
      </w:r>
      <w:r w:rsidR="00E4756B" w:rsidRPr="007C2BF5">
        <w:t>is payable</w:t>
      </w:r>
      <w:r w:rsidR="007C2BF5" w:rsidRPr="007C2BF5">
        <w:t xml:space="preserve"> ($0)</w:t>
      </w:r>
      <w:r w:rsidR="00E4756B" w:rsidRPr="007C2BF5">
        <w:t>.</w:t>
      </w:r>
    </w:p>
    <w:p w14:paraId="093056F8" w14:textId="77777777" w:rsidR="00BD0BB5" w:rsidRDefault="00BD0BB5" w:rsidP="00BD0BB5"/>
    <w:p w14:paraId="1E852CBB" w14:textId="7DBB0BBE" w:rsidR="00BD0BB5" w:rsidRDefault="00BD0BB5" w:rsidP="00BD0BB5">
      <w:r w:rsidRPr="00162E21">
        <w:t xml:space="preserve">A partial concession is available for purchases of eligible properties with a dutiable value </w:t>
      </w:r>
      <w:r>
        <w:t>between the lower and upper thresholds. The partial concession rate is worked out as follows then rounded down to the nearest 5 cents:</w:t>
      </w:r>
    </w:p>
    <w:p w14:paraId="7611C418" w14:textId="77777777" w:rsidR="001C5EAD" w:rsidRDefault="001C5EAD" w:rsidP="001C5EAD"/>
    <w:p w14:paraId="229CB578" w14:textId="77777777" w:rsidR="001C5EAD" w:rsidRPr="003573C5" w:rsidRDefault="001C5EAD" w:rsidP="001C5EAD">
      <m:oMathPara>
        <m:oMathParaPr>
          <m:jc m:val="center"/>
        </m:oMathParaPr>
        <m:oMath>
          <m:r>
            <w:rPr>
              <w:rFonts w:ascii="Cambria Math" w:hAnsi="Cambria Math"/>
            </w:rPr>
            <m:t xml:space="preserve">concessional rate of duty= </m:t>
          </m:r>
          <m:f>
            <m:fPr>
              <m:ctrlPr>
                <w:rPr>
                  <w:rFonts w:ascii="Cambria Math" w:hAnsi="Cambria Math"/>
                  <w:i/>
                </w:rPr>
              </m:ctrlPr>
            </m:fPr>
            <m:num>
              <m:r>
                <w:rPr>
                  <w:rFonts w:ascii="Cambria Math" w:hAnsi="Cambria Math"/>
                </w:rPr>
                <m:t>upper threshold duty×100</m:t>
              </m:r>
            </m:num>
            <m:den>
              <m:r>
                <w:rPr>
                  <w:rFonts w:ascii="Cambria Math" w:hAnsi="Cambria Math"/>
                </w:rPr>
                <m:t>upper threshold-lower threshold</m:t>
              </m:r>
            </m:den>
          </m:f>
        </m:oMath>
      </m:oMathPara>
    </w:p>
    <w:p w14:paraId="70EA9408" w14:textId="77777777" w:rsidR="001C5EAD" w:rsidRDefault="001C5EAD" w:rsidP="001C5EAD"/>
    <w:p w14:paraId="723DF622" w14:textId="456A11DB" w:rsidR="00BD0BB5" w:rsidRDefault="00BD0BB5" w:rsidP="00BD0BB5">
      <w:r>
        <w:t xml:space="preserve">In this formula, </w:t>
      </w:r>
      <w:r>
        <w:rPr>
          <w:b/>
          <w:i/>
        </w:rPr>
        <w:t>upper threshold duty</w:t>
      </w:r>
      <w:r>
        <w:t xml:space="preserve"> means the full amount of duty, that would be payable for a dutiable transaction with a dutiable value equal to the upper threshold.</w:t>
      </w:r>
      <w:r w:rsidR="00F361E5">
        <w:t xml:space="preserve"> For 202</w:t>
      </w:r>
      <w:r w:rsidR="00776D42">
        <w:t>3</w:t>
      </w:r>
      <w:r w:rsidR="00F361E5">
        <w:t>-2</w:t>
      </w:r>
      <w:r w:rsidR="00776D42">
        <w:t>4</w:t>
      </w:r>
      <w:r w:rsidR="00F361E5">
        <w:t>, the duty payable is determined using the ‘</w:t>
      </w:r>
      <w:r w:rsidR="00202CEA">
        <w:t>owner</w:t>
      </w:r>
      <w:r w:rsidR="00F361E5">
        <w:t xml:space="preserve"> occupier’ rate under the </w:t>
      </w:r>
      <w:r w:rsidR="00F361E5" w:rsidRPr="00E65A97">
        <w:rPr>
          <w:i/>
          <w:iCs/>
        </w:rPr>
        <w:t>Taxation Administration (Amounts Payable—Duty) Determination 202</w:t>
      </w:r>
      <w:r w:rsidR="00776D42">
        <w:rPr>
          <w:i/>
          <w:iCs/>
        </w:rPr>
        <w:t>3</w:t>
      </w:r>
      <w:r w:rsidR="00F361E5">
        <w:t xml:space="preserve"> given the comparable residency requirements.</w:t>
      </w:r>
    </w:p>
    <w:p w14:paraId="4E1860AD" w14:textId="77777777" w:rsidR="00BD0BB5" w:rsidRDefault="00BD0BB5" w:rsidP="00BD0BB5"/>
    <w:p w14:paraId="18419D19" w14:textId="77777777" w:rsidR="00E4756B" w:rsidRPr="007C2BF5" w:rsidRDefault="00BD0BB5" w:rsidP="00E4756B">
      <w:r>
        <w:t xml:space="preserve">At and above the upper threshold, the transaction is not eligible for the </w:t>
      </w:r>
      <w:r w:rsidR="009E65D9">
        <w:t>PDCS</w:t>
      </w:r>
      <w:r w:rsidR="00E4756B" w:rsidRPr="007C2BF5">
        <w:t xml:space="preserve"> and full duty is payable.</w:t>
      </w:r>
    </w:p>
    <w:p w14:paraId="2834902A" w14:textId="77777777" w:rsidR="00E4756B" w:rsidRPr="001B59B2" w:rsidRDefault="00E4756B" w:rsidP="00E4756B">
      <w:pPr>
        <w:rPr>
          <w:highlight w:val="yellow"/>
        </w:rPr>
      </w:pPr>
    </w:p>
    <w:p w14:paraId="038B6B0F" w14:textId="4245AC6D" w:rsidR="00FF0696" w:rsidRPr="00F44C41" w:rsidRDefault="001B2B42" w:rsidP="00F737FF">
      <w:pPr>
        <w:keepNext/>
        <w:rPr>
          <w:rFonts w:ascii="Arial" w:hAnsi="Arial" w:cs="Arial"/>
          <w:b/>
          <w:sz w:val="22"/>
        </w:rPr>
      </w:pPr>
      <w:r>
        <w:rPr>
          <w:rFonts w:ascii="Arial" w:hAnsi="Arial" w:cs="Arial"/>
          <w:b/>
          <w:sz w:val="22"/>
        </w:rPr>
        <w:t>H</w:t>
      </w:r>
      <w:r w:rsidR="00FF0696" w:rsidRPr="00F62620">
        <w:rPr>
          <w:rFonts w:ascii="Arial" w:hAnsi="Arial" w:cs="Arial"/>
          <w:b/>
          <w:sz w:val="22"/>
        </w:rPr>
        <w:t>ome rate</w:t>
      </w:r>
    </w:p>
    <w:p w14:paraId="1696E316" w14:textId="77777777" w:rsidR="00FF0696" w:rsidRPr="00F737FF" w:rsidRDefault="00FF0696" w:rsidP="00F737FF">
      <w:pPr>
        <w:keepNext/>
        <w:rPr>
          <w:b/>
          <w:szCs w:val="24"/>
        </w:rPr>
      </w:pPr>
    </w:p>
    <w:p w14:paraId="35928528" w14:textId="50FBC709" w:rsidR="00FF0696" w:rsidRPr="00E26893" w:rsidRDefault="00FF0696" w:rsidP="00FF0696">
      <w:r w:rsidRPr="00182E22">
        <w:t>For homes, the upper threshold duty is $</w:t>
      </w:r>
      <w:r w:rsidR="00EF74D8">
        <w:t>20,639</w:t>
      </w:r>
      <w:r w:rsidRPr="00182E22">
        <w:t xml:space="preserve"> and the concessional rate is $</w:t>
      </w:r>
      <w:r w:rsidR="00182E22" w:rsidRPr="00182E22">
        <w:t>9.</w:t>
      </w:r>
      <w:r w:rsidR="00EF74D8">
        <w:t>55</w:t>
      </w:r>
      <w:r w:rsidR="00EF74D8" w:rsidRPr="00182E22">
        <w:t xml:space="preserve"> </w:t>
      </w:r>
      <w:r w:rsidR="00986170" w:rsidRPr="00182E22">
        <w:t xml:space="preserve">per $100 (or </w:t>
      </w:r>
      <w:r w:rsidR="00986170" w:rsidRPr="00E26893">
        <w:t>part thereof) of dutiable value</w:t>
      </w:r>
      <w:r w:rsidR="00A0007B" w:rsidRPr="00E26893">
        <w:t xml:space="preserve"> more than $</w:t>
      </w:r>
      <w:r w:rsidR="00EF74D8" w:rsidRPr="00E26893">
        <w:t>550</w:t>
      </w:r>
      <w:r w:rsidR="00A0007B" w:rsidRPr="00E26893">
        <w:t>,000</w:t>
      </w:r>
      <w:r w:rsidRPr="00E26893">
        <w:t>, worked out as follows:</w:t>
      </w:r>
    </w:p>
    <w:p w14:paraId="510B11EB" w14:textId="77777777" w:rsidR="00FF0696" w:rsidRPr="00E26893" w:rsidRDefault="00FF0696" w:rsidP="00FF0696"/>
    <w:p w14:paraId="30BB3BAA" w14:textId="437B52E3" w:rsidR="00FF0696" w:rsidRPr="00182E2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$20,639×100</m:t>
              </m:r>
            </m:num>
            <m:den>
              <m:r>
                <w:rPr>
                  <w:rFonts w:ascii="Cambria Math" w:hAnsi="Cambria Math"/>
                </w:rPr>
                <m:t>$765,000-$550,000</m:t>
              </m:r>
            </m:den>
          </m:f>
          <m:r>
            <w:rPr>
              <w:rFonts w:ascii="Cambria Math" w:hAnsi="Cambria Math"/>
            </w:rPr>
            <m:t xml:space="preserve">=$9.5995 </m:t>
          </m:r>
          <m:d>
            <m:dPr>
              <m:ctrlPr>
                <w:rPr>
                  <w:rFonts w:ascii="Cambria Math" w:hAnsi="Cambria Math"/>
                  <w:i/>
                </w:rPr>
              </m:ctrlPr>
            </m:dPr>
            <m:e>
              <m:r>
                <w:rPr>
                  <w:rFonts w:ascii="Cambria Math" w:hAnsi="Cambria Math"/>
                </w:rPr>
                <m:t>unrounded</m:t>
              </m:r>
            </m:e>
          </m:d>
          <m:r>
            <w:rPr>
              <w:rFonts w:ascii="Cambria Math" w:hAnsi="Cambria Math"/>
            </w:rPr>
            <m:t>=$9.55 (rounded down)</m:t>
          </m:r>
        </m:oMath>
      </m:oMathPara>
    </w:p>
    <w:p w14:paraId="19ECB3B0" w14:textId="77777777" w:rsidR="00FF0696" w:rsidRPr="00182E22" w:rsidRDefault="00FF0696" w:rsidP="00FF0696"/>
    <w:p w14:paraId="33327D95" w14:textId="3D905207" w:rsidR="00105077" w:rsidRDefault="00105077" w:rsidP="00105077">
      <w:pPr>
        <w:pStyle w:val="Amain"/>
        <w:tabs>
          <w:tab w:val="clear" w:pos="500"/>
          <w:tab w:val="clear" w:pos="700"/>
          <w:tab w:val="right" w:pos="-284"/>
          <w:tab w:val="left" w:pos="567"/>
        </w:tabs>
        <w:spacing w:before="0" w:after="0"/>
        <w:ind w:left="0" w:firstLine="0"/>
        <w:jc w:val="left"/>
        <w:outlineLvl w:val="9"/>
      </w:pPr>
      <w:r>
        <w:t>The 2022-23</w:t>
      </w:r>
      <w:r w:rsidR="00776D42">
        <w:t xml:space="preserve"> and 2023-24</w:t>
      </w:r>
      <w:r>
        <w:t xml:space="preserve">, thresholds and concessional </w:t>
      </w:r>
      <w:r w:rsidR="009340C6">
        <w:t xml:space="preserve">marginal </w:t>
      </w:r>
      <w:r>
        <w:t>rates for homes are provided in the table below for comparison.</w:t>
      </w:r>
    </w:p>
    <w:p w14:paraId="7F3A2BE5" w14:textId="3FFD6C20" w:rsidR="00105077" w:rsidRPr="000C019D" w:rsidRDefault="00105077" w:rsidP="00105077">
      <w:pPr>
        <w:pStyle w:val="TableHd"/>
        <w:ind w:hanging="1058"/>
      </w:pPr>
      <w:r w:rsidRPr="000C019D">
        <w:t>Table 1</w:t>
      </w:r>
      <w:r w:rsidRPr="000C019D">
        <w:tab/>
      </w:r>
      <w:r>
        <w:t>H</w:t>
      </w:r>
      <w:r w:rsidRPr="000C019D">
        <w:t>ome</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2226E7C7" w14:textId="77777777" w:rsidTr="00105077">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7F8850E2" w14:textId="536BD9A3" w:rsidR="00105077" w:rsidRPr="000C019D" w:rsidRDefault="00105077" w:rsidP="00105077">
            <w:pPr>
              <w:pStyle w:val="TableColHd"/>
              <w:jc w:val="center"/>
            </w:pPr>
            <w:r>
              <w:t>202</w:t>
            </w:r>
            <w:r w:rsidR="00776D42">
              <w:t>2</w:t>
            </w:r>
            <w:r>
              <w:t>-2</w:t>
            </w:r>
            <w:r w:rsidR="00776D42">
              <w:t>3</w:t>
            </w:r>
          </w:p>
        </w:tc>
        <w:tc>
          <w:tcPr>
            <w:tcW w:w="2499" w:type="pct"/>
            <w:gridSpan w:val="2"/>
            <w:tcBorders>
              <w:top w:val="single" w:sz="4" w:space="0" w:color="auto"/>
              <w:left w:val="single" w:sz="4" w:space="0" w:color="auto"/>
              <w:bottom w:val="single" w:sz="4" w:space="0" w:color="auto"/>
              <w:right w:val="single" w:sz="4" w:space="0" w:color="auto"/>
            </w:tcBorders>
          </w:tcPr>
          <w:p w14:paraId="6A345FC6" w14:textId="3125A492" w:rsidR="00105077" w:rsidRDefault="00105077" w:rsidP="00105077">
            <w:pPr>
              <w:pStyle w:val="TableColHd"/>
              <w:jc w:val="center"/>
            </w:pPr>
            <w:r>
              <w:t>202</w:t>
            </w:r>
            <w:r w:rsidR="00776D42">
              <w:t>3</w:t>
            </w:r>
            <w:r>
              <w:t>-2</w:t>
            </w:r>
            <w:r w:rsidR="00776D42">
              <w:t>4</w:t>
            </w:r>
          </w:p>
          <w:p w14:paraId="63F0A641" w14:textId="77777777" w:rsidR="00105077" w:rsidRPr="000C019D" w:rsidRDefault="00105077" w:rsidP="004668D9">
            <w:pPr>
              <w:pStyle w:val="TableColHd"/>
            </w:pPr>
          </w:p>
        </w:tc>
      </w:tr>
      <w:tr w:rsidR="00105077" w:rsidRPr="000C019D" w14:paraId="5EFE6A63" w14:textId="77777777" w:rsidTr="00105077">
        <w:trPr>
          <w:cantSplit/>
          <w:tblHeader/>
        </w:trPr>
        <w:tc>
          <w:tcPr>
            <w:tcW w:w="1251" w:type="pct"/>
            <w:tcBorders>
              <w:top w:val="single" w:sz="4" w:space="0" w:color="auto"/>
              <w:left w:val="single" w:sz="4" w:space="0" w:color="auto"/>
              <w:bottom w:val="single" w:sz="4" w:space="0" w:color="auto"/>
              <w:right w:val="single" w:sz="4" w:space="0" w:color="auto"/>
            </w:tcBorders>
          </w:tcPr>
          <w:p w14:paraId="56734348" w14:textId="768604ED"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73FADF62" w14:textId="73CE9458"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0739B173"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383B88DD" w14:textId="08A1C878" w:rsidR="00105077" w:rsidRPr="000C019D" w:rsidRDefault="00105077" w:rsidP="00105077">
            <w:pPr>
              <w:pStyle w:val="TableColHd"/>
              <w:jc w:val="center"/>
              <w:rPr>
                <w:rFonts w:cs="Arial"/>
              </w:rPr>
            </w:pPr>
            <w:r w:rsidRPr="000C019D">
              <w:rPr>
                <w:rFonts w:cs="Arial"/>
              </w:rPr>
              <w:t>rate of duty</w:t>
            </w:r>
            <w:r>
              <w:rPr>
                <w:rFonts w:cs="Arial"/>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776D42" w:rsidRPr="00AB20A1" w14:paraId="26C0EA61" w14:textId="77777777" w:rsidTr="00105077">
        <w:trPr>
          <w:cantSplit/>
        </w:trPr>
        <w:tc>
          <w:tcPr>
            <w:tcW w:w="1251" w:type="pct"/>
            <w:tcBorders>
              <w:top w:val="single" w:sz="4" w:space="0" w:color="auto"/>
              <w:left w:val="single" w:sz="4" w:space="0" w:color="auto"/>
              <w:bottom w:val="single" w:sz="4" w:space="0" w:color="auto"/>
              <w:right w:val="single" w:sz="4" w:space="0" w:color="auto"/>
            </w:tcBorders>
          </w:tcPr>
          <w:p w14:paraId="6DA3C6BB" w14:textId="2DBF8EC1" w:rsidR="00776D42" w:rsidRPr="00AB20A1" w:rsidRDefault="00776D42" w:rsidP="00776D42">
            <w:pPr>
              <w:spacing w:before="60" w:after="60"/>
              <w:rPr>
                <w:sz w:val="20"/>
              </w:rPr>
            </w:pPr>
            <w:r w:rsidRPr="00AB20A1">
              <w:rPr>
                <w:sz w:val="20"/>
              </w:rPr>
              <w:t>less than or equal to $550 000</w:t>
            </w:r>
          </w:p>
        </w:tc>
        <w:tc>
          <w:tcPr>
            <w:tcW w:w="1250" w:type="pct"/>
            <w:tcBorders>
              <w:top w:val="single" w:sz="4" w:space="0" w:color="auto"/>
              <w:left w:val="single" w:sz="4" w:space="0" w:color="auto"/>
              <w:bottom w:val="single" w:sz="4" w:space="0" w:color="auto"/>
              <w:right w:val="single" w:sz="4" w:space="0" w:color="auto"/>
            </w:tcBorders>
          </w:tcPr>
          <w:p w14:paraId="35B6D2B1" w14:textId="52DB3E59" w:rsidR="00776D42" w:rsidRPr="00AB20A1" w:rsidRDefault="00776D42" w:rsidP="00776D42">
            <w:pPr>
              <w:spacing w:before="60" w:after="60"/>
              <w:jc w:val="center"/>
              <w:rPr>
                <w:sz w:val="20"/>
              </w:rPr>
            </w:pPr>
            <w:r w:rsidRPr="00AB20A1">
              <w:rPr>
                <w:sz w:val="20"/>
              </w:rPr>
              <w:t>nil</w:t>
            </w:r>
          </w:p>
        </w:tc>
        <w:tc>
          <w:tcPr>
            <w:tcW w:w="1250" w:type="pct"/>
            <w:tcBorders>
              <w:top w:val="single" w:sz="4" w:space="0" w:color="auto"/>
              <w:left w:val="single" w:sz="4" w:space="0" w:color="auto"/>
              <w:bottom w:val="single" w:sz="4" w:space="0" w:color="auto"/>
              <w:right w:val="single" w:sz="4" w:space="0" w:color="auto"/>
            </w:tcBorders>
          </w:tcPr>
          <w:p w14:paraId="14145106" w14:textId="19AA2D2F" w:rsidR="00776D42" w:rsidRPr="00AB20A1" w:rsidRDefault="00776D42" w:rsidP="00776D42">
            <w:pPr>
              <w:spacing w:before="60" w:after="60"/>
              <w:rPr>
                <w:sz w:val="20"/>
              </w:rPr>
            </w:pPr>
            <w:r w:rsidRPr="00AB20A1">
              <w:rPr>
                <w:sz w:val="20"/>
              </w:rPr>
              <w:t>less than or equal to $550 000</w:t>
            </w:r>
          </w:p>
        </w:tc>
        <w:tc>
          <w:tcPr>
            <w:tcW w:w="1249" w:type="pct"/>
            <w:tcBorders>
              <w:top w:val="single" w:sz="4" w:space="0" w:color="auto"/>
              <w:left w:val="single" w:sz="4" w:space="0" w:color="auto"/>
              <w:bottom w:val="single" w:sz="4" w:space="0" w:color="auto"/>
              <w:right w:val="single" w:sz="4" w:space="0" w:color="auto"/>
            </w:tcBorders>
          </w:tcPr>
          <w:p w14:paraId="6A750800" w14:textId="29B9BC75" w:rsidR="00776D42" w:rsidRPr="00AB20A1" w:rsidRDefault="00776D42" w:rsidP="00776D42">
            <w:pPr>
              <w:spacing w:before="60" w:after="60"/>
              <w:jc w:val="center"/>
              <w:rPr>
                <w:sz w:val="20"/>
              </w:rPr>
            </w:pPr>
            <w:r w:rsidRPr="00AB20A1">
              <w:rPr>
                <w:sz w:val="20"/>
              </w:rPr>
              <w:t>nil</w:t>
            </w:r>
          </w:p>
        </w:tc>
      </w:tr>
      <w:tr w:rsidR="00776D42" w:rsidRPr="00AB20A1" w14:paraId="21F732EE" w14:textId="77777777" w:rsidTr="00105077">
        <w:trPr>
          <w:cantSplit/>
          <w:trHeight w:val="428"/>
        </w:trPr>
        <w:tc>
          <w:tcPr>
            <w:tcW w:w="1251" w:type="pct"/>
            <w:tcBorders>
              <w:top w:val="single" w:sz="4" w:space="0" w:color="auto"/>
              <w:left w:val="single" w:sz="4" w:space="0" w:color="auto"/>
              <w:bottom w:val="single" w:sz="4" w:space="0" w:color="auto"/>
              <w:right w:val="single" w:sz="4" w:space="0" w:color="auto"/>
            </w:tcBorders>
          </w:tcPr>
          <w:p w14:paraId="489ED4AA" w14:textId="04C9BB9F" w:rsidR="00776D42" w:rsidRPr="00AB20A1" w:rsidRDefault="00776D42" w:rsidP="00776D42">
            <w:pPr>
              <w:spacing w:before="60" w:after="60"/>
              <w:rPr>
                <w:sz w:val="20"/>
              </w:rPr>
            </w:pPr>
            <w:r w:rsidRPr="00AB20A1">
              <w:rPr>
                <w:sz w:val="20"/>
              </w:rPr>
              <w:t>more than $550 000 but less than $765</w:t>
            </w:r>
            <w:r>
              <w:rPr>
                <w:sz w:val="20"/>
              </w:rPr>
              <w:t> </w:t>
            </w:r>
            <w:r w:rsidRPr="00AB20A1">
              <w:rPr>
                <w:sz w:val="20"/>
              </w:rPr>
              <w:t>000</w:t>
            </w:r>
          </w:p>
        </w:tc>
        <w:tc>
          <w:tcPr>
            <w:tcW w:w="1250" w:type="pct"/>
            <w:tcBorders>
              <w:top w:val="single" w:sz="4" w:space="0" w:color="auto"/>
              <w:left w:val="single" w:sz="4" w:space="0" w:color="auto"/>
              <w:bottom w:val="single" w:sz="4" w:space="0" w:color="auto"/>
              <w:right w:val="single" w:sz="4" w:space="0" w:color="auto"/>
            </w:tcBorders>
          </w:tcPr>
          <w:p w14:paraId="24A7F394" w14:textId="02173761" w:rsidR="00776D42" w:rsidRPr="00AB20A1" w:rsidRDefault="00776D42" w:rsidP="00776D42">
            <w:pPr>
              <w:spacing w:before="60" w:after="60"/>
              <w:jc w:val="center"/>
              <w:rPr>
                <w:sz w:val="20"/>
              </w:rPr>
            </w:pPr>
            <w:r w:rsidRPr="00AB20A1">
              <w:rPr>
                <w:sz w:val="20"/>
              </w:rPr>
              <w:t>$9.70</w:t>
            </w:r>
          </w:p>
        </w:tc>
        <w:tc>
          <w:tcPr>
            <w:tcW w:w="1250" w:type="pct"/>
            <w:tcBorders>
              <w:top w:val="single" w:sz="4" w:space="0" w:color="auto"/>
              <w:left w:val="single" w:sz="4" w:space="0" w:color="auto"/>
              <w:bottom w:val="single" w:sz="4" w:space="0" w:color="auto"/>
              <w:right w:val="single" w:sz="4" w:space="0" w:color="auto"/>
            </w:tcBorders>
          </w:tcPr>
          <w:p w14:paraId="6F7F4087" w14:textId="0B08C936" w:rsidR="00776D42" w:rsidRPr="00AB20A1" w:rsidRDefault="00776D42" w:rsidP="00776D42">
            <w:pPr>
              <w:spacing w:before="60" w:after="60"/>
              <w:rPr>
                <w:sz w:val="20"/>
              </w:rPr>
            </w:pPr>
            <w:r w:rsidRPr="00AB20A1">
              <w:rPr>
                <w:sz w:val="20"/>
              </w:rPr>
              <w:t>more than $550 000 but less than $765</w:t>
            </w:r>
            <w:r>
              <w:rPr>
                <w:sz w:val="20"/>
              </w:rPr>
              <w:t>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7FDB7A7E" w14:textId="6D27A501" w:rsidR="00776D42" w:rsidRPr="00AB20A1" w:rsidRDefault="00EF74D8" w:rsidP="00776D42">
            <w:pPr>
              <w:spacing w:before="60" w:after="60"/>
              <w:jc w:val="center"/>
              <w:rPr>
                <w:sz w:val="20"/>
              </w:rPr>
            </w:pPr>
            <w:r>
              <w:rPr>
                <w:sz w:val="20"/>
              </w:rPr>
              <w:t>$9.55</w:t>
            </w:r>
          </w:p>
        </w:tc>
      </w:tr>
    </w:tbl>
    <w:p w14:paraId="5B08E4B0" w14:textId="3F9B4C4C" w:rsidR="00105077" w:rsidRDefault="00105077" w:rsidP="00105077">
      <w:pPr>
        <w:pStyle w:val="Amain"/>
        <w:tabs>
          <w:tab w:val="clear" w:pos="500"/>
          <w:tab w:val="clear" w:pos="700"/>
          <w:tab w:val="right" w:pos="-284"/>
          <w:tab w:val="left" w:pos="567"/>
        </w:tabs>
        <w:spacing w:before="0" w:after="0"/>
        <w:ind w:left="0" w:firstLine="0"/>
        <w:jc w:val="left"/>
        <w:outlineLvl w:val="9"/>
      </w:pPr>
    </w:p>
    <w:p w14:paraId="4C49825F" w14:textId="77777777" w:rsidR="00583530" w:rsidRDefault="00583530" w:rsidP="00105077">
      <w:pPr>
        <w:pStyle w:val="Amain"/>
        <w:tabs>
          <w:tab w:val="clear" w:pos="500"/>
          <w:tab w:val="clear" w:pos="700"/>
          <w:tab w:val="right" w:pos="-284"/>
          <w:tab w:val="left" w:pos="567"/>
        </w:tabs>
        <w:spacing w:before="0" w:after="0"/>
        <w:ind w:left="0" w:firstLine="0"/>
        <w:jc w:val="left"/>
        <w:outlineLvl w:val="9"/>
      </w:pPr>
    </w:p>
    <w:p w14:paraId="28B632FE" w14:textId="77777777" w:rsidR="00FF0696" w:rsidRPr="00182E22" w:rsidRDefault="00FF0696" w:rsidP="00FF0696">
      <w:pPr>
        <w:rPr>
          <w:rFonts w:ascii="Arial" w:hAnsi="Arial" w:cs="Arial"/>
          <w:b/>
          <w:sz w:val="22"/>
        </w:rPr>
      </w:pPr>
      <w:r w:rsidRPr="00182E22">
        <w:rPr>
          <w:rFonts w:ascii="Arial" w:hAnsi="Arial" w:cs="Arial"/>
          <w:b/>
          <w:sz w:val="22"/>
        </w:rPr>
        <w:t>Vacant land rate</w:t>
      </w:r>
    </w:p>
    <w:p w14:paraId="70CEFBC2" w14:textId="77777777" w:rsidR="00FF0696" w:rsidRPr="00182E22" w:rsidRDefault="00FF0696" w:rsidP="00FF0696">
      <w:pPr>
        <w:rPr>
          <w:b/>
          <w:szCs w:val="24"/>
        </w:rPr>
      </w:pPr>
    </w:p>
    <w:p w14:paraId="4F9D383D" w14:textId="75511513" w:rsidR="00FF0696" w:rsidRPr="00E26893" w:rsidRDefault="00FF0696" w:rsidP="00FF0696">
      <w:r w:rsidRPr="00E26893">
        <w:t>For vacant land, the upper threshold duty is $</w:t>
      </w:r>
      <w:r w:rsidR="00EF74D8" w:rsidRPr="00E26893">
        <w:t>8,954</w:t>
      </w:r>
      <w:r w:rsidR="00DB14E0" w:rsidRPr="00E26893">
        <w:t xml:space="preserve"> </w:t>
      </w:r>
      <w:r w:rsidRPr="00E26893">
        <w:t>and the concessional rate is $</w:t>
      </w:r>
      <w:r w:rsidR="00EF74D8" w:rsidRPr="00E26893">
        <w:t>11.60</w:t>
      </w:r>
      <w:r w:rsidR="00DB14E0" w:rsidRPr="00E26893">
        <w:t> </w:t>
      </w:r>
      <w:r w:rsidR="00986170" w:rsidRPr="00E26893">
        <w:t>per $100 (or part thereof) of dutiable value</w:t>
      </w:r>
      <w:r w:rsidRPr="00E26893">
        <w:t>, worked out as follows:</w:t>
      </w:r>
    </w:p>
    <w:p w14:paraId="5D835240" w14:textId="77777777" w:rsidR="00FF0696" w:rsidRPr="00E26893" w:rsidRDefault="00FF0696" w:rsidP="00FF0696"/>
    <w:p w14:paraId="11F75624" w14:textId="60DA3B25" w:rsidR="00FF0696" w:rsidRPr="00C3704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$8,954×100</m:t>
              </m:r>
            </m:num>
            <m:den>
              <m:r>
                <w:rPr>
                  <w:rFonts w:ascii="Cambria Math" w:hAnsi="Cambria Math"/>
                </w:rPr>
                <m:t>$500,000-$423,000</m:t>
              </m:r>
            </m:den>
          </m:f>
          <m:r>
            <w:rPr>
              <w:rFonts w:ascii="Cambria Math" w:hAnsi="Cambria Math"/>
            </w:rPr>
            <m:t xml:space="preserve">=$11.6286 </m:t>
          </m:r>
          <m:d>
            <m:dPr>
              <m:ctrlPr>
                <w:rPr>
                  <w:rFonts w:ascii="Cambria Math" w:hAnsi="Cambria Math"/>
                  <w:i/>
                </w:rPr>
              </m:ctrlPr>
            </m:dPr>
            <m:e>
              <m:r>
                <w:rPr>
                  <w:rFonts w:ascii="Cambria Math" w:hAnsi="Cambria Math"/>
                </w:rPr>
                <m:t>unrounded</m:t>
              </m:r>
            </m:e>
          </m:d>
          <m:r>
            <w:rPr>
              <w:rFonts w:ascii="Cambria Math" w:hAnsi="Cambria Math"/>
            </w:rPr>
            <m:t>=$11.60 (rounded down)</m:t>
          </m:r>
        </m:oMath>
      </m:oMathPara>
    </w:p>
    <w:p w14:paraId="58B06457" w14:textId="77777777" w:rsidR="00FF0696" w:rsidRDefault="00FF0696" w:rsidP="00FF0696">
      <w:pPr>
        <w:keepNext/>
        <w:rPr>
          <w:rFonts w:ascii="Arial" w:hAnsi="Arial" w:cs="Arial"/>
          <w:b/>
          <w:sz w:val="26"/>
          <w:szCs w:val="26"/>
        </w:rPr>
      </w:pPr>
    </w:p>
    <w:p w14:paraId="7E785896" w14:textId="359574EB" w:rsidR="00105077" w:rsidRDefault="00105077" w:rsidP="00105077">
      <w:pPr>
        <w:pStyle w:val="Amain"/>
        <w:tabs>
          <w:tab w:val="clear" w:pos="500"/>
          <w:tab w:val="clear" w:pos="700"/>
          <w:tab w:val="right" w:pos="-284"/>
          <w:tab w:val="left" w:pos="567"/>
        </w:tabs>
        <w:spacing w:before="0" w:after="0"/>
        <w:ind w:left="0" w:firstLine="0"/>
        <w:jc w:val="left"/>
        <w:outlineLvl w:val="9"/>
      </w:pPr>
      <w:r>
        <w:t>The 2022-23</w:t>
      </w:r>
      <w:r w:rsidR="00776D42">
        <w:t xml:space="preserve"> and 2023-24</w:t>
      </w:r>
      <w:r>
        <w:t xml:space="preserve">, thresholds and concessional </w:t>
      </w:r>
      <w:r w:rsidR="009340C6">
        <w:t xml:space="preserve">marginal </w:t>
      </w:r>
      <w:r>
        <w:t>rates for vacant land are provided in the table below for comparison.</w:t>
      </w:r>
    </w:p>
    <w:p w14:paraId="315E7F6A" w14:textId="649D388A" w:rsidR="00105077" w:rsidRPr="000C019D" w:rsidRDefault="00105077" w:rsidP="00105077">
      <w:pPr>
        <w:pStyle w:val="TableHd"/>
        <w:ind w:hanging="1058"/>
      </w:pPr>
      <w:r w:rsidRPr="000C019D">
        <w:t xml:space="preserve">Table </w:t>
      </w:r>
      <w:r>
        <w:t>2</w:t>
      </w:r>
      <w:r w:rsidRPr="000C019D">
        <w:tab/>
      </w:r>
      <w:r>
        <w:t>Vacant land</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167B8B54" w14:textId="77777777" w:rsidTr="004668D9">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114AD78F" w14:textId="5EC279BC" w:rsidR="00105077" w:rsidRPr="000C019D" w:rsidRDefault="00105077" w:rsidP="004668D9">
            <w:pPr>
              <w:pStyle w:val="TableColHd"/>
              <w:jc w:val="center"/>
            </w:pPr>
            <w:r>
              <w:t>202</w:t>
            </w:r>
            <w:r w:rsidR="00776D42">
              <w:t>2</w:t>
            </w:r>
            <w:r>
              <w:t>-2</w:t>
            </w:r>
            <w:r w:rsidR="00776D42">
              <w:t>3</w:t>
            </w:r>
          </w:p>
        </w:tc>
        <w:tc>
          <w:tcPr>
            <w:tcW w:w="2499" w:type="pct"/>
            <w:gridSpan w:val="2"/>
            <w:tcBorders>
              <w:top w:val="single" w:sz="4" w:space="0" w:color="auto"/>
              <w:left w:val="single" w:sz="4" w:space="0" w:color="auto"/>
              <w:bottom w:val="single" w:sz="4" w:space="0" w:color="auto"/>
              <w:right w:val="single" w:sz="4" w:space="0" w:color="auto"/>
            </w:tcBorders>
          </w:tcPr>
          <w:p w14:paraId="7F3C3873" w14:textId="77F8F858" w:rsidR="00105077" w:rsidRDefault="00105077" w:rsidP="004668D9">
            <w:pPr>
              <w:pStyle w:val="TableColHd"/>
              <w:jc w:val="center"/>
            </w:pPr>
            <w:r>
              <w:t>202</w:t>
            </w:r>
            <w:r w:rsidR="00776D42">
              <w:t>3</w:t>
            </w:r>
            <w:r>
              <w:t>-2</w:t>
            </w:r>
            <w:r w:rsidR="00776D42">
              <w:t>4</w:t>
            </w:r>
          </w:p>
          <w:p w14:paraId="444E9A20" w14:textId="77777777" w:rsidR="00105077" w:rsidRPr="000C019D" w:rsidRDefault="00105077" w:rsidP="004668D9">
            <w:pPr>
              <w:pStyle w:val="TableColHd"/>
            </w:pPr>
          </w:p>
        </w:tc>
      </w:tr>
      <w:tr w:rsidR="00105077" w:rsidRPr="000C019D" w14:paraId="4A2E3B54" w14:textId="77777777" w:rsidTr="004668D9">
        <w:trPr>
          <w:cantSplit/>
          <w:tblHeader/>
        </w:trPr>
        <w:tc>
          <w:tcPr>
            <w:tcW w:w="1251" w:type="pct"/>
            <w:tcBorders>
              <w:top w:val="single" w:sz="4" w:space="0" w:color="auto"/>
              <w:left w:val="single" w:sz="4" w:space="0" w:color="auto"/>
              <w:bottom w:val="single" w:sz="4" w:space="0" w:color="auto"/>
              <w:right w:val="single" w:sz="4" w:space="0" w:color="auto"/>
            </w:tcBorders>
          </w:tcPr>
          <w:p w14:paraId="1C9CD6DB" w14:textId="0BC6E224"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47EB5205" w14:textId="1483862F"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29B66814"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55C38E12" w14:textId="0FF6206A" w:rsidR="00105077" w:rsidRPr="000C019D" w:rsidRDefault="00105077" w:rsidP="00105077">
            <w:pPr>
              <w:pStyle w:val="TableColHd"/>
              <w:jc w:val="center"/>
              <w:rPr>
                <w:rFonts w:cs="Arial"/>
              </w:rP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E26893" w:rsidRPr="00AB20A1" w14:paraId="17440CA8" w14:textId="77777777" w:rsidTr="004668D9">
        <w:trPr>
          <w:cantSplit/>
        </w:trPr>
        <w:tc>
          <w:tcPr>
            <w:tcW w:w="1251" w:type="pct"/>
            <w:tcBorders>
              <w:top w:val="single" w:sz="4" w:space="0" w:color="auto"/>
              <w:left w:val="single" w:sz="4" w:space="0" w:color="auto"/>
              <w:bottom w:val="single" w:sz="4" w:space="0" w:color="auto"/>
              <w:right w:val="single" w:sz="4" w:space="0" w:color="auto"/>
            </w:tcBorders>
          </w:tcPr>
          <w:p w14:paraId="6AA6E9D8" w14:textId="45C91CF8" w:rsidR="00E26893" w:rsidRPr="00AB20A1" w:rsidRDefault="00E26893" w:rsidP="00E26893">
            <w:pPr>
              <w:spacing w:before="60" w:after="60"/>
              <w:rPr>
                <w:sz w:val="20"/>
              </w:rPr>
            </w:pPr>
            <w:r w:rsidRPr="00AB20A1">
              <w:rPr>
                <w:sz w:val="20"/>
              </w:rPr>
              <w:t>less than or equal to $373 000</w:t>
            </w:r>
          </w:p>
        </w:tc>
        <w:tc>
          <w:tcPr>
            <w:tcW w:w="1250" w:type="pct"/>
            <w:tcBorders>
              <w:top w:val="single" w:sz="4" w:space="0" w:color="auto"/>
              <w:left w:val="single" w:sz="4" w:space="0" w:color="auto"/>
              <w:bottom w:val="single" w:sz="4" w:space="0" w:color="auto"/>
              <w:right w:val="single" w:sz="4" w:space="0" w:color="auto"/>
            </w:tcBorders>
          </w:tcPr>
          <w:p w14:paraId="2065E5A1" w14:textId="72D677BA" w:rsidR="00E26893" w:rsidRPr="00AB20A1" w:rsidRDefault="00E26893" w:rsidP="00E26893">
            <w:pPr>
              <w:spacing w:before="60" w:after="60"/>
              <w:jc w:val="center"/>
              <w:rPr>
                <w:sz w:val="20"/>
              </w:rPr>
            </w:pPr>
            <w:r w:rsidRPr="00AB20A1">
              <w:rPr>
                <w:sz w:val="20"/>
              </w:rPr>
              <w:t>nil</w:t>
            </w:r>
          </w:p>
        </w:tc>
        <w:tc>
          <w:tcPr>
            <w:tcW w:w="1250" w:type="pct"/>
            <w:tcBorders>
              <w:top w:val="single" w:sz="4" w:space="0" w:color="auto"/>
              <w:left w:val="single" w:sz="4" w:space="0" w:color="auto"/>
              <w:bottom w:val="single" w:sz="4" w:space="0" w:color="auto"/>
              <w:right w:val="single" w:sz="4" w:space="0" w:color="auto"/>
            </w:tcBorders>
          </w:tcPr>
          <w:p w14:paraId="00270305" w14:textId="6E416155" w:rsidR="00E26893" w:rsidRPr="00AB20A1" w:rsidRDefault="00E26893" w:rsidP="00E26893">
            <w:pPr>
              <w:spacing w:before="60" w:after="60"/>
              <w:rPr>
                <w:sz w:val="20"/>
              </w:rPr>
            </w:pPr>
            <w:r w:rsidRPr="00AB20A1">
              <w:rPr>
                <w:sz w:val="20"/>
              </w:rPr>
              <w:t>less than or equal to $</w:t>
            </w:r>
            <w:r>
              <w:rPr>
                <w:sz w:val="20"/>
              </w:rPr>
              <w:t>42</w:t>
            </w:r>
            <w:r w:rsidRPr="00AB20A1">
              <w:rPr>
                <w:sz w:val="20"/>
              </w:rPr>
              <w:t>3 000</w:t>
            </w:r>
          </w:p>
        </w:tc>
        <w:tc>
          <w:tcPr>
            <w:tcW w:w="1249" w:type="pct"/>
            <w:tcBorders>
              <w:top w:val="single" w:sz="4" w:space="0" w:color="auto"/>
              <w:left w:val="single" w:sz="4" w:space="0" w:color="auto"/>
              <w:bottom w:val="single" w:sz="4" w:space="0" w:color="auto"/>
              <w:right w:val="single" w:sz="4" w:space="0" w:color="auto"/>
            </w:tcBorders>
          </w:tcPr>
          <w:p w14:paraId="73AB8CC3" w14:textId="6DF1735F" w:rsidR="00E26893" w:rsidRPr="00AB20A1" w:rsidRDefault="00E26893" w:rsidP="00E26893">
            <w:pPr>
              <w:spacing w:before="60" w:after="60"/>
              <w:jc w:val="center"/>
              <w:rPr>
                <w:sz w:val="20"/>
              </w:rPr>
            </w:pPr>
            <w:r w:rsidRPr="00AB20A1">
              <w:rPr>
                <w:sz w:val="20"/>
              </w:rPr>
              <w:t>nil</w:t>
            </w:r>
          </w:p>
        </w:tc>
      </w:tr>
      <w:tr w:rsidR="00E26893" w:rsidRPr="00AB20A1" w14:paraId="51D69CE2" w14:textId="77777777" w:rsidTr="004668D9">
        <w:trPr>
          <w:cantSplit/>
          <w:trHeight w:val="428"/>
        </w:trPr>
        <w:tc>
          <w:tcPr>
            <w:tcW w:w="1251" w:type="pct"/>
            <w:tcBorders>
              <w:top w:val="single" w:sz="4" w:space="0" w:color="auto"/>
              <w:left w:val="single" w:sz="4" w:space="0" w:color="auto"/>
              <w:bottom w:val="single" w:sz="4" w:space="0" w:color="auto"/>
              <w:right w:val="single" w:sz="4" w:space="0" w:color="auto"/>
            </w:tcBorders>
          </w:tcPr>
          <w:p w14:paraId="28A6359E" w14:textId="3397A357" w:rsidR="00E26893" w:rsidRPr="00AB20A1" w:rsidRDefault="00E26893" w:rsidP="00E26893">
            <w:pPr>
              <w:spacing w:before="60" w:after="60"/>
              <w:rPr>
                <w:sz w:val="20"/>
              </w:rPr>
            </w:pPr>
            <w:r w:rsidRPr="00AB20A1">
              <w:rPr>
                <w:sz w:val="20"/>
              </w:rPr>
              <w:t>more than $373 000 but less than $450</w:t>
            </w:r>
            <w:r>
              <w:rPr>
                <w:sz w:val="20"/>
              </w:rPr>
              <w:t> </w:t>
            </w:r>
            <w:r w:rsidRPr="00AB20A1">
              <w:rPr>
                <w:sz w:val="20"/>
              </w:rPr>
              <w:t>000</w:t>
            </w:r>
          </w:p>
        </w:tc>
        <w:tc>
          <w:tcPr>
            <w:tcW w:w="1250" w:type="pct"/>
            <w:tcBorders>
              <w:top w:val="single" w:sz="4" w:space="0" w:color="auto"/>
              <w:left w:val="single" w:sz="4" w:space="0" w:color="auto"/>
              <w:bottom w:val="single" w:sz="4" w:space="0" w:color="auto"/>
              <w:right w:val="single" w:sz="4" w:space="0" w:color="auto"/>
            </w:tcBorders>
          </w:tcPr>
          <w:p w14:paraId="0B63A4CD" w14:textId="11FDC524" w:rsidR="00E26893" w:rsidRPr="00AB20A1" w:rsidRDefault="00E26893" w:rsidP="00E26893">
            <w:pPr>
              <w:spacing w:before="60" w:after="60"/>
              <w:jc w:val="center"/>
              <w:rPr>
                <w:sz w:val="20"/>
              </w:rPr>
            </w:pPr>
            <w:r w:rsidRPr="00AB20A1">
              <w:rPr>
                <w:sz w:val="20"/>
              </w:rPr>
              <w:t>$9.75</w:t>
            </w:r>
          </w:p>
        </w:tc>
        <w:tc>
          <w:tcPr>
            <w:tcW w:w="1250" w:type="pct"/>
            <w:tcBorders>
              <w:top w:val="single" w:sz="4" w:space="0" w:color="auto"/>
              <w:left w:val="single" w:sz="4" w:space="0" w:color="auto"/>
              <w:bottom w:val="single" w:sz="4" w:space="0" w:color="auto"/>
              <w:right w:val="single" w:sz="4" w:space="0" w:color="auto"/>
            </w:tcBorders>
          </w:tcPr>
          <w:p w14:paraId="08B5FB02" w14:textId="068EC74F" w:rsidR="00E26893" w:rsidRPr="00AB20A1" w:rsidRDefault="00E26893" w:rsidP="00E26893">
            <w:pPr>
              <w:spacing w:before="60" w:after="60"/>
              <w:rPr>
                <w:sz w:val="20"/>
              </w:rPr>
            </w:pPr>
            <w:r w:rsidRPr="00AB20A1">
              <w:rPr>
                <w:sz w:val="20"/>
              </w:rPr>
              <w:t>more than $</w:t>
            </w:r>
            <w:r>
              <w:rPr>
                <w:sz w:val="20"/>
              </w:rPr>
              <w:t>42</w:t>
            </w:r>
            <w:r w:rsidRPr="00AB20A1">
              <w:rPr>
                <w:sz w:val="20"/>
              </w:rPr>
              <w:t>3 000 but less than $50</w:t>
            </w:r>
            <w:r>
              <w:rPr>
                <w:sz w:val="20"/>
              </w:rPr>
              <w:t>0 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486B277C" w14:textId="7985C853" w:rsidR="00E26893" w:rsidRPr="00AB20A1" w:rsidRDefault="00E26893" w:rsidP="00E26893">
            <w:pPr>
              <w:spacing w:before="60" w:after="60"/>
              <w:jc w:val="center"/>
              <w:rPr>
                <w:sz w:val="20"/>
              </w:rPr>
            </w:pPr>
            <w:r>
              <w:rPr>
                <w:sz w:val="20"/>
              </w:rPr>
              <w:t>$11.60</w:t>
            </w:r>
          </w:p>
        </w:tc>
      </w:tr>
    </w:tbl>
    <w:p w14:paraId="38BDEE5F" w14:textId="696E89CD" w:rsidR="00105077" w:rsidRDefault="00105077" w:rsidP="00A4764A">
      <w:pPr>
        <w:pStyle w:val="Amain"/>
        <w:tabs>
          <w:tab w:val="clear" w:pos="500"/>
          <w:tab w:val="clear" w:pos="700"/>
          <w:tab w:val="right" w:pos="-284"/>
          <w:tab w:val="left" w:pos="567"/>
        </w:tabs>
        <w:spacing w:before="0" w:after="0"/>
        <w:ind w:left="0" w:firstLine="0"/>
        <w:jc w:val="left"/>
        <w:outlineLvl w:val="9"/>
      </w:pPr>
    </w:p>
    <w:p w14:paraId="315C7817" w14:textId="1F7669CE" w:rsidR="00105077" w:rsidRDefault="00105077">
      <w:pPr>
        <w:rPr>
          <w:rFonts w:ascii="Arial" w:hAnsi="Arial" w:cs="Arial"/>
          <w:b/>
          <w:sz w:val="26"/>
          <w:szCs w:val="26"/>
        </w:rPr>
      </w:pPr>
    </w:p>
    <w:p w14:paraId="3690E23F" w14:textId="2BA38465" w:rsidR="006E1AEF" w:rsidRPr="0053158D" w:rsidRDefault="006E1AEF" w:rsidP="006E1AEF">
      <w:pPr>
        <w:keepNext/>
        <w:rPr>
          <w:rFonts w:ascii="Arial" w:hAnsi="Arial" w:cs="Arial"/>
          <w:b/>
          <w:sz w:val="26"/>
          <w:szCs w:val="26"/>
        </w:rPr>
      </w:pPr>
      <w:r w:rsidRPr="0053158D">
        <w:rPr>
          <w:rFonts w:ascii="Arial" w:hAnsi="Arial" w:cs="Arial"/>
          <w:b/>
          <w:sz w:val="26"/>
          <w:szCs w:val="26"/>
        </w:rPr>
        <w:lastRenderedPageBreak/>
        <w:t>Revocation</w:t>
      </w:r>
      <w:r>
        <w:rPr>
          <w:rFonts w:ascii="Arial" w:hAnsi="Arial" w:cs="Arial"/>
          <w:b/>
          <w:sz w:val="26"/>
          <w:szCs w:val="26"/>
        </w:rPr>
        <w:t xml:space="preserve"> </w:t>
      </w:r>
    </w:p>
    <w:p w14:paraId="6F446CD1" w14:textId="77777777" w:rsidR="006E1AEF" w:rsidRPr="0053158D" w:rsidRDefault="006E1AEF" w:rsidP="006E1AEF"/>
    <w:p w14:paraId="12BA18E0" w14:textId="4B7C6CCF" w:rsidR="006E1AEF" w:rsidRDefault="006E1AEF" w:rsidP="006E1AEF">
      <w:pPr>
        <w:rPr>
          <w:lang w:val="en-US"/>
        </w:rPr>
      </w:pPr>
      <w:r>
        <w:t xml:space="preserve">Section </w:t>
      </w:r>
      <w:r w:rsidR="00DA073B">
        <w:t>8</w:t>
      </w:r>
      <w:r>
        <w:t xml:space="preserve"> of this instrument </w:t>
      </w:r>
      <w:r w:rsidRPr="0053158D">
        <w:t>revokes</w:t>
      </w:r>
      <w:r w:rsidRPr="0053158D">
        <w:rPr>
          <w:i/>
        </w:rPr>
        <w:t xml:space="preserve"> </w:t>
      </w:r>
      <w:r>
        <w:t>DI202</w:t>
      </w:r>
      <w:r w:rsidR="0055503F">
        <w:t>3</w:t>
      </w:r>
      <w:r>
        <w:t>-1</w:t>
      </w:r>
      <w:r w:rsidR="0055503F">
        <w:t>65</w:t>
      </w:r>
      <w:r w:rsidRPr="00DC7B99">
        <w:t>.</w:t>
      </w:r>
      <w:r w:rsidRPr="0053158D">
        <w:t xml:space="preserve"> </w:t>
      </w:r>
      <w:r>
        <w:t xml:space="preserve">For the avoidance of doubt, </w:t>
      </w:r>
      <w:r w:rsidRPr="0053158D">
        <w:t>DI20</w:t>
      </w:r>
      <w:r>
        <w:t>2</w:t>
      </w:r>
      <w:r w:rsidR="0055503F">
        <w:t>3</w:t>
      </w:r>
      <w:r w:rsidRPr="0053158D">
        <w:t>-</w:t>
      </w:r>
      <w:r>
        <w:t>1</w:t>
      </w:r>
      <w:r w:rsidR="0055503F">
        <w:t>6</w:t>
      </w:r>
      <w:r w:rsidR="00776D42">
        <w:t>5</w:t>
      </w:r>
      <w:r w:rsidRPr="00DC7B99">
        <w:rPr>
          <w:lang w:val="en-US"/>
        </w:rPr>
        <w:t xml:space="preserve"> c</w:t>
      </w:r>
      <w:r w:rsidRPr="0053158D">
        <w:rPr>
          <w:lang w:val="en-US"/>
        </w:rPr>
        <w:t xml:space="preserve">ontinues to apply in the period </w:t>
      </w:r>
      <w:r>
        <w:rPr>
          <w:lang w:val="en-US"/>
        </w:rPr>
        <w:t>1 July 202</w:t>
      </w:r>
      <w:r w:rsidR="0055503F">
        <w:rPr>
          <w:lang w:val="en-US"/>
        </w:rPr>
        <w:t>3</w:t>
      </w:r>
      <w:r w:rsidR="00776D42">
        <w:rPr>
          <w:lang w:val="en-US"/>
        </w:rPr>
        <w:t xml:space="preserve"> to </w:t>
      </w:r>
      <w:r w:rsidR="0055503F">
        <w:rPr>
          <w:lang w:val="en-US"/>
        </w:rPr>
        <w:t>26 November</w:t>
      </w:r>
      <w:r w:rsidR="00776D42">
        <w:rPr>
          <w:lang w:val="en-US"/>
        </w:rPr>
        <w:t xml:space="preserve"> 2023</w:t>
      </w:r>
      <w:r w:rsidRPr="0053158D">
        <w:rPr>
          <w:lang w:val="en-US"/>
        </w:rPr>
        <w:t>, inclusive.</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9221" w14:textId="77777777" w:rsidR="009F2116" w:rsidRDefault="009F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D5CB" w14:textId="36FF8337" w:rsidR="00480221" w:rsidRPr="009F2116" w:rsidRDefault="009F2116" w:rsidP="009F2116">
    <w:pPr>
      <w:pStyle w:val="Footer"/>
      <w:jc w:val="center"/>
      <w:rPr>
        <w:rFonts w:cs="Arial"/>
        <w:sz w:val="14"/>
      </w:rPr>
    </w:pPr>
    <w:r w:rsidRPr="009F211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256B" w14:textId="77777777" w:rsidR="009F2116" w:rsidRDefault="009F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7591" w14:textId="77777777" w:rsidR="009F2116" w:rsidRDefault="009F2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2D61" w14:textId="77777777" w:rsidR="009F2116" w:rsidRDefault="009F2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3B1B" w14:textId="77777777" w:rsidR="009F2116" w:rsidRDefault="009F2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373664">
    <w:abstractNumId w:val="4"/>
  </w:num>
  <w:num w:numId="2" w16cid:durableId="223178791">
    <w:abstractNumId w:val="0"/>
  </w:num>
  <w:num w:numId="3" w16cid:durableId="976374391">
    <w:abstractNumId w:val="6"/>
  </w:num>
  <w:num w:numId="4" w16cid:durableId="2142573633">
    <w:abstractNumId w:val="12"/>
  </w:num>
  <w:num w:numId="5" w16cid:durableId="1512530676">
    <w:abstractNumId w:val="20"/>
  </w:num>
  <w:num w:numId="6" w16cid:durableId="1613056412">
    <w:abstractNumId w:val="3"/>
  </w:num>
  <w:num w:numId="7" w16cid:durableId="1495757253">
    <w:abstractNumId w:val="10"/>
  </w:num>
  <w:num w:numId="8" w16cid:durableId="1991135889">
    <w:abstractNumId w:val="11"/>
  </w:num>
  <w:num w:numId="9" w16cid:durableId="1039624155">
    <w:abstractNumId w:val="5"/>
  </w:num>
  <w:num w:numId="10" w16cid:durableId="1808861915">
    <w:abstractNumId w:val="17"/>
  </w:num>
  <w:num w:numId="11" w16cid:durableId="1319185412">
    <w:abstractNumId w:val="15"/>
  </w:num>
  <w:num w:numId="12" w16cid:durableId="931545705">
    <w:abstractNumId w:val="8"/>
  </w:num>
  <w:num w:numId="13" w16cid:durableId="528840561">
    <w:abstractNumId w:val="19"/>
  </w:num>
  <w:num w:numId="14" w16cid:durableId="1524704815">
    <w:abstractNumId w:val="2"/>
  </w:num>
  <w:num w:numId="15" w16cid:durableId="1868374947">
    <w:abstractNumId w:val="9"/>
  </w:num>
  <w:num w:numId="16" w16cid:durableId="294454022">
    <w:abstractNumId w:val="21"/>
  </w:num>
  <w:num w:numId="17" w16cid:durableId="1744908465">
    <w:abstractNumId w:val="14"/>
  </w:num>
  <w:num w:numId="18" w16cid:durableId="458913390">
    <w:abstractNumId w:val="16"/>
  </w:num>
  <w:num w:numId="19" w16cid:durableId="1184124861">
    <w:abstractNumId w:val="1"/>
  </w:num>
  <w:num w:numId="20" w16cid:durableId="31393475">
    <w:abstractNumId w:val="13"/>
  </w:num>
  <w:num w:numId="21" w16cid:durableId="616066737">
    <w:abstractNumId w:val="18"/>
  </w:num>
  <w:num w:numId="22" w16cid:durableId="168564095">
    <w:abstractNumId w:val="22"/>
  </w:num>
  <w:num w:numId="23" w16cid:durableId="170127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C58"/>
    <w:rsid w:val="0001776D"/>
    <w:rsid w:val="0002003B"/>
    <w:rsid w:val="00027CE7"/>
    <w:rsid w:val="00031BDC"/>
    <w:rsid w:val="00032F2A"/>
    <w:rsid w:val="000341B5"/>
    <w:rsid w:val="00043265"/>
    <w:rsid w:val="00046F8A"/>
    <w:rsid w:val="00047EDF"/>
    <w:rsid w:val="00055EB0"/>
    <w:rsid w:val="00071F00"/>
    <w:rsid w:val="000726F9"/>
    <w:rsid w:val="0007271C"/>
    <w:rsid w:val="00081CA7"/>
    <w:rsid w:val="00081EAB"/>
    <w:rsid w:val="00083237"/>
    <w:rsid w:val="00084553"/>
    <w:rsid w:val="00087703"/>
    <w:rsid w:val="00092B51"/>
    <w:rsid w:val="00093172"/>
    <w:rsid w:val="000A0EC2"/>
    <w:rsid w:val="000A19F3"/>
    <w:rsid w:val="000A3C96"/>
    <w:rsid w:val="000A4E2C"/>
    <w:rsid w:val="000B2B21"/>
    <w:rsid w:val="000B5894"/>
    <w:rsid w:val="000C1050"/>
    <w:rsid w:val="000C183A"/>
    <w:rsid w:val="000C5146"/>
    <w:rsid w:val="000D3A86"/>
    <w:rsid w:val="000F0E2A"/>
    <w:rsid w:val="001013D1"/>
    <w:rsid w:val="0010351F"/>
    <w:rsid w:val="00104AB5"/>
    <w:rsid w:val="00105077"/>
    <w:rsid w:val="00112312"/>
    <w:rsid w:val="00125113"/>
    <w:rsid w:val="00127894"/>
    <w:rsid w:val="00143744"/>
    <w:rsid w:val="001460DF"/>
    <w:rsid w:val="001529C2"/>
    <w:rsid w:val="001533F4"/>
    <w:rsid w:val="001570EB"/>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249D"/>
    <w:rsid w:val="001C5686"/>
    <w:rsid w:val="001C5EAD"/>
    <w:rsid w:val="001D2184"/>
    <w:rsid w:val="001D31ED"/>
    <w:rsid w:val="001D3D73"/>
    <w:rsid w:val="001D6DE7"/>
    <w:rsid w:val="001E6C23"/>
    <w:rsid w:val="001F1F9A"/>
    <w:rsid w:val="001F3298"/>
    <w:rsid w:val="001F56D4"/>
    <w:rsid w:val="002011DD"/>
    <w:rsid w:val="002022D8"/>
    <w:rsid w:val="00202CEA"/>
    <w:rsid w:val="00211BE2"/>
    <w:rsid w:val="00211C17"/>
    <w:rsid w:val="0021279A"/>
    <w:rsid w:val="00217E47"/>
    <w:rsid w:val="00220028"/>
    <w:rsid w:val="0022254E"/>
    <w:rsid w:val="0022498A"/>
    <w:rsid w:val="00233CF3"/>
    <w:rsid w:val="00235291"/>
    <w:rsid w:val="00235825"/>
    <w:rsid w:val="0024204A"/>
    <w:rsid w:val="002421A1"/>
    <w:rsid w:val="002423EF"/>
    <w:rsid w:val="00252748"/>
    <w:rsid w:val="002541D3"/>
    <w:rsid w:val="002564DE"/>
    <w:rsid w:val="00275B52"/>
    <w:rsid w:val="002816CC"/>
    <w:rsid w:val="002828D5"/>
    <w:rsid w:val="0028292B"/>
    <w:rsid w:val="002832DE"/>
    <w:rsid w:val="00283A83"/>
    <w:rsid w:val="002848A0"/>
    <w:rsid w:val="00290C35"/>
    <w:rsid w:val="00292AE1"/>
    <w:rsid w:val="002A609D"/>
    <w:rsid w:val="002B221C"/>
    <w:rsid w:val="002B6096"/>
    <w:rsid w:val="002B755E"/>
    <w:rsid w:val="002C10B2"/>
    <w:rsid w:val="002C728D"/>
    <w:rsid w:val="002E3A50"/>
    <w:rsid w:val="002F5D0B"/>
    <w:rsid w:val="00305C41"/>
    <w:rsid w:val="00305CBC"/>
    <w:rsid w:val="00307B74"/>
    <w:rsid w:val="003143D2"/>
    <w:rsid w:val="00314724"/>
    <w:rsid w:val="003148FB"/>
    <w:rsid w:val="003170E2"/>
    <w:rsid w:val="00324CB6"/>
    <w:rsid w:val="003258E2"/>
    <w:rsid w:val="0033378F"/>
    <w:rsid w:val="0033454A"/>
    <w:rsid w:val="00336C6F"/>
    <w:rsid w:val="0034365E"/>
    <w:rsid w:val="00350A05"/>
    <w:rsid w:val="00356A31"/>
    <w:rsid w:val="003573C5"/>
    <w:rsid w:val="0035773A"/>
    <w:rsid w:val="00365E4A"/>
    <w:rsid w:val="0037075D"/>
    <w:rsid w:val="00380BFF"/>
    <w:rsid w:val="00382522"/>
    <w:rsid w:val="00383C95"/>
    <w:rsid w:val="00390519"/>
    <w:rsid w:val="003944EF"/>
    <w:rsid w:val="00396D64"/>
    <w:rsid w:val="003A354D"/>
    <w:rsid w:val="003A49BE"/>
    <w:rsid w:val="003A5919"/>
    <w:rsid w:val="003A6A5A"/>
    <w:rsid w:val="003B2059"/>
    <w:rsid w:val="003B24E7"/>
    <w:rsid w:val="003B2D20"/>
    <w:rsid w:val="003C1C8E"/>
    <w:rsid w:val="003C24D1"/>
    <w:rsid w:val="003D4909"/>
    <w:rsid w:val="003D5717"/>
    <w:rsid w:val="003E151C"/>
    <w:rsid w:val="003E55BE"/>
    <w:rsid w:val="003E68EE"/>
    <w:rsid w:val="003F25A2"/>
    <w:rsid w:val="003F6177"/>
    <w:rsid w:val="003F63B1"/>
    <w:rsid w:val="003F69DD"/>
    <w:rsid w:val="00411018"/>
    <w:rsid w:val="004167E9"/>
    <w:rsid w:val="00424FED"/>
    <w:rsid w:val="0042518B"/>
    <w:rsid w:val="00430507"/>
    <w:rsid w:val="00432A7C"/>
    <w:rsid w:val="004408AD"/>
    <w:rsid w:val="00443D76"/>
    <w:rsid w:val="00447E90"/>
    <w:rsid w:val="0045169B"/>
    <w:rsid w:val="00452DB6"/>
    <w:rsid w:val="00454973"/>
    <w:rsid w:val="00457661"/>
    <w:rsid w:val="0046556A"/>
    <w:rsid w:val="00466BFC"/>
    <w:rsid w:val="00471C05"/>
    <w:rsid w:val="0047541C"/>
    <w:rsid w:val="00476206"/>
    <w:rsid w:val="00480221"/>
    <w:rsid w:val="004924E9"/>
    <w:rsid w:val="00492EE1"/>
    <w:rsid w:val="004939FA"/>
    <w:rsid w:val="004958BF"/>
    <w:rsid w:val="004B5651"/>
    <w:rsid w:val="004C4333"/>
    <w:rsid w:val="004C4A40"/>
    <w:rsid w:val="004C53B7"/>
    <w:rsid w:val="004C78BC"/>
    <w:rsid w:val="004E544A"/>
    <w:rsid w:val="004F2424"/>
    <w:rsid w:val="004F3B84"/>
    <w:rsid w:val="004F3D11"/>
    <w:rsid w:val="004F48B0"/>
    <w:rsid w:val="005104D6"/>
    <w:rsid w:val="0053158D"/>
    <w:rsid w:val="00535BF4"/>
    <w:rsid w:val="00544385"/>
    <w:rsid w:val="0055503F"/>
    <w:rsid w:val="0055742F"/>
    <w:rsid w:val="00557CA6"/>
    <w:rsid w:val="00557EA2"/>
    <w:rsid w:val="005648A2"/>
    <w:rsid w:val="00565168"/>
    <w:rsid w:val="005675E6"/>
    <w:rsid w:val="005759AF"/>
    <w:rsid w:val="005833A1"/>
    <w:rsid w:val="00583530"/>
    <w:rsid w:val="0058482F"/>
    <w:rsid w:val="005877E7"/>
    <w:rsid w:val="00592409"/>
    <w:rsid w:val="00594DC0"/>
    <w:rsid w:val="00597EC2"/>
    <w:rsid w:val="005C24D6"/>
    <w:rsid w:val="005C4F31"/>
    <w:rsid w:val="005C5ABD"/>
    <w:rsid w:val="005C64EE"/>
    <w:rsid w:val="005C6581"/>
    <w:rsid w:val="005D70F1"/>
    <w:rsid w:val="005E1C70"/>
    <w:rsid w:val="005E43C1"/>
    <w:rsid w:val="005F3755"/>
    <w:rsid w:val="005F597E"/>
    <w:rsid w:val="0061038C"/>
    <w:rsid w:val="00610BEA"/>
    <w:rsid w:val="006122F7"/>
    <w:rsid w:val="00615425"/>
    <w:rsid w:val="00625061"/>
    <w:rsid w:val="0062671D"/>
    <w:rsid w:val="00626A08"/>
    <w:rsid w:val="0063087D"/>
    <w:rsid w:val="00632D74"/>
    <w:rsid w:val="0063782C"/>
    <w:rsid w:val="00644E63"/>
    <w:rsid w:val="006463CF"/>
    <w:rsid w:val="00651331"/>
    <w:rsid w:val="00655C96"/>
    <w:rsid w:val="00655FD4"/>
    <w:rsid w:val="006619AA"/>
    <w:rsid w:val="0066239F"/>
    <w:rsid w:val="00663543"/>
    <w:rsid w:val="00664489"/>
    <w:rsid w:val="00670FE9"/>
    <w:rsid w:val="00671BB4"/>
    <w:rsid w:val="00671F9A"/>
    <w:rsid w:val="00674852"/>
    <w:rsid w:val="006753FB"/>
    <w:rsid w:val="00682893"/>
    <w:rsid w:val="006829B3"/>
    <w:rsid w:val="006929F8"/>
    <w:rsid w:val="0069507C"/>
    <w:rsid w:val="006A45B1"/>
    <w:rsid w:val="006B61FD"/>
    <w:rsid w:val="006C25D4"/>
    <w:rsid w:val="006C51AA"/>
    <w:rsid w:val="006E0E62"/>
    <w:rsid w:val="006E1AEF"/>
    <w:rsid w:val="006E1F6D"/>
    <w:rsid w:val="006E1FE1"/>
    <w:rsid w:val="00700F26"/>
    <w:rsid w:val="00700F42"/>
    <w:rsid w:val="00702388"/>
    <w:rsid w:val="00703BAE"/>
    <w:rsid w:val="00704196"/>
    <w:rsid w:val="00707D6A"/>
    <w:rsid w:val="00710A87"/>
    <w:rsid w:val="007141C0"/>
    <w:rsid w:val="00720F3B"/>
    <w:rsid w:val="00725282"/>
    <w:rsid w:val="00725F6A"/>
    <w:rsid w:val="007276F9"/>
    <w:rsid w:val="0073131A"/>
    <w:rsid w:val="00736BBB"/>
    <w:rsid w:val="00750085"/>
    <w:rsid w:val="0075065A"/>
    <w:rsid w:val="00754A71"/>
    <w:rsid w:val="0076763A"/>
    <w:rsid w:val="00772B27"/>
    <w:rsid w:val="00776D42"/>
    <w:rsid w:val="00782AAC"/>
    <w:rsid w:val="0078326B"/>
    <w:rsid w:val="007868C2"/>
    <w:rsid w:val="007956A9"/>
    <w:rsid w:val="007A15B5"/>
    <w:rsid w:val="007A17AE"/>
    <w:rsid w:val="007A7A9E"/>
    <w:rsid w:val="007A7D7D"/>
    <w:rsid w:val="007B785B"/>
    <w:rsid w:val="007C2BF5"/>
    <w:rsid w:val="007C6577"/>
    <w:rsid w:val="007C7035"/>
    <w:rsid w:val="007D1C64"/>
    <w:rsid w:val="007D70FB"/>
    <w:rsid w:val="007D767A"/>
    <w:rsid w:val="007E5DE6"/>
    <w:rsid w:val="007E7B2C"/>
    <w:rsid w:val="007F2FEC"/>
    <w:rsid w:val="00800FBC"/>
    <w:rsid w:val="008020EC"/>
    <w:rsid w:val="00805C04"/>
    <w:rsid w:val="008071CE"/>
    <w:rsid w:val="00816F98"/>
    <w:rsid w:val="00820FC7"/>
    <w:rsid w:val="008215FE"/>
    <w:rsid w:val="00822662"/>
    <w:rsid w:val="00824ABD"/>
    <w:rsid w:val="00833E28"/>
    <w:rsid w:val="00834CB8"/>
    <w:rsid w:val="00841F92"/>
    <w:rsid w:val="00845D84"/>
    <w:rsid w:val="00860244"/>
    <w:rsid w:val="008602C8"/>
    <w:rsid w:val="00861A34"/>
    <w:rsid w:val="0086473D"/>
    <w:rsid w:val="008676F5"/>
    <w:rsid w:val="008706CF"/>
    <w:rsid w:val="00870CD6"/>
    <w:rsid w:val="00874E3D"/>
    <w:rsid w:val="0087740C"/>
    <w:rsid w:val="00881B06"/>
    <w:rsid w:val="008847BF"/>
    <w:rsid w:val="00885E24"/>
    <w:rsid w:val="00891788"/>
    <w:rsid w:val="00893A36"/>
    <w:rsid w:val="008977AE"/>
    <w:rsid w:val="008A07B3"/>
    <w:rsid w:val="008A2D73"/>
    <w:rsid w:val="008A3981"/>
    <w:rsid w:val="008A464E"/>
    <w:rsid w:val="008A6077"/>
    <w:rsid w:val="008A68F4"/>
    <w:rsid w:val="008A7410"/>
    <w:rsid w:val="008B1C8A"/>
    <w:rsid w:val="008B365C"/>
    <w:rsid w:val="008B7787"/>
    <w:rsid w:val="008B7EE9"/>
    <w:rsid w:val="008C0E36"/>
    <w:rsid w:val="008C4CEA"/>
    <w:rsid w:val="008D11D3"/>
    <w:rsid w:val="008D7183"/>
    <w:rsid w:val="008D7815"/>
    <w:rsid w:val="008E3A67"/>
    <w:rsid w:val="008E3CEB"/>
    <w:rsid w:val="008F0B1D"/>
    <w:rsid w:val="008F5371"/>
    <w:rsid w:val="00900E6E"/>
    <w:rsid w:val="009058BA"/>
    <w:rsid w:val="00907585"/>
    <w:rsid w:val="00913C43"/>
    <w:rsid w:val="009310B9"/>
    <w:rsid w:val="0093273D"/>
    <w:rsid w:val="009340C6"/>
    <w:rsid w:val="00934C0D"/>
    <w:rsid w:val="0094192A"/>
    <w:rsid w:val="00944FBD"/>
    <w:rsid w:val="00954609"/>
    <w:rsid w:val="00965AED"/>
    <w:rsid w:val="00966207"/>
    <w:rsid w:val="00967574"/>
    <w:rsid w:val="009679F6"/>
    <w:rsid w:val="00970883"/>
    <w:rsid w:val="00977681"/>
    <w:rsid w:val="00980C4D"/>
    <w:rsid w:val="0098194C"/>
    <w:rsid w:val="00985DD4"/>
    <w:rsid w:val="00986170"/>
    <w:rsid w:val="009873CC"/>
    <w:rsid w:val="00990F91"/>
    <w:rsid w:val="00991F1E"/>
    <w:rsid w:val="00994D2C"/>
    <w:rsid w:val="009963CA"/>
    <w:rsid w:val="009A352A"/>
    <w:rsid w:val="009A4108"/>
    <w:rsid w:val="009A60B7"/>
    <w:rsid w:val="009A6127"/>
    <w:rsid w:val="009B4B0F"/>
    <w:rsid w:val="009C3478"/>
    <w:rsid w:val="009C4E0C"/>
    <w:rsid w:val="009C550F"/>
    <w:rsid w:val="009C5722"/>
    <w:rsid w:val="009D3FDF"/>
    <w:rsid w:val="009D4361"/>
    <w:rsid w:val="009D470C"/>
    <w:rsid w:val="009D772B"/>
    <w:rsid w:val="009E066E"/>
    <w:rsid w:val="009E492D"/>
    <w:rsid w:val="009E65D9"/>
    <w:rsid w:val="009F01B7"/>
    <w:rsid w:val="009F2116"/>
    <w:rsid w:val="00A0007B"/>
    <w:rsid w:val="00A04CF1"/>
    <w:rsid w:val="00A05DD3"/>
    <w:rsid w:val="00A073B5"/>
    <w:rsid w:val="00A07916"/>
    <w:rsid w:val="00A100BA"/>
    <w:rsid w:val="00A15876"/>
    <w:rsid w:val="00A15E04"/>
    <w:rsid w:val="00A21390"/>
    <w:rsid w:val="00A2341D"/>
    <w:rsid w:val="00A30E54"/>
    <w:rsid w:val="00A32BA3"/>
    <w:rsid w:val="00A335E2"/>
    <w:rsid w:val="00A40A52"/>
    <w:rsid w:val="00A46DEB"/>
    <w:rsid w:val="00A4764A"/>
    <w:rsid w:val="00A539FE"/>
    <w:rsid w:val="00A55AA8"/>
    <w:rsid w:val="00A61F7C"/>
    <w:rsid w:val="00A621A7"/>
    <w:rsid w:val="00A71B62"/>
    <w:rsid w:val="00A74B57"/>
    <w:rsid w:val="00A8317A"/>
    <w:rsid w:val="00AA1C85"/>
    <w:rsid w:val="00AA5D13"/>
    <w:rsid w:val="00AB5A08"/>
    <w:rsid w:val="00AC2098"/>
    <w:rsid w:val="00AC3EEF"/>
    <w:rsid w:val="00AD1418"/>
    <w:rsid w:val="00AD2319"/>
    <w:rsid w:val="00AD4927"/>
    <w:rsid w:val="00AE1C39"/>
    <w:rsid w:val="00AE2061"/>
    <w:rsid w:val="00AE276F"/>
    <w:rsid w:val="00AE5777"/>
    <w:rsid w:val="00AE7E48"/>
    <w:rsid w:val="00AF2B52"/>
    <w:rsid w:val="00AF5353"/>
    <w:rsid w:val="00B06F7C"/>
    <w:rsid w:val="00B1067A"/>
    <w:rsid w:val="00B137C0"/>
    <w:rsid w:val="00B3663A"/>
    <w:rsid w:val="00B40B3A"/>
    <w:rsid w:val="00B54842"/>
    <w:rsid w:val="00B551D5"/>
    <w:rsid w:val="00B671CE"/>
    <w:rsid w:val="00B74DC0"/>
    <w:rsid w:val="00B810E6"/>
    <w:rsid w:val="00B8375B"/>
    <w:rsid w:val="00B964C3"/>
    <w:rsid w:val="00BA4D26"/>
    <w:rsid w:val="00BB4F8D"/>
    <w:rsid w:val="00BC1954"/>
    <w:rsid w:val="00BC5293"/>
    <w:rsid w:val="00BD0BB5"/>
    <w:rsid w:val="00BD27BC"/>
    <w:rsid w:val="00BE0E05"/>
    <w:rsid w:val="00BE578F"/>
    <w:rsid w:val="00BE7988"/>
    <w:rsid w:val="00C0397B"/>
    <w:rsid w:val="00C07FE4"/>
    <w:rsid w:val="00C168F5"/>
    <w:rsid w:val="00C207D4"/>
    <w:rsid w:val="00C21B11"/>
    <w:rsid w:val="00C22322"/>
    <w:rsid w:val="00C2384B"/>
    <w:rsid w:val="00C339C6"/>
    <w:rsid w:val="00C357B4"/>
    <w:rsid w:val="00C36C86"/>
    <w:rsid w:val="00C37042"/>
    <w:rsid w:val="00C37233"/>
    <w:rsid w:val="00C40073"/>
    <w:rsid w:val="00C4252F"/>
    <w:rsid w:val="00C4330C"/>
    <w:rsid w:val="00C4575C"/>
    <w:rsid w:val="00C52F82"/>
    <w:rsid w:val="00C54E1F"/>
    <w:rsid w:val="00C6284E"/>
    <w:rsid w:val="00C66E2A"/>
    <w:rsid w:val="00C82495"/>
    <w:rsid w:val="00C83D87"/>
    <w:rsid w:val="00C87908"/>
    <w:rsid w:val="00C90BD7"/>
    <w:rsid w:val="00C92C0B"/>
    <w:rsid w:val="00CA1C3F"/>
    <w:rsid w:val="00CA3FEB"/>
    <w:rsid w:val="00CB0B4E"/>
    <w:rsid w:val="00CB2BE9"/>
    <w:rsid w:val="00CB4C9F"/>
    <w:rsid w:val="00CB60CA"/>
    <w:rsid w:val="00CC1F17"/>
    <w:rsid w:val="00CC4CB6"/>
    <w:rsid w:val="00CD35F9"/>
    <w:rsid w:val="00CD3CA3"/>
    <w:rsid w:val="00CD4AFA"/>
    <w:rsid w:val="00CE3894"/>
    <w:rsid w:val="00CE4899"/>
    <w:rsid w:val="00CF0F89"/>
    <w:rsid w:val="00CF1641"/>
    <w:rsid w:val="00D065E6"/>
    <w:rsid w:val="00D15E5B"/>
    <w:rsid w:val="00D164B2"/>
    <w:rsid w:val="00D16C62"/>
    <w:rsid w:val="00D2391E"/>
    <w:rsid w:val="00D26A88"/>
    <w:rsid w:val="00D33A63"/>
    <w:rsid w:val="00D35248"/>
    <w:rsid w:val="00D46FD7"/>
    <w:rsid w:val="00D51F77"/>
    <w:rsid w:val="00D71843"/>
    <w:rsid w:val="00D73AC1"/>
    <w:rsid w:val="00D74A02"/>
    <w:rsid w:val="00D82A08"/>
    <w:rsid w:val="00D82C8F"/>
    <w:rsid w:val="00D85AC6"/>
    <w:rsid w:val="00D96ECB"/>
    <w:rsid w:val="00D97FA9"/>
    <w:rsid w:val="00DA073B"/>
    <w:rsid w:val="00DA1245"/>
    <w:rsid w:val="00DA6CBE"/>
    <w:rsid w:val="00DB14E0"/>
    <w:rsid w:val="00DD4441"/>
    <w:rsid w:val="00DD6C12"/>
    <w:rsid w:val="00DE30A5"/>
    <w:rsid w:val="00DE3BD4"/>
    <w:rsid w:val="00DE70DC"/>
    <w:rsid w:val="00DF5A48"/>
    <w:rsid w:val="00E03FE4"/>
    <w:rsid w:val="00E06912"/>
    <w:rsid w:val="00E13BEA"/>
    <w:rsid w:val="00E143C0"/>
    <w:rsid w:val="00E1644F"/>
    <w:rsid w:val="00E2063F"/>
    <w:rsid w:val="00E2131B"/>
    <w:rsid w:val="00E26893"/>
    <w:rsid w:val="00E32E89"/>
    <w:rsid w:val="00E33A69"/>
    <w:rsid w:val="00E35188"/>
    <w:rsid w:val="00E3677A"/>
    <w:rsid w:val="00E4756B"/>
    <w:rsid w:val="00E510E5"/>
    <w:rsid w:val="00E615CB"/>
    <w:rsid w:val="00E642FA"/>
    <w:rsid w:val="00E65A97"/>
    <w:rsid w:val="00E739CC"/>
    <w:rsid w:val="00E831C8"/>
    <w:rsid w:val="00E909BF"/>
    <w:rsid w:val="00E92A25"/>
    <w:rsid w:val="00EB1828"/>
    <w:rsid w:val="00EB1F99"/>
    <w:rsid w:val="00EB2D2F"/>
    <w:rsid w:val="00EB460C"/>
    <w:rsid w:val="00EB7039"/>
    <w:rsid w:val="00EC0510"/>
    <w:rsid w:val="00EC125B"/>
    <w:rsid w:val="00EC61F6"/>
    <w:rsid w:val="00ED5917"/>
    <w:rsid w:val="00EE10B9"/>
    <w:rsid w:val="00EE3C40"/>
    <w:rsid w:val="00EE62B4"/>
    <w:rsid w:val="00EF74D8"/>
    <w:rsid w:val="00F109FE"/>
    <w:rsid w:val="00F124AC"/>
    <w:rsid w:val="00F136D8"/>
    <w:rsid w:val="00F13B40"/>
    <w:rsid w:val="00F23A6C"/>
    <w:rsid w:val="00F32946"/>
    <w:rsid w:val="00F361E5"/>
    <w:rsid w:val="00F36A3E"/>
    <w:rsid w:val="00F44C41"/>
    <w:rsid w:val="00F46DE4"/>
    <w:rsid w:val="00F47073"/>
    <w:rsid w:val="00F472B4"/>
    <w:rsid w:val="00F50328"/>
    <w:rsid w:val="00F50A11"/>
    <w:rsid w:val="00F5152F"/>
    <w:rsid w:val="00F5506B"/>
    <w:rsid w:val="00F5667D"/>
    <w:rsid w:val="00F578C1"/>
    <w:rsid w:val="00F62620"/>
    <w:rsid w:val="00F6527A"/>
    <w:rsid w:val="00F737FF"/>
    <w:rsid w:val="00F76F78"/>
    <w:rsid w:val="00F84401"/>
    <w:rsid w:val="00F87CBD"/>
    <w:rsid w:val="00F93432"/>
    <w:rsid w:val="00F96354"/>
    <w:rsid w:val="00FA54FD"/>
    <w:rsid w:val="00FB0E7F"/>
    <w:rsid w:val="00FB19A9"/>
    <w:rsid w:val="00FB44D8"/>
    <w:rsid w:val="00FC3818"/>
    <w:rsid w:val="00FD13E7"/>
    <w:rsid w:val="00FD1A5F"/>
    <w:rsid w:val="00FD221A"/>
    <w:rsid w:val="00FD2E69"/>
    <w:rsid w:val="00FD5B56"/>
    <w:rsid w:val="00FD7A79"/>
    <w:rsid w:val="00FE1E24"/>
    <w:rsid w:val="00FE4693"/>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2.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3.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customXml/itemProps4.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8883</Characters>
  <Application>Microsoft Office Word</Application>
  <DocSecurity>0</DocSecurity>
  <Lines>267</Lines>
  <Paragraphs>92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2020-06-02T01:20:00Z</cp:lastPrinted>
  <dcterms:created xsi:type="dcterms:W3CDTF">2023-11-24T06:30:00Z</dcterms:created>
  <dcterms:modified xsi:type="dcterms:W3CDTF">2023-11-24T06:30:00Z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