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641E" w14:textId="6FF88BEC" w:rsidR="003F26CD" w:rsidRPr="00B00457" w:rsidRDefault="003F26CD" w:rsidP="003F26C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00457">
        <w:rPr>
          <w:rFonts w:ascii="Arial" w:hAnsi="Arial" w:cs="Arial"/>
        </w:rPr>
        <w:t>ustralian Capital Territory</w:t>
      </w:r>
    </w:p>
    <w:p w14:paraId="3F208DA5" w14:textId="144BAF15" w:rsidR="003F26CD" w:rsidRPr="006A378C" w:rsidRDefault="003F26CD" w:rsidP="003F26CD">
      <w:pPr>
        <w:pStyle w:val="Billname"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Urban Forest</w:t>
      </w:r>
      <w:r w:rsidRPr="006A378C">
        <w:rPr>
          <w:rFonts w:cs="Times New Roman"/>
          <w:bCs w:val="0"/>
          <w:szCs w:val="20"/>
        </w:rPr>
        <w:t xml:space="preserve"> (Fees) Determination 20</w:t>
      </w:r>
      <w:r>
        <w:rPr>
          <w:rFonts w:cs="Times New Roman"/>
          <w:bCs w:val="0"/>
          <w:szCs w:val="20"/>
        </w:rPr>
        <w:t>23</w:t>
      </w:r>
      <w:r w:rsidRPr="006A378C">
        <w:rPr>
          <w:rFonts w:cs="Times New Roman"/>
          <w:bCs w:val="0"/>
          <w:szCs w:val="20"/>
        </w:rPr>
        <w:t xml:space="preserve"> (No 1)</w:t>
      </w:r>
    </w:p>
    <w:p w14:paraId="5EE6B600" w14:textId="7FF31169" w:rsidR="003F26CD" w:rsidRPr="006A378C" w:rsidRDefault="003F26CD" w:rsidP="003F26CD">
      <w:pPr>
        <w:spacing w:before="340"/>
        <w:rPr>
          <w:rFonts w:ascii="Arial" w:hAnsi="Arial" w:cs="Arial"/>
          <w:b/>
          <w:bCs/>
          <w:szCs w:val="20"/>
        </w:rPr>
      </w:pPr>
      <w:r w:rsidRPr="006A378C">
        <w:rPr>
          <w:rFonts w:ascii="Arial" w:hAnsi="Arial" w:cs="Arial"/>
          <w:b/>
          <w:bCs/>
          <w:szCs w:val="20"/>
        </w:rPr>
        <w:t>Disallowable Instrument DI20</w:t>
      </w:r>
      <w:r>
        <w:rPr>
          <w:rFonts w:ascii="Arial" w:hAnsi="Arial" w:cs="Arial"/>
          <w:b/>
          <w:bCs/>
          <w:szCs w:val="20"/>
        </w:rPr>
        <w:t>2</w:t>
      </w:r>
      <w:r w:rsidR="00A26AE4"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>-</w:t>
      </w:r>
      <w:r w:rsidR="00203E60">
        <w:rPr>
          <w:rFonts w:ascii="Arial" w:hAnsi="Arial" w:cs="Arial"/>
          <w:b/>
          <w:bCs/>
          <w:szCs w:val="20"/>
        </w:rPr>
        <w:t>306</w:t>
      </w:r>
    </w:p>
    <w:p w14:paraId="53E10DA4" w14:textId="77777777" w:rsidR="003F26CD" w:rsidRPr="00271430" w:rsidRDefault="003F26CD" w:rsidP="003F26CD">
      <w:pPr>
        <w:pStyle w:val="madeunder"/>
        <w:spacing w:before="300" w:after="0"/>
      </w:pPr>
      <w:r w:rsidRPr="00271430">
        <w:t>made under the</w:t>
      </w:r>
    </w:p>
    <w:p w14:paraId="639DBB4E" w14:textId="4C52DAF0" w:rsidR="003F26CD" w:rsidRDefault="003F26CD" w:rsidP="003F26CD">
      <w:pPr>
        <w:pStyle w:val="CoverActName"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Urban Forest</w:t>
      </w:r>
      <w:r w:rsidRPr="00F439AE">
        <w:rPr>
          <w:bCs w:val="0"/>
          <w:sz w:val="20"/>
          <w:szCs w:val="20"/>
        </w:rPr>
        <w:t xml:space="preserve"> Act 20</w:t>
      </w:r>
      <w:r>
        <w:rPr>
          <w:bCs w:val="0"/>
          <w:sz w:val="20"/>
          <w:szCs w:val="20"/>
        </w:rPr>
        <w:t>2</w:t>
      </w:r>
      <w:r w:rsidR="00A26AE4">
        <w:rPr>
          <w:bCs w:val="0"/>
          <w:sz w:val="20"/>
          <w:szCs w:val="20"/>
        </w:rPr>
        <w:t>3</w:t>
      </w:r>
      <w:r w:rsidRPr="00F439AE">
        <w:rPr>
          <w:bCs w:val="0"/>
          <w:sz w:val="20"/>
          <w:szCs w:val="20"/>
        </w:rPr>
        <w:t>, section 1</w:t>
      </w:r>
      <w:r>
        <w:rPr>
          <w:bCs w:val="0"/>
          <w:sz w:val="20"/>
          <w:szCs w:val="20"/>
        </w:rPr>
        <w:t>43</w:t>
      </w:r>
      <w:r w:rsidRPr="00F439AE">
        <w:rPr>
          <w:bCs w:val="0"/>
          <w:sz w:val="20"/>
          <w:szCs w:val="20"/>
        </w:rPr>
        <w:t xml:space="preserve"> (Determination of fees)</w:t>
      </w:r>
    </w:p>
    <w:p w14:paraId="3EE43DDE" w14:textId="77777777" w:rsidR="003F26CD" w:rsidRPr="00EF4026" w:rsidRDefault="003F26CD" w:rsidP="003F26C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EF402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52635CE" w14:textId="77777777" w:rsidR="003F26CD" w:rsidRPr="00EF4026" w:rsidRDefault="003F26CD" w:rsidP="003F26C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120358D3" w14:textId="77777777" w:rsidR="003F26CD" w:rsidRDefault="003F26CD" w:rsidP="003F26C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25B3825D" w14:textId="77777777" w:rsidR="003F26CD" w:rsidRPr="00425C39" w:rsidRDefault="003F26CD" w:rsidP="003F26CD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lang w:eastAsia="en-AU"/>
        </w:rPr>
      </w:pPr>
      <w:r w:rsidRPr="00425C39">
        <w:rPr>
          <w:rFonts w:ascii="Arial" w:hAnsi="Arial" w:cs="Arial"/>
          <w:b/>
          <w:bCs/>
          <w:color w:val="000000"/>
          <w:lang w:eastAsia="en-AU"/>
        </w:rPr>
        <w:t>Overview</w:t>
      </w:r>
    </w:p>
    <w:p w14:paraId="28127B2F" w14:textId="79220AAC" w:rsidR="003F26CD" w:rsidRDefault="003F26CD" w:rsidP="003F26CD">
      <w:pPr>
        <w:shd w:val="clear" w:color="auto" w:fill="FFFFFF"/>
        <w:rPr>
          <w:color w:val="000000"/>
        </w:rPr>
      </w:pPr>
      <w:r w:rsidRPr="004520A1">
        <w:rPr>
          <w:color w:val="000000"/>
          <w:lang w:eastAsia="en-AU"/>
        </w:rPr>
        <w:t xml:space="preserve">Section </w:t>
      </w:r>
      <w:r>
        <w:rPr>
          <w:color w:val="000000"/>
          <w:lang w:eastAsia="en-AU"/>
        </w:rPr>
        <w:t>143</w:t>
      </w:r>
      <w:r w:rsidRPr="004520A1">
        <w:rPr>
          <w:color w:val="000000"/>
          <w:lang w:eastAsia="en-AU"/>
        </w:rPr>
        <w:t xml:space="preserve"> of the</w:t>
      </w:r>
      <w:r>
        <w:rPr>
          <w:color w:val="000000"/>
          <w:lang w:eastAsia="en-AU"/>
        </w:rPr>
        <w:t xml:space="preserve"> </w:t>
      </w:r>
      <w:r>
        <w:rPr>
          <w:i/>
          <w:iCs/>
          <w:color w:val="000000"/>
          <w:lang w:eastAsia="en-AU"/>
        </w:rPr>
        <w:t xml:space="preserve">Urban </w:t>
      </w:r>
      <w:r w:rsidRPr="001F2232">
        <w:rPr>
          <w:i/>
          <w:iCs/>
          <w:color w:val="000000"/>
          <w:lang w:eastAsia="en-AU"/>
        </w:rPr>
        <w:t>Forest Act</w:t>
      </w:r>
      <w:r>
        <w:rPr>
          <w:i/>
          <w:iCs/>
          <w:color w:val="000000"/>
          <w:lang w:eastAsia="en-AU"/>
        </w:rPr>
        <w:t xml:space="preserve"> 202</w:t>
      </w:r>
      <w:r w:rsidR="00A26AE4">
        <w:rPr>
          <w:i/>
          <w:iCs/>
          <w:color w:val="000000"/>
          <w:lang w:eastAsia="en-AU"/>
        </w:rPr>
        <w:t>3</w:t>
      </w:r>
      <w:r>
        <w:rPr>
          <w:i/>
          <w:iCs/>
          <w:color w:val="000000"/>
          <w:lang w:eastAsia="en-AU"/>
        </w:rPr>
        <w:t xml:space="preserve"> </w:t>
      </w:r>
      <w:r w:rsidRPr="004520A1">
        <w:rPr>
          <w:color w:val="000000"/>
          <w:lang w:eastAsia="en-AU"/>
        </w:rPr>
        <w:t xml:space="preserve">allows the Minister </w:t>
      </w:r>
      <w:r>
        <w:rPr>
          <w:color w:val="000000"/>
          <w:lang w:eastAsia="en-AU"/>
        </w:rPr>
        <w:t>to d</w:t>
      </w:r>
      <w:r>
        <w:rPr>
          <w:color w:val="000000"/>
        </w:rPr>
        <w:t xml:space="preserve">etermine fees for the Act. </w:t>
      </w:r>
    </w:p>
    <w:p w14:paraId="289514FD" w14:textId="77777777" w:rsidR="003F26CD" w:rsidRDefault="003F26CD" w:rsidP="003F26CD">
      <w:pPr>
        <w:shd w:val="clear" w:color="auto" w:fill="FFFFFF"/>
        <w:spacing w:before="240" w:after="240"/>
        <w:jc w:val="both"/>
        <w:rPr>
          <w:rFonts w:ascii="Arial" w:hAnsi="Arial" w:cs="Arial"/>
          <w:b/>
          <w:bCs/>
          <w:color w:val="000000"/>
          <w:lang w:eastAsia="en-AU"/>
        </w:rPr>
      </w:pPr>
      <w:r>
        <w:rPr>
          <w:rFonts w:ascii="Arial" w:hAnsi="Arial" w:cs="Arial"/>
          <w:b/>
          <w:bCs/>
          <w:color w:val="000000"/>
          <w:lang w:eastAsia="en-AU"/>
        </w:rPr>
        <w:t>Human rights</w:t>
      </w:r>
    </w:p>
    <w:p w14:paraId="7A53014D" w14:textId="1B2ACE48" w:rsidR="003F26CD" w:rsidRDefault="003F26CD" w:rsidP="003F26CD">
      <w:pPr>
        <w:shd w:val="clear" w:color="auto" w:fill="FFFFFF"/>
        <w:spacing w:before="240" w:after="240"/>
        <w:jc w:val="both"/>
        <w:rPr>
          <w:color w:val="000000"/>
          <w:lang w:eastAsia="en-AU"/>
        </w:rPr>
      </w:pPr>
      <w:r w:rsidRPr="004520A1">
        <w:rPr>
          <w:color w:val="000000"/>
          <w:lang w:eastAsia="en-AU"/>
        </w:rPr>
        <w:t>The Standing Committee on Justice and Community Safety (Legislative Scrutiny Role) terms of reference require</w:t>
      </w:r>
      <w:r>
        <w:rPr>
          <w:color w:val="000000"/>
          <w:lang w:eastAsia="en-AU"/>
        </w:rPr>
        <w:t xml:space="preserve"> </w:t>
      </w:r>
      <w:r w:rsidRPr="004520A1">
        <w:rPr>
          <w:color w:val="000000"/>
          <w:lang w:eastAsia="en-AU"/>
        </w:rPr>
        <w:t>consideration of human rights</w:t>
      </w:r>
      <w:r>
        <w:rPr>
          <w:color w:val="000000"/>
          <w:lang w:eastAsia="en-AU"/>
        </w:rPr>
        <w:t xml:space="preserve"> </w:t>
      </w:r>
      <w:r w:rsidRPr="004520A1">
        <w:rPr>
          <w:color w:val="000000"/>
          <w:lang w:eastAsia="en-AU"/>
        </w:rPr>
        <w:t>impacts, among other matters. In this case, no human rights are impacted</w:t>
      </w:r>
      <w:r>
        <w:rPr>
          <w:color w:val="000000"/>
          <w:lang w:eastAsia="en-AU"/>
        </w:rPr>
        <w:t>.</w:t>
      </w:r>
    </w:p>
    <w:p w14:paraId="2A56D007" w14:textId="77777777" w:rsidR="003F26CD" w:rsidRPr="00425C39" w:rsidRDefault="003F26CD" w:rsidP="003F26CD">
      <w:pPr>
        <w:shd w:val="clear" w:color="auto" w:fill="FFFFFF"/>
        <w:spacing w:before="240" w:after="240"/>
        <w:jc w:val="both"/>
        <w:rPr>
          <w:rFonts w:ascii="Arial" w:hAnsi="Arial" w:cs="Arial"/>
          <w:b/>
          <w:bCs/>
          <w:color w:val="000000"/>
          <w:lang w:eastAsia="en-AU"/>
        </w:rPr>
      </w:pPr>
      <w:bookmarkStart w:id="0" w:name="_Hlk103944546"/>
      <w:r w:rsidRPr="00425C39">
        <w:rPr>
          <w:rFonts w:ascii="Arial" w:hAnsi="Arial" w:cs="Arial"/>
          <w:b/>
          <w:bCs/>
          <w:color w:val="000000"/>
          <w:lang w:eastAsia="en-AU"/>
        </w:rPr>
        <w:t>Climate Change</w:t>
      </w:r>
      <w:bookmarkEnd w:id="0"/>
    </w:p>
    <w:p w14:paraId="5F7770E9" w14:textId="6310634C" w:rsidR="003F26CD" w:rsidRPr="004520A1" w:rsidRDefault="003F26CD" w:rsidP="003F26CD">
      <w:pPr>
        <w:shd w:val="clear" w:color="auto" w:fill="FFFFFF"/>
        <w:spacing w:before="60"/>
        <w:rPr>
          <w:color w:val="000000"/>
          <w:lang w:eastAsia="en-AU"/>
        </w:rPr>
      </w:pPr>
      <w:r w:rsidRPr="004520A1">
        <w:rPr>
          <w:color w:val="000000"/>
          <w:lang w:eastAsia="en-AU"/>
        </w:rPr>
        <w:t>Transport Canberra and City Services anticipates that th</w:t>
      </w:r>
      <w:r w:rsidR="00660070">
        <w:rPr>
          <w:color w:val="000000"/>
          <w:lang w:eastAsia="en-AU"/>
        </w:rPr>
        <w:t>is</w:t>
      </w:r>
      <w:r w:rsidRPr="004520A1">
        <w:rPr>
          <w:color w:val="000000"/>
          <w:lang w:eastAsia="en-AU"/>
        </w:rPr>
        <w:t xml:space="preserve"> will have </w:t>
      </w:r>
      <w:r w:rsidR="00660070">
        <w:rPr>
          <w:color w:val="000000"/>
          <w:lang w:eastAsia="en-AU"/>
        </w:rPr>
        <w:t>no</w:t>
      </w:r>
      <w:r w:rsidRPr="004520A1">
        <w:rPr>
          <w:color w:val="000000"/>
          <w:lang w:eastAsia="en-AU"/>
        </w:rPr>
        <w:t xml:space="preserve"> impact on climate change.</w:t>
      </w:r>
    </w:p>
    <w:p w14:paraId="4810A7CD" w14:textId="77777777" w:rsidR="003F26CD" w:rsidRPr="00425C39" w:rsidRDefault="003F26CD" w:rsidP="003F26CD">
      <w:pPr>
        <w:shd w:val="clear" w:color="auto" w:fill="FFFFFF"/>
        <w:spacing w:before="240" w:after="240"/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b/>
          <w:bCs/>
          <w:color w:val="000000"/>
          <w:lang w:eastAsia="en-AU"/>
        </w:rPr>
        <w:t>Regulatory Impact Statement (RIS)</w:t>
      </w:r>
    </w:p>
    <w:p w14:paraId="625C53B4" w14:textId="0D258D27" w:rsidR="00660070" w:rsidRDefault="003F26CD" w:rsidP="003F26C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 34 of the </w:t>
      </w:r>
      <w:r>
        <w:rPr>
          <w:i/>
          <w:iCs/>
          <w:color w:val="000000"/>
        </w:rPr>
        <w:t>Legislation Act 2001</w:t>
      </w:r>
      <w:r>
        <w:rPr>
          <w:color w:val="000000"/>
        </w:rPr>
        <w:t> requires the preparation of a Regulatory Impact Statement (RIS) if a subordinate law or disallowable instrument is likely to impose appreciable costs on the community, or part of the community. The RIS prepared for the </w:t>
      </w:r>
      <w:r>
        <w:rPr>
          <w:i/>
          <w:iCs/>
          <w:color w:val="000000"/>
        </w:rPr>
        <w:t xml:space="preserve">Urban Forest </w:t>
      </w:r>
      <w:r w:rsidR="00A26AE4">
        <w:rPr>
          <w:i/>
          <w:iCs/>
          <w:color w:val="000000"/>
        </w:rPr>
        <w:t xml:space="preserve">Act </w:t>
      </w:r>
      <w:r>
        <w:rPr>
          <w:i/>
          <w:iCs/>
          <w:color w:val="000000"/>
        </w:rPr>
        <w:t>202</w:t>
      </w:r>
      <w:r w:rsidR="00A26AE4">
        <w:rPr>
          <w:i/>
          <w:iCs/>
          <w:color w:val="000000"/>
        </w:rPr>
        <w:t>3</w:t>
      </w:r>
      <w:r>
        <w:rPr>
          <w:color w:val="000000"/>
        </w:rPr>
        <w:t> includes analysis of the impact of</w:t>
      </w:r>
      <w:r w:rsidR="00660070">
        <w:rPr>
          <w:color w:val="000000"/>
        </w:rPr>
        <w:t xml:space="preserve"> the tree damaging activity application process </w:t>
      </w:r>
      <w:r w:rsidR="00660070" w:rsidRPr="001F2232">
        <w:rPr>
          <w:color w:val="000000"/>
        </w:rPr>
        <w:t>and canopy contribution process</w:t>
      </w:r>
      <w:r w:rsidRPr="001F2232">
        <w:rPr>
          <w:color w:val="000000"/>
        </w:rPr>
        <w:t>.</w:t>
      </w:r>
      <w:r>
        <w:rPr>
          <w:color w:val="000000"/>
        </w:rPr>
        <w:t> </w:t>
      </w:r>
    </w:p>
    <w:p w14:paraId="22557B3A" w14:textId="5D49F3FD" w:rsidR="00261322" w:rsidRDefault="00660070" w:rsidP="00660070">
      <w:pPr>
        <w:pStyle w:val="NormalWeb"/>
        <w:shd w:val="clear" w:color="auto" w:fill="FFFFFF"/>
        <w:spacing w:before="240" w:beforeAutospacing="0" w:after="0" w:afterAutospacing="0"/>
        <w:rPr>
          <w:color w:val="000000"/>
        </w:rPr>
      </w:pPr>
      <w:r>
        <w:rPr>
          <w:color w:val="000000"/>
        </w:rPr>
        <w:t xml:space="preserve">The RIS found that restricting tree damaging activities to protected trees would have a regulatory burden but would limit </w:t>
      </w:r>
      <w:r w:rsidRPr="00CC6812">
        <w:rPr>
          <w:color w:val="000000"/>
        </w:rPr>
        <w:t xml:space="preserve">the broader </w:t>
      </w:r>
      <w:r>
        <w:rPr>
          <w:color w:val="000000"/>
        </w:rPr>
        <w:t xml:space="preserve">negative </w:t>
      </w:r>
      <w:r w:rsidRPr="00CC6812">
        <w:rPr>
          <w:color w:val="000000"/>
        </w:rPr>
        <w:t>environmental impacts of activities undertaken</w:t>
      </w:r>
      <w:r>
        <w:rPr>
          <w:color w:val="000000"/>
        </w:rPr>
        <w:t xml:space="preserve"> to trees</w:t>
      </w:r>
      <w:r w:rsidRPr="00CC6812">
        <w:rPr>
          <w:color w:val="000000"/>
        </w:rPr>
        <w:t xml:space="preserve"> on leased land</w:t>
      </w:r>
      <w:r>
        <w:rPr>
          <w:color w:val="000000"/>
        </w:rPr>
        <w:t xml:space="preserve"> and to significant trees. </w:t>
      </w:r>
      <w:r w:rsidR="00261322">
        <w:rPr>
          <w:color w:val="000000"/>
        </w:rPr>
        <w:t>This will enable ACT Government</w:t>
      </w:r>
      <w:r w:rsidR="00261322" w:rsidRPr="00CC6812">
        <w:rPr>
          <w:color w:val="000000"/>
        </w:rPr>
        <w:t xml:space="preserve"> to protect </w:t>
      </w:r>
      <w:r w:rsidR="00261322">
        <w:rPr>
          <w:color w:val="000000"/>
        </w:rPr>
        <w:t>the urban forest</w:t>
      </w:r>
      <w:r w:rsidR="00261322" w:rsidRPr="00CC6812">
        <w:rPr>
          <w:color w:val="000000"/>
        </w:rPr>
        <w:t xml:space="preserve"> whilst providing the community with clear, reasonable pathways to undertake </w:t>
      </w:r>
      <w:r w:rsidR="00261322">
        <w:rPr>
          <w:color w:val="000000"/>
        </w:rPr>
        <w:t xml:space="preserve">justified </w:t>
      </w:r>
      <w:r w:rsidR="00261322" w:rsidRPr="00CC6812">
        <w:rPr>
          <w:color w:val="000000"/>
        </w:rPr>
        <w:t xml:space="preserve">tree works. </w:t>
      </w:r>
      <w:r w:rsidR="00261322">
        <w:rPr>
          <w:color w:val="000000"/>
        </w:rPr>
        <w:t>It identified this as the preferred approach.</w:t>
      </w:r>
    </w:p>
    <w:p w14:paraId="672BF9AA" w14:textId="6118A173" w:rsidR="00660070" w:rsidRDefault="00660070" w:rsidP="00660070">
      <w:pPr>
        <w:pStyle w:val="NormalWeb"/>
        <w:shd w:val="clear" w:color="auto" w:fill="FFFFFF"/>
        <w:spacing w:before="240" w:beforeAutospacing="0" w:after="0" w:afterAutospacing="0"/>
      </w:pPr>
      <w:r w:rsidRPr="00CC6812">
        <w:rPr>
          <w:color w:val="000000"/>
        </w:rPr>
        <w:t>Th</w:t>
      </w:r>
      <w:r>
        <w:rPr>
          <w:color w:val="000000"/>
        </w:rPr>
        <w:t xml:space="preserve">e fee for internal review of a decision </w:t>
      </w:r>
      <w:r w:rsidR="00261322">
        <w:rPr>
          <w:color w:val="000000"/>
        </w:rPr>
        <w:t xml:space="preserve">was not addressed in the RIS as it </w:t>
      </w:r>
      <w:r>
        <w:rPr>
          <w:color w:val="000000"/>
        </w:rPr>
        <w:t>does not comprise a</w:t>
      </w:r>
      <w:r w:rsidR="00244E73">
        <w:rPr>
          <w:color w:val="000000"/>
        </w:rPr>
        <w:t xml:space="preserve"> significant</w:t>
      </w:r>
      <w:r>
        <w:rPr>
          <w:color w:val="000000"/>
        </w:rPr>
        <w:t xml:space="preserve"> regulatory burden</w:t>
      </w:r>
      <w:r w:rsidR="00261322">
        <w:rPr>
          <w:color w:val="000000"/>
        </w:rPr>
        <w:t>. This fee is reasonable and justified as it only applies to persons choosing to seek internal review of a decision.</w:t>
      </w:r>
      <w:r>
        <w:rPr>
          <w:color w:val="000000"/>
        </w:rPr>
        <w:t xml:space="preserve"> </w:t>
      </w:r>
      <w:r w:rsidR="00261322">
        <w:rPr>
          <w:color w:val="000000"/>
        </w:rPr>
        <w:t xml:space="preserve"> The</w:t>
      </w:r>
      <w:r w:rsidR="00A26AE4">
        <w:rPr>
          <w:color w:val="000000"/>
        </w:rPr>
        <w:t xml:space="preserve">re is no increase </w:t>
      </w:r>
      <w:r w:rsidR="00261322">
        <w:rPr>
          <w:color w:val="000000"/>
        </w:rPr>
        <w:t xml:space="preserve">from the fee contained in the </w:t>
      </w:r>
      <w:r w:rsidR="00261322">
        <w:rPr>
          <w:i/>
          <w:iCs/>
        </w:rPr>
        <w:t>Tree Protection (Fees) Determination 202</w:t>
      </w:r>
      <w:r w:rsidR="00A26AE4">
        <w:rPr>
          <w:i/>
          <w:iCs/>
        </w:rPr>
        <w:t>3</w:t>
      </w:r>
      <w:r w:rsidR="00261322">
        <w:rPr>
          <w:i/>
          <w:iCs/>
        </w:rPr>
        <w:t xml:space="preserve"> (No 1) </w:t>
      </w:r>
      <w:r w:rsidR="00261322">
        <w:t>DI2022-62</w:t>
      </w:r>
      <w:r w:rsidR="00A26AE4">
        <w:t xml:space="preserve"> as this covers the same financial year period.</w:t>
      </w:r>
      <w:r w:rsidR="008369A9">
        <w:br/>
      </w:r>
      <w:r w:rsidR="008369A9">
        <w:lastRenderedPageBreak/>
        <w:br/>
        <w:t xml:space="preserve">The fee has been renamed from ‘Applications for reconsideration’ under the </w:t>
      </w:r>
      <w:r w:rsidR="008369A9" w:rsidRPr="008369A9">
        <w:rPr>
          <w:i/>
          <w:iCs/>
        </w:rPr>
        <w:t>Tree Protection Act 2005</w:t>
      </w:r>
      <w:r w:rsidR="008369A9">
        <w:t xml:space="preserve"> to ‘Applications for internal review’ under the </w:t>
      </w:r>
      <w:r w:rsidR="008369A9" w:rsidRPr="008369A9">
        <w:rPr>
          <w:i/>
          <w:iCs/>
        </w:rPr>
        <w:t>Urban Forest Act 2023</w:t>
      </w:r>
      <w:r w:rsidR="008369A9">
        <w:t xml:space="preserve">. The change better reflects wording of the </w:t>
      </w:r>
      <w:r w:rsidR="008369A9" w:rsidRPr="008D54A8">
        <w:rPr>
          <w:i/>
          <w:iCs/>
        </w:rPr>
        <w:t>Urban Forest Act</w:t>
      </w:r>
      <w:r w:rsidR="008D54A8" w:rsidRPr="008D54A8">
        <w:rPr>
          <w:i/>
          <w:iCs/>
        </w:rPr>
        <w:t xml:space="preserve"> 2023</w:t>
      </w:r>
      <w:r w:rsidR="008369A9">
        <w:t>, in</w:t>
      </w:r>
      <w:r w:rsidR="008D54A8">
        <w:t xml:space="preserve">cluding </w:t>
      </w:r>
      <w:r w:rsidR="008369A9">
        <w:t xml:space="preserve">Section 133 </w:t>
      </w:r>
      <w:r w:rsidR="008D54A8">
        <w:t>‘Applications for internal review’ and Schedule 1 Part 1 ‘Internally reviewable decisions’.</w:t>
      </w:r>
      <w:r w:rsidR="008369A9">
        <w:t xml:space="preserve"> </w:t>
      </w:r>
    </w:p>
    <w:p w14:paraId="16E34BB5" w14:textId="77777777" w:rsidR="003C5BEB" w:rsidRDefault="003C5BEB" w:rsidP="003C5BEB">
      <w:pPr>
        <w:shd w:val="clear" w:color="auto" w:fill="FFFFFF"/>
        <w:spacing w:before="240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This determination is a disallowable instrument and must be presented to the Legislative Assembly within 6 sitting days after its notification pursuant to section 64 of the </w:t>
      </w:r>
      <w:r>
        <w:rPr>
          <w:i/>
          <w:iCs/>
          <w:color w:val="000000"/>
          <w:lang w:eastAsia="en-AU"/>
        </w:rPr>
        <w:t>Legislation Act 2001</w:t>
      </w:r>
      <w:r>
        <w:rPr>
          <w:color w:val="000000"/>
          <w:lang w:eastAsia="en-AU"/>
        </w:rPr>
        <w:t>.</w:t>
      </w:r>
    </w:p>
    <w:p w14:paraId="38917790" w14:textId="77777777" w:rsidR="00660070" w:rsidRDefault="00660070" w:rsidP="003F26C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D577190" w14:textId="77777777" w:rsidR="003F26CD" w:rsidRPr="00425C39" w:rsidRDefault="003F26CD" w:rsidP="003F26CD">
      <w:pPr>
        <w:shd w:val="clear" w:color="auto" w:fill="FFFFFF"/>
        <w:spacing w:before="240" w:after="240"/>
        <w:jc w:val="both"/>
        <w:rPr>
          <w:rFonts w:ascii="Arial" w:hAnsi="Arial" w:cs="Arial"/>
          <w:b/>
          <w:bCs/>
          <w:color w:val="000000"/>
          <w:lang w:eastAsia="en-AU"/>
        </w:rPr>
      </w:pPr>
      <w:bookmarkStart w:id="1" w:name="_Hlk103945138"/>
      <w:r w:rsidRPr="00425C39">
        <w:rPr>
          <w:rFonts w:ascii="Arial" w:hAnsi="Arial" w:cs="Arial"/>
          <w:b/>
          <w:bCs/>
          <w:color w:val="000000"/>
          <w:lang w:eastAsia="en-AU"/>
        </w:rPr>
        <w:t>Outline of Provisions</w:t>
      </w:r>
      <w:bookmarkEnd w:id="1"/>
    </w:p>
    <w:p w14:paraId="07CFB1EF" w14:textId="77777777" w:rsidR="003F26CD" w:rsidRDefault="003F26CD" w:rsidP="003F26CD">
      <w:pPr>
        <w:shd w:val="clear" w:color="auto" w:fill="FFFFFF"/>
        <w:rPr>
          <w:b/>
          <w:bCs/>
          <w:color w:val="000000"/>
          <w:lang w:eastAsia="en-AU"/>
        </w:rPr>
      </w:pPr>
      <w:r w:rsidRPr="004520A1">
        <w:rPr>
          <w:b/>
          <w:bCs/>
          <w:color w:val="000000"/>
          <w:lang w:eastAsia="en-AU"/>
        </w:rPr>
        <w:t>Clause 1</w:t>
      </w:r>
      <w:r>
        <w:rPr>
          <w:b/>
          <w:bCs/>
          <w:color w:val="000000"/>
          <w:lang w:eastAsia="en-AU"/>
        </w:rPr>
        <w:t xml:space="preserve"> </w:t>
      </w:r>
      <w:r>
        <w:rPr>
          <w:b/>
          <w:bCs/>
          <w:color w:val="000000"/>
          <w:lang w:eastAsia="en-AU"/>
        </w:rPr>
        <w:tab/>
        <w:t>Name of instrument</w:t>
      </w:r>
    </w:p>
    <w:p w14:paraId="45E9CAB5" w14:textId="4EE264A1" w:rsidR="003F26CD" w:rsidRPr="004520A1" w:rsidRDefault="003F26CD" w:rsidP="003F26CD">
      <w:pPr>
        <w:shd w:val="clear" w:color="auto" w:fill="FFFFFF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This clause </w:t>
      </w:r>
      <w:r w:rsidRPr="004520A1">
        <w:rPr>
          <w:color w:val="000000"/>
          <w:lang w:eastAsia="en-AU"/>
        </w:rPr>
        <w:t>names the instrument the</w:t>
      </w:r>
      <w:r>
        <w:rPr>
          <w:color w:val="000000"/>
          <w:lang w:eastAsia="en-AU"/>
        </w:rPr>
        <w:t xml:space="preserve"> </w:t>
      </w:r>
      <w:r>
        <w:rPr>
          <w:i/>
          <w:iCs/>
          <w:color w:val="000000"/>
          <w:lang w:eastAsia="en-AU"/>
        </w:rPr>
        <w:t>Urban Forest (Fees) Determination 2023 (No 1).</w:t>
      </w:r>
    </w:p>
    <w:p w14:paraId="35125407" w14:textId="77777777" w:rsidR="003F26CD" w:rsidRPr="004520A1" w:rsidRDefault="003F26CD" w:rsidP="003F26CD">
      <w:pPr>
        <w:shd w:val="clear" w:color="auto" w:fill="FFFFFF"/>
        <w:rPr>
          <w:color w:val="000000"/>
          <w:lang w:eastAsia="en-AU"/>
        </w:rPr>
      </w:pPr>
    </w:p>
    <w:p w14:paraId="1B2E54F4" w14:textId="77777777" w:rsidR="003F26CD" w:rsidRDefault="003F26CD" w:rsidP="003F26CD">
      <w:pPr>
        <w:shd w:val="clear" w:color="auto" w:fill="FFFFFF"/>
        <w:rPr>
          <w:color w:val="000000"/>
          <w:lang w:eastAsia="en-AU"/>
        </w:rPr>
      </w:pPr>
      <w:r w:rsidRPr="004520A1">
        <w:rPr>
          <w:b/>
          <w:bCs/>
          <w:color w:val="000000"/>
          <w:lang w:eastAsia="en-AU"/>
        </w:rPr>
        <w:t>Clause 2</w:t>
      </w:r>
      <w:r>
        <w:rPr>
          <w:b/>
          <w:bCs/>
          <w:color w:val="000000"/>
          <w:lang w:eastAsia="en-AU"/>
        </w:rPr>
        <w:t xml:space="preserve"> </w:t>
      </w:r>
      <w:r>
        <w:rPr>
          <w:b/>
          <w:bCs/>
          <w:color w:val="000000"/>
          <w:lang w:eastAsia="en-AU"/>
        </w:rPr>
        <w:tab/>
      </w:r>
      <w:r w:rsidRPr="00425C39">
        <w:rPr>
          <w:b/>
          <w:bCs/>
          <w:color w:val="000000"/>
          <w:lang w:eastAsia="en-AU"/>
        </w:rPr>
        <w:t>Commencement</w:t>
      </w:r>
    </w:p>
    <w:p w14:paraId="5B7DE842" w14:textId="462E9C03" w:rsidR="003F26CD" w:rsidRDefault="003F26CD" w:rsidP="003F26CD">
      <w:pPr>
        <w:shd w:val="clear" w:color="auto" w:fill="FFFFFF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This clause </w:t>
      </w:r>
      <w:r w:rsidRPr="004520A1">
        <w:rPr>
          <w:color w:val="000000"/>
          <w:lang w:eastAsia="en-AU"/>
        </w:rPr>
        <w:t>states that the</w:t>
      </w:r>
      <w:r>
        <w:rPr>
          <w:color w:val="000000"/>
          <w:lang w:eastAsia="en-AU"/>
        </w:rPr>
        <w:t xml:space="preserve"> </w:t>
      </w:r>
      <w:r w:rsidRPr="004520A1">
        <w:rPr>
          <w:color w:val="000000"/>
          <w:lang w:eastAsia="en-AU"/>
        </w:rPr>
        <w:t>instrument</w:t>
      </w:r>
      <w:r>
        <w:rPr>
          <w:color w:val="000000"/>
          <w:lang w:eastAsia="en-AU"/>
        </w:rPr>
        <w:t xml:space="preserve"> </w:t>
      </w:r>
      <w:r w:rsidRPr="004520A1">
        <w:rPr>
          <w:color w:val="000000"/>
          <w:lang w:eastAsia="en-AU"/>
        </w:rPr>
        <w:t xml:space="preserve">commences </w:t>
      </w:r>
      <w:r>
        <w:rPr>
          <w:color w:val="000000"/>
          <w:lang w:eastAsia="en-AU"/>
        </w:rPr>
        <w:t>on 1 J</w:t>
      </w:r>
      <w:r w:rsidR="00A26AE4">
        <w:rPr>
          <w:color w:val="000000"/>
          <w:lang w:eastAsia="en-AU"/>
        </w:rPr>
        <w:t>anuary 2024</w:t>
      </w:r>
      <w:r w:rsidRPr="004520A1">
        <w:rPr>
          <w:color w:val="000000"/>
          <w:lang w:eastAsia="en-AU"/>
        </w:rPr>
        <w:t>.</w:t>
      </w:r>
    </w:p>
    <w:p w14:paraId="29D0832E" w14:textId="77777777" w:rsidR="003F26CD" w:rsidRDefault="003F26CD" w:rsidP="003F26CD">
      <w:pPr>
        <w:shd w:val="clear" w:color="auto" w:fill="FFFFFF"/>
        <w:rPr>
          <w:color w:val="000000"/>
          <w:lang w:eastAsia="en-AU"/>
        </w:rPr>
      </w:pPr>
    </w:p>
    <w:p w14:paraId="38B64586" w14:textId="63ECD18D" w:rsidR="003F26CD" w:rsidRDefault="003F26CD" w:rsidP="003F26CD">
      <w:pPr>
        <w:shd w:val="clear" w:color="auto" w:fill="FFFFFF"/>
        <w:spacing w:before="60" w:after="60"/>
        <w:rPr>
          <w:b/>
          <w:bCs/>
          <w:color w:val="000000"/>
          <w:lang w:eastAsia="en-AU"/>
        </w:rPr>
      </w:pPr>
      <w:r w:rsidRPr="004520A1">
        <w:rPr>
          <w:b/>
          <w:bCs/>
          <w:color w:val="000000"/>
          <w:lang w:eastAsia="en-AU"/>
        </w:rPr>
        <w:t>Clause 3</w:t>
      </w:r>
      <w:r>
        <w:rPr>
          <w:b/>
          <w:bCs/>
          <w:color w:val="000000"/>
          <w:lang w:eastAsia="en-AU"/>
        </w:rPr>
        <w:t xml:space="preserve"> </w:t>
      </w:r>
      <w:r>
        <w:rPr>
          <w:b/>
          <w:bCs/>
          <w:color w:val="000000"/>
          <w:lang w:eastAsia="en-AU"/>
        </w:rPr>
        <w:tab/>
        <w:t>Determination of fees</w:t>
      </w:r>
    </w:p>
    <w:p w14:paraId="4395FB2C" w14:textId="729785B6" w:rsidR="003F26CD" w:rsidRPr="004520A1" w:rsidRDefault="003F26CD" w:rsidP="003F26CD">
      <w:pPr>
        <w:shd w:val="clear" w:color="auto" w:fill="FFFFFF"/>
        <w:spacing w:before="60" w:after="60"/>
        <w:rPr>
          <w:color w:val="000000"/>
          <w:lang w:eastAsia="en-AU"/>
        </w:rPr>
      </w:pPr>
      <w:r w:rsidRPr="00425C39">
        <w:rPr>
          <w:color w:val="000000"/>
          <w:lang w:eastAsia="en-AU"/>
        </w:rPr>
        <w:t xml:space="preserve">This clause </w:t>
      </w:r>
      <w:r w:rsidR="00660070">
        <w:rPr>
          <w:color w:val="000000"/>
          <w:lang w:eastAsia="en-AU"/>
        </w:rPr>
        <w:t xml:space="preserve">outlines that the </w:t>
      </w:r>
      <w:r>
        <w:rPr>
          <w:color w:val="000000"/>
          <w:lang w:eastAsia="en-AU"/>
        </w:rPr>
        <w:t xml:space="preserve">fees payable </w:t>
      </w:r>
      <w:r w:rsidR="00660070">
        <w:rPr>
          <w:color w:val="000000"/>
          <w:lang w:eastAsia="en-AU"/>
        </w:rPr>
        <w:t>are the amounts listed in</w:t>
      </w:r>
      <w:r>
        <w:rPr>
          <w:color w:val="000000"/>
          <w:lang w:eastAsia="en-AU"/>
        </w:rPr>
        <w:t xml:space="preserve"> Schedule 1.</w:t>
      </w:r>
    </w:p>
    <w:p w14:paraId="6BD1AA7D" w14:textId="77777777" w:rsidR="003F26CD" w:rsidRPr="004520A1" w:rsidRDefault="003F26CD" w:rsidP="003F26CD">
      <w:pPr>
        <w:shd w:val="clear" w:color="auto" w:fill="FFFFFF"/>
        <w:spacing w:before="60" w:after="60"/>
        <w:rPr>
          <w:color w:val="000000"/>
          <w:lang w:eastAsia="en-AU"/>
        </w:rPr>
      </w:pPr>
    </w:p>
    <w:p w14:paraId="65865FA4" w14:textId="6B73CAB2" w:rsidR="003F26CD" w:rsidRDefault="003F26CD" w:rsidP="003F26CD">
      <w:pPr>
        <w:shd w:val="clear" w:color="auto" w:fill="FFFFFF"/>
        <w:spacing w:before="60" w:after="60"/>
        <w:rPr>
          <w:b/>
          <w:bCs/>
          <w:color w:val="000000"/>
          <w:lang w:eastAsia="en-AU"/>
        </w:rPr>
      </w:pPr>
      <w:r w:rsidRPr="004520A1">
        <w:rPr>
          <w:b/>
          <w:bCs/>
          <w:color w:val="000000"/>
          <w:lang w:eastAsia="en-AU"/>
        </w:rPr>
        <w:t>Clause 4</w:t>
      </w:r>
      <w:r>
        <w:rPr>
          <w:b/>
          <w:bCs/>
          <w:color w:val="000000"/>
          <w:lang w:eastAsia="en-AU"/>
        </w:rPr>
        <w:t xml:space="preserve"> </w:t>
      </w:r>
      <w:r>
        <w:rPr>
          <w:b/>
          <w:bCs/>
          <w:color w:val="000000"/>
          <w:lang w:eastAsia="en-AU"/>
        </w:rPr>
        <w:tab/>
        <w:t>Payment of fees</w:t>
      </w:r>
    </w:p>
    <w:p w14:paraId="6F0FF582" w14:textId="32BDF5BA" w:rsidR="003F26CD" w:rsidRPr="004520A1" w:rsidRDefault="003F26CD" w:rsidP="003F26CD">
      <w:pPr>
        <w:shd w:val="clear" w:color="auto" w:fill="FFFFFF"/>
        <w:spacing w:before="60" w:after="60"/>
        <w:rPr>
          <w:color w:val="000000"/>
          <w:lang w:eastAsia="en-AU"/>
        </w:rPr>
      </w:pPr>
      <w:r w:rsidRPr="00425C39">
        <w:rPr>
          <w:color w:val="000000"/>
          <w:lang w:eastAsia="en-AU"/>
        </w:rPr>
        <w:t xml:space="preserve">This clause </w:t>
      </w:r>
      <w:r w:rsidRPr="004520A1">
        <w:rPr>
          <w:color w:val="000000"/>
          <w:lang w:eastAsia="en-AU"/>
        </w:rPr>
        <w:t xml:space="preserve">determines </w:t>
      </w:r>
      <w:r w:rsidR="00660070">
        <w:rPr>
          <w:color w:val="000000"/>
          <w:lang w:eastAsia="en-AU"/>
        </w:rPr>
        <w:t>that a fee listed in Schedule 1 is payable to the Territory by the person requesting in goods or service listed.</w:t>
      </w:r>
    </w:p>
    <w:p w14:paraId="524A81BF" w14:textId="1C1000A9" w:rsidR="003F26CD" w:rsidRDefault="003F26CD" w:rsidP="003F26CD">
      <w:pPr>
        <w:shd w:val="clear" w:color="auto" w:fill="FFFFFF"/>
        <w:spacing w:before="60" w:after="60"/>
        <w:rPr>
          <w:color w:val="000000"/>
          <w:lang w:eastAsia="en-AU"/>
        </w:rPr>
      </w:pPr>
    </w:p>
    <w:p w14:paraId="74AEF37A" w14:textId="36D256EB" w:rsidR="003F26CD" w:rsidRDefault="003F26CD" w:rsidP="003F26CD">
      <w:pPr>
        <w:shd w:val="clear" w:color="auto" w:fill="FFFFFF"/>
        <w:spacing w:before="60" w:after="60"/>
        <w:rPr>
          <w:b/>
          <w:bCs/>
          <w:color w:val="000000"/>
          <w:lang w:eastAsia="en-AU"/>
        </w:rPr>
      </w:pPr>
      <w:r w:rsidRPr="004520A1">
        <w:rPr>
          <w:b/>
          <w:bCs/>
          <w:color w:val="000000"/>
          <w:lang w:eastAsia="en-AU"/>
        </w:rPr>
        <w:t xml:space="preserve">Clause </w:t>
      </w:r>
      <w:r>
        <w:rPr>
          <w:b/>
          <w:bCs/>
          <w:color w:val="000000"/>
          <w:lang w:eastAsia="en-AU"/>
        </w:rPr>
        <w:t xml:space="preserve">5 </w:t>
      </w:r>
      <w:r>
        <w:rPr>
          <w:b/>
          <w:bCs/>
          <w:color w:val="000000"/>
          <w:lang w:eastAsia="en-AU"/>
        </w:rPr>
        <w:tab/>
        <w:t>Goods and services tax</w:t>
      </w:r>
    </w:p>
    <w:p w14:paraId="76BF7465" w14:textId="577D6059" w:rsidR="003F26CD" w:rsidRDefault="003F26CD" w:rsidP="003F26CD">
      <w:pPr>
        <w:shd w:val="clear" w:color="auto" w:fill="FFFFFF"/>
        <w:spacing w:before="60" w:after="60"/>
        <w:rPr>
          <w:color w:val="000000"/>
          <w:lang w:eastAsia="en-AU"/>
        </w:rPr>
      </w:pPr>
      <w:r w:rsidRPr="00425C39">
        <w:rPr>
          <w:color w:val="000000"/>
          <w:lang w:eastAsia="en-AU"/>
        </w:rPr>
        <w:t xml:space="preserve">This clause </w:t>
      </w:r>
      <w:r>
        <w:rPr>
          <w:color w:val="000000"/>
          <w:lang w:eastAsia="en-AU"/>
        </w:rPr>
        <w:t>states that GST is applicable to fees contained in Schedule 1.</w:t>
      </w:r>
    </w:p>
    <w:p w14:paraId="552C2175" w14:textId="77777777" w:rsidR="00BD38E0" w:rsidRDefault="00BD38E0" w:rsidP="003F26CD">
      <w:pPr>
        <w:shd w:val="clear" w:color="auto" w:fill="FFFFFF"/>
        <w:spacing w:before="60" w:after="60"/>
        <w:rPr>
          <w:color w:val="000000"/>
          <w:lang w:eastAsia="en-AU"/>
        </w:rPr>
      </w:pPr>
    </w:p>
    <w:p w14:paraId="581E3394" w14:textId="256898E3" w:rsidR="00BD38E0" w:rsidRPr="00BD38E0" w:rsidRDefault="00BD38E0" w:rsidP="00BD38E0">
      <w:pPr>
        <w:shd w:val="clear" w:color="auto" w:fill="FFFFFF"/>
        <w:spacing w:before="60" w:after="60"/>
        <w:rPr>
          <w:b/>
          <w:bCs/>
          <w:color w:val="000000"/>
          <w:lang w:eastAsia="en-AU"/>
        </w:rPr>
      </w:pPr>
      <w:r>
        <w:rPr>
          <w:b/>
          <w:bCs/>
          <w:color w:val="000000"/>
          <w:lang w:eastAsia="en-AU"/>
        </w:rPr>
        <w:t xml:space="preserve">Clause </w:t>
      </w:r>
      <w:r w:rsidRPr="00BD38E0">
        <w:rPr>
          <w:b/>
          <w:bCs/>
          <w:color w:val="000000"/>
          <w:lang w:eastAsia="en-AU"/>
        </w:rPr>
        <w:t>6</w:t>
      </w:r>
      <w:r w:rsidRPr="00BD38E0">
        <w:rPr>
          <w:b/>
          <w:bCs/>
          <w:color w:val="000000"/>
          <w:lang w:eastAsia="en-AU"/>
        </w:rPr>
        <w:tab/>
        <w:t>Revocation of previous determination</w:t>
      </w:r>
    </w:p>
    <w:p w14:paraId="0B0BA0A3" w14:textId="34B39FE5" w:rsidR="00BD38E0" w:rsidRPr="004520A1" w:rsidRDefault="00BD38E0" w:rsidP="003F26CD">
      <w:pPr>
        <w:shd w:val="clear" w:color="auto" w:fill="FFFFFF"/>
        <w:spacing w:before="60" w:after="60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This clause states that the instrument revokes the previous determination, being the </w:t>
      </w:r>
      <w:r w:rsidRPr="00BD38E0">
        <w:rPr>
          <w:color w:val="000000"/>
          <w:lang w:eastAsia="en-AU"/>
        </w:rPr>
        <w:t>Tree Protection (Fees) Determination 2023 (No 1)</w:t>
      </w:r>
      <w:r>
        <w:rPr>
          <w:color w:val="000000"/>
          <w:lang w:eastAsia="en-AU"/>
        </w:rPr>
        <w:t> DI2023—105.</w:t>
      </w:r>
    </w:p>
    <w:p w14:paraId="323B7230" w14:textId="77777777" w:rsidR="003F26CD" w:rsidRPr="000C6C50" w:rsidRDefault="003F26CD" w:rsidP="00660070">
      <w:pPr>
        <w:shd w:val="clear" w:color="auto" w:fill="FFFFFF"/>
        <w:spacing w:before="240"/>
        <w:rPr>
          <w:b/>
          <w:bCs/>
          <w:i/>
          <w:iCs/>
          <w:color w:val="000000"/>
          <w:sz w:val="28"/>
          <w:szCs w:val="28"/>
          <w:lang w:eastAsia="en-AU"/>
        </w:rPr>
      </w:pPr>
      <w:r w:rsidRPr="000C6C50">
        <w:rPr>
          <w:b/>
          <w:bCs/>
          <w:i/>
          <w:iCs/>
          <w:color w:val="000000"/>
          <w:sz w:val="28"/>
          <w:szCs w:val="28"/>
          <w:lang w:eastAsia="en-AU"/>
        </w:rPr>
        <w:t>Schedule 1</w:t>
      </w:r>
    </w:p>
    <w:p w14:paraId="28704405" w14:textId="06E2FDD0" w:rsidR="003F26CD" w:rsidRDefault="003F26CD" w:rsidP="00660070">
      <w:pPr>
        <w:shd w:val="clear" w:color="auto" w:fill="FFFFFF"/>
        <w:spacing w:before="240"/>
        <w:rPr>
          <w:color w:val="000000"/>
        </w:rPr>
      </w:pPr>
      <w:r>
        <w:rPr>
          <w:b/>
          <w:bCs/>
        </w:rPr>
        <w:t xml:space="preserve">Table </w:t>
      </w:r>
      <w:r w:rsidRPr="00C049A8">
        <w:rPr>
          <w:b/>
          <w:bCs/>
        </w:rPr>
        <w:t>1</w:t>
      </w:r>
      <w:r w:rsidRPr="00C049A8">
        <w:t xml:space="preserve"> </w:t>
      </w:r>
      <w:r>
        <w:t xml:space="preserve">outlines the fees that are payable to the Territory by persons requesting the goods or service listed. This table </w:t>
      </w:r>
      <w:r>
        <w:rPr>
          <w:color w:val="000000"/>
        </w:rPr>
        <w:t>sets the fees for the 2023-24 financial year.</w:t>
      </w:r>
    </w:p>
    <w:p w14:paraId="20A61751" w14:textId="77777777" w:rsidR="00660070" w:rsidRDefault="003F26CD" w:rsidP="00660070">
      <w:pPr>
        <w:spacing w:before="240"/>
        <w:rPr>
          <w:b/>
          <w:i/>
        </w:rPr>
      </w:pPr>
      <w:r w:rsidRPr="009A6AAD">
        <w:rPr>
          <w:b/>
          <w:i/>
        </w:rPr>
        <w:t>Indexed Fees</w:t>
      </w:r>
    </w:p>
    <w:p w14:paraId="0096DC97" w14:textId="0D612C05" w:rsidR="003F26CD" w:rsidRDefault="003F26CD" w:rsidP="00660070">
      <w:pPr>
        <w:spacing w:before="240"/>
        <w:rPr>
          <w:sz w:val="22"/>
          <w:szCs w:val="22"/>
        </w:rPr>
      </w:pPr>
      <w:r w:rsidRPr="00B75108">
        <w:t>Th</w:t>
      </w:r>
      <w:r>
        <w:t>is</w:t>
      </w:r>
      <w:r w:rsidRPr="00B75108">
        <w:t xml:space="preserve"> determination </w:t>
      </w:r>
      <w:r w:rsidR="001F2232">
        <w:t xml:space="preserve">does not </w:t>
      </w:r>
      <w:r w:rsidRPr="00B75108">
        <w:t>increas</w:t>
      </w:r>
      <w:r w:rsidR="001F2232">
        <w:t>e</w:t>
      </w:r>
      <w:r w:rsidRPr="00B75108">
        <w:t xml:space="preserve"> fees </w:t>
      </w:r>
      <w:r>
        <w:t xml:space="preserve">contained in </w:t>
      </w:r>
      <w:r w:rsidR="00660070">
        <w:t xml:space="preserve">the </w:t>
      </w:r>
      <w:r w:rsidR="00660070">
        <w:rPr>
          <w:i/>
          <w:iCs/>
        </w:rPr>
        <w:t>Tree Protection (Fees) Determination 202</w:t>
      </w:r>
      <w:r w:rsidR="00A26AE4">
        <w:rPr>
          <w:i/>
          <w:iCs/>
        </w:rPr>
        <w:t>3</w:t>
      </w:r>
      <w:r w:rsidR="00660070">
        <w:rPr>
          <w:i/>
          <w:iCs/>
        </w:rPr>
        <w:t xml:space="preserve"> (No 1) </w:t>
      </w:r>
      <w:r>
        <w:t>DI202</w:t>
      </w:r>
      <w:r w:rsidR="008851E3">
        <w:t>3-105</w:t>
      </w:r>
      <w:r w:rsidR="001F2232">
        <w:t>.</w:t>
      </w:r>
    </w:p>
    <w:p w14:paraId="36528972" w14:textId="77777777" w:rsidR="003F26CD" w:rsidRPr="00C8639A" w:rsidRDefault="003F26CD" w:rsidP="00660070">
      <w:pPr>
        <w:pStyle w:val="LongTitle"/>
        <w:spacing w:after="0"/>
        <w:jc w:val="left"/>
        <w:rPr>
          <w:color w:val="000000"/>
        </w:rPr>
      </w:pPr>
    </w:p>
    <w:p w14:paraId="579FBA1B" w14:textId="77777777" w:rsidR="003F26CD" w:rsidRPr="003F26CD" w:rsidRDefault="003F26CD" w:rsidP="00660070">
      <w:pPr>
        <w:tabs>
          <w:tab w:val="left" w:pos="2465"/>
        </w:tabs>
        <w:spacing w:before="240"/>
      </w:pPr>
    </w:p>
    <w:sectPr w:rsidR="003F26CD" w:rsidRPr="003F2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77DD" w14:textId="77777777" w:rsidR="00BE4DC8" w:rsidRDefault="00BE4DC8" w:rsidP="003F26CD">
      <w:r>
        <w:separator/>
      </w:r>
    </w:p>
  </w:endnote>
  <w:endnote w:type="continuationSeparator" w:id="0">
    <w:p w14:paraId="07C49750" w14:textId="77777777" w:rsidR="00BE4DC8" w:rsidRDefault="00BE4DC8" w:rsidP="003F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F395" w14:textId="77777777" w:rsidR="00BB25EA" w:rsidRDefault="00BB2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A82B" w14:textId="53D7B854" w:rsidR="00660070" w:rsidRPr="00BB25EA" w:rsidRDefault="00BB25EA" w:rsidP="00BB25EA">
    <w:pPr>
      <w:pStyle w:val="Footer"/>
      <w:jc w:val="center"/>
      <w:rPr>
        <w:rFonts w:ascii="Arial" w:hAnsi="Arial" w:cs="Arial"/>
        <w:sz w:val="14"/>
        <w:szCs w:val="14"/>
      </w:rPr>
    </w:pPr>
    <w:r w:rsidRPr="00BB25E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77B72" w14:textId="77777777" w:rsidR="00BB25EA" w:rsidRDefault="00BB2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6A11" w14:textId="77777777" w:rsidR="00BE4DC8" w:rsidRDefault="00BE4DC8" w:rsidP="003F26CD">
      <w:r>
        <w:separator/>
      </w:r>
    </w:p>
  </w:footnote>
  <w:footnote w:type="continuationSeparator" w:id="0">
    <w:p w14:paraId="4D6FB947" w14:textId="77777777" w:rsidR="00BE4DC8" w:rsidRDefault="00BE4DC8" w:rsidP="003F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6F02" w14:textId="77777777" w:rsidR="00BB25EA" w:rsidRDefault="00BB2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1FDF" w14:textId="77777777" w:rsidR="00BB25EA" w:rsidRDefault="00BB2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4E53" w14:textId="77777777" w:rsidR="00BB25EA" w:rsidRDefault="00BB2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CD"/>
    <w:rsid w:val="00053BB7"/>
    <w:rsid w:val="00062ED5"/>
    <w:rsid w:val="00172D17"/>
    <w:rsid w:val="001F2232"/>
    <w:rsid w:val="00203E60"/>
    <w:rsid w:val="002327E3"/>
    <w:rsid w:val="00244E73"/>
    <w:rsid w:val="00261322"/>
    <w:rsid w:val="002B1951"/>
    <w:rsid w:val="002F33C3"/>
    <w:rsid w:val="003158D3"/>
    <w:rsid w:val="00384D53"/>
    <w:rsid w:val="003B1813"/>
    <w:rsid w:val="003C5BEB"/>
    <w:rsid w:val="003F26CD"/>
    <w:rsid w:val="0040026D"/>
    <w:rsid w:val="00605866"/>
    <w:rsid w:val="00660070"/>
    <w:rsid w:val="006F0A74"/>
    <w:rsid w:val="00701E40"/>
    <w:rsid w:val="00730296"/>
    <w:rsid w:val="00765AEF"/>
    <w:rsid w:val="007E3DA6"/>
    <w:rsid w:val="008369A9"/>
    <w:rsid w:val="0087354D"/>
    <w:rsid w:val="008851E3"/>
    <w:rsid w:val="008D0485"/>
    <w:rsid w:val="008D54A8"/>
    <w:rsid w:val="00A268C4"/>
    <w:rsid w:val="00A26AE4"/>
    <w:rsid w:val="00B40AF3"/>
    <w:rsid w:val="00BB25EA"/>
    <w:rsid w:val="00BD38E0"/>
    <w:rsid w:val="00BE4DC8"/>
    <w:rsid w:val="00C179DA"/>
    <w:rsid w:val="00C47482"/>
    <w:rsid w:val="00DA6FB5"/>
    <w:rsid w:val="00F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DF102"/>
  <w15:chartTrackingRefBased/>
  <w15:docId w15:val="{B9F84270-18D6-494D-9646-439058C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26CD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2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ongTitle">
    <w:name w:val="LongTitle"/>
    <w:basedOn w:val="Normal"/>
    <w:uiPriority w:val="99"/>
    <w:rsid w:val="003F26CD"/>
    <w:pPr>
      <w:spacing w:before="240" w:after="60"/>
      <w:jc w:val="both"/>
    </w:pPr>
  </w:style>
  <w:style w:type="paragraph" w:customStyle="1" w:styleId="CoverActName">
    <w:name w:val="CoverActName"/>
    <w:basedOn w:val="Normal"/>
    <w:rsid w:val="003F26C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3F26C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3F26CD"/>
    <w:pPr>
      <w:spacing w:before="180" w:after="6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3F2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6C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26CD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6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3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32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A44693134</value>
    </field>
    <field name="Objective-Title">
      <value order="0">Attachment A - Urban Forest (Fees) Determination 2023 - Explanatory Statement</value>
    </field>
    <field name="Objective-Description">
      <value order="0"/>
    </field>
    <field name="Objective-CreationStamp">
      <value order="0">2023-11-28T02:10:52Z</value>
    </field>
    <field name="Objective-IsApproved">
      <value order="0">false</value>
    </field>
    <field name="Objective-IsPublished">
      <value order="0">true</value>
    </field>
    <field name="Objective-DatePublished">
      <value order="0">2023-12-11T05:46:42Z</value>
    </field>
    <field name="Objective-ModificationStamp">
      <value order="0">2023-12-14T03:26:40Z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(Minister):2023 Information Brief (Minister):COO - MIN S2023/02949 - TCCS Fees and Charges - January 2024 Update - Minister Brief</value>
    </field>
    <field name="Objective-Parent">
      <value order="0">COO - MIN S2023/02949 - TCCS Fees and Charges - January 2024 Update - Minister Brief</value>
    </field>
    <field name="Objective-State">
      <value order="0">Published</value>
    </field>
    <field name="Objective-VersionId">
      <value order="0">vA56082704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3017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PCODCS</cp:lastModifiedBy>
  <cp:revision>4</cp:revision>
  <dcterms:created xsi:type="dcterms:W3CDTF">2023-12-17T22:51:00Z</dcterms:created>
  <dcterms:modified xsi:type="dcterms:W3CDTF">2023-12-17T22:51:00Z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A44693134</vt:lpwstr>
  </property>
  <property fmtid="{D5CDD505-2E9C-101B-9397-08002B2CF9AE}" pid="4" name="Objective-Title">
    <vt:lpwstr>Attachment A - Urban Forest (Fees) Determination 2023 -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2023-11-28T02:10:52Z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2023-12-11T05:46:42Z</vt:filetime>
  </property>
  <property fmtid="{D5CDD505-2E9C-101B-9397-08002B2CF9AE}" pid="10" name="Objective-ModificationStamp">
    <vt:filetime>2023-12-14T03:26:40Z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(Minister):COO - MIN S2023/02949 - TCCS Fees and Charges - January 2024 Update - Minister Brief:</vt:lpwstr>
  </property>
  <property fmtid="{D5CDD505-2E9C-101B-9397-08002B2CF9AE}" pid="13" name="Objective-Parent">
    <vt:lpwstr>COO - MIN S2023/02949 - TCCS Fees and Charges - January 2024 Update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vA56082704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11350338</vt:lpwstr>
  </property>
  <property fmtid="{D5CDD505-2E9C-101B-9397-08002B2CF9AE}" pid="45" name="JMSREQUIREDCHECKIN">
    <vt:lpwstr/>
  </property>
</Properties>
</file>